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3F052E6-BCE7-446B-B857-04D92565AF1B"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pBdr>
          <w:top w:val="nil"/>
          <w:left w:val="nil"/>
          <w:bottom w:val="nil"/>
          <w:right w:val="nil"/>
          <w:between w:val="nil"/>
          <w:bar w:val="nil"/>
        </w:pBdr>
        <w:spacing w:before="0" w:after="240"/>
        <w:rPr>
          <w:noProof/>
        </w:rPr>
      </w:pPr>
      <w:r>
        <w:rPr>
          <w:noProof/>
        </w:rPr>
        <w:t>A proposta abrange o seguinte:</w:t>
      </w:r>
    </w:p>
    <w:p>
      <w:pPr>
        <w:spacing w:before="0"/>
        <w:rPr>
          <w:rFonts w:eastAsia="Arial Unicode MS"/>
          <w:noProof/>
        </w:rPr>
      </w:pPr>
      <w:r>
        <w:rPr>
          <w:noProof/>
        </w:rPr>
        <w:t>–</w:t>
      </w:r>
      <w:r>
        <w:rPr>
          <w:noProof/>
        </w:rPr>
        <w:tab/>
        <w:t>O limite máximo das contribuições para 2022;</w:t>
      </w:r>
    </w:p>
    <w:p>
      <w:pPr>
        <w:spacing w:before="0"/>
        <w:rPr>
          <w:rFonts w:eastAsia="Arial Unicode MS"/>
          <w:noProof/>
        </w:rPr>
      </w:pPr>
      <w:r>
        <w:rPr>
          <w:noProof/>
        </w:rPr>
        <w:t>–</w:t>
      </w:r>
      <w:r>
        <w:rPr>
          <w:noProof/>
        </w:rPr>
        <w:tab/>
        <w:t>O montante anual das contribuições para 2021;</w:t>
      </w:r>
    </w:p>
    <w:p>
      <w:pPr>
        <w:spacing w:before="0"/>
        <w:rPr>
          <w:rFonts w:eastAsia="Arial Unicode MS"/>
          <w:noProof/>
        </w:rPr>
      </w:pPr>
      <w:r>
        <w:rPr>
          <w:noProof/>
        </w:rPr>
        <w:t>–</w:t>
      </w:r>
      <w:r>
        <w:rPr>
          <w:noProof/>
        </w:rPr>
        <w:tab/>
        <w:t>O montante da primeira parcela da contribuição para 2021;</w:t>
      </w:r>
    </w:p>
    <w:p>
      <w:pPr>
        <w:spacing w:before="0"/>
        <w:rPr>
          <w:rFonts w:eastAsia="Arial Unicode MS"/>
          <w:noProof/>
        </w:rPr>
      </w:pPr>
      <w:r>
        <w:rPr>
          <w:noProof/>
        </w:rPr>
        <w:t>–</w:t>
      </w:r>
      <w:r>
        <w:rPr>
          <w:noProof/>
        </w:rPr>
        <w:tab/>
        <w:t>Uma previsão não vinculativa dos montantes anuais esperados das contribuições para os anos 2023 e 2024.</w:t>
      </w:r>
    </w:p>
    <w:p>
      <w:pPr>
        <w:spacing w:before="0" w:after="240"/>
        <w:rPr>
          <w:rFonts w:eastAsia="Arial Unicode MS"/>
          <w:noProof/>
        </w:rPr>
      </w:pPr>
      <w:r>
        <w:rPr>
          <w:noProof/>
        </w:rPr>
        <w:t>O 11.</w:t>
      </w:r>
      <w:r>
        <w:rPr>
          <w:noProof/>
          <w:vertAlign w:val="superscript"/>
        </w:rPr>
        <w:t>º</w:t>
      </w:r>
      <w:r>
        <w:rPr>
          <w:noProof/>
        </w:rPr>
        <w:t xml:space="preserve"> FED e os outros FED que ainda estão abertos (8.º, 9.º e 10.º FED) são geridos de acordo com as seguintes regras: </w:t>
      </w:r>
    </w:p>
    <w:p>
      <w:pPr>
        <w:spacing w:before="0" w:after="240"/>
        <w:rPr>
          <w:rFonts w:eastAsia="Arial Unicode MS"/>
          <w:noProof/>
        </w:rPr>
      </w:pPr>
      <w:r>
        <w:rPr>
          <w:noProof/>
        </w:rPr>
        <w:t>O atual Acordo de Parceria entre o grupo de Estados de África, das Caraíbas e do Pacífico (ACP), por um lado, e a Comunidade Europeia e os seus Estados-Membros, por outro («Acordo de Parceria ACP-UE»), com a última redação que lhe foi dada</w:t>
      </w:r>
      <w:r>
        <w:rPr>
          <w:rStyle w:val="FootnoteReference"/>
          <w:rFonts w:eastAsia="Arial Unicode MS"/>
          <w:noProof/>
        </w:rPr>
        <w:footnoteReference w:id="1"/>
      </w:r>
      <w:r>
        <w:rPr>
          <w:noProof/>
        </w:rPr>
        <w:t>,</w:t>
      </w:r>
    </w:p>
    <w:p>
      <w:pPr>
        <w:spacing w:before="0" w:after="240"/>
        <w:rPr>
          <w:rFonts w:eastAsia="Arial Unicode MS"/>
          <w:noProof/>
        </w:rPr>
      </w:pPr>
      <w:r>
        <w:rPr>
          <w:noProof/>
        </w:rPr>
        <w:t>O Acordo Interno entre os representantes dos Governos dos Estados-Membros da União Europeia, reunidos no Conselho, relativo ao financiamento da ajuda concedida pela União Europeia no âmbito do quadro financeiro plurianual para o período 2014-2020, em conformidade com o Acordo de Parceria ACP-UE, bem como à concessão de assistência financeira aos países e territórios ultramarinos aos quais se aplica a parte IV do Tratado sobre o Funcionamento da União Europeia</w:t>
      </w:r>
      <w:r>
        <w:rPr>
          <w:rStyle w:val="FootnoteReference"/>
          <w:rFonts w:eastAsia="Arial Unicode MS"/>
          <w:noProof/>
        </w:rPr>
        <w:footnoteReference w:id="2"/>
      </w:r>
      <w:r>
        <w:rPr>
          <w:noProof/>
        </w:rPr>
        <w:t xml:space="preserve"> («Acordo Interno» relativo ao 11.</w:t>
      </w:r>
      <w:r>
        <w:rPr>
          <w:noProof/>
          <w:vertAlign w:val="superscript"/>
        </w:rPr>
        <w:t>º</w:t>
      </w:r>
      <w:r>
        <w:rPr>
          <w:noProof/>
        </w:rPr>
        <w:t xml:space="preserve"> FED);</w:t>
      </w:r>
    </w:p>
    <w:p>
      <w:pPr>
        <w:spacing w:before="0" w:after="240"/>
        <w:rPr>
          <w:rFonts w:eastAsia="Arial Unicode MS"/>
          <w:noProof/>
        </w:rPr>
      </w:pPr>
      <w:r>
        <w:rPr>
          <w:noProof/>
        </w:rPr>
        <w:t>O Regulamento (UE) 2018/1877 do Conselho relativo ao Regulamento Financeiro aplicável ao 11.</w:t>
      </w:r>
      <w:r>
        <w:rPr>
          <w:noProof/>
          <w:vertAlign w:val="superscript"/>
        </w:rPr>
        <w:t>º</w:t>
      </w:r>
      <w:r>
        <w:rPr>
          <w:noProof/>
        </w:rPr>
        <w:t xml:space="preserve"> Fundo Europeu de Desenvolvimento</w:t>
      </w:r>
      <w:r>
        <w:rPr>
          <w:rStyle w:val="FootnoteReference"/>
          <w:rFonts w:eastAsia="Arial Unicode MS"/>
          <w:noProof/>
        </w:rPr>
        <w:footnoteReference w:id="3"/>
      </w:r>
      <w:r>
        <w:rPr>
          <w:noProof/>
        </w:rPr>
        <w:t xml:space="preserve"> («Regulamento Financeiro do 11.</w:t>
      </w:r>
      <w:r>
        <w:rPr>
          <w:noProof/>
          <w:vertAlign w:val="superscript"/>
        </w:rPr>
        <w:t>º</w:t>
      </w:r>
      <w:r>
        <w:rPr>
          <w:noProof/>
        </w:rPr>
        <w:t xml:space="preserve"> FED»).</w:t>
      </w:r>
    </w:p>
    <w:p>
      <w:pPr>
        <w:spacing w:before="0" w:after="240"/>
        <w:rPr>
          <w:rFonts w:eastAsia="Arial Unicode MS"/>
          <w:noProof/>
        </w:rPr>
      </w:pPr>
      <w:r>
        <w:rPr>
          <w:noProof/>
        </w:rPr>
        <w:t xml:space="preserve">Os documentos acima referidos contêm compromissos plurianuais por parte dos Estados-Membros no sentido de apoiar financeiramente a tesouraria do FED. O Regulamento Financeiro do 11.º FED prevê que os Estados-Membros efetuem contribuições regulares para a tesouraria do FED, de acordo com compromissos financeiros previamente determinados. As contribuições regulares são mobilizadas através de decisões técnicas do Conselho que refletem a execução dos compromissos financeiros previamente decididos. </w:t>
      </w:r>
    </w:p>
    <w:p>
      <w:pPr>
        <w:spacing w:before="0" w:after="240"/>
        <w:rPr>
          <w:rFonts w:eastAsia="Arial Unicode MS"/>
          <w:noProof/>
        </w:rPr>
      </w:pPr>
      <w:r>
        <w:rPr>
          <w:noProof/>
        </w:rPr>
        <w:t>Alguns dos títulos da exposição de motivos não são, por conseguinte, aplicáveis aos pedidos de contribuições regulares como o que é objeto da presente proposta.</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spacing w:before="0" w:after="240"/>
        <w:rPr>
          <w:rFonts w:eastAsia="Arial Unicode MS"/>
          <w:noProof/>
        </w:rPr>
      </w:pPr>
      <w:r>
        <w:rPr>
          <w:noProof/>
        </w:rPr>
        <w:t>Em conformidade com o artigo 19.º, n.º 7, do Regulamento Financeiro do 11.</w:t>
      </w:r>
      <w:r>
        <w:rPr>
          <w:noProof/>
          <w:vertAlign w:val="superscript"/>
        </w:rPr>
        <w:t>º</w:t>
      </w:r>
      <w:r>
        <w:rPr>
          <w:noProof/>
        </w:rPr>
        <w:t xml:space="preserve"> FED, o montante gerido pela Comissão Europeia e o montante gerido pelo Banco Europeu de Investimento (BEI) são especificados separadamente.</w:t>
      </w:r>
    </w:p>
    <w:p>
      <w:pPr>
        <w:spacing w:before="0" w:after="240"/>
        <w:rPr>
          <w:rFonts w:eastAsia="Arial Unicode MS"/>
          <w:noProof/>
        </w:rPr>
      </w:pPr>
      <w:r>
        <w:rPr>
          <w:noProof/>
        </w:rPr>
        <w:lastRenderedPageBreak/>
        <w:t>Em conformidade com o artigo 46.º do Regulamento Financeiro do 11.</w:t>
      </w:r>
      <w:r>
        <w:rPr>
          <w:noProof/>
          <w:vertAlign w:val="superscript"/>
        </w:rPr>
        <w:t>º</w:t>
      </w:r>
      <w:r>
        <w:rPr>
          <w:noProof/>
        </w:rPr>
        <w:t xml:space="preserve"> FED, o BEI comunicou à Comissão Europeia as suas previsões atualizadas de autorizações e pagamentos relativamente aos instrumentos cuja gestão assegura.</w:t>
      </w:r>
    </w:p>
    <w:p>
      <w:pPr>
        <w:spacing w:before="0" w:after="240"/>
        <w:rPr>
          <w:rFonts w:eastAsia="Arial Unicode MS"/>
          <w:noProof/>
        </w:rPr>
      </w:pPr>
      <w:r>
        <w:rPr>
          <w:noProof/>
        </w:rPr>
        <w:t>Em conformidade com o artigo 20.º, n.º 1, do Regulamento Financeiro do 11.</w:t>
      </w:r>
      <w:r>
        <w:rPr>
          <w:noProof/>
          <w:vertAlign w:val="superscript"/>
        </w:rPr>
        <w:t>º</w:t>
      </w:r>
      <w:r>
        <w:rPr>
          <w:noProof/>
        </w:rPr>
        <w:t xml:space="preserve"> FED, para efeitos dos pedidos de contribuições, começa-se por esgotar os montantes disponíveis de FED anteriores, de acordo com a respetiva sequência. Os pedidos de contribuições objeto da presente proposta referem-se, portanto, a montantes a título do 10.</w:t>
      </w:r>
      <w:r>
        <w:rPr>
          <w:noProof/>
          <w:vertAlign w:val="superscript"/>
        </w:rPr>
        <w:t>º</w:t>
      </w:r>
      <w:r>
        <w:rPr>
          <w:noProof/>
        </w:rPr>
        <w:t xml:space="preserve"> FED no que respeita ao BEI, e a montantes a título do 11.</w:t>
      </w:r>
      <w:r>
        <w:rPr>
          <w:noProof/>
          <w:vertAlign w:val="superscript"/>
        </w:rPr>
        <w:t>º</w:t>
      </w:r>
      <w:r>
        <w:rPr>
          <w:noProof/>
        </w:rPr>
        <w:t xml:space="preserve"> FED no que respeita à Comissão Europeia.</w:t>
      </w:r>
    </w:p>
    <w:p>
      <w:pPr>
        <w:spacing w:before="0" w:after="240"/>
        <w:rPr>
          <w:rFonts w:eastAsia="Arial Unicode MS"/>
          <w:noProof/>
        </w:rPr>
      </w:pPr>
      <w:r>
        <w:rPr>
          <w:noProof/>
        </w:rPr>
        <w:t>Em conformidade com o artigo 19.º, n.º 2, do Regulamento Financeiro do 11.</w:t>
      </w:r>
      <w:r>
        <w:rPr>
          <w:noProof/>
          <w:vertAlign w:val="superscript"/>
        </w:rPr>
        <w:t>º</w:t>
      </w:r>
      <w:r>
        <w:rPr>
          <w:noProof/>
        </w:rPr>
        <w:t xml:space="preserve"> FED, o Conselho deve decidir sobre a proposta até 15 de novembro, o mais tardar.</w:t>
      </w:r>
    </w:p>
    <w:p>
      <w:pPr>
        <w:spacing w:before="0" w:after="240"/>
        <w:rPr>
          <w:rFonts w:eastAsia="Arial Unicode MS"/>
          <w:noProof/>
        </w:rPr>
      </w:pPr>
      <w:r>
        <w:rPr>
          <w:noProof/>
        </w:rPr>
        <w:t>O artigo 21.º, n.º 1, do Regulamento Financeiro do 11.</w:t>
      </w:r>
      <w:r>
        <w:rPr>
          <w:noProof/>
          <w:vertAlign w:val="superscript"/>
        </w:rPr>
        <w:t>º</w:t>
      </w:r>
      <w:r>
        <w:rPr>
          <w:noProof/>
        </w:rPr>
        <w:t xml:space="preserve"> FED estabelece que um Estado-Membro que não proceda ao pagamento da parcela da contribuição devida no prazo fixado é obrigado a pagar juros sobre o montante em falta; as disposições aplicáveis ao pagamento de juros são especificadas no mesmo artigo.</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2020/0286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relativa às contribuições financeiras a pagar pelos Estados-Membros para financiar o Fundo Europeu de Desenvolvimento, incluindo o limite máximo para 2022, o montante anual para 2021, a primeira parcela para 2021 e uma previsão indicativa e não vinculativa dos montantes anuais esperados das contribuições para os anos 2023 e 2024</w:t>
      </w:r>
    </w:p>
    <w:p>
      <w:pPr>
        <w:pStyle w:val="Institutionquiagit"/>
        <w:rPr>
          <w:noProof/>
        </w:rPr>
      </w:pPr>
      <w:r>
        <w:rPr>
          <w:noProof/>
        </w:rPr>
        <w:t>O CONSELHO DA UNIÃO EUROPEIA,</w:t>
      </w:r>
    </w:p>
    <w:p>
      <w:pPr>
        <w:rPr>
          <w:noProof/>
        </w:rPr>
      </w:pPr>
      <w:r>
        <w:rPr>
          <w:noProof/>
        </w:rPr>
        <w:t>Tendo em conta o Tratado da União Europeia e o Tratado sobre o Funcionamento da União Europeia,</w:t>
      </w:r>
    </w:p>
    <w:p>
      <w:pPr>
        <w:rPr>
          <w:noProof/>
        </w:rPr>
      </w:pPr>
      <w:r>
        <w:rPr>
          <w:noProof/>
        </w:rPr>
        <w:t>Tendo em conta o Acordo Interno entre os representantes dos Governos dos Estados-Membros da União Europeia, reunidos no Conselho, relativo ao financiamento da ajuda concedida pela União Europeia no âmbito do quadro financeiro plurianual para o período 2014-2020, em conformidade com o Acordo de Parceria ACP-UE, bem como à concessão de assistência financeira aos países e territórios ultramarinos aos quais se aplica a parte IV do Tratado sobre o Funcionamento da União Europeia</w:t>
      </w:r>
      <w:r>
        <w:rPr>
          <w:rStyle w:val="FootnoteReference"/>
          <w:noProof/>
        </w:rPr>
        <w:footnoteReference w:id="4"/>
      </w:r>
      <w:r>
        <w:rPr>
          <w:noProof/>
        </w:rPr>
        <w:t xml:space="preserve"> (a seguir designado «Acordo Interno»), nomeadamente o artigo 7.º,</w:t>
      </w:r>
    </w:p>
    <w:p>
      <w:pPr>
        <w:rPr>
          <w:noProof/>
        </w:rPr>
      </w:pPr>
      <w:r>
        <w:rPr>
          <w:noProof/>
        </w:rPr>
        <w:t>Tendo em conta o Regulamento (UE) 2018/1877 do Conselho, de 26 de novembro de 2018, relativo ao Regulamento Financeiro aplicável ao 11</w:t>
      </w:r>
      <w:r>
        <w:rPr>
          <w:noProof/>
          <w:vertAlign w:val="superscript"/>
        </w:rPr>
        <w:t>º</w:t>
      </w:r>
      <w:r>
        <w:rPr>
          <w:noProof/>
        </w:rPr>
        <w:t xml:space="preserve"> Fundo Europeu de Desenvolvimento (FED),(a seguir designado «Regulamento Financeiro do 11.</w:t>
      </w:r>
      <w:r>
        <w:rPr>
          <w:noProof/>
          <w:vertAlign w:val="superscript"/>
        </w:rPr>
        <w:t>º</w:t>
      </w:r>
      <w:r>
        <w:rPr>
          <w:noProof/>
        </w:rPr>
        <w:t xml:space="preserve"> FED»)</w:t>
      </w:r>
      <w:r>
        <w:rPr>
          <w:rStyle w:val="FootnoteReference"/>
          <w:noProof/>
        </w:rPr>
        <w:footnoteReference w:id="5"/>
      </w:r>
      <w:r>
        <w:rPr>
          <w:noProof/>
        </w:rPr>
        <w:t>, nomeadamente o artigo 19.º, n.º 2,</w:t>
      </w:r>
    </w:p>
    <w:p>
      <w:pPr>
        <w:rPr>
          <w:noProof/>
        </w:rPr>
      </w:pPr>
      <w:r>
        <w:rPr>
          <w:noProof/>
        </w:rPr>
        <w:t>Tendo em conta a proposta da Comissão Europeia,</w:t>
      </w:r>
    </w:p>
    <w:p>
      <w:pPr>
        <w:rPr>
          <w:noProof/>
        </w:rPr>
      </w:pPr>
      <w:r>
        <w:rPr>
          <w:noProof/>
        </w:rPr>
        <w:t>Considerando o seguinte:</w:t>
      </w:r>
    </w:p>
    <w:p>
      <w:pPr>
        <w:pStyle w:val="ManualConsidrant"/>
        <w:rPr>
          <w:rFonts w:eastAsia="Calibri"/>
          <w:noProof/>
        </w:rPr>
      </w:pPr>
      <w:r>
        <w:t>(1)</w:t>
      </w:r>
      <w:r>
        <w:tab/>
      </w:r>
      <w:r>
        <w:rPr>
          <w:noProof/>
        </w:rPr>
        <w:t>Em conformidade com o procedimento previsto nos artigos 19.º a 22.º do Regulamento Financeiro do 11.</w:t>
      </w:r>
      <w:r>
        <w:rPr>
          <w:noProof/>
          <w:vertAlign w:val="superscript"/>
        </w:rPr>
        <w:t>º</w:t>
      </w:r>
      <w:r>
        <w:rPr>
          <w:noProof/>
        </w:rPr>
        <w:t xml:space="preserve"> FED, a Comissão apresenta, até 15 de outubro de 2018, uma proposta em que indica: a) o limite máximo da contribuição para 2022; b) o montante anual da contribuição para 2021; c) o montante da primeira parcela da contribuição para 2021; e d) uma previsão indicativa e não vinculativa dos montantes anuais esperados das contribuições para os anos 2023-2024.</w:t>
      </w:r>
    </w:p>
    <w:p>
      <w:pPr>
        <w:pStyle w:val="ManualConsidrant"/>
        <w:rPr>
          <w:noProof/>
        </w:rPr>
      </w:pPr>
      <w:r>
        <w:t>(2)</w:t>
      </w:r>
      <w:r>
        <w:tab/>
      </w:r>
      <w:r>
        <w:rPr>
          <w:noProof/>
        </w:rPr>
        <w:t>Nos termos do artigo 46.º do Regulamento Financeiro do 11.</w:t>
      </w:r>
      <w:r>
        <w:rPr>
          <w:noProof/>
          <w:vertAlign w:val="superscript"/>
        </w:rPr>
        <w:t>º</w:t>
      </w:r>
      <w:r>
        <w:rPr>
          <w:noProof/>
        </w:rPr>
        <w:t xml:space="preserve"> FED, o Banco Europeu de Investimento (BEI) comunicou à Comissão Europeia as suas previsões atualizadas de autorizações e pagamentos relativamente aos instrumentos cuja gestão assegura.</w:t>
      </w:r>
    </w:p>
    <w:p>
      <w:pPr>
        <w:pStyle w:val="ManualConsidrant"/>
        <w:rPr>
          <w:noProof/>
        </w:rPr>
      </w:pPr>
      <w:r>
        <w:t>(3)</w:t>
      </w:r>
      <w:r>
        <w:tab/>
      </w:r>
      <w:r>
        <w:rPr>
          <w:noProof/>
        </w:rPr>
        <w:t>O artigo 20.º, n.º 1, do Regulamento Financeiro do 11.</w:t>
      </w:r>
      <w:r>
        <w:rPr>
          <w:noProof/>
          <w:vertAlign w:val="superscript"/>
        </w:rPr>
        <w:t>º</w:t>
      </w:r>
      <w:r>
        <w:rPr>
          <w:noProof/>
        </w:rPr>
        <w:t xml:space="preserve"> FED prevê que, para efeitos dos pedidos de contribuições, se comece por esgotar os montantes previstos nos FED anteriores. Por conseguinte, é conveniente lançar um pedido de contribuições a título do 10.</w:t>
      </w:r>
      <w:r>
        <w:rPr>
          <w:noProof/>
          <w:vertAlign w:val="superscript"/>
        </w:rPr>
        <w:t>º</w:t>
      </w:r>
      <w:r>
        <w:rPr>
          <w:noProof/>
        </w:rPr>
        <w:t xml:space="preserve"> FED para o BEI e a título do 11.</w:t>
      </w:r>
      <w:r>
        <w:rPr>
          <w:noProof/>
          <w:vertAlign w:val="superscript"/>
        </w:rPr>
        <w:t>º</w:t>
      </w:r>
      <w:r>
        <w:rPr>
          <w:noProof/>
        </w:rPr>
        <w:t xml:space="preserve"> FED para a Comissão.</w:t>
      </w:r>
    </w:p>
    <w:p>
      <w:pPr>
        <w:pStyle w:val="ManualConsidrant"/>
        <w:rPr>
          <w:noProof/>
        </w:rPr>
      </w:pPr>
      <w:r>
        <w:t>(4)</w:t>
      </w:r>
      <w:r>
        <w:tab/>
      </w:r>
      <w:r>
        <w:rPr>
          <w:noProof/>
        </w:rPr>
        <w:t>Em conformidade com o artigo 55.º do Regulamento Financeiro do 11.</w:t>
      </w:r>
      <w:r>
        <w:rPr>
          <w:noProof/>
          <w:vertAlign w:val="superscript"/>
        </w:rPr>
        <w:t>º</w:t>
      </w:r>
      <w:r>
        <w:rPr>
          <w:noProof/>
        </w:rPr>
        <w:t xml:space="preserve"> FED, os montantes provenientes de projetos realizados no quadro do 10.º FED ou de FED </w:t>
      </w:r>
      <w:r>
        <w:rPr>
          <w:noProof/>
        </w:rPr>
        <w:lastRenderedPageBreak/>
        <w:t>anteriores não autorizados nos termos do artigo 1.º, n.º 3, do Acordo Interno, ou anulados nos termos do artigo 1.º, n.º 4, desse mesmo acordo, salvo decisão unânime em contrário do Conselho, são deduzidos das contribuições dos Estados-Membros previstas no artigo 1.º n.º 2, alínea a), do Acordo Interno.</w:t>
      </w:r>
    </w:p>
    <w:p>
      <w:pPr>
        <w:pStyle w:val="ManualConsidrant"/>
        <w:rPr>
          <w:noProof/>
        </w:rPr>
      </w:pPr>
      <w:r>
        <w:t>(5)</w:t>
      </w:r>
      <w:r>
        <w:tab/>
      </w:r>
      <w:r>
        <w:rPr>
          <w:noProof/>
        </w:rPr>
        <w:t>Os artigos 152.º e 153.º do acordo de saída</w:t>
      </w:r>
      <w:r>
        <w:rPr>
          <w:rStyle w:val="FootnoteReference"/>
          <w:noProof/>
        </w:rPr>
        <w:footnoteReference w:id="6"/>
      </w:r>
      <w:r>
        <w:rPr>
          <w:noProof/>
        </w:rPr>
        <w:t xml:space="preserve"> do Reino Unido da Grã-Bretanha e da Irlanda do Norte da União Europeia e da Comunidade Europeia da Energia Atómica estipulam que o Reino Unido continua a ser parte no FED até ao encerramento do 11.º FED e de todos os FED anteriores não encerrados; no entanto, a parte do Reino Unido em fundos resultantes de anulações de autorizações a título do 10.</w:t>
      </w:r>
      <w:r>
        <w:rPr>
          <w:noProof/>
          <w:vertAlign w:val="superscript"/>
        </w:rPr>
        <w:t>º</w:t>
      </w:r>
      <w:r>
        <w:rPr>
          <w:noProof/>
        </w:rPr>
        <w:t xml:space="preserve"> FED ou de FED anteriores não será reutilizada.</w:t>
      </w:r>
    </w:p>
    <w:p>
      <w:pPr>
        <w:pStyle w:val="ManualConsidrant"/>
        <w:rPr>
          <w:noProof/>
        </w:rPr>
      </w:pPr>
      <w:r>
        <w:t>(6)</w:t>
      </w:r>
      <w:r>
        <w:tab/>
      </w:r>
      <w:r>
        <w:rPr>
          <w:noProof/>
        </w:rPr>
        <w:t>Mediante a sua Decisão (UE) 2019/1800</w:t>
      </w:r>
      <w:r>
        <w:rPr>
          <w:rStyle w:val="FootnoteReference"/>
          <w:noProof/>
        </w:rPr>
        <w:footnoteReference w:id="7"/>
      </w:r>
      <w:r>
        <w:rPr>
          <w:noProof/>
        </w:rPr>
        <w:t>, o Conselho adotou, em 24 de outubro de 2019, sob proposta da Comissão, a decisão de fixar o limite máximo do montante anual das contribuições dos Estados-Membros para o FED relativas a 2021 em 3 700 000 000 EUR, no que se refere à Comissão, e em 300 000 000 EUR, no que se refere ao Banco Europeu de Investimento,</w:t>
      </w:r>
    </w:p>
    <w:p>
      <w:pPr>
        <w:pStyle w:val="Formuledadoption"/>
        <w:rPr>
          <w:noProof/>
        </w:rPr>
      </w:pPr>
      <w:r>
        <w:rPr>
          <w:noProof/>
        </w:rPr>
        <w:t xml:space="preserve">ADOTOU A PRESENTE DECISÃO: </w:t>
      </w:r>
    </w:p>
    <w:p>
      <w:pPr>
        <w:pStyle w:val="Titrearticle"/>
        <w:rPr>
          <w:noProof/>
        </w:rPr>
      </w:pPr>
      <w:r>
        <w:rPr>
          <w:noProof/>
        </w:rPr>
        <w:t>Artigo 1.º</w:t>
      </w:r>
    </w:p>
    <w:p>
      <w:pPr>
        <w:rPr>
          <w:noProof/>
        </w:rPr>
      </w:pPr>
      <w:r>
        <w:rPr>
          <w:noProof/>
        </w:rPr>
        <w:t>O limite máximo do montante anual das contribuições dos Estados-Membros para o FED relativas a 2022 é fixado em 2 800 000 000 EUR. A sua repartição é a seguinte: 2 500 000 000 EUR para a Comissão e 300 000 000 EUR para o BEI.</w:t>
      </w:r>
    </w:p>
    <w:p>
      <w:pPr>
        <w:pStyle w:val="Titrearticle"/>
        <w:keepNext w:val="0"/>
        <w:rPr>
          <w:noProof/>
        </w:rPr>
      </w:pPr>
      <w:r>
        <w:rPr>
          <w:noProof/>
        </w:rPr>
        <w:t>Artigo 2.º</w:t>
      </w:r>
    </w:p>
    <w:p>
      <w:pPr>
        <w:keepLines/>
        <w:rPr>
          <w:rFonts w:eastAsia="Calibri"/>
          <w:noProof/>
        </w:rPr>
      </w:pPr>
      <w:r>
        <w:rPr>
          <w:noProof/>
        </w:rPr>
        <w:t>O montante anual das contribuições dos Estados-Membros para o FED relativas a 2021 é fixado em 4 000 000 000 EUR. A sua repartição é a seguinte: 3 700 000 000 EUR para a Comissão e 300 000 000 EUR para o BEI.</w:t>
      </w:r>
    </w:p>
    <w:p>
      <w:pPr>
        <w:pStyle w:val="Titrearticle"/>
        <w:keepNext w:val="0"/>
        <w:rPr>
          <w:noProof/>
        </w:rPr>
      </w:pPr>
      <w:r>
        <w:rPr>
          <w:noProof/>
        </w:rPr>
        <w:t>Artigo 3.º</w:t>
      </w:r>
    </w:p>
    <w:p>
      <w:pPr>
        <w:keepNext/>
        <w:keepLines/>
        <w:rPr>
          <w:rFonts w:eastAsia="Calibri"/>
          <w:noProof/>
        </w:rPr>
      </w:pPr>
      <w:r>
        <w:rPr>
          <w:noProof/>
        </w:rPr>
        <w:t>As contribuições para o Fundo Europeu de Desenvolvimento a pagar por cada Estado-Membro à Comissão Europeia e ao Banco Europeu de Investimento a título da primeira parcela de 2021 são indicadas no quadro constante do anexo da presente decisão.</w:t>
      </w:r>
    </w:p>
    <w:p>
      <w:pPr>
        <w:spacing w:before="360"/>
        <w:jc w:val="center"/>
        <w:rPr>
          <w:rFonts w:eastAsia="Calibri"/>
          <w:i/>
          <w:noProof/>
        </w:rPr>
      </w:pPr>
      <w:r>
        <w:rPr>
          <w:i/>
          <w:noProof/>
        </w:rPr>
        <w:t>Artigo 4.º</w:t>
      </w:r>
    </w:p>
    <w:p>
      <w:pPr>
        <w:keepNext/>
        <w:keepLines/>
        <w:rPr>
          <w:rFonts w:eastAsia="Calibri"/>
          <w:noProof/>
        </w:rPr>
      </w:pPr>
      <w:r>
        <w:rPr>
          <w:noProof/>
        </w:rPr>
        <w:t>Um montante de 223 000 000 EUR proveniente de fundos não autorizados ou anulados de projetos no âmbito do 8.º e do 9.º FED será reembolsado mediante uma redução do pagamento relativo à primeira parcela de 2021 e indicado no artigo 3.º da presente decisão.</w:t>
      </w:r>
    </w:p>
    <w:p>
      <w:pPr>
        <w:spacing w:before="360"/>
        <w:jc w:val="center"/>
        <w:rPr>
          <w:rFonts w:eastAsia="Calibri"/>
          <w:i/>
          <w:noProof/>
        </w:rPr>
      </w:pPr>
      <w:r>
        <w:rPr>
          <w:i/>
          <w:noProof/>
        </w:rPr>
        <w:t>Artigo 5.º</w:t>
      </w:r>
    </w:p>
    <w:p>
      <w:pPr>
        <w:keepLines/>
        <w:rPr>
          <w:noProof/>
        </w:rPr>
      </w:pPr>
      <w:r>
        <w:rPr>
          <w:noProof/>
        </w:rPr>
        <w:t>A previsão indicativa e não vinculativa do montante anual esperado das contribuições para 2023 é fixada em 1 800 000 000 EUR para a Comissão e 300 000 000 EUR para o BEI; e, para 2024, em 1 500 000 000 EUR para a Comissão e 200 000 000 EUR para o BEI.</w:t>
      </w:r>
    </w:p>
    <w:p>
      <w:pPr>
        <w:pStyle w:val="Titrearticle"/>
        <w:rPr>
          <w:noProof/>
        </w:rPr>
      </w:pPr>
      <w:r>
        <w:rPr>
          <w:noProof/>
        </w:rPr>
        <w:lastRenderedPageBreak/>
        <w:t>Artigo 6.º</w:t>
      </w:r>
    </w:p>
    <w:p>
      <w:pPr>
        <w:rPr>
          <w:noProof/>
        </w:rPr>
      </w:pPr>
      <w:r>
        <w:rPr>
          <w:noProof/>
        </w:rPr>
        <w:t>A presente decisão entra em vigor na data da sua adoção.</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317 de 15.12.2000, p. 3</w:t>
      </w:r>
    </w:p>
  </w:footnote>
  <w:footnote w:id="2">
    <w:p>
      <w:pPr>
        <w:pStyle w:val="FootnoteText"/>
      </w:pPr>
      <w:r>
        <w:rPr>
          <w:rStyle w:val="FootnoteReference"/>
        </w:rPr>
        <w:footnoteRef/>
      </w:r>
      <w:r>
        <w:tab/>
        <w:t>JO L 210 de 6.8.2013, p. 1</w:t>
      </w:r>
    </w:p>
  </w:footnote>
  <w:footnote w:id="3">
    <w:p>
      <w:pPr>
        <w:pStyle w:val="FootnoteText"/>
      </w:pPr>
      <w:r>
        <w:rPr>
          <w:rStyle w:val="FootnoteReference"/>
        </w:rPr>
        <w:footnoteRef/>
      </w:r>
      <w:r>
        <w:tab/>
        <w:t>JO L 307 de 3.12.2018, p. 1</w:t>
      </w:r>
    </w:p>
  </w:footnote>
  <w:footnote w:id="4">
    <w:p>
      <w:pPr>
        <w:pStyle w:val="FootnoteText"/>
      </w:pPr>
      <w:r>
        <w:rPr>
          <w:rStyle w:val="FootnoteReference"/>
        </w:rPr>
        <w:footnoteRef/>
      </w:r>
      <w:r>
        <w:tab/>
        <w:t>JO L 210 de 6.8.2013, p. 1</w:t>
      </w:r>
    </w:p>
  </w:footnote>
  <w:footnote w:id="5">
    <w:p>
      <w:pPr>
        <w:pStyle w:val="FootnoteText"/>
      </w:pPr>
      <w:r>
        <w:rPr>
          <w:rStyle w:val="FootnoteReference"/>
        </w:rPr>
        <w:footnoteRef/>
      </w:r>
      <w:r>
        <w:tab/>
        <w:t>JO L 307 de 3.12.2018, p. 7</w:t>
      </w:r>
    </w:p>
  </w:footnote>
  <w:footnote w:id="6">
    <w:p>
      <w:pPr>
        <w:pStyle w:val="FootnoteText"/>
      </w:pPr>
      <w:r>
        <w:rPr>
          <w:rStyle w:val="FootnoteReference"/>
        </w:rPr>
        <w:footnoteRef/>
      </w:r>
      <w:r>
        <w:tab/>
        <w:t>JO C 384 de 12.11.2019</w:t>
      </w:r>
    </w:p>
  </w:footnote>
  <w:footnote w:id="7">
    <w:p>
      <w:pPr>
        <w:pStyle w:val="FootnoteText"/>
      </w:pPr>
      <w:r>
        <w:rPr>
          <w:rStyle w:val="FootnoteReference"/>
        </w:rPr>
        <w:footnoteRef/>
      </w:r>
      <w:r>
        <w:tab/>
        <w:t>JO L 274 de 24.10.2019, p.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6C8C91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05051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FED6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07094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00C1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E9070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F903D28"/>
    <w:lvl w:ilvl="0">
      <w:start w:val="1"/>
      <w:numFmt w:val="decimal"/>
      <w:pStyle w:val="ListNumber"/>
      <w:lvlText w:val="%1."/>
      <w:lvlJc w:val="left"/>
      <w:pPr>
        <w:tabs>
          <w:tab w:val="num" w:pos="360"/>
        </w:tabs>
        <w:ind w:left="360" w:hanging="360"/>
      </w:pPr>
    </w:lvl>
  </w:abstractNum>
  <w:abstractNum w:abstractNumId="7">
    <w:nsid w:val="FFFFFF89"/>
    <w:multiLevelType w:val="singleLevel"/>
    <w:tmpl w:val="9132D8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7 18:35: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3F052E6-BCE7-446B-B857-04D92565AF1B"/>
    <w:docVar w:name="LW_COVERPAGE_TYPE" w:val="1"/>
    <w:docVar w:name="LW_CROSSREFERENCE" w:val="&lt;UNUSED&gt;"/>
    <w:docVar w:name="LW_DocType" w:val="COM"/>
    <w:docVar w:name="LW_EMISSION" w:val="8.10.2020"/>
    <w:docVar w:name="LW_EMISSION_ISODATE" w:val="2020-10-08"/>
    <w:docVar w:name="LW_EMISSION_LOCATION" w:val="BRX"/>
    <w:docVar w:name="LW_EMISSION_PREFIX" w:val="Brux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286"/>
    <w:docVar w:name="LW_REF.II.NEW.CP_YEAR" w:val="2020"/>
    <w:docVar w:name="LW_REF.INST.NEW" w:val="COM"/>
    <w:docVar w:name="LW_REF.INST.NEW_ADOPTED" w:val="final"/>
    <w:docVar w:name="LW_REF.INST.NEW_TEXT" w:val="(2020) 6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relativa às contribuições financeiras a pagar pelos Estados-Membros para financiar o Fundo Europeu de Desenvolvimento, incluindo o limite máximo para 2022, o montante anual para 2021, a primeira parcela para 2021 e uma previsão indicativa e não vinculativa dos montantes anuais esperados das contribuições para os anos 2023 e 2024"/>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BA07B-63EC-48C8-A07C-E5B4E699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1405</Words>
  <Characters>7153</Characters>
  <Application>Microsoft Office Word</Application>
  <DocSecurity>0</DocSecurity>
  <Lines>132</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2020-10-01T12:24:00Z</dcterms:created>
  <dcterms:modified xsi:type="dcterms:W3CDTF">2020-10-07T16:35:00Z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