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0D41A82-CB74-4E98-B2E2-99965A6FCDEE" style="width:450.75pt;height:452.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BIJLAGE </w:t>
      </w:r>
    </w:p>
    <w:tbl>
      <w:tblPr>
        <w:tblW w:w="9747" w:type="dxa"/>
        <w:tblLayout w:type="fixed"/>
        <w:tblLook w:val="04A0" w:firstRow="1" w:lastRow="0" w:firstColumn="1" w:lastColumn="0" w:noHBand="0" w:noVBand="1"/>
      </w:tblPr>
      <w:tblGrid>
        <w:gridCol w:w="1792"/>
        <w:gridCol w:w="716"/>
        <w:gridCol w:w="720"/>
        <w:gridCol w:w="956"/>
        <w:gridCol w:w="1219"/>
        <w:gridCol w:w="236"/>
        <w:gridCol w:w="1415"/>
        <w:gridCol w:w="1276"/>
        <w:gridCol w:w="1417"/>
      </w:tblGrid>
      <w:tr>
        <w:trPr>
          <w:trHeight w:val="465"/>
        </w:trPr>
        <w:tc>
          <w:tcPr>
            <w:tcW w:w="1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spacing w:before="0" w:after="0"/>
              <w:jc w:val="left"/>
              <w:rPr>
                <w:rFonts w:eastAsia="Times New Roman"/>
                <w:b/>
                <w:bCs/>
                <w:noProof/>
                <w:sz w:val="16"/>
                <w:szCs w:val="16"/>
              </w:rPr>
            </w:pPr>
            <w:r>
              <w:rPr>
                <w:b/>
                <w:bCs/>
                <w:noProof/>
                <w:sz w:val="16"/>
                <w:szCs w:val="16"/>
              </w:rPr>
              <w:t>LIDSTATEN EN HET VERENIGD KONINKRIJK</w:t>
            </w:r>
          </w:p>
        </w:tc>
        <w:tc>
          <w:tcPr>
            <w:tcW w:w="71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Ver-deel-sleutel 8e/9e EOF (%)</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Ver-deel-sleutel 10e EOF (%)</w:t>
            </w:r>
          </w:p>
        </w:tc>
        <w:tc>
          <w:tcPr>
            <w:tcW w:w="95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Verdeel-sleutel 11e EOF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Eerste tranche 2021 (EUR)</w:t>
            </w:r>
          </w:p>
        </w:tc>
        <w:tc>
          <w:tcPr>
            <w:tcW w:w="236" w:type="dxa"/>
            <w:tcBorders>
              <w:top w:val="nil"/>
              <w:left w:val="nil"/>
              <w:bottom w:val="nil"/>
              <w:right w:val="nil"/>
            </w:tcBorders>
            <w:shd w:val="clear" w:color="auto" w:fill="auto"/>
            <w:noWrap/>
            <w:vAlign w:val="bottom"/>
            <w:hideMark/>
          </w:tcPr>
          <w:p>
            <w:pPr>
              <w:spacing w:before="0" w:after="0"/>
              <w:jc w:val="center"/>
              <w:rPr>
                <w:rFonts w:eastAsia="Times New Roman"/>
                <w:b/>
                <w:bCs/>
                <w:noProof/>
                <w:sz w:val="16"/>
                <w:szCs w:val="16"/>
              </w:rPr>
            </w:pPr>
          </w:p>
        </w:tc>
        <w:tc>
          <w:tcPr>
            <w:tcW w:w="41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eastAsia="Times New Roman"/>
                <w:b/>
                <w:bCs/>
                <w:noProof/>
                <w:sz w:val="16"/>
                <w:szCs w:val="16"/>
              </w:rPr>
            </w:pPr>
            <w:r>
              <w:rPr>
                <w:b/>
                <w:bCs/>
                <w:noProof/>
                <w:sz w:val="16"/>
                <w:szCs w:val="16"/>
              </w:rPr>
              <w:t>Eerste tranche 2021 (EUR)</w:t>
            </w:r>
          </w:p>
        </w:tc>
      </w:tr>
      <w:tr>
        <w:trPr>
          <w:trHeight w:val="420"/>
        </w:trPr>
        <w:tc>
          <w:tcPr>
            <w:tcW w:w="1792"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1219" w:type="dxa"/>
            <w:tcBorders>
              <w:top w:val="nil"/>
              <w:left w:val="nil"/>
              <w:bottom w:val="nil"/>
              <w:right w:val="single" w:sz="4" w:space="0" w:color="auto"/>
            </w:tcBorders>
            <w:shd w:val="clear" w:color="auto" w:fill="auto"/>
            <w:noWrap/>
            <w:vAlign w:val="bottom"/>
            <w:hideMark/>
          </w:tcPr>
          <w:p>
            <w:pPr>
              <w:spacing w:before="0" w:after="0"/>
              <w:jc w:val="center"/>
              <w:rPr>
                <w:rFonts w:eastAsia="Times New Roman"/>
                <w:b/>
                <w:bCs/>
                <w:noProof/>
                <w:sz w:val="16"/>
                <w:szCs w:val="16"/>
              </w:rPr>
            </w:pPr>
            <w:r>
              <w:rPr>
                <w:b/>
                <w:bCs/>
                <w:noProof/>
                <w:sz w:val="16"/>
                <w:szCs w:val="16"/>
              </w:rPr>
              <w:t>EIB</w:t>
            </w:r>
          </w:p>
        </w:tc>
        <w:tc>
          <w:tcPr>
            <w:tcW w:w="236" w:type="dxa"/>
            <w:tcBorders>
              <w:top w:val="nil"/>
              <w:left w:val="nil"/>
              <w:bottom w:val="nil"/>
              <w:right w:val="nil"/>
            </w:tcBorders>
            <w:shd w:val="clear" w:color="auto" w:fill="auto"/>
            <w:noWrap/>
            <w:vAlign w:val="bottom"/>
            <w:hideMark/>
          </w:tcPr>
          <w:p>
            <w:pPr>
              <w:spacing w:before="0" w:after="0"/>
              <w:jc w:val="center"/>
              <w:rPr>
                <w:rFonts w:eastAsia="Times New Roman"/>
                <w:b/>
                <w:bCs/>
                <w:noProof/>
                <w:sz w:val="16"/>
                <w:szCs w:val="16"/>
              </w:rPr>
            </w:pPr>
          </w:p>
        </w:tc>
        <w:tc>
          <w:tcPr>
            <w:tcW w:w="1415" w:type="dxa"/>
            <w:tcBorders>
              <w:top w:val="nil"/>
              <w:left w:val="single" w:sz="4" w:space="0" w:color="auto"/>
              <w:bottom w:val="nil"/>
              <w:right w:val="single" w:sz="4" w:space="0" w:color="auto"/>
            </w:tcBorders>
            <w:shd w:val="clear" w:color="auto" w:fill="auto"/>
            <w:noWrap/>
            <w:vAlign w:val="center"/>
            <w:hideMark/>
          </w:tcPr>
          <w:p>
            <w:pPr>
              <w:spacing w:before="0" w:after="0"/>
              <w:jc w:val="center"/>
              <w:rPr>
                <w:rFonts w:eastAsia="Times New Roman"/>
                <w:b/>
                <w:bCs/>
                <w:noProof/>
                <w:sz w:val="16"/>
                <w:szCs w:val="16"/>
              </w:rPr>
            </w:pPr>
            <w:r>
              <w:rPr>
                <w:b/>
                <w:bCs/>
                <w:noProof/>
                <w:sz w:val="16"/>
                <w:szCs w:val="16"/>
              </w:rPr>
              <w:t>Commissie</w:t>
            </w:r>
          </w:p>
        </w:tc>
        <w:tc>
          <w:tcPr>
            <w:tcW w:w="1276" w:type="dxa"/>
            <w:tcBorders>
              <w:top w:val="nil"/>
              <w:left w:val="nil"/>
              <w:bottom w:val="nil"/>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Commissie</w:t>
            </w:r>
          </w:p>
        </w:tc>
        <w:tc>
          <w:tcPr>
            <w:tcW w:w="1417" w:type="dxa"/>
            <w:tcBorders>
              <w:top w:val="nil"/>
              <w:left w:val="nil"/>
              <w:bottom w:val="nil"/>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 xml:space="preserve">Commissie </w:t>
            </w:r>
          </w:p>
        </w:tc>
      </w:tr>
      <w:tr>
        <w:trPr>
          <w:trHeight w:val="510"/>
        </w:trPr>
        <w:tc>
          <w:tcPr>
            <w:tcW w:w="1792"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1219" w:type="dxa"/>
            <w:tcBorders>
              <w:top w:val="nil"/>
              <w:left w:val="nil"/>
              <w:bottom w:val="single" w:sz="4" w:space="0" w:color="auto"/>
              <w:right w:val="single" w:sz="4" w:space="0" w:color="auto"/>
            </w:tcBorders>
            <w:shd w:val="clear" w:color="auto" w:fill="auto"/>
            <w:noWrap/>
            <w:vAlign w:val="center"/>
            <w:hideMark/>
          </w:tcPr>
          <w:p>
            <w:pPr>
              <w:spacing w:before="0" w:after="0"/>
              <w:jc w:val="center"/>
              <w:rPr>
                <w:rFonts w:eastAsia="Times New Roman"/>
                <w:b/>
                <w:bCs/>
                <w:noProof/>
                <w:sz w:val="16"/>
                <w:szCs w:val="16"/>
              </w:rPr>
            </w:pPr>
            <w:r>
              <w:rPr>
                <w:b/>
                <w:bCs/>
                <w:noProof/>
                <w:sz w:val="16"/>
                <w:szCs w:val="16"/>
              </w:rPr>
              <w:t>10e EOF</w:t>
            </w:r>
          </w:p>
        </w:tc>
        <w:tc>
          <w:tcPr>
            <w:tcW w:w="236" w:type="dxa"/>
            <w:tcBorders>
              <w:top w:val="nil"/>
              <w:left w:val="nil"/>
              <w:bottom w:val="nil"/>
              <w:right w:val="nil"/>
            </w:tcBorders>
            <w:shd w:val="clear" w:color="auto" w:fill="auto"/>
            <w:noWrap/>
            <w:vAlign w:val="bottom"/>
            <w:hideMark/>
          </w:tcPr>
          <w:p>
            <w:pPr>
              <w:spacing w:before="0" w:after="0"/>
              <w:jc w:val="center"/>
              <w:rPr>
                <w:rFonts w:eastAsia="Times New Roman"/>
                <w:b/>
                <w:bCs/>
                <w:noProof/>
                <w:sz w:val="16"/>
                <w:szCs w:val="16"/>
              </w:rPr>
            </w:pP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jc w:val="center"/>
              <w:rPr>
                <w:rFonts w:eastAsia="Times New Roman"/>
                <w:b/>
                <w:bCs/>
                <w:noProof/>
                <w:sz w:val="16"/>
                <w:szCs w:val="16"/>
              </w:rPr>
            </w:pPr>
            <w:r>
              <w:rPr>
                <w:b/>
                <w:bCs/>
                <w:noProof/>
                <w:sz w:val="16"/>
                <w:szCs w:val="16"/>
              </w:rPr>
              <w:t>11e EOF</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Terugbetaling 8e/9e EOF</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 xml:space="preserve">11e EOF min </w:t>
            </w:r>
            <w:r>
              <w:rPr>
                <w:noProof/>
              </w:rPr>
              <w:t xml:space="preserve"> </w:t>
            </w:r>
            <w:r>
              <w:rPr>
                <w:noProof/>
              </w:rPr>
              <w:br/>
            </w:r>
            <w:r>
              <w:rPr>
                <w:b/>
                <w:bCs/>
                <w:noProof/>
                <w:sz w:val="16"/>
                <w:szCs w:val="16"/>
              </w:rPr>
              <w:t>terugbetaling 8e/9e EOF</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BELGIË</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3,92</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3,53</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3,24927</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2 471 000,00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51 988 320,00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-8 741 600,00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43 246 720,00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BULGARIJE</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0,14</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0,21853</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98 000,00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3 496 480,00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3 496 480,00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TSJECHIË</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0,51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0,79745.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357 000,00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12 759 200,00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12 759 200,00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DENEMARKEN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2,14</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1,98045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1 400 000,00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31 687 200,00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-4 772 200,00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26 915 000,00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DUITSLAND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23,36</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20,50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20,57980</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14 350 000,00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329 276 800,00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-52 092 800,00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277 184 000,00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ESTLAND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0,08635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1 381 600,00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1 381 600,00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IERLAND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0,62</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0,94006</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637 000,00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15 040 960,00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-1 382 600,00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13 658 360,00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GRIEKENLAND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1,50735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1 029 000,00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24 117 600,00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-2 787 500,00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21 330 100,00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SPANJE</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5,84</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7,85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7,93248</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5 495 000,00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126 919 680,00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-13 023 200,00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113 896 480,00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FRANKRĲK</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24,30</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19,55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17,81269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13 685 000,00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285 003 040,00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-54 189 000,00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230 814 040,00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KROATIË</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0,22518</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3 602 880,00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3 602 880,00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ITALIË</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12,54</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12,86</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12,53009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9 002 000,00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200 481 440,00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-27 964 200,00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172 517 240,00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CΥΡRUS</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0,09</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0,11162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63 000,00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1 785 920,00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1 785 920,00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LETLAND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0,11612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1 857 920,00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1 857 920,00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LITOUWEN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0,12</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0,18077</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84 000,00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2 892 320,00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2 892 320,00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LUXEMBURG</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0,29</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0,25509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189 000,00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4 081 440,00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-646 700,00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3 434 740,00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HONGARIJE</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0,55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0,61456</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385 000,00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9 832 960,00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9 832 960,00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MALTA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0,03</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0,03801</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21 000,00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608 160,00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608 160,00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NEDERLAND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5,22</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4,85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4,77678</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3 395 000,00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76 428 480,00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-11 640 600,00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64 787 880,00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OOSTENRIJK</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2,65</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2,41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2,39757</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1 687 000,00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38 361 120,00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-5 909 500,00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32 451 620,00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POLEN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1,30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2,00734</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910 000,00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32 117 440,00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32 117 440,00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PORTUGAL</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0,97</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1,15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1,19679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805 000,00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19 148 640,00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-2 163 100,00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16 985 540,00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ROEMENIË</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0,37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0,71815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259 000,00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11 490 400,00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11 490 400,00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SLOVENIË</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0,18</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0,22452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126 000,00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3 592 320,00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3 592 320,00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SLOWAKIJE</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0,37616</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147 000,00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6 018 560,00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6 018 560,00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FINLAND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1,48</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1,50909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1 029 000,00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24 145 440,00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-3 300 400,00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20 845 040,00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ZWEDEN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2,73</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2,74</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2,93911</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1 918 000,00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47 025 760,00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-6 087 900,00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40 937 860,00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VERENIGD KONINKRIJK</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12,69</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14,82</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14,67862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10 374 000,00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234 857 920,00</w:t>
            </w:r>
          </w:p>
        </w:tc>
        <w:tc>
          <w:tcPr>
            <w:tcW w:w="1276"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-28 298 700,00</w:t>
            </w:r>
          </w:p>
        </w:tc>
        <w:tc>
          <w:tcPr>
            <w:tcW w:w="141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206 559 220,00</w:t>
            </w:r>
          </w:p>
        </w:tc>
      </w:tr>
      <w:tr>
        <w:trPr>
          <w:trHeight w:val="283"/>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TOTAAL EU-27 EN HET VERENIGD KONINKRIJK</w:t>
            </w:r>
          </w:p>
        </w:tc>
        <w:tc>
          <w:tcPr>
            <w:tcW w:w="716"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720"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956"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70 000 000,00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0" w:after="0"/>
              <w:jc w:val="center"/>
              <w:rPr>
                <w:rFonts w:eastAsia="Times New Roman"/>
                <w:b/>
                <w:bCs/>
                <w:noProof/>
                <w:sz w:val="14"/>
                <w:szCs w:val="14"/>
              </w:rPr>
            </w:pPr>
            <w:r>
              <w:rPr>
                <w:b/>
                <w:bCs/>
                <w:noProof/>
                <w:sz w:val="14"/>
                <w:szCs w:val="14"/>
              </w:rPr>
              <w:t>1 600 000 000,00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-223 000 000,00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1 377 000 000,00</w:t>
            </w:r>
          </w:p>
        </w:tc>
      </w:tr>
    </w:tbl>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26DE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1AAD9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7483D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4AB1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BEB0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ACF9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32853E"/>
    <w:lvl w:ilvl="0">
      <w:start w:val="1"/>
      <w:numFmt w:val="decimal"/>
      <w:pStyle w:val="ListNumber"/>
      <w:lvlText w:val="%1."/>
      <w:lvlJc w:val="left"/>
      <w:pPr>
        <w:tabs>
          <w:tab w:val="num" w:pos="360"/>
        </w:tabs>
        <w:ind w:left="360" w:hanging="360"/>
      </w:pPr>
    </w:lvl>
  </w:abstractNum>
  <w:abstractNum w:abstractNumId="7">
    <w:nsid w:val="FFFFFF89"/>
    <w:multiLevelType w:val="singleLevel"/>
    <w:tmpl w:val="D832A7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7 18:36: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bij het"/>
    <w:docVar w:name="LW_ACCOMPAGNANT.CP" w:val="bij het"/>
    <w:docVar w:name="LW_ANNEX_NBR_FIRST" w:val="1"/>
    <w:docVar w:name="LW_ANNEX_NBR_LAST" w:val="1"/>
    <w:docVar w:name="LW_ANNEX_UNIQUE" w:val="1"/>
    <w:docVar w:name="LW_CORRIGENDUM" w:val="&lt;UNUSED&gt;"/>
    <w:docVar w:name="LW_COVERPAGE_EXISTS" w:val="True"/>
    <w:docVar w:name="LW_COVERPAGE_GUID" w:val="C0D41A82-CB74-4E98-B2E2-99965A6FCDEE"/>
    <w:docVar w:name="LW_COVERPAGE_TYPE" w:val="1"/>
    <w:docVar w:name="LW_CROSSREFERENCE" w:val="&lt;UNUSED&gt;"/>
    <w:docVar w:name="LW_DocType" w:val="ANNEX"/>
    <w:docVar w:name="LW_EMISSION" w:val="8.10.2020"/>
    <w:docVar w:name="LW_EMISSION_ISODATE" w:val="2020-10-08"/>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de financiële bijdragen van de lidstaten aan het Europees Ontwikkelingsfonds, inclusief het maximum voor 2022, het jaarlijkse bedrag voor 2021, de eerste tranche voor 2021 en een indicatieve en niet-bindende prognose voor de verwachte jaarlijkse bedragen van de bijdragen voor de jaren 2023 en 2024"/>
    <w:docVar w:name="LW_OBJETACTEPRINCIPAL.CP" w:val="betreffende de financiële bijdragen van de lidstaten aan het Europees Ontwikkelingsfonds, inclusief het maximum voor 2022, het jaarlijkse bedrag voor 2021, de eerste tranche voor 2021 en een indicatieve en niet-bindende prognose voor de verwachte jaarlijkse bedragen van de bijdragen voor de jaren 2023 en 2024"/>
    <w:docVar w:name="LW_PART_NBR" w:val="1"/>
    <w:docVar w:name="LW_PART_NBR_TOTAL" w:val="1"/>
    <w:docVar w:name="LW_REF.INST.NEW" w:val="COM"/>
    <w:docVar w:name="LW_REF.INST.NEW_ADOPTED" w:val="final"/>
    <w:docVar w:name="LW_REF.INST.NEW_TEXT" w:val="(2020) 6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_x000b_BESLUIT VAN DE RAAD_x000b__x000b_"/>
    <w:docVar w:name="LW_TYPEACTEPRINCIPAL.CP" w:val="voorstel voor een_x000b_BESLUIT VAN DE RAAD_x000b_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430">
      <w:bodyDiv w:val="1"/>
      <w:marLeft w:val="0"/>
      <w:marRight w:val="0"/>
      <w:marTop w:val="0"/>
      <w:marBottom w:val="0"/>
      <w:divBdr>
        <w:top w:val="none" w:sz="0" w:space="0" w:color="auto"/>
        <w:left w:val="none" w:sz="0" w:space="0" w:color="auto"/>
        <w:bottom w:val="none" w:sz="0" w:space="0" w:color="auto"/>
        <w:right w:val="none" w:sz="0" w:space="0" w:color="auto"/>
      </w:divBdr>
    </w:div>
    <w:div w:id="14309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2</Pages>
  <Words>475</Words>
  <Characters>2126</Characters>
  <Application>Microsoft Office Word</Application>
  <DocSecurity>0</DocSecurity>
  <Lines>354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STUKAITE Daniele (DEVCO)</dc:creator>
  <cp:keywords/>
  <dc:description/>
  <cp:lastModifiedBy>WES PDFC Administrator</cp:lastModifiedBy>
  <cp:revision>9</cp:revision>
  <dcterms:created xsi:type="dcterms:W3CDTF">2020-09-29T13:36:00Z</dcterms:created>
  <dcterms:modified xsi:type="dcterms:W3CDTF">2020-10-07T16:36:00Z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