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E51329F-7569-437A-890D-3555E02EA211" style="width:450.4pt;height:438.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ALLEGATO </w:t>
      </w:r>
    </w:p>
    <w:tbl>
      <w:tblPr>
        <w:tblW w:w="9300" w:type="dxa"/>
        <w:tblLayout w:type="fixed"/>
        <w:tblLook w:val="04A0" w:firstRow="1" w:lastRow="0" w:firstColumn="1" w:lastColumn="0" w:noHBand="0" w:noVBand="1"/>
      </w:tblPr>
      <w:tblGrid>
        <w:gridCol w:w="1792"/>
        <w:gridCol w:w="716"/>
        <w:gridCol w:w="720"/>
        <w:gridCol w:w="956"/>
        <w:gridCol w:w="1219"/>
        <w:gridCol w:w="236"/>
        <w:gridCol w:w="1211"/>
        <w:gridCol w:w="1213"/>
        <w:gridCol w:w="1237"/>
      </w:tblGrid>
      <w:tr>
        <w:trPr>
          <w:trHeight w:val="465"/>
        </w:trPr>
        <w:tc>
          <w:tcPr>
            <w:tcW w:w="1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spacing w:before="0" w:after="0"/>
              <w:jc w:val="left"/>
              <w:rPr>
                <w:rFonts w:eastAsia="Times New Roman"/>
                <w:b/>
                <w:bCs/>
                <w:noProof/>
                <w:sz w:val="16"/>
                <w:szCs w:val="16"/>
              </w:rPr>
            </w:pPr>
            <w:r>
              <w:rPr>
                <w:b/>
                <w:bCs/>
                <w:noProof/>
                <w:sz w:val="16"/>
                <w:szCs w:val="16"/>
              </w:rPr>
              <w:t>STATI MEMBRI e REGNO UNITO</w:t>
            </w:r>
          </w:p>
        </w:tc>
        <w:tc>
          <w:tcPr>
            <w:tcW w:w="71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Ripartizione 8°/9° FES %</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Ripartizione 10° FES %</w:t>
            </w:r>
          </w:p>
        </w:tc>
        <w:tc>
          <w:tcPr>
            <w:tcW w:w="95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pPr>
              <w:spacing w:before="0" w:after="0"/>
              <w:jc w:val="center"/>
              <w:rPr>
                <w:rFonts w:eastAsia="Times New Roman"/>
                <w:b/>
                <w:bCs/>
                <w:noProof/>
                <w:sz w:val="16"/>
                <w:szCs w:val="16"/>
              </w:rPr>
            </w:pPr>
            <w:r>
              <w:rPr>
                <w:b/>
                <w:bCs/>
                <w:noProof/>
                <w:sz w:val="16"/>
                <w:szCs w:val="16"/>
              </w:rPr>
              <w:t>Ripartizione 11° FES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Prima frazione 2021 (in EUR)</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366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eastAsia="Times New Roman"/>
                <w:b/>
                <w:bCs/>
                <w:noProof/>
                <w:sz w:val="16"/>
                <w:szCs w:val="16"/>
              </w:rPr>
            </w:pPr>
            <w:r>
              <w:rPr>
                <w:b/>
                <w:bCs/>
                <w:noProof/>
                <w:sz w:val="16"/>
                <w:szCs w:val="16"/>
              </w:rPr>
              <w:t>Prima frazione 2021 (in EUR)</w:t>
            </w:r>
          </w:p>
        </w:tc>
      </w:tr>
      <w:tr>
        <w:trPr>
          <w:trHeight w:val="420"/>
        </w:trPr>
        <w:tc>
          <w:tcPr>
            <w:tcW w:w="179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219" w:type="dxa"/>
            <w:tcBorders>
              <w:top w:val="nil"/>
              <w:left w:val="nil"/>
              <w:bottom w:val="nil"/>
              <w:right w:val="single" w:sz="4" w:space="0" w:color="auto"/>
            </w:tcBorders>
            <w:shd w:val="clear" w:color="auto" w:fill="auto"/>
            <w:noWrap/>
            <w:vAlign w:val="bottom"/>
            <w:hideMark/>
          </w:tcPr>
          <w:p>
            <w:pPr>
              <w:spacing w:before="0" w:after="0"/>
              <w:jc w:val="center"/>
              <w:rPr>
                <w:rFonts w:eastAsia="Times New Roman"/>
                <w:b/>
                <w:bCs/>
                <w:noProof/>
                <w:sz w:val="16"/>
                <w:szCs w:val="16"/>
              </w:rPr>
            </w:pPr>
            <w:r>
              <w:rPr>
                <w:b/>
                <w:bCs/>
                <w:noProof/>
                <w:sz w:val="16"/>
                <w:szCs w:val="16"/>
              </w:rPr>
              <w:t>BEI</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1211" w:type="dxa"/>
            <w:tcBorders>
              <w:top w:val="nil"/>
              <w:left w:val="single" w:sz="4" w:space="0" w:color="auto"/>
              <w:bottom w:val="nil"/>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Commissione</w:t>
            </w:r>
          </w:p>
        </w:tc>
        <w:tc>
          <w:tcPr>
            <w:tcW w:w="1213" w:type="dxa"/>
            <w:tcBorders>
              <w:top w:val="nil"/>
              <w:left w:val="nil"/>
              <w:bottom w:val="nil"/>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Commissione</w:t>
            </w:r>
          </w:p>
        </w:tc>
        <w:tc>
          <w:tcPr>
            <w:tcW w:w="1237" w:type="dxa"/>
            <w:tcBorders>
              <w:top w:val="nil"/>
              <w:left w:val="nil"/>
              <w:bottom w:val="nil"/>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 xml:space="preserve">Commissione </w:t>
            </w:r>
          </w:p>
        </w:tc>
      </w:tr>
      <w:tr>
        <w:trPr>
          <w:trHeight w:val="510"/>
        </w:trPr>
        <w:tc>
          <w:tcPr>
            <w:tcW w:w="1792"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pPr>
              <w:spacing w:before="0" w:after="0"/>
              <w:jc w:val="left"/>
              <w:rPr>
                <w:rFonts w:eastAsia="Times New Roman"/>
                <w:b/>
                <w:bCs/>
                <w:noProof/>
                <w:sz w:val="16"/>
                <w:szCs w:val="16"/>
              </w:rPr>
            </w:pPr>
          </w:p>
        </w:tc>
        <w:tc>
          <w:tcPr>
            <w:tcW w:w="1219" w:type="dxa"/>
            <w:tcBorders>
              <w:top w:val="nil"/>
              <w:left w:val="nil"/>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10° FES</w:t>
            </w:r>
          </w:p>
        </w:tc>
        <w:tc>
          <w:tcPr>
            <w:tcW w:w="236" w:type="dxa"/>
            <w:tcBorders>
              <w:top w:val="nil"/>
              <w:left w:val="nil"/>
              <w:bottom w:val="nil"/>
              <w:right w:val="nil"/>
            </w:tcBorders>
            <w:shd w:val="clear" w:color="auto" w:fill="auto"/>
            <w:noWrap/>
            <w:vAlign w:val="bottom"/>
            <w:hideMark/>
          </w:tcPr>
          <w:p>
            <w:pPr>
              <w:spacing w:before="0" w:after="0"/>
              <w:jc w:val="center"/>
              <w:rPr>
                <w:rFonts w:eastAsia="Times New Roman"/>
                <w:b/>
                <w:bCs/>
                <w:noProof/>
                <w:sz w:val="16"/>
                <w:szCs w:val="16"/>
              </w:rPr>
            </w:pP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pPr>
              <w:spacing w:before="0" w:after="0"/>
              <w:jc w:val="center"/>
              <w:rPr>
                <w:rFonts w:eastAsia="Times New Roman"/>
                <w:b/>
                <w:bCs/>
                <w:noProof/>
                <w:sz w:val="16"/>
                <w:szCs w:val="16"/>
              </w:rPr>
            </w:pPr>
            <w:r>
              <w:rPr>
                <w:b/>
                <w:bCs/>
                <w:noProof/>
                <w:sz w:val="16"/>
                <w:szCs w:val="16"/>
              </w:rPr>
              <w:t>11° FES</w:t>
            </w:r>
          </w:p>
        </w:tc>
        <w:tc>
          <w:tcPr>
            <w:tcW w:w="1213"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Rimborso 8°/9° FES</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eastAsia="Times New Roman"/>
                <w:b/>
                <w:bCs/>
                <w:noProof/>
                <w:sz w:val="16"/>
                <w:szCs w:val="16"/>
              </w:rPr>
            </w:pPr>
            <w:r>
              <w:rPr>
                <w:b/>
                <w:bCs/>
                <w:noProof/>
                <w:sz w:val="16"/>
                <w:szCs w:val="16"/>
              </w:rPr>
              <w:t>11° FES meno</w:t>
            </w:r>
            <w:r>
              <w:rPr>
                <w:noProof/>
              </w:rPr>
              <w:br/>
            </w:r>
            <w:r>
              <w:rPr>
                <w:b/>
                <w:bCs/>
                <w:noProof/>
                <w:sz w:val="16"/>
                <w:szCs w:val="16"/>
              </w:rPr>
              <w:t>rimborso 8°/9° FES</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BELGIO</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3,92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3,53</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3,24927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2 471 000,00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51 988 320,00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-8 741 600,00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43 246 720,00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BULGARIA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0,14</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0,21853</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98 000,00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3 496 480,00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3 496 480,00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CECHIA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0,79745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357 000,00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12 759 200,00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12 759 200,00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DANIMARCA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2,14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1,98045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1 400 000,00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31 687 200,00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-4 772 200,00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26 915 000,00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GERMANIA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23,36</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20,57980</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14 350 000,00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329 276 800,00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-52 092 800,00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277 184 000,00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ESTONIA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0,08635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1 381 600,00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1 381 600,00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IRLANDA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0,94006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637 000,00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15 040 960,00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-1 382 600,00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13 658 360,00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GRECIA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1,50735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1 029 000,00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24 117 600,00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-2 787 500,00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21 330 100,00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SPAGNA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5,84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7,85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7,93248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5 495 000,00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126 919 680,00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-13 023 200,00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113 896 480,00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FRANCIA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24,30</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19,55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17,81269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13 685 000,00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285 003 040,00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-54 189 000,00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230 814 040,00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CROAZIA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0,22518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3 602 880,00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3 602 880,00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ITALIA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12,54</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12,86</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12,53009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9 002 000,00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200 481 440,00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-27 964 200,00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172 517 240,00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CIPRO</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0,09</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0,11162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63 000,00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1 785 920,00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1 785 920,00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LETTONIA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0,11612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1 857 920,00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1 857 920,00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LITUANIA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0,12</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0,18077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84 000,00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2 892 320,00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2 892 320,00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LUSSEMBURGO</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0,29</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0,25509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189 000,00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4 081 440,00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-646 700,00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3 434 740,00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UNGHERIA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0,55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0,61456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385 000,00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9 832 960,00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9 832 960,00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MALTA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0,03801</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21 000,00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608 160,00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608 160,00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PAESI BASSI</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5,22</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4,85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4,77678</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3 395 000,00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76 428 480,00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-11 640 600,00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64 787 880,00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AUSTRIA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2,65</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2,41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2,39757</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1 687 000,00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38 361 120,00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-5 909 500,00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32 451 620,00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POLONIA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1,30</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2,00734</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910 000,00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32 117 440,00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32 117 440,00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PORTOGALLO</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0,97</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1,15</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1,19679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805 000,00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19 148 640,00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-2 163 100,00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16 985 540,00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ROMANIA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0,71815</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259 000,00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11 490 400,00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11 490 400,00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SLOVENIA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0,18</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0,22452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126 000,00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3 592 320,00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3 592 320,00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SLOVACCHIA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 xml:space="preserve"> </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0,21</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0,37616</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147 000,00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6 018 560,00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6 018 560,00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FINLANDIA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1,47</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1,50909</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1 029 000,00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24 145 440,00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-3 300 400,00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20 845 040,00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SVEZIA</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2,73</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2,74</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2,93911</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1 918 000,00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47 025 760,00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-6 087 900,00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40 937 860,00</w:t>
            </w:r>
          </w:p>
        </w:tc>
      </w:tr>
      <w:tr>
        <w:trPr>
          <w:trHeight w:val="260"/>
        </w:trPr>
        <w:tc>
          <w:tcPr>
            <w:tcW w:w="1792" w:type="dxa"/>
            <w:tcBorders>
              <w:top w:val="nil"/>
              <w:left w:val="single" w:sz="4" w:space="0" w:color="auto"/>
              <w:bottom w:val="nil"/>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REGNO UNITO</w:t>
            </w:r>
          </w:p>
        </w:tc>
        <w:tc>
          <w:tcPr>
            <w:tcW w:w="71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12,69</w:t>
            </w:r>
          </w:p>
        </w:tc>
        <w:tc>
          <w:tcPr>
            <w:tcW w:w="720"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14,82</w:t>
            </w:r>
          </w:p>
        </w:tc>
        <w:tc>
          <w:tcPr>
            <w:tcW w:w="956" w:type="dxa"/>
            <w:tcBorders>
              <w:top w:val="nil"/>
              <w:left w:val="nil"/>
              <w:bottom w:val="nil"/>
              <w:right w:val="single" w:sz="4" w:space="0" w:color="auto"/>
            </w:tcBorders>
            <w:shd w:val="clear" w:color="000000" w:fill="C0C0C0"/>
            <w:noWrap/>
            <w:vAlign w:val="center"/>
            <w:hideMark/>
          </w:tcPr>
          <w:p>
            <w:pPr>
              <w:spacing w:before="0" w:after="0"/>
              <w:ind w:firstLineChars="100" w:firstLine="140"/>
              <w:jc w:val="right"/>
              <w:rPr>
                <w:rFonts w:eastAsia="Times New Roman"/>
                <w:noProof/>
                <w:sz w:val="14"/>
                <w:szCs w:val="14"/>
              </w:rPr>
            </w:pPr>
            <w:r>
              <w:rPr>
                <w:noProof/>
                <w:sz w:val="14"/>
                <w:szCs w:val="14"/>
              </w:rPr>
              <w:t>14,67862</w:t>
            </w:r>
          </w:p>
        </w:tc>
        <w:tc>
          <w:tcPr>
            <w:tcW w:w="1219"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10 374 000,00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nil"/>
              <w:left w:val="single" w:sz="4" w:space="0" w:color="auto"/>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234 857 920,00</w:t>
            </w:r>
          </w:p>
        </w:tc>
        <w:tc>
          <w:tcPr>
            <w:tcW w:w="1213"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noProof/>
                <w:sz w:val="14"/>
                <w:szCs w:val="14"/>
              </w:rPr>
            </w:pPr>
            <w:r>
              <w:rPr>
                <w:noProof/>
                <w:sz w:val="14"/>
                <w:szCs w:val="14"/>
              </w:rPr>
              <w:t>-28 298 700,00</w:t>
            </w:r>
          </w:p>
        </w:tc>
        <w:tc>
          <w:tcPr>
            <w:tcW w:w="1237" w:type="dxa"/>
            <w:tcBorders>
              <w:top w:val="nil"/>
              <w:left w:val="nil"/>
              <w:bottom w:val="nil"/>
              <w:right w:val="single" w:sz="4" w:space="0" w:color="auto"/>
            </w:tcBorders>
            <w:shd w:val="clear" w:color="auto" w:fill="auto"/>
            <w:noWrap/>
            <w:vAlign w:val="bottom"/>
            <w:hideMark/>
          </w:tcPr>
          <w:p>
            <w:pPr>
              <w:spacing w:before="0" w:after="0"/>
              <w:jc w:val="right"/>
              <w:rPr>
                <w:rFonts w:eastAsia="Times New Roman"/>
                <w:b/>
                <w:bCs/>
                <w:noProof/>
                <w:sz w:val="14"/>
                <w:szCs w:val="14"/>
              </w:rPr>
            </w:pPr>
            <w:r>
              <w:rPr>
                <w:b/>
                <w:bCs/>
                <w:noProof/>
                <w:sz w:val="14"/>
                <w:szCs w:val="14"/>
              </w:rPr>
              <w:t>206 559 220,00</w:t>
            </w:r>
          </w:p>
        </w:tc>
      </w:tr>
      <w:tr>
        <w:trPr>
          <w:trHeight w:val="283"/>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left"/>
              <w:rPr>
                <w:rFonts w:eastAsia="Times New Roman"/>
                <w:b/>
                <w:bCs/>
                <w:noProof/>
                <w:sz w:val="16"/>
                <w:szCs w:val="16"/>
              </w:rPr>
            </w:pPr>
            <w:r>
              <w:rPr>
                <w:b/>
                <w:bCs/>
                <w:noProof/>
                <w:sz w:val="16"/>
                <w:szCs w:val="16"/>
              </w:rPr>
              <w:t>TOTALE UE-27 e REGNO UNITO</w:t>
            </w:r>
          </w:p>
        </w:tc>
        <w:tc>
          <w:tcPr>
            <w:tcW w:w="716"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720"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956" w:type="dxa"/>
            <w:tcBorders>
              <w:top w:val="single" w:sz="4" w:space="0" w:color="auto"/>
              <w:left w:val="nil"/>
              <w:bottom w:val="single" w:sz="4" w:space="0" w:color="auto"/>
              <w:right w:val="single" w:sz="4" w:space="0" w:color="auto"/>
            </w:tcBorders>
            <w:shd w:val="clear" w:color="000000" w:fill="C0C0C0"/>
            <w:noWrap/>
            <w:vAlign w:val="center"/>
            <w:hideMark/>
          </w:tcPr>
          <w:p>
            <w:pPr>
              <w:spacing w:before="0" w:after="0"/>
              <w:jc w:val="center"/>
              <w:rPr>
                <w:rFonts w:eastAsia="Times New Roman"/>
                <w:b/>
                <w:bCs/>
                <w:noProof/>
                <w:sz w:val="14"/>
                <w:szCs w:val="14"/>
              </w:rPr>
            </w:pPr>
            <w:r>
              <w:rPr>
                <w:b/>
                <w:bCs/>
                <w:noProof/>
                <w:sz w:val="14"/>
                <w:szCs w:val="14"/>
              </w:rPr>
              <w:t>100,00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70 000 000,00</w:t>
            </w:r>
          </w:p>
        </w:tc>
        <w:tc>
          <w:tcPr>
            <w:tcW w:w="236" w:type="dxa"/>
            <w:tcBorders>
              <w:top w:val="nil"/>
              <w:left w:val="nil"/>
              <w:bottom w:val="nil"/>
              <w:right w:val="nil"/>
            </w:tcBorders>
            <w:shd w:val="clear" w:color="auto" w:fill="auto"/>
            <w:noWrap/>
            <w:vAlign w:val="bottom"/>
            <w:hideMark/>
          </w:tcPr>
          <w:p>
            <w:pPr>
              <w:spacing w:before="0" w:after="0"/>
              <w:jc w:val="right"/>
              <w:rPr>
                <w:rFonts w:eastAsia="Times New Roman"/>
                <w:b/>
                <w:bCs/>
                <w:noProof/>
                <w:sz w:val="14"/>
                <w:szCs w:val="14"/>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1 600 000 000,00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-223 000 000,00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pPr>
              <w:spacing w:before="0" w:after="0"/>
              <w:jc w:val="right"/>
              <w:rPr>
                <w:rFonts w:eastAsia="Times New Roman"/>
                <w:b/>
                <w:bCs/>
                <w:noProof/>
                <w:sz w:val="14"/>
                <w:szCs w:val="14"/>
              </w:rPr>
            </w:pPr>
            <w:r>
              <w:rPr>
                <w:b/>
                <w:bCs/>
                <w:noProof/>
                <w:sz w:val="14"/>
                <w:szCs w:val="14"/>
              </w:rPr>
              <w:t>1 377 000 000,00</w:t>
            </w:r>
          </w:p>
        </w:tc>
      </w:tr>
    </w:tbl>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26DE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1AAD9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7483D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4AB13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BEB0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ACF9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32853E"/>
    <w:lvl w:ilvl="0">
      <w:start w:val="1"/>
      <w:numFmt w:val="decimal"/>
      <w:pStyle w:val="ListNumber"/>
      <w:lvlText w:val="%1."/>
      <w:lvlJc w:val="left"/>
      <w:pPr>
        <w:tabs>
          <w:tab w:val="num" w:pos="360"/>
        </w:tabs>
        <w:ind w:left="360" w:hanging="360"/>
      </w:pPr>
    </w:lvl>
  </w:abstractNum>
  <w:abstractNum w:abstractNumId="7">
    <w:nsid w:val="FFFFFF89"/>
    <w:multiLevelType w:val="singleLevel"/>
    <w:tmpl w:val="D832A7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7 18:36: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EE51329F-7569-437A-890D-3555E02EA211"/>
    <w:docVar w:name="LW_COVERPAGE_TYPE" w:val="1"/>
    <w:docVar w:name="LW_CROSSREFERENCE" w:val="&lt;UNUSED&gt;"/>
    <w:docVar w:name="LW_DocType" w:val="ANNEX"/>
    <w:docVar w:name="LW_EMISSION" w:val="8.10.2020"/>
    <w:docVar w:name="LW_EMISSION_ISODATE" w:val="2020-10-08"/>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i contributi finanziari che gli Stati membri devono versare per finanziare il Fondo europeo di sviluppo, compresi il massimale per il 2022, l'importo annuo per il 2021, la prima frazione per il 2021 e una previsione indicativa non vincolante degli importi annui dei contributi per gli anni 2023 e 2024"/>
    <w:docVar w:name="LW_OBJETACTEPRINCIPAL.CP" w:val="relativa ai contributi finanziari che gli Stati membri devono versare per finanziare il Fondo europeo di sviluppo, compresi il massimale per il 2022, l'importo annuo per il 2021, la prima frazione per il 2021 e una previsione indicativa non vincolante degli importi annui dei contributi per gli anni 2023 e 2024"/>
    <w:docVar w:name="LW_PART_NBR" w:val="1"/>
    <w:docVar w:name="LW_PART_NBR_TOTAL" w:val="1"/>
    <w:docVar w:name="LW_REF.INST.NEW" w:val="COM"/>
    <w:docVar w:name="LW_REF.INST.NEW_ADOPTED" w:val="final"/>
    <w:docVar w:name="LW_REF.INST.NEW_TEXT" w:val="(2020) 6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LLEGATO"/>
    <w:docVar w:name="LW_TYPE.DOC.CP" w:val="ALLEGATO"/>
    <w:docVar w:name="LW_TYPEACTEPRINCIPAL" w:val="Proposta di_x000b_ _x000b_DECISIONE DEL CONSIGLIO"/>
    <w:docVar w:name="LW_TYPEACTEPRINCIPAL.CP" w:val="Proposta di_x000b_ _x000b_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430">
      <w:bodyDiv w:val="1"/>
      <w:marLeft w:val="0"/>
      <w:marRight w:val="0"/>
      <w:marTop w:val="0"/>
      <w:marBottom w:val="0"/>
      <w:divBdr>
        <w:top w:val="none" w:sz="0" w:space="0" w:color="auto"/>
        <w:left w:val="none" w:sz="0" w:space="0" w:color="auto"/>
        <w:bottom w:val="none" w:sz="0" w:space="0" w:color="auto"/>
        <w:right w:val="none" w:sz="0" w:space="0" w:color="auto"/>
      </w:divBdr>
    </w:div>
    <w:div w:id="14309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2</Pages>
  <Words>477</Words>
  <Characters>2074</Characters>
  <Application>Microsoft Office Word</Application>
  <DocSecurity>0</DocSecurity>
  <Lines>345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STUKAITE Daniele (DEVCO)</dc:creator>
  <cp:keywords/>
  <dc:description/>
  <cp:lastModifiedBy>DIGIT/C6</cp:lastModifiedBy>
  <cp:revision>9</cp:revision>
  <dcterms:created xsi:type="dcterms:W3CDTF">2020-09-24T09:07:00Z</dcterms:created>
  <dcterms:modified xsi:type="dcterms:W3CDTF">2020-10-07T16:36:00Z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