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72FF845-F629-446E-99E9-E7CEBF9BF06A"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LISA </w:t>
      </w:r>
    </w:p>
    <w:tbl>
      <w:tblPr>
        <w:tblW w:w="9300" w:type="dxa"/>
        <w:tblLayout w:type="fixed"/>
        <w:tblLook w:val="04A0" w:firstRow="1" w:lastRow="0" w:firstColumn="1" w:lastColumn="0" w:noHBand="0" w:noVBand="1"/>
      </w:tblPr>
      <w:tblGrid>
        <w:gridCol w:w="1792"/>
        <w:gridCol w:w="716"/>
        <w:gridCol w:w="720"/>
        <w:gridCol w:w="956"/>
        <w:gridCol w:w="1219"/>
        <w:gridCol w:w="236"/>
        <w:gridCol w:w="1211"/>
        <w:gridCol w:w="1213"/>
        <w:gridCol w:w="1237"/>
      </w:tblGrid>
      <w:tr>
        <w:trPr>
          <w:trHeight w:val="465"/>
        </w:trPr>
        <w:tc>
          <w:tcPr>
            <w:tcW w:w="1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spacing w:before="0" w:after="0"/>
              <w:jc w:val="left"/>
              <w:rPr>
                <w:rFonts w:eastAsia="Times New Roman"/>
                <w:b/>
                <w:bCs/>
                <w:noProof/>
                <w:sz w:val="16"/>
                <w:szCs w:val="16"/>
              </w:rPr>
            </w:pPr>
            <w:r>
              <w:rPr>
                <w:b/>
                <w:bCs/>
                <w:noProof/>
                <w:sz w:val="16"/>
                <w:szCs w:val="16"/>
              </w:rPr>
              <w:t>LIIKMESRIIGID JA ÜHENDKUNING-RIIK</w:t>
            </w:r>
          </w:p>
        </w:tc>
        <w:tc>
          <w:tcPr>
            <w:tcW w:w="71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Osa-tähtsus 8. ja 9. EAFis (%)</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Osa-tähtsus 10. EAFis (%)</w:t>
            </w:r>
          </w:p>
        </w:tc>
        <w:tc>
          <w:tcPr>
            <w:tcW w:w="95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Osa-tähtsus 11. EAFis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2021. aasta osamaksu 1. osa (eurodes)</w:t>
            </w:r>
          </w:p>
        </w:tc>
        <w:tc>
          <w:tcPr>
            <w:tcW w:w="236" w:type="dxa"/>
            <w:tcBorders>
              <w:top w:val="nil"/>
              <w:left w:val="nil"/>
              <w:bottom w:val="nil"/>
              <w:right w:val="nil"/>
            </w:tcBorders>
            <w:shd w:val="clear" w:color="auto" w:fill="auto"/>
            <w:noWrap/>
            <w:vAlign w:val="bottom"/>
            <w:hideMark/>
          </w:tcPr>
          <w:p>
            <w:pPr>
              <w:spacing w:before="0" w:after="0"/>
              <w:jc w:val="center"/>
              <w:rPr>
                <w:rFonts w:eastAsia="Times New Roman"/>
                <w:b/>
                <w:bCs/>
                <w:noProof/>
                <w:sz w:val="16"/>
                <w:szCs w:val="16"/>
              </w:rPr>
            </w:pPr>
          </w:p>
        </w:tc>
        <w:tc>
          <w:tcPr>
            <w:tcW w:w="36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eastAsia="Times New Roman"/>
                <w:b/>
                <w:bCs/>
                <w:noProof/>
                <w:sz w:val="16"/>
                <w:szCs w:val="16"/>
              </w:rPr>
            </w:pPr>
            <w:r>
              <w:rPr>
                <w:b/>
                <w:bCs/>
                <w:noProof/>
                <w:sz w:val="16"/>
                <w:szCs w:val="16"/>
              </w:rPr>
              <w:t>2021. aasta osamaksu 1. osa (eurodes)</w:t>
            </w:r>
          </w:p>
        </w:tc>
      </w:tr>
      <w:tr>
        <w:trPr>
          <w:trHeight w:val="420"/>
        </w:trPr>
        <w:tc>
          <w:tcPr>
            <w:tcW w:w="1792"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1219" w:type="dxa"/>
            <w:tcBorders>
              <w:top w:val="nil"/>
              <w:left w:val="nil"/>
              <w:bottom w:val="nil"/>
              <w:right w:val="single" w:sz="4" w:space="0" w:color="auto"/>
            </w:tcBorders>
            <w:shd w:val="clear" w:color="auto" w:fill="auto"/>
            <w:noWrap/>
            <w:vAlign w:val="bottom"/>
            <w:hideMark/>
          </w:tcPr>
          <w:p>
            <w:pPr>
              <w:spacing w:before="0" w:after="0"/>
              <w:jc w:val="center"/>
              <w:rPr>
                <w:rFonts w:eastAsia="Times New Roman"/>
                <w:b/>
                <w:bCs/>
                <w:noProof/>
                <w:sz w:val="16"/>
                <w:szCs w:val="16"/>
              </w:rPr>
            </w:pPr>
            <w:r>
              <w:rPr>
                <w:b/>
                <w:bCs/>
                <w:noProof/>
                <w:sz w:val="16"/>
                <w:szCs w:val="16"/>
              </w:rPr>
              <w:t>EIP</w:t>
            </w:r>
          </w:p>
        </w:tc>
        <w:tc>
          <w:tcPr>
            <w:tcW w:w="236" w:type="dxa"/>
            <w:tcBorders>
              <w:top w:val="nil"/>
              <w:left w:val="nil"/>
              <w:bottom w:val="nil"/>
              <w:right w:val="nil"/>
            </w:tcBorders>
            <w:shd w:val="clear" w:color="auto" w:fill="auto"/>
            <w:noWrap/>
            <w:vAlign w:val="bottom"/>
            <w:hideMark/>
          </w:tcPr>
          <w:p>
            <w:pPr>
              <w:spacing w:before="0" w:after="0"/>
              <w:jc w:val="center"/>
              <w:rPr>
                <w:rFonts w:eastAsia="Times New Roman"/>
                <w:b/>
                <w:bCs/>
                <w:noProof/>
                <w:sz w:val="16"/>
                <w:szCs w:val="16"/>
              </w:rPr>
            </w:pPr>
          </w:p>
        </w:tc>
        <w:tc>
          <w:tcPr>
            <w:tcW w:w="1211" w:type="dxa"/>
            <w:tcBorders>
              <w:top w:val="nil"/>
              <w:left w:val="single" w:sz="4" w:space="0" w:color="auto"/>
              <w:bottom w:val="nil"/>
              <w:right w:val="single" w:sz="4" w:space="0" w:color="auto"/>
            </w:tcBorders>
            <w:shd w:val="clear" w:color="auto" w:fill="auto"/>
            <w:noWrap/>
            <w:vAlign w:val="center"/>
            <w:hideMark/>
          </w:tcPr>
          <w:p>
            <w:pPr>
              <w:spacing w:before="0" w:after="0"/>
              <w:jc w:val="center"/>
              <w:rPr>
                <w:rFonts w:eastAsia="Times New Roman"/>
                <w:b/>
                <w:bCs/>
                <w:noProof/>
                <w:sz w:val="16"/>
                <w:szCs w:val="16"/>
              </w:rPr>
            </w:pPr>
            <w:r>
              <w:rPr>
                <w:b/>
                <w:bCs/>
                <w:noProof/>
                <w:sz w:val="16"/>
                <w:szCs w:val="16"/>
              </w:rPr>
              <w:t>Komisjon</w:t>
            </w:r>
          </w:p>
        </w:tc>
        <w:tc>
          <w:tcPr>
            <w:tcW w:w="1213" w:type="dxa"/>
            <w:tcBorders>
              <w:top w:val="nil"/>
              <w:left w:val="nil"/>
              <w:bottom w:val="nil"/>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Komisjon</w:t>
            </w:r>
          </w:p>
        </w:tc>
        <w:tc>
          <w:tcPr>
            <w:tcW w:w="1237" w:type="dxa"/>
            <w:tcBorders>
              <w:top w:val="nil"/>
              <w:left w:val="nil"/>
              <w:bottom w:val="nil"/>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 xml:space="preserve">Komisjon </w:t>
            </w:r>
          </w:p>
        </w:tc>
      </w:tr>
      <w:tr>
        <w:trPr>
          <w:trHeight w:val="510"/>
        </w:trPr>
        <w:tc>
          <w:tcPr>
            <w:tcW w:w="1792"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1219" w:type="dxa"/>
            <w:tcBorders>
              <w:top w:val="nil"/>
              <w:left w:val="nil"/>
              <w:bottom w:val="single" w:sz="4" w:space="0" w:color="auto"/>
              <w:right w:val="single" w:sz="4" w:space="0" w:color="auto"/>
            </w:tcBorders>
            <w:shd w:val="clear" w:color="auto" w:fill="auto"/>
            <w:noWrap/>
            <w:vAlign w:val="center"/>
            <w:hideMark/>
          </w:tcPr>
          <w:p>
            <w:pPr>
              <w:spacing w:before="0" w:after="0"/>
              <w:jc w:val="center"/>
              <w:rPr>
                <w:rFonts w:eastAsia="Times New Roman"/>
                <w:b/>
                <w:bCs/>
                <w:noProof/>
                <w:sz w:val="16"/>
                <w:szCs w:val="16"/>
              </w:rPr>
            </w:pPr>
            <w:r>
              <w:rPr>
                <w:b/>
                <w:bCs/>
                <w:noProof/>
                <w:sz w:val="16"/>
                <w:szCs w:val="16"/>
              </w:rPr>
              <w:t>10. EAF</w:t>
            </w:r>
          </w:p>
        </w:tc>
        <w:tc>
          <w:tcPr>
            <w:tcW w:w="236" w:type="dxa"/>
            <w:tcBorders>
              <w:top w:val="nil"/>
              <w:left w:val="nil"/>
              <w:bottom w:val="nil"/>
              <w:right w:val="nil"/>
            </w:tcBorders>
            <w:shd w:val="clear" w:color="auto" w:fill="auto"/>
            <w:noWrap/>
            <w:vAlign w:val="bottom"/>
            <w:hideMark/>
          </w:tcPr>
          <w:p>
            <w:pPr>
              <w:spacing w:before="0" w:after="0"/>
              <w:jc w:val="center"/>
              <w:rPr>
                <w:rFonts w:eastAsia="Times New Roman"/>
                <w:b/>
                <w:bCs/>
                <w:noProof/>
                <w:sz w:val="16"/>
                <w:szCs w:val="16"/>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jc w:val="center"/>
              <w:rPr>
                <w:rFonts w:eastAsia="Times New Roman"/>
                <w:b/>
                <w:bCs/>
                <w:noProof/>
                <w:sz w:val="16"/>
                <w:szCs w:val="16"/>
              </w:rPr>
            </w:pPr>
            <w:r>
              <w:rPr>
                <w:b/>
                <w:bCs/>
                <w:noProof/>
                <w:sz w:val="16"/>
                <w:szCs w:val="16"/>
              </w:rPr>
              <w:t>11. EAF</w:t>
            </w:r>
          </w:p>
        </w:tc>
        <w:tc>
          <w:tcPr>
            <w:tcW w:w="121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Tagasimakse 8. ja 9. EAFis</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11. EAF miinus</w:t>
            </w:r>
            <w:r>
              <w:rPr>
                <w:noProof/>
              </w:rPr>
              <w:t xml:space="preserve"> </w:t>
            </w:r>
            <w:r>
              <w:rPr>
                <w:noProof/>
              </w:rPr>
              <w:br/>
            </w:r>
            <w:r>
              <w:rPr>
                <w:b/>
                <w:bCs/>
                <w:noProof/>
                <w:sz w:val="16"/>
                <w:szCs w:val="16"/>
              </w:rPr>
              <w:t>tagasimakse 8. ja 9. EAFis</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BELGIA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3,92</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3,53</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3,24927</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2 471 000,00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51 988 320,00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-8 741 600,00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43 246 720,00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BULGAARIA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0,14</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0,21853</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98 000,00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3 496 480,00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3 496 480,00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TŠEHHI</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0,51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0,79745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357 000,00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12 759 200,00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12 759 200,00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TAANI</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2,14</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1,98045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1 400 000,00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31 687 200,00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-4 772 200,00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26 915 000,00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SAKSAMAA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23,36</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20,50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20,57980</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14 350 000,00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329 276 800,00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-52 092 800,00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277 184 000,00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EESTI</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0,08635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1 381 600,00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1 381 600,00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IIRIMAA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0,62</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0,94006</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637 000,00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15 040 960,00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-1 382 600,00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13 658 360,00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KREEKA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1,50735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1 029 000,00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24 117 600,00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-2 787 500,00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21 330 100,00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HISPAANIA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5,84</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7,85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7,93248</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5 495 000,00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126 919 680,00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-13 023 200,00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113 896 480,00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PRANTSUSMAA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24,30</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19,55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17,81269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13 685 000,00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285 003 040,00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-54 189 000,00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230 814 040,00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HORVAATIA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0,22518</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3 602 880,00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3 602 880,00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ITAALIA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12,54</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12,86</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12,53009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9 002 000,00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200 481 440,00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-27 964 200,00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172 517 240,00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KÜPROS</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0,09</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0,11162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63 000,00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1 785 920,00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1 785 920,00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LÄTI</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0,11612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1 857 920,00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1 857 920,00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LEEDU</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0,12</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0,18077</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84 000,00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2 892 320,00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2 892 320,00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LUKSEMBURG</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0,29</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0,25509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189 000,00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4 081 440,00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-646 700,00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3 434 740,00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UNGARI</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0,55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0,61456</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385 000,00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9 832 960,00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9 832 960,00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MALTA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0,03</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0,03801</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21 000,00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608 160,00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608 160,00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MADALMAAD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5,22</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4,85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4,77678</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3 395 000,00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76 428 480,00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-11 640 600,00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64 787 880,00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AUSTRIA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2,65</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2,41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2,39757</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1 687 000,00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38 361 120,00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-5 909 500,00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32 451 620,00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POOLA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1,30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2,00734</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910 000,00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32 117 440,00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32 117 440,00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PORTUGAL</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0,97</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1,15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1,19679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805 000,00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19 148 640,00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-2 163 100,00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16 985 540,00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RUMEENIA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0,37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0,71815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259 000,00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11 490 400,00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11 490 400,00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SLOVEENIA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0,18</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0,22452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126 000,00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3 592 320,00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3 592 320,00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SLOVAKKIA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0,37616</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147 000,00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6 018 560,00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6 018 560,00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SOOME</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1,48</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1,50909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1 029 000,00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24 145 440,00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-3 300 400,00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20 845 040,00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ROOTSI</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2,73</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2,74</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2,93911</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1 918 000,00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47 025 760,00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-6 087 900,00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40 937 860,00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ÜHENDKUNING-RIIK</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12,69</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14,82</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14,67862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10 374 000,00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234 857 920,00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-28 298 700,00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206 559 220,00</w:t>
            </w:r>
          </w:p>
        </w:tc>
      </w:tr>
      <w:tr>
        <w:trPr>
          <w:trHeight w:val="283"/>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KOKKU EL 27 JA ÜHENDKUNING-RIIK</w:t>
            </w:r>
          </w:p>
        </w:tc>
        <w:tc>
          <w:tcPr>
            <w:tcW w:w="716"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720"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956"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70 000 000,00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1 600 000 000,00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-223 000 000,00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1 377 000 000,00</w:t>
            </w:r>
          </w:p>
        </w:tc>
      </w:tr>
    </w:tbl>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26DE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1AAD9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7483D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4AB1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BEB0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ACF9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32853E"/>
    <w:lvl w:ilvl="0">
      <w:start w:val="1"/>
      <w:numFmt w:val="decimal"/>
      <w:pStyle w:val="ListNumber"/>
      <w:lvlText w:val="%1."/>
      <w:lvlJc w:val="left"/>
      <w:pPr>
        <w:tabs>
          <w:tab w:val="num" w:pos="360"/>
        </w:tabs>
        <w:ind w:left="360" w:hanging="360"/>
      </w:pPr>
    </w:lvl>
  </w:abstractNum>
  <w:abstractNum w:abstractNumId="7">
    <w:nsid w:val="FFFFFF89"/>
    <w:multiLevelType w:val="singleLevel"/>
    <w:tmpl w:val="D832A7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7 18:37: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872FF845-F629-446E-99E9-E7CEBF9BF06A"/>
    <w:docVar w:name="LW_COVERPAGE_TYPE" w:val="1"/>
    <w:docVar w:name="LW_CROSSREFERENCE" w:val="&lt;UNUSED&gt;"/>
    <w:docVar w:name="LW_DocType" w:val="ANNEX"/>
    <w:docVar w:name="LW_EMISSION" w:val="8.10.2020"/>
    <w:docVar w:name="LW_EMISSION_ISODATE" w:val="2020-10-08"/>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milles käsitletakse liikmesriikide Euroopa Arengufondi osamaksusid, sealhulgas 2022. aasta ülemmäära, 2021. aasta osamaksu ja 2021. aasta osamaksu esimese osa suurust ning hinnangulist ja mittesiduvat prognoosi 2023. ja 2024. aasta osamaksu suuruse kohta"/>
    <w:docVar w:name="LW_OBJETACTEPRINCIPAL.CP" w:val="milles käsitletakse liikmesriikide Euroopa Arengufondi osamaksusid, sealhulgas 2022. aasta ülemmäära, 2021. aasta osamaksu ja 2021. aasta osamaksu esimese osa suurust ning hinnangulist ja mittesiduvat prognoosi 2023. ja 2024. aasta osamaksu suuruse kohta"/>
    <w:docVar w:name="LW_PART_NBR" w:val="1"/>
    <w:docVar w:name="LW_PART_NBR_TOTAL" w:val="1"/>
    <w:docVar w:name="LW_REF.INST.NEW" w:val="COM"/>
    <w:docVar w:name="LW_REF.INST.NEW_ADOPTED" w:val="final"/>
    <w:docVar w:name="LW_REF.INST.NEW_TEXT" w:val="(2020) 6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_x000b_NÕUKOGU OTSUS,"/>
    <w:docVar w:name="LW_TYPEACTEPRINCIPAL.CP" w:val="Ettepanek:_x000b_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430">
      <w:bodyDiv w:val="1"/>
      <w:marLeft w:val="0"/>
      <w:marRight w:val="0"/>
      <w:marTop w:val="0"/>
      <w:marBottom w:val="0"/>
      <w:divBdr>
        <w:top w:val="none" w:sz="0" w:space="0" w:color="auto"/>
        <w:left w:val="none" w:sz="0" w:space="0" w:color="auto"/>
        <w:bottom w:val="none" w:sz="0" w:space="0" w:color="auto"/>
        <w:right w:val="none" w:sz="0" w:space="0" w:color="auto"/>
      </w:divBdr>
    </w:div>
    <w:div w:id="14309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Pages>
  <Words>481</Words>
  <Characters>2110</Characters>
  <Application>Microsoft Office Word</Application>
  <DocSecurity>0</DocSecurity>
  <Lines>351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STUKAITE Daniele (DEVCO)</dc:creator>
  <cp:keywords/>
  <dc:description/>
  <cp:lastModifiedBy>WES PDFC Administrator</cp:lastModifiedBy>
  <cp:revision>9</cp:revision>
  <dcterms:created xsi:type="dcterms:W3CDTF">2020-09-30T08:07:00Z</dcterms:created>
  <dcterms:modified xsi:type="dcterms:W3CDTF">2020-10-07T16:37:00Z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