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06F4171-ED2A-4832-B3C7-94AF9A5E930C" style="width:450.35pt;height:352.5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spacing w:before="0" w:after="240"/>
        <w:rPr>
          <w:rFonts w:eastAsia="Arial Unicode MS"/>
          <w:noProof/>
        </w:rPr>
      </w:pPr>
      <w:r>
        <w:rPr>
          <w:noProof/>
        </w:rPr>
        <w:t>Niniejszy wniosek dotyczy projektu decyzji Rady dotyczącej trzeciej raty wkładów finansowych na rzecz Europejskiego Funduszu Rozwoju (EFR), wnoszonych przez państwa członkowskie w roku 2020.</w:t>
      </w:r>
    </w:p>
    <w:p>
      <w:pPr>
        <w:spacing w:before="0" w:after="240"/>
        <w:rPr>
          <w:rFonts w:eastAsia="Arial Unicode MS"/>
          <w:noProof/>
        </w:rPr>
      </w:pPr>
      <w:r>
        <w:rPr>
          <w:noProof/>
        </w:rPr>
        <w:t xml:space="preserve">11. EFR oraz inne fundusze EFR, które nie zostały jeszcze zamknięte (tj. 8., 9. i 10. EFR), są zarządzane według zasad określonych w następujących dokumentach: </w:t>
      </w:r>
    </w:p>
    <w:p>
      <w:pPr>
        <w:spacing w:before="0" w:after="240"/>
        <w:rPr>
          <w:rFonts w:eastAsia="Arial Unicode MS"/>
          <w:noProof/>
        </w:rPr>
      </w:pPr>
      <w:r>
        <w:rPr>
          <w:noProof/>
        </w:rPr>
        <w:t>obowiązująca Umowa o partnerstwie między członkami grupy państw Afryki, Karaibów i Pacyfiku, z jednej strony, a Wspólnotą Europejską i jej państwami członkowskimi, z drugiej strony („umowa o partnerstwie AKP–UE”), z późniejszymi zmianami</w:t>
      </w:r>
      <w:r>
        <w:rPr>
          <w:rStyle w:val="FootnoteReference"/>
          <w:rFonts w:eastAsia="Arial Unicode MS"/>
          <w:noProof/>
        </w:rPr>
        <w:footnoteReference w:id="1"/>
      </w:r>
      <w:r>
        <w:rPr>
          <w:noProof/>
        </w:rPr>
        <w:t>;</w:t>
      </w:r>
    </w:p>
    <w:p>
      <w:pPr>
        <w:spacing w:before="0" w:after="240"/>
        <w:rPr>
          <w:rFonts w:eastAsia="Arial Unicode MS"/>
          <w:noProof/>
        </w:rPr>
      </w:pPr>
      <w:r>
        <w:rPr>
          <w:noProof/>
        </w:rPr>
        <w:t>Umowa wewnętrzna między przedstawicielami rządów państw członkowskich Unii Europejskiej, zebranymi w Radzie, w sprawie finansowania pomocy unijnej na podstawie wieloletnich ram finansowych na lata 2014–2020 zgodnie z umową o partnerstwie AKP–UE oraz w sprawie przydzielania pomocy finansowej dla krajów i terytoriów zamorskich, do których stosuje się część czwartą Traktatu o funkcjonowaniu Unii Europejskiej</w:t>
      </w:r>
      <w:r>
        <w:rPr>
          <w:rStyle w:val="FootnoteReference"/>
          <w:rFonts w:eastAsia="Arial Unicode MS"/>
          <w:noProof/>
        </w:rPr>
        <w:footnoteReference w:id="2"/>
      </w:r>
      <w:r>
        <w:rPr>
          <w:noProof/>
        </w:rPr>
        <w:t xml:space="preserve"> („umowa wewnętrzna dotycząca 11. EFR”);</w:t>
      </w:r>
    </w:p>
    <w:p>
      <w:pPr>
        <w:spacing w:before="0" w:after="240"/>
        <w:rPr>
          <w:rFonts w:eastAsia="Arial Unicode MS"/>
          <w:noProof/>
        </w:rPr>
      </w:pPr>
      <w:r>
        <w:rPr>
          <w:noProof/>
        </w:rPr>
        <w:t>rozporządzenie Rady (UE) 2018/1877 w sprawie rozporządzenia finansowego mającego zastosowanie do 11. Europejskiego Funduszu Rozwoju</w:t>
      </w:r>
      <w:r>
        <w:rPr>
          <w:rStyle w:val="FootnoteReference"/>
          <w:rFonts w:eastAsia="Arial Unicode MS"/>
          <w:noProof/>
        </w:rPr>
        <w:footnoteReference w:id="3"/>
      </w:r>
      <w:r>
        <w:rPr>
          <w:noProof/>
        </w:rPr>
        <w:t xml:space="preserve"> („rozporządzenie finansowe mające zastosowanie do 11. EFR”).</w:t>
      </w:r>
    </w:p>
    <w:p>
      <w:pPr>
        <w:spacing w:before="0" w:after="240"/>
        <w:rPr>
          <w:rFonts w:eastAsia="Arial Unicode MS"/>
          <w:noProof/>
        </w:rPr>
      </w:pPr>
      <w:r>
        <w:rPr>
          <w:noProof/>
        </w:rPr>
        <w:t xml:space="preserve">Wymienione wyżej dokumenty zawierają wieloletnie zobowiązania państw członkowskich do zapewnienia wsparcia finansowego na rzecz EFR. Rozporządzenie finansowe mające zastosowanie do 11. EFR przewiduje regularne wnoszenie wkładów przez państwa członkowskie do EFR na podstawie wcześniej ustalonych zobowiązań finansowych. Regularne wkłady są następstwem technicznych decyzji Rady odzwierciedlających realizację podjętych wcześniej zobowiązań finansowych. </w:t>
      </w:r>
    </w:p>
    <w:p>
      <w:pPr>
        <w:spacing w:before="0" w:after="240"/>
        <w:rPr>
          <w:rFonts w:eastAsia="Arial Unicode MS"/>
          <w:noProof/>
        </w:rPr>
      </w:pPr>
      <w:r>
        <w:rPr>
          <w:noProof/>
        </w:rPr>
        <w:t>Niektóre pozycje w uzasadnieniu nie mają zatem zastosowania do wezwań do wnoszenia regularnych wkładów, takich jak niniejsze wezwanie.</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u w:color="000000"/>
          <w:bdr w:val="nil"/>
        </w:rPr>
        <w:t>•</w:t>
      </w:r>
      <w:r>
        <w:rPr>
          <w:noProof/>
        </w:rPr>
        <w:tab/>
      </w:r>
      <w:r>
        <w:rPr>
          <w:noProof/>
          <w:u w:color="000000"/>
          <w:bdr w:val="nil"/>
        </w:rPr>
        <w:t>Podstawa prawna</w:t>
      </w:r>
    </w:p>
    <w:p>
      <w:pPr>
        <w:spacing w:before="0" w:after="240"/>
        <w:rPr>
          <w:rFonts w:eastAsia="Arial Unicode MS"/>
          <w:noProof/>
        </w:rPr>
      </w:pPr>
      <w:r>
        <w:rPr>
          <w:noProof/>
        </w:rPr>
        <w:t>Zgodnie z art. 19 ust. 7 rozporządzenia finansowego mającego zastosowanie do 11. EFR kwotę, którą zarządza Komisja Europejska, i kwotę, którą zarządza Europejski Bank Inwestycyjny (EBI), określa się oddzielnie.</w:t>
      </w:r>
    </w:p>
    <w:p>
      <w:pPr>
        <w:spacing w:before="0" w:after="240"/>
        <w:rPr>
          <w:rFonts w:eastAsia="Arial Unicode MS"/>
          <w:noProof/>
        </w:rPr>
      </w:pPr>
      <w:r>
        <w:rPr>
          <w:noProof/>
        </w:rPr>
        <w:t>Zgodnie z art. 46 rozporządzenia finansowego mającego zastosowanie do 11. EFR Europejski Bank Inwestycyjny przekazał Komisji Europejskiej swoje zaktualizowane szacunki zobowiązań i płatności związanych z instrumentami, którymi zarządza.</w:t>
      </w:r>
    </w:p>
    <w:p>
      <w:pPr>
        <w:spacing w:before="0" w:after="240"/>
        <w:rPr>
          <w:rFonts w:eastAsia="Arial Unicode MS"/>
          <w:noProof/>
        </w:rPr>
      </w:pPr>
      <w:r>
        <w:rPr>
          <w:noProof/>
        </w:rPr>
        <w:lastRenderedPageBreak/>
        <w:t>Zgodnie z art. 20 ust. 1 rozporządzenia finansowego mającego zastosowanie do 11. EFR wezwania do wniesienia wkładów w pierwszej kolejności wykorzystują dostępne kwoty z tytułu poprzednich EFR, jedną po drugiej. Wezwania do wniesienia wkładów, o których mowa w niniejszym wniosku, dotyczą zatem kwot w ramach 10. EFR dla EBI oraz kwot w ramach 11. EFR dla Komisji Europejskiej.</w:t>
      </w:r>
    </w:p>
    <w:p>
      <w:pPr>
        <w:spacing w:before="0" w:after="240"/>
        <w:rPr>
          <w:rFonts w:eastAsia="Arial Unicode MS"/>
          <w:noProof/>
        </w:rPr>
      </w:pPr>
      <w:r>
        <w:rPr>
          <w:noProof/>
        </w:rPr>
        <w:t>Zgodnie z art. 19 ust. 5 rozporządzenia finansowego mającego zastosowanie do 11. EFR Rada podejmuje decyzję w sprawie niniejszego wniosku nie później niż w terminie 21 dni kalendarzowych od jego przedstawienia przez Komisję Europejską, działającą w imieniu Unii Europejskiej.</w:t>
      </w:r>
    </w:p>
    <w:p>
      <w:pPr>
        <w:spacing w:before="0" w:after="240"/>
        <w:rPr>
          <w:rFonts w:eastAsia="Arial Unicode MS"/>
          <w:noProof/>
        </w:rPr>
      </w:pPr>
      <w:r>
        <w:rPr>
          <w:noProof/>
        </w:rPr>
        <w:t>Art. 21 ust. 1 rozporządzenia finansowego mającego zastosowanie do 11. EFR stanowi, że w przypadku nieprzekazania raty wkładu w terminie dane państwo członkowskie zobowiązane jest zapłacić odsetki od niewpłaconej kwoty, zgodnie z zasadami określonymi w tym artykule.</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2020/0287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ustalająca wysokość wkładów wpłacanych przez państwa członkowskie na rzecz Europejskiego Funduszu Rozwoju, w tym trzeciej raty za 2020 r.</w:t>
      </w:r>
    </w:p>
    <w:p>
      <w:pPr>
        <w:pStyle w:val="Institutionquiagit"/>
        <w:rPr>
          <w:noProof/>
        </w:rPr>
      </w:pPr>
      <w:r>
        <w:rPr>
          <w:noProof/>
        </w:rPr>
        <w:t>RADA UNII EUROPEJSKIEJ,</w:t>
      </w:r>
    </w:p>
    <w:p>
      <w:pPr>
        <w:rPr>
          <w:noProof/>
        </w:rPr>
      </w:pPr>
      <w:r>
        <w:rPr>
          <w:noProof/>
        </w:rPr>
        <w:t>uwzględniając Traktat o Unii Europejskiej i Traktat o funkcjonowaniu Unii Europejskiej,</w:t>
      </w:r>
    </w:p>
    <w:p>
      <w:pPr>
        <w:rPr>
          <w:noProof/>
        </w:rPr>
      </w:pPr>
      <w:r>
        <w:rPr>
          <w:noProof/>
        </w:rPr>
        <w:t>uwzględniając Umowę wewnętrzną między przedstawicielami rządów państw członkowskich Unii Europejskiej, zebranymi w Radzie, w sprawie finansowania pomocy unijnej na podstawie wieloletnich ram finansowych na lata 2014–2020 zgodnie z umową o partnerstwie AKP–UE oraz w sprawie przydzielania pomocy finansowej dla krajów i terytoriów zamorskich, do których stosuje się część czwartą Traktatu o funkcjonowaniu Unii Europejskiej</w:t>
      </w:r>
      <w:r>
        <w:rPr>
          <w:rStyle w:val="FootnoteReference"/>
          <w:noProof/>
        </w:rPr>
        <w:footnoteReference w:id="4"/>
      </w:r>
      <w:r>
        <w:rPr>
          <w:noProof/>
        </w:rPr>
        <w:t xml:space="preserve"> (zwaną dalej „umową wewnętrzną”), w szczególności jej art. 7,</w:t>
      </w:r>
    </w:p>
    <w:p>
      <w:pPr>
        <w:rPr>
          <w:noProof/>
        </w:rPr>
      </w:pPr>
      <w:r>
        <w:rPr>
          <w:noProof/>
        </w:rPr>
        <w:t>uwzględniając rozporządzenie Rady (UE) 2018/1877 z dnia 26 listopada 2018 r. w sprawie rozporządzenia finansowego mającego zastosowanie do 11. Europejskiego Funduszu Rozwoju (zwane dalej „rozporządzeniem finansowym mającym zastosowanie do 11. EFR”)</w:t>
      </w:r>
      <w:r>
        <w:rPr>
          <w:rStyle w:val="FootnoteReference"/>
          <w:noProof/>
        </w:rPr>
        <w:footnoteReference w:id="5"/>
      </w:r>
      <w:r>
        <w:rPr>
          <w:noProof/>
        </w:rPr>
        <w:t>, w szczególności jego art. 19 ust. 5,</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Zgodnie z procedurą określoną w art. 19–22 rozporządzenia finansowego mającego zastosowanie do 11. EFR Komisja Europejska do dnia 10 października 2020 r. ma przedstawić wniosek określający: a) kwotę trzeciej raty wkładu na 2020 r.; oraz b) zmienioną roczną kwotę wkładu na 2020 r., w przypadku gdy roczna kwota odbiega od rzeczywistych potrzeb.</w:t>
      </w:r>
    </w:p>
    <w:p>
      <w:pPr>
        <w:pStyle w:val="ManualConsidrant"/>
        <w:rPr>
          <w:noProof/>
        </w:rPr>
      </w:pPr>
      <w:r>
        <w:t>(2)</w:t>
      </w:r>
      <w:r>
        <w:tab/>
      </w:r>
      <w:r>
        <w:rPr>
          <w:noProof/>
        </w:rPr>
        <w:t>Zgodnie z art. 46 rozporządzenia finansowego mającego zastosowanie do 11. EFR Europejski Bank Inwestycyjny (EBI) przekazał Komisji Europejskiej swoje zaktualizowane szacunki zobowiązań i płatności związanych z instrumentami, którymi zarządza.</w:t>
      </w:r>
    </w:p>
    <w:p>
      <w:pPr>
        <w:pStyle w:val="ManualConsidrant"/>
        <w:rPr>
          <w:noProof/>
        </w:rPr>
      </w:pPr>
      <w:r>
        <w:t>(3)</w:t>
      </w:r>
      <w:r>
        <w:tab/>
      </w:r>
      <w:r>
        <w:rPr>
          <w:noProof/>
        </w:rPr>
        <w:t>Art. 20 ust. 1 rozporządzenia finansowego mającego zastosowanie do 11. EFR stanowi, że wezwania do wniesienia wkładów w pierwszej kolejności wykorzystują kwoty określone dla poprzednich EFR. Należy zatem wezwać do wniesienia wkładów w ramach 10. EFR dla EBI oraz w ramach 11. EFR dla Komisji.</w:t>
      </w:r>
    </w:p>
    <w:p>
      <w:pPr>
        <w:pStyle w:val="ManualConsidrant"/>
        <w:rPr>
          <w:noProof/>
        </w:rPr>
      </w:pPr>
      <w:r>
        <w:t>(4)</w:t>
      </w:r>
      <w:r>
        <w:tab/>
      </w:r>
      <w:r>
        <w:rPr>
          <w:noProof/>
        </w:rPr>
        <w:t>Decyzją (UE) 2019/1800</w:t>
      </w:r>
      <w:r>
        <w:rPr>
          <w:rStyle w:val="FootnoteReference"/>
          <w:noProof/>
        </w:rPr>
        <w:footnoteReference w:id="6"/>
      </w:r>
      <w:r>
        <w:rPr>
          <w:noProof/>
        </w:rPr>
        <w:t xml:space="preserve"> w dniu 24 października 2019 r., na wniosek Komisji Europejskiej, Rada przyjęła decyzję ustalającą roczną kwotę wkładów państw członkowskich na poczet EFR na 2020 r. w wysokości 4 400 000 000 EUR dla Komisji Europejskiej oraz 300 000 000 EUR dla Europejskiego Banku Inwestycyjnego,</w:t>
      </w:r>
    </w:p>
    <w:p>
      <w:pPr>
        <w:pStyle w:val="ManualConsidrant"/>
        <w:rPr>
          <w:noProof/>
        </w:rPr>
      </w:pPr>
      <w:r>
        <w:lastRenderedPageBreak/>
        <w:t>(5)</w:t>
      </w:r>
      <w:r>
        <w:tab/>
      </w:r>
      <w:r>
        <w:rPr>
          <w:noProof/>
        </w:rPr>
        <w:t>Art. 152 i 153 Umowy o wystąpieniu</w:t>
      </w:r>
      <w:r>
        <w:rPr>
          <w:rStyle w:val="FootnoteReference"/>
          <w:noProof/>
        </w:rPr>
        <w:footnoteReference w:id="7"/>
      </w:r>
      <w:r>
        <w:rPr>
          <w:noProof/>
        </w:rPr>
        <w:t xml:space="preserve"> Zjednoczonego Królestwa Wielkiej Brytanii i Irlandii Północnej z Unii Europejskiej i Europejskiej Wspólnoty Energii Atomowej stanowią, że Zjednoczone Królestwo pozostaje stroną EFR do czasu zamknięcia 11. EFR i wszystkich poprzednich niezamkniętych EFR; jednak udziału Zjednoczonego Królestwa w umorzonych środkach z projektów realizowanych w ramach 10. EFR lub poprzednich EFR nie można ponownie wykorzystać,</w:t>
      </w:r>
    </w:p>
    <w:p>
      <w:pPr>
        <w:pStyle w:val="Formuledadoption"/>
        <w:rPr>
          <w:noProof/>
        </w:rPr>
      </w:pPr>
      <w:r>
        <w:rPr>
          <w:noProof/>
        </w:rPr>
        <w:t xml:space="preserve">PRZYJMUJE NINIEJSZĄ DECYZJĘ: </w:t>
      </w:r>
    </w:p>
    <w:p>
      <w:pPr>
        <w:pStyle w:val="Titrearticle"/>
        <w:rPr>
          <w:noProof/>
        </w:rPr>
      </w:pPr>
      <w:r>
        <w:rPr>
          <w:noProof/>
        </w:rPr>
        <w:t>Artykuł 1</w:t>
      </w:r>
    </w:p>
    <w:p>
      <w:pPr>
        <w:rPr>
          <w:noProof/>
        </w:rPr>
      </w:pPr>
      <w:r>
        <w:rPr>
          <w:noProof/>
        </w:rPr>
        <w:t>Poszczególne wkłady na rzecz Europejskiego Funduszu Rozwoju, które państwa członkowskie przekazują Komisji Europejskiej i Europejskiemu Bankowi Inwestycyjnemu w ramach trzeciej raty za 2020 r., określono w tabeli w załączniku do niniejszej decyzji.</w:t>
      </w:r>
    </w:p>
    <w:p>
      <w:pPr>
        <w:pStyle w:val="Titrearticle"/>
        <w:rPr>
          <w:noProof/>
        </w:rPr>
      </w:pPr>
      <w:r>
        <w:rPr>
          <w:noProof/>
        </w:rPr>
        <w:t>Artykuł 2</w:t>
      </w:r>
    </w:p>
    <w:p>
      <w:pPr>
        <w:keepLines/>
        <w:rPr>
          <w:noProof/>
        </w:rPr>
      </w:pPr>
      <w:r>
        <w:rPr>
          <w:noProof/>
        </w:rPr>
        <w:t>Niniejsza decyzja wchodzi w życie z dniem jej przyjęcia.</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 xml:space="preserve">W imieniu Rady </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317 z 15.12.2000, s. 3.</w:t>
      </w:r>
    </w:p>
  </w:footnote>
  <w:footnote w:id="2">
    <w:p>
      <w:pPr>
        <w:pStyle w:val="FootnoteText"/>
      </w:pPr>
      <w:r>
        <w:rPr>
          <w:rStyle w:val="FootnoteReference"/>
        </w:rPr>
        <w:footnoteRef/>
      </w:r>
      <w:r>
        <w:tab/>
        <w:t>Dz.U. L 210 z 6.8.2013, s. 1.</w:t>
      </w:r>
    </w:p>
  </w:footnote>
  <w:footnote w:id="3">
    <w:p>
      <w:pPr>
        <w:pStyle w:val="FootnoteText"/>
      </w:pPr>
      <w:r>
        <w:rPr>
          <w:rStyle w:val="FootnoteReference"/>
        </w:rPr>
        <w:footnoteRef/>
      </w:r>
      <w:r>
        <w:tab/>
        <w:t>Dz.U. L 307 z 3.12.2018, s. 1.</w:t>
      </w:r>
    </w:p>
  </w:footnote>
  <w:footnote w:id="4">
    <w:p>
      <w:pPr>
        <w:pStyle w:val="FootnoteText"/>
      </w:pPr>
      <w:r>
        <w:rPr>
          <w:rStyle w:val="FootnoteReference"/>
        </w:rPr>
        <w:footnoteRef/>
      </w:r>
      <w:r>
        <w:tab/>
        <w:t>Dz.U. L 210 z 6.8.2013, s. 1.</w:t>
      </w:r>
    </w:p>
  </w:footnote>
  <w:footnote w:id="5">
    <w:p>
      <w:pPr>
        <w:pStyle w:val="FootnoteText"/>
      </w:pPr>
      <w:r>
        <w:rPr>
          <w:rStyle w:val="FootnoteReference"/>
        </w:rPr>
        <w:footnoteRef/>
      </w:r>
      <w:r>
        <w:tab/>
        <w:t>Dz.U. L 307 z 3.12.2018, s. 7.</w:t>
      </w:r>
    </w:p>
  </w:footnote>
  <w:footnote w:id="6">
    <w:p>
      <w:pPr>
        <w:pStyle w:val="FootnoteText"/>
      </w:pPr>
      <w:r>
        <w:rPr>
          <w:rStyle w:val="FootnoteReference"/>
        </w:rPr>
        <w:footnoteRef/>
      </w:r>
      <w:r>
        <w:tab/>
        <w:t>Dz.U. L 274 z 24.10.2019, s. 9.</w:t>
      </w:r>
    </w:p>
  </w:footnote>
  <w:footnote w:id="7">
    <w:p>
      <w:pPr>
        <w:pStyle w:val="FootnoteText"/>
      </w:pPr>
      <w:r>
        <w:rPr>
          <w:rStyle w:val="FootnoteReference"/>
        </w:rPr>
        <w:footnoteRef/>
      </w:r>
      <w:r>
        <w:tab/>
        <w:t>Dz.U. C 384 z 12.11.2019.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DCC48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1251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CF9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F4019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D292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C723E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7AB85C"/>
    <w:lvl w:ilvl="0">
      <w:start w:val="1"/>
      <w:numFmt w:val="decimal"/>
      <w:pStyle w:val="ListNumber"/>
      <w:lvlText w:val="%1."/>
      <w:lvlJc w:val="left"/>
      <w:pPr>
        <w:tabs>
          <w:tab w:val="num" w:pos="360"/>
        </w:tabs>
        <w:ind w:left="360" w:hanging="360"/>
      </w:pPr>
    </w:lvl>
  </w:abstractNum>
  <w:abstractNum w:abstractNumId="7">
    <w:nsid w:val="FFFFFF89"/>
    <w:multiLevelType w:val="singleLevel"/>
    <w:tmpl w:val="C78828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7 18:30: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06F4171-ED2A-4832-B3C7-94AF9A5E930C"/>
    <w:docVar w:name="LW_COVERPAGE_TYPE" w:val="1"/>
    <w:docVar w:name="LW_CROSSREFERENCE" w:val="&lt;UNUSED&gt;"/>
    <w:docVar w:name="LW_DocType" w:val="COM"/>
    <w:docVar w:name="LW_EMISSION" w:val="8.10.2020"/>
    <w:docVar w:name="LW_EMISSION_ISODATE" w:val="2020-10-08"/>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287"/>
    <w:docVar w:name="LW_REF.II.NEW.CP_YEAR" w:val="2020"/>
    <w:docVar w:name="LW_REF.INST.NEW" w:val="COM"/>
    <w:docVar w:name="LW_REF.INST.NEW_ADOPTED" w:val="final"/>
    <w:docVar w:name="LW_REF.INST.NEW_TEXT" w:val="(2020)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ustalaj\u261?ca wysoko\u347?\u263? wk\u322?adów wp\u322?acanych przez pa\u324?stwa cz\u322?onkowskie na rzecz Europejskiego Funduszu Rozwoju, w tym trzeciej raty za 2020 r."/>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890</Words>
  <Characters>5657</Characters>
  <Application>Microsoft Office Word</Application>
  <DocSecurity>0</DocSecurity>
  <Lines>104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2020-09-29T08:26:00Z</dcterms:created>
  <dcterms:modified xsi:type="dcterms:W3CDTF">2020-10-07T16:30:00Z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