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44907428-7C00-40C2-A81E-47ABB500D172" style="width:450.7pt;height:38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2018/0322 (COD)</w:t>
      </w:r>
    </w:p>
    <w:p>
      <w:pPr>
        <w:pStyle w:val="Typedudocument"/>
        <w:rPr>
          <w:noProof/>
        </w:rPr>
      </w:pPr>
      <w:r>
        <w:rPr>
          <w:noProof/>
        </w:rPr>
        <w:t>KOMUNIKAZZJONI TAL-KUMMISSJONI LILL-PARLAMENT EWROPEW</w:t>
      </w:r>
      <w:r>
        <w:rPr>
          <w:noProof/>
        </w:rPr>
        <w:br/>
      </w:r>
      <w:r>
        <w:rPr>
          <w:noProof/>
        </w:rPr>
        <w:br/>
        <w:t>skont l-Artikolu 294(6) tat-Trattat dwar il-Funzjonament tal-Unjoni Ewropea</w:t>
      </w:r>
      <w:r>
        <w:rPr>
          <w:noProof/>
        </w:rPr>
        <w:br/>
      </w:r>
      <w:r>
        <w:rPr>
          <w:noProof/>
        </w:rPr>
        <w:br/>
        <w:t>dwar</w:t>
      </w:r>
    </w:p>
    <w:p>
      <w:pPr>
        <w:pStyle w:val="Titreobjet"/>
        <w:rPr>
          <w:noProof/>
        </w:rPr>
      </w:pPr>
      <w:r>
        <w:rPr>
          <w:noProof/>
        </w:rPr>
        <w:t>pożizzjoni tal-Kunsill dwar l-adozzjoni ta’ Regolament tal-Parlament Ewropew u tal-Kunsill li jemenda r-Regolament (UE) Nru 1303/2013 fir-rigward tal-aġġustament tal-prefinanzjament annwali għas-snin 2021-2023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Sfond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75"/>
      </w:tblGrid>
      <w:tr>
        <w:tc>
          <w:tcPr>
            <w:tcW w:w="6912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Data tat-trażmissjoni tal-proposta lill-Parlament Ewropew u lill-Kunsill (dokument COM(2018)614 final-2018/0322 (COD)):</w:t>
            </w:r>
          </w:p>
        </w:tc>
        <w:tc>
          <w:tcPr>
            <w:tcW w:w="237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07/09/2018</w:t>
            </w:r>
          </w:p>
        </w:tc>
      </w:tr>
      <w:tr>
        <w:tc>
          <w:tcPr>
            <w:tcW w:w="6912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tal-pożizzjoni tal-Parlament Ewropew, l-ewwel qari:</w:t>
            </w:r>
          </w:p>
        </w:tc>
        <w:tc>
          <w:tcPr>
            <w:tcW w:w="237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04/04/2019</w:t>
            </w:r>
          </w:p>
        </w:tc>
      </w:tr>
      <w:tr>
        <w:tc>
          <w:tcPr>
            <w:tcW w:w="6912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tal-adozzjoni tal-pożizzjoni tal-Kunsill:</w:t>
            </w:r>
          </w:p>
        </w:tc>
        <w:tc>
          <w:tcPr>
            <w:tcW w:w="237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07/10/2020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Għan tal-Proposta tal-Kummissjoni</w:t>
      </w:r>
    </w:p>
    <w:p>
      <w:pPr>
        <w:rPr>
          <w:noProof/>
          <w:sz w:val="23"/>
          <w:szCs w:val="23"/>
        </w:rPr>
      </w:pPr>
      <w:r>
        <w:rPr>
          <w:noProof/>
          <w:sz w:val="23"/>
          <w:szCs w:val="23"/>
        </w:rPr>
        <w:t>L-għan tal-proposta tal-Kummissjoni kien li tnaqqas il-livelli ta’ prefinanzjament annwali għal 1 % mit-3 % attwali għas-snin 2021-2023 għall-perjodu ta’ programmazzjoni 2014-2020. Il-proposta kellha l-għan li żżid it-trasparenza u tikkontribwixxi għall-prevedibbiltà tal-ippjanar baġitarju u għal profil tal-pagamenti aktar stabbli u prevedibbli. It-tnaqqis ġie propost għall-aħħar tliet snin tal-perjodu ta’ programmazzjoni attwali (is-snin 2021-2023), li jikkoinċidi mal-perjodu ta’ programmazzjoni li jmiss li jibda fl-2021. Dan l-approċċ ikkunsidra wkoll il-ħtiġijiet ta’ pagamenti li joriġinaw minn arranġamenti ta’ prefinanzjament proposti għall-programmi ta’ bejn l-2021 u l-2027 fejn il-prefinanzjament inizjali biss jitħallas f’sitt ħlasijiet parzjali.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Kummenti dwar il-pożizzjonijiet tal-Kumitat Ekonomiku u Soċjali Ewropew u tal-Kumitat tar-Reġjuni</w:t>
      </w:r>
    </w:p>
    <w:p>
      <w:pPr>
        <w:pStyle w:val="Text1"/>
        <w:ind w:left="0"/>
        <w:rPr>
          <w:noProof/>
        </w:rPr>
      </w:pPr>
      <w:r>
        <w:rPr>
          <w:noProof/>
        </w:rPr>
        <w:t>Il-KESE (relatur: Is-Sur Doz Orrit) adotta l-opinjoni tiegħu fil-Plenarja tat-23 u l-24 ta’ Jannar 2019, li tiċħad il-proposta tal-Kummissjoni. Il-Kummissjoni żammet il-proposta oriġinali tagħha f’dak l-istadju. Il-Kumitat tar-Reġjuni ma ħariġx opinjoni.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Kummenti dwar il-pożizzjoni tal-Parlament Ewropew</w:t>
      </w:r>
    </w:p>
    <w:p>
      <w:pPr>
        <w:widowControl w:val="0"/>
        <w:rPr>
          <w:noProof/>
        </w:rPr>
      </w:pPr>
      <w:r>
        <w:rPr>
          <w:noProof/>
        </w:rPr>
        <w:t>Il-Parlament Ewropew adotta l-pożizzjoni tiegħu fl-ewwel qari fl-4 ta’ April 2019. Il-Parlament ippreżenta emenda waħda li għandha l-għan li tnaqqas il-livelli ta’ prefinanzjament annwali għas-snin 2021-2023 għal 2 %, minflok ma naqqashom għal 1 % kif propost mill-Kummissjoni. Il-Kummissjoni żammet il-proposta oriġinali tagħha f’dak l-istadju.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Kummenti dwar il-pożizzjoni tal-Kunsill</w:t>
      </w:r>
    </w:p>
    <w:p>
      <w:pPr>
        <w:widowControl w:val="0"/>
        <w:rPr>
          <w:noProof/>
        </w:rPr>
      </w:pPr>
      <w:r>
        <w:rPr>
          <w:noProof/>
        </w:rPr>
        <w:t>Il-pożizzjoni tal-Kunsill, ibbażata fuq il-konklużjonijiet tal-Kunsill Ewropew tal-21 ta’ Lulju 2020, tirrifletti l-pożizzjoni tal-Parlament Ewropew fl-ewwel qari.</w:t>
      </w:r>
    </w:p>
    <w:p>
      <w:pPr>
        <w:widowControl w:val="0"/>
        <w:rPr>
          <w:noProof/>
        </w:rPr>
      </w:pPr>
      <w:r>
        <w:rPr>
          <w:noProof/>
        </w:rPr>
        <w:t>L-unika emenda tal-Kunsill tnaqqas il-livelli ta’ prefinanzjament annwali għas-snin 2021-</w:t>
      </w:r>
      <w:r>
        <w:rPr>
          <w:noProof/>
        </w:rPr>
        <w:lastRenderedPageBreak/>
        <w:t>2023 għal 2 %, minflok ma tnaqqashom għal 1 % kif propost. Is-servizzi tal-Kummissjoni għenu fil-kalkoli li wasslu għall-konklużjonijiet milħuqa fil-Kunsill Ewropew u r-rata miftiehma tqieset bħala fattibbli.</w:t>
      </w:r>
    </w:p>
    <w:p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Konklużjoni</w:t>
      </w:r>
    </w:p>
    <w:p>
      <w:pPr>
        <w:keepNext/>
        <w:rPr>
          <w:noProof/>
        </w:rPr>
      </w:pPr>
      <w:r>
        <w:rPr>
          <w:noProof/>
        </w:rPr>
        <w:t>Il-Kummissjoni taċċetta l-bidliet li saru mill-Kunsill u l-Parlament Ewropew.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F5421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586A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1D01C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8FE56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3A80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BC53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E026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3C02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08 12:25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4907428-7C00-40C2-A81E-47ABB500D172"/>
    <w:docVar w:name="LW_COVERPAGE_TYPE" w:val="1"/>
    <w:docVar w:name="LW_CROSSREFERENCE" w:val="&lt;UNUSED&gt;"/>
    <w:docVar w:name="LW_DocType" w:val="COM"/>
    <w:docVar w:name="LW_EMISSION" w:val="8.10.2020"/>
    <w:docVar w:name="LW_EMISSION_ISODATE" w:val="2020-10-08"/>
    <w:docVar w:name="LW_EMISSION_LOCATION" w:val="BRX"/>
    <w:docVar w:name="LW_EMISSION_PREFIX" w:val="Brussel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22"/>
    <w:docVar w:name="LW_REF.II.NEW.CP_YEAR" w:val="2018"/>
    <w:docVar w:name="LW_REF.INST.NEW" w:val="COM"/>
    <w:docVar w:name="LW_REF.INST.NEW_ADOPTED" w:val="final"/>
    <w:docVar w:name="LW_REF.INST.NEW_TEXT" w:val="(2020) 6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po\u380?izzjoni tal-Kunsill dwar l-adozzjoni ta\u8217? Regolament tal-Parlament Ewropew u tal-Kunsill li jemenda r-Regolament (UE) Nru 1303/2013 fir-rigward tal-a\u289?\u289?ustament tal-prefinanzjament annwali g\u295?as-snin 2021-2023"/>
    <w:docVar w:name="LW_TYPE.DOC.CP" w:val="KOMUNIKAZZJONI TAL-KUMMISSJONI LILL-PARLAMENT EWROPEW_x000b__x000b_skont l-Artikolu 294(6) tat-Trattat dwar il-Funzjonament tal-Unjoni Ewropea_x000b__x000b_dwar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before="0" w:after="20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before="0" w:after="20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6FEA-4714-4293-B58A-B760E396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3</Pages>
  <Words>323</Words>
  <Characters>2469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dcterms:created xsi:type="dcterms:W3CDTF">2020-10-07T12:18:00Z</dcterms:created>
  <dcterms:modified xsi:type="dcterms:W3CDTF">2020-10-08T10:25:00Z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