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4AEDAFC-8515-4DAF-B0FA-10421C780CEF"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ab/>
      </w:r>
    </w:p>
    <w:p>
      <w:pPr>
        <w:rPr>
          <w:noProof/>
        </w:rPr>
      </w:pPr>
      <w:r>
        <w:rPr>
          <w:noProof/>
        </w:rPr>
        <w:t xml:space="preserve">I rådets förordning (EU) 2020/672 (nedan kallad </w:t>
      </w:r>
      <w:r>
        <w:rPr>
          <w:i/>
          <w:iCs/>
          <w:noProof/>
        </w:rPr>
        <w:t>SURE-förordningen</w:t>
      </w:r>
      <w:r>
        <w:rPr>
          <w:noProof/>
        </w:rPr>
        <w:t>) fastställs den rättsliga ramen för att ge ekonomiskt stöd från unionen till medlemsstater som drabbas av, eller allvarligt hotas av, stora ekonomiska störningar till följd av covid-19-utbrottet. Stöd som ges enligt SURE-förordningen ska framför allt användas för att finansiera system för korttidsarbete eller liknande åtgärder som har till syfte att skydda anställda och egenföretagare och därmed minska arbetslöshet och inkomstförluster, samt, som en komplettering, för att finansiera vissa hälsorelaterade åtgärder, särskilt på arbetsplatser.</w:t>
      </w:r>
    </w:p>
    <w:p>
      <w:pPr>
        <w:rPr>
          <w:noProof/>
        </w:rPr>
      </w:pPr>
      <w:r>
        <w:rPr>
          <w:noProof/>
        </w:rPr>
        <w:t xml:space="preserve">Den 6 augusti 2020 ansökte Ungern om ekonomiskt stöd enligt SURE-förordningen. Kommissionen har i enlighet med artikel 6.2 i SURE-förordningen samrått med de ungerska myndigheterna för att kontrollera den plötsliga och kraftiga ökning av faktiska och planerade utgifter som har direkt anknytning till Ungerns arbetsmarknad och hälsorelaterade åtgärder som vidtagits till följd av covid-19-pandemin. Dessa åtgärder gäller särskilt följande: </w:t>
      </w:r>
    </w:p>
    <w:p>
      <w:pPr>
        <w:pStyle w:val="Point0"/>
        <w:rPr>
          <w:noProof/>
        </w:rPr>
      </w:pPr>
      <w:r>
        <w:t>(a)</w:t>
      </w:r>
      <w:r>
        <w:tab/>
      </w:r>
      <w:r>
        <w:rPr>
          <w:noProof/>
        </w:rPr>
        <w:t>Tillfälligt stöd för att uppgradera boenden (ombyggnad, utbyggnad, renovering av lokaler, inköp av utrustning) på turistorter för att behålla den befintliga arbetskraften. Ansökan gäller bara den del av utgifterna som avser stödet till egenföretagare och enmansföretag.</w:t>
      </w:r>
    </w:p>
    <w:p>
      <w:pPr>
        <w:pStyle w:val="Point0"/>
        <w:rPr>
          <w:noProof/>
        </w:rPr>
      </w:pPr>
      <w:r>
        <w:t>(b)</w:t>
      </w:r>
      <w:r>
        <w:tab/>
      </w:r>
      <w:r>
        <w:rPr>
          <w:noProof/>
        </w:rPr>
        <w:t xml:space="preserve">Ett stöd i form av ett engångsbidrag till livsmedelsbearbetningsföretag, trädgårdsodlingsföretag inom sektorerna för odling av icke-fleråriga grödor och växtförökningsmaterial samt fiskodlingsföretag. Stödet är villkorat av att företaget behåller sina anställda fram till december 2020. </w:t>
      </w:r>
    </w:p>
    <w:p>
      <w:pPr>
        <w:pStyle w:val="Point0"/>
        <w:rPr>
          <w:noProof/>
        </w:rPr>
      </w:pPr>
      <w:r>
        <w:t>(c)</w:t>
      </w:r>
      <w:r>
        <w:tab/>
      </w:r>
      <w:r>
        <w:rPr>
          <w:noProof/>
        </w:rPr>
        <w:t xml:space="preserve">Barnomsorgsstöd för anställda och egenföretagare, som skulle ha löpt ut på grund av åldersbegränsningar mellan den 11 mars 2020 och den 30 juni 2020, den period som nödläget varade. </w:t>
      </w:r>
    </w:p>
    <w:p>
      <w:pPr>
        <w:pStyle w:val="Point0"/>
        <w:rPr>
          <w:noProof/>
        </w:rPr>
      </w:pPr>
      <w:r>
        <w:t>(d)</w:t>
      </w:r>
      <w:r>
        <w:tab/>
      </w:r>
      <w:r>
        <w:rPr>
          <w:noProof/>
        </w:rPr>
        <w:t>Ett undantag från arbetsgivarnas sociala avgifter och fortbildningsavgifter för perioden mars-december 2020 samt en sänkning av arbetsgivarnas skatt för rehabiliteringsbidrag för perioden mars-juni 2020 för de sektorer som drabbats hårdast av pandemin. Begäran avser den del av de totala utgifterna som avser företag som förkortar eller tillfälligt avbryter arbetstiden eller i vilka de anställda kontinuerligt var i sysselsättning fram till de senaste tillgängliga utfallsdata.</w:t>
      </w:r>
    </w:p>
    <w:p>
      <w:pPr>
        <w:pStyle w:val="Point0"/>
        <w:rPr>
          <w:noProof/>
        </w:rPr>
      </w:pPr>
      <w:r>
        <w:t>(e)</w:t>
      </w:r>
      <w:r>
        <w:tab/>
      </w:r>
      <w:r>
        <w:rPr>
          <w:noProof/>
        </w:rPr>
        <w:t>Ett undantag från systemet med engångsskatt (</w:t>
      </w:r>
      <w:r>
        <w:rPr>
          <w:i/>
          <w:iCs/>
          <w:noProof/>
        </w:rPr>
        <w:t>KATA</w:t>
      </w:r>
      <w:r>
        <w:rPr>
          <w:noProof/>
        </w:rPr>
        <w:t>) för perioden mars-juni 2020 för små skattebetalare inom 26 verksamheter. Ansökan gäller bara den del av utgifterna som avser stödet till egenföretagare och enmansföretag.</w:t>
      </w:r>
    </w:p>
    <w:p>
      <w:pPr>
        <w:pStyle w:val="Point0"/>
        <w:rPr>
          <w:noProof/>
        </w:rPr>
      </w:pPr>
      <w:r>
        <w:t>(f)</w:t>
      </w:r>
      <w:r>
        <w:tab/>
      </w:r>
      <w:r>
        <w:rPr>
          <w:noProof/>
        </w:rPr>
        <w:t>Ett undantagande av personalkostnader från skattebasen för småföretagsskatten (</w:t>
      </w:r>
      <w:r>
        <w:rPr>
          <w:i/>
          <w:iCs/>
          <w:noProof/>
        </w:rPr>
        <w:t>KIVA</w:t>
      </w:r>
      <w:r>
        <w:rPr>
          <w:noProof/>
        </w:rPr>
        <w:t>) för perioden mars-juni 2020 i de sektorer som har drabbats hårdast av pandemin. Begäran avser den del av de totala utgifterna som avser företag som förkortar eller tillfälligt avbryter arbetstiden eller i vilka de anställda kontinuerligt var i sysselsättning fram till de senaste tillgängliga utfallsdata.</w:t>
      </w:r>
    </w:p>
    <w:p>
      <w:pPr>
        <w:pStyle w:val="Point0"/>
        <w:rPr>
          <w:noProof/>
        </w:rPr>
      </w:pPr>
      <w:r>
        <w:t>(g)</w:t>
      </w:r>
      <w:r>
        <w:tab/>
      </w:r>
      <w:r>
        <w:rPr>
          <w:noProof/>
        </w:rPr>
        <w:t>En engångsförmån på 500 000 HUF per person för vårdpersonal som ett erkännande av deras extraarbete under pandemin.</w:t>
      </w:r>
    </w:p>
    <w:p>
      <w:pPr>
        <w:pStyle w:val="Point0"/>
        <w:rPr>
          <w:noProof/>
        </w:rPr>
      </w:pPr>
      <w:r>
        <w:lastRenderedPageBreak/>
        <w:t>(h)</w:t>
      </w:r>
      <w:r>
        <w:tab/>
      </w:r>
      <w:r>
        <w:rPr>
          <w:noProof/>
        </w:rPr>
        <w:t xml:space="preserve">De kostnader inom  statsägda företag som är kopplade till särskilda åtgärder för att bekämpa pandemin och som bärs av staten. Sådana hälsorelaterade åtgärder omfattar rengöring och tillhandahållande av skyddsutrustning. </w:t>
      </w:r>
    </w:p>
    <w:p>
      <w:pPr>
        <w:pStyle w:val="Point0"/>
        <w:rPr>
          <w:noProof/>
        </w:rPr>
      </w:pPr>
      <w:r>
        <w:t>(i)</w:t>
      </w:r>
      <w:r>
        <w:tab/>
      </w:r>
      <w:r>
        <w:rPr>
          <w:noProof/>
        </w:rPr>
        <w:t>Ökade kostnader för särskilda åtgärder för att bekämpa pandemin (t.ex. dagliga desinficeringstjänster och upprepad rengöring av ventilationssystem och hissar) och för att skydda statstjänstemännens personliga hälsa med desinfektionsmedel och skyddsverktyg. Sådana åtgärder har införts av generaldirektoratet för offentlig upphandling och försörjning (KEF) för att säkerställa att de statliga budgetorganen verksamhet förlöper oavbrutet.</w:t>
      </w:r>
    </w:p>
    <w:p>
      <w:pPr>
        <w:pStyle w:val="Point0"/>
        <w:rPr>
          <w:noProof/>
        </w:rPr>
      </w:pPr>
      <w:r>
        <w:t>(j)</w:t>
      </w:r>
      <w:r>
        <w:tab/>
      </w:r>
      <w:r>
        <w:rPr>
          <w:noProof/>
        </w:rPr>
        <w:t xml:space="preserve">Åtgärder som rör infrastruktur och investeringar i sjukhus för att möjliggöra en hög skyddsnivå för vårdpersonal och patienter. Åtgärderna omfattar särskilda lokaler för läkarundersökningar och isolerade Covid-vårdavdelningar. Dessutom har de direkta kostnaderna för personliga skyddsverktyg och personlig skyddsutrustning (munskydd för engångsbruk, medicinska rockar, plastskärmar, handskar, desinfektionsmedel osv.) ökat på sjukhus och andra vårdinrättningar för att möjliggöra en hög skyddsnivå för vårdpersonal. </w:t>
      </w:r>
    </w:p>
    <w:p>
      <w:pPr>
        <w:rPr>
          <w:noProof/>
        </w:rPr>
      </w:pPr>
      <w:r>
        <w:rPr>
          <w:noProof/>
        </w:rPr>
        <w:t xml:space="preserve">Ungern har lämnat relevant information till kommissionen. </w:t>
      </w:r>
    </w:p>
    <w:p>
      <w:pPr>
        <w:rPr>
          <w:noProof/>
        </w:rPr>
      </w:pPr>
      <w:r>
        <w:rPr>
          <w:noProof/>
        </w:rPr>
        <w:t>På grundval av de uppgifter som är tillgängliga föreslår kommissionen att rådet ska anta ett genomförandebeslut om att bevilja ekonomiskt stöd till Ungern enligt SURE-förordningen för att stödja ovannämnda åtgärder.</w:t>
      </w:r>
    </w:p>
    <w:p>
      <w:pPr>
        <w:rPr>
          <w:noProof/>
        </w:rPr>
      </w:pPr>
      <w:r>
        <w:rPr>
          <w:noProof/>
        </w:rPr>
        <w:t xml:space="preserve">Enligt Ungerns begäran uppgår de hälsorelaterade åtgärderna till 268 550 000 EUR. Detta motsvarar mer än hälften av det totala begärda stödbeloppet. Eftersom det måste säkerställas att denna kategori av åtgärder är underordnade, kommer det ekonomiska stödet till hälsorelaterade åtgärder att begränsas till 247 124 000 EUR, så att beloppet utgör mindre än hälften av det totala ekonomiska stödet.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Förenlighet med befintliga bestämmelser inom området</w:t>
      </w:r>
    </w:p>
    <w:p>
      <w:pPr>
        <w:spacing w:before="0" w:after="240"/>
        <w:rPr>
          <w:noProof/>
          <w:color w:val="000000" w:themeColor="text1"/>
        </w:rPr>
      </w:pPr>
      <w:r>
        <w:rPr>
          <w:noProof/>
        </w:rPr>
        <w:t>Förslaget är helt förenligt med rådets förordning (EU) 2020/672, på grundval av vilken det läggs fram.</w:t>
      </w:r>
    </w:p>
    <w:p>
      <w:pPr>
        <w:spacing w:before="0" w:after="240"/>
        <w:rPr>
          <w:noProof/>
          <w:color w:val="000000" w:themeColor="text1"/>
        </w:rPr>
      </w:pPr>
      <w:r>
        <w:rPr>
          <w:noProof/>
          <w:color w:val="000000" w:themeColor="text1"/>
        </w:rPr>
        <w:t xml:space="preserve">Förslaget kompletterar en annan unionsrättsakt som möjliggör stöd till medlemsstater i krissituationer, nämligen rådets förordning (EG) nr 2012/2002 av den 11 november 2002 om inrättande av Europeiska unionens solidaritetsfond (förordning (EG) nr 2012/2002). Den rättsakten ändras genom Europaparlamentets och rådets förordning (EU) 2020/461, som antogs den 30 mars, för att utvidga tillämpningsområdet till att även omfatta större hot mot folkhälsan och för att definiera särskilda insatser som ska kunna finansieras. </w:t>
      </w:r>
    </w:p>
    <w:p>
      <w:pPr>
        <w:pStyle w:val="ManualHeading2"/>
        <w:rPr>
          <w:rFonts w:eastAsia="Arial Unicode MS"/>
          <w:noProof/>
          <w:color w:val="000000" w:themeColor="text1"/>
        </w:rPr>
      </w:pPr>
      <w:r>
        <w:rPr>
          <w:noProof/>
          <w:color w:val="000000" w:themeColor="text1"/>
          <w:bdr w:val="none" w:sz="0" w:space="0" w:color="auto" w:frame="1"/>
        </w:rPr>
        <w:t>•</w:t>
      </w:r>
      <w:r>
        <w:rPr>
          <w:noProof/>
        </w:rPr>
        <w:tab/>
      </w:r>
      <w:r>
        <w:rPr>
          <w:noProof/>
          <w:color w:val="000000" w:themeColor="text1"/>
        </w:rPr>
        <w:t>Förenlighet med unionens politik inom andra områden</w:t>
      </w:r>
    </w:p>
    <w:p>
      <w:pPr>
        <w:spacing w:before="0" w:after="240"/>
        <w:rPr>
          <w:rFonts w:eastAsia="Arial Unicode MS"/>
          <w:noProof/>
          <w:color w:val="000000" w:themeColor="text1"/>
        </w:rPr>
      </w:pPr>
      <w:r>
        <w:rPr>
          <w:noProof/>
        </w:rPr>
        <w:t xml:space="preserve">Förslaget är en av flera åtgärder som tagits fram för att hantera den pågående covid-19-pandemin – ett annat exempel är investeringsinitiativet mot effekter av coronaviruset – och det är ett komplement till andra sysselsättningsstödjande instrument som Europeiska socialfonden och Europeiska fonden för strategiska investeringar (Efsi)/InvestEU. Genom att i den specifika situation som uppstått till följd av utbrottet av covid-19 stödja medlemsstaterna genom upp- och utlåning skapar detta förslag en andra försvarslinje för att finansiera system för korttidsarbete och liknande åtgärder som skyddar sysselsättningen och därmed anställda och egenföretagare mot risken för arbetslöshet. </w:t>
      </w:r>
    </w:p>
    <w:p>
      <w:pPr>
        <w:pStyle w:val="ManualHeading1"/>
        <w:rPr>
          <w:noProof/>
          <w:color w:val="000000" w:themeColor="text1"/>
        </w:rPr>
      </w:pPr>
      <w:r>
        <w:rPr>
          <w:noProof/>
          <w:color w:val="000000" w:themeColor="text1"/>
        </w:rPr>
        <w:lastRenderedPageBreak/>
        <w:t>2.</w:t>
      </w:r>
      <w:r>
        <w:rPr>
          <w:noProof/>
        </w:rPr>
        <w:tab/>
      </w:r>
      <w:r>
        <w:rPr>
          <w:noProof/>
          <w:color w:val="000000" w:themeColor="text1"/>
        </w:rPr>
        <w:t>RÄTTSLIG GRUND, SUBSIDIARITETSPRINCIPEN OCH PROPORTIONALITETSPRINCIPEN</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Rättslig grund</w:t>
      </w:r>
    </w:p>
    <w:p>
      <w:pPr>
        <w:spacing w:before="0" w:after="240"/>
        <w:rPr>
          <w:rFonts w:eastAsia="Arial Unicode MS"/>
          <w:noProof/>
          <w:color w:val="000000" w:themeColor="text1"/>
        </w:rPr>
      </w:pPr>
      <w:r>
        <w:rPr>
          <w:noProof/>
        </w:rPr>
        <w:t xml:space="preserve">Den rättsliga grunden för denna rättsakt är rådets förordning (EU) 2020/672.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 xml:space="preserve">Subsidiaritetsprincipen (för icke-exklusiv befogenhet) </w:t>
      </w:r>
    </w:p>
    <w:p>
      <w:pPr>
        <w:spacing w:before="0" w:after="240"/>
        <w:rPr>
          <w:noProof/>
        </w:rPr>
      </w:pPr>
      <w:r>
        <w:rPr>
          <w:noProof/>
        </w:rPr>
        <w:t>Förslaget läggs fram med anledning av en ansökan från en medlemsstat och är ett uttryck för europeisk solidaritet genom att ekonomiskt stöd från unionen ges i form av tillfälliga lån till en medlemsstat som drabbats av utbrottet av covid-19. Det ekonomiska stödet fungerar som en andra försvarslinje genom att tillfälligt bidra till staternas ökade offentliga utgifter för system för korttidsarbete och liknande åtgärder, så att de kan skydda sysselsättningen och därmed anställda och egenföretagare mot risken för arbetslöshet och förlorad inkomst.</w:t>
      </w:r>
    </w:p>
    <w:p>
      <w:pPr>
        <w:spacing w:before="0" w:after="240"/>
        <w:rPr>
          <w:rFonts w:eastAsia="Arial Unicode MS"/>
          <w:noProof/>
        </w:rPr>
      </w:pPr>
      <w:r>
        <w:rPr>
          <w:noProof/>
        </w:rPr>
        <w:t xml:space="preserve">Stödet kommer att hjälpa den drabbade befolkningen och mildra den nuvarande covid-19-krisens direkta effekter på samhället och ekonomin.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Proportionalitetsprincipen</w:t>
      </w:r>
    </w:p>
    <w:p>
      <w:pPr>
        <w:spacing w:before="0" w:after="240"/>
        <w:rPr>
          <w:rFonts w:eastAsia="Arial Unicode MS"/>
          <w:noProof/>
          <w:color w:val="000000" w:themeColor="text1"/>
        </w:rPr>
      </w:pPr>
      <w:r>
        <w:rPr>
          <w:noProof/>
        </w:rPr>
        <w:t xml:space="preserve">Förslaget är förenligt med proportionalitetsprincipen. Det går inte utöver vad som är nödvändigt för att uppnå målen med detta instrument. </w:t>
      </w:r>
    </w:p>
    <w:p>
      <w:pPr>
        <w:pStyle w:val="ManualHeading1"/>
        <w:rPr>
          <w:noProof/>
          <w:color w:val="000000" w:themeColor="text1"/>
        </w:rPr>
      </w:pPr>
      <w:r>
        <w:rPr>
          <w:noProof/>
          <w:color w:val="000000" w:themeColor="text1"/>
        </w:rPr>
        <w:t>3.</w:t>
      </w:r>
      <w:r>
        <w:rPr>
          <w:noProof/>
        </w:rPr>
        <w:tab/>
      </w:r>
      <w:r>
        <w:rPr>
          <w:noProof/>
          <w:color w:val="000000" w:themeColor="text1"/>
        </w:rPr>
        <w:t>RESULTAT AV EFTERHANDSUTVÄRDERINGAR, SAMRÅD MED BERÖRDA PARTER OCH KONSEKVENSBEDÖMNINGAR</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Samråd med berörda parter</w:t>
      </w:r>
    </w:p>
    <w:p>
      <w:pPr>
        <w:spacing w:before="0" w:after="240"/>
        <w:rPr>
          <w:rFonts w:eastAsia="Arial Unicode MS"/>
          <w:noProof/>
          <w:color w:val="000000" w:themeColor="text1"/>
        </w:rPr>
      </w:pPr>
      <w:r>
        <w:rPr>
          <w:noProof/>
          <w:color w:val="000000" w:themeColor="text1"/>
        </w:rPr>
        <w:t>Det brådskande behovet av att utarbeta förslaget så att det utan onödigt dröjsmål kan antas av rådet innebar att det inte var möjligt att genomföra ett samråd med berörda parter.</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Konsekvensbedömning</w:t>
      </w:r>
    </w:p>
    <w:p>
      <w:pPr>
        <w:spacing w:before="0" w:after="240"/>
        <w:rPr>
          <w:rFonts w:eastAsia="Arial Unicode MS"/>
          <w:noProof/>
          <w:color w:val="000000" w:themeColor="text1"/>
        </w:rPr>
      </w:pPr>
      <w:r>
        <w:rPr>
          <w:noProof/>
          <w:color w:val="000000" w:themeColor="text1"/>
        </w:rPr>
        <w:t>På grund av förslagets brådskande karaktär gjordes ingen konsekvensbedömning.</w:t>
      </w:r>
    </w:p>
    <w:p>
      <w:pPr>
        <w:pStyle w:val="ManualHeading1"/>
        <w:rPr>
          <w:noProof/>
          <w:color w:val="000000" w:themeColor="text1"/>
        </w:rPr>
      </w:pPr>
      <w:r>
        <w:rPr>
          <w:noProof/>
          <w:color w:val="000000" w:themeColor="text1"/>
        </w:rPr>
        <w:t>4.</w:t>
      </w:r>
      <w:r>
        <w:rPr>
          <w:noProof/>
        </w:rPr>
        <w:tab/>
      </w:r>
      <w:r>
        <w:rPr>
          <w:noProof/>
          <w:color w:val="000000" w:themeColor="text1"/>
        </w:rPr>
        <w:t>BUDGETKONSEKVENSER</w:t>
      </w:r>
    </w:p>
    <w:p>
      <w:pPr>
        <w:spacing w:before="0" w:after="240"/>
        <w:rPr>
          <w:rFonts w:eastAsia="Arial Unicode MS"/>
          <w:noProof/>
          <w:color w:val="000000" w:themeColor="text1"/>
        </w:rPr>
      </w:pPr>
      <w:r>
        <w:rPr>
          <w:noProof/>
          <w:color w:val="000000" w:themeColor="text1"/>
        </w:rPr>
        <w:t xml:space="preserve">Kommissionen bör få möjlighet att ta upp lån på finansmarknaderna för att sedan låna vidare till en medlemsstat som ansöker om ekonomiskt stöd enligt SURE-förordningen. </w:t>
      </w:r>
    </w:p>
    <w:p>
      <w:pPr>
        <w:rPr>
          <w:noProof/>
          <w:color w:val="000000" w:themeColor="text1"/>
        </w:rPr>
      </w:pPr>
      <w:r>
        <w:rPr>
          <w:noProof/>
          <w:color w:val="000000" w:themeColor="text1"/>
        </w:rPr>
        <w:t>Utöver medlemsstaternas garantier byggs andra skyddsåtgärder in i ramen för att säkerställa programmets ekonomiska soliditet:</w:t>
      </w:r>
    </w:p>
    <w:p>
      <w:pPr>
        <w:pStyle w:val="Bullet1"/>
        <w:numPr>
          <w:ilvl w:val="0"/>
          <w:numId w:val="5"/>
        </w:numPr>
        <w:rPr>
          <w:noProof/>
          <w:color w:val="000000" w:themeColor="text1"/>
        </w:rPr>
      </w:pPr>
      <w:r>
        <w:rPr>
          <w:noProof/>
          <w:color w:val="000000" w:themeColor="text1"/>
        </w:rPr>
        <w:t>En strikt och försiktig ekonomisk förvaltning.</w:t>
      </w:r>
    </w:p>
    <w:p>
      <w:pPr>
        <w:pStyle w:val="Bullet1"/>
        <w:numPr>
          <w:ilvl w:val="0"/>
          <w:numId w:val="5"/>
        </w:numPr>
        <w:rPr>
          <w:noProof/>
          <w:color w:val="000000" w:themeColor="text1"/>
        </w:rPr>
      </w:pPr>
      <w:r>
        <w:rPr>
          <w:noProof/>
          <w:color w:val="000000" w:themeColor="text1"/>
        </w:rPr>
        <w:t>En låneportfölj som begränsar koncentrationsrisken, den årliga exponeringen och alltför stor exponering mot enskilda medlemsstater, samtidigt som de medlemsstater som har störst behov kan garanteras tillräckliga resurser. och</w:t>
      </w:r>
    </w:p>
    <w:p>
      <w:pPr>
        <w:pStyle w:val="Bullet1"/>
        <w:numPr>
          <w:ilvl w:val="0"/>
          <w:numId w:val="5"/>
        </w:numPr>
        <w:rPr>
          <w:noProof/>
          <w:color w:val="000000" w:themeColor="text1"/>
        </w:rPr>
      </w:pPr>
      <w:r>
        <w:rPr>
          <w:noProof/>
          <w:color w:val="000000" w:themeColor="text1"/>
        </w:rPr>
        <w:t>Möjlighet att refinansiera lånen.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2020/0291 (NLE)</w:t>
      </w:r>
    </w:p>
    <w:p>
      <w:pPr>
        <w:pStyle w:val="Statut"/>
        <w:rPr>
          <w:noProof/>
        </w:rPr>
      </w:pPr>
      <w:r>
        <w:rPr>
          <w:noProof/>
        </w:rPr>
        <w:t>Förslag till</w:t>
      </w:r>
    </w:p>
    <w:p>
      <w:pPr>
        <w:pStyle w:val="Typedudocument"/>
        <w:rPr>
          <w:noProof/>
        </w:rPr>
      </w:pPr>
      <w:r>
        <w:rPr>
          <w:noProof/>
        </w:rPr>
        <w:t>RÅDETS GENOMFÖRANDEBESLUT</w:t>
      </w:r>
    </w:p>
    <w:p>
      <w:pPr>
        <w:pStyle w:val="Titreobjet"/>
        <w:rPr>
          <w:noProof/>
        </w:rPr>
      </w:pPr>
      <w:r>
        <w:rPr>
          <w:noProof/>
        </w:rPr>
        <w:t>om beviljande av tillfälligt stöd enligt förordning (EU) 2020/672 till Ungern för att minska risken för arbetslöshet i krissituationen till följd av covid-19-utbrottet</w:t>
      </w:r>
    </w:p>
    <w:p>
      <w:pPr>
        <w:pStyle w:val="Institutionquiagit"/>
        <w:rPr>
          <w:noProof/>
        </w:rPr>
      </w:pPr>
      <w:r>
        <w:rPr>
          <w:noProof/>
        </w:rPr>
        <w:t>EUROPEISKA UNIONENS RÅD HAR ANTAGIT DETTA BESLUT</w:t>
      </w:r>
    </w:p>
    <w:p>
      <w:pPr>
        <w:rPr>
          <w:noProof/>
        </w:rPr>
      </w:pPr>
      <w:r>
        <w:rPr>
          <w:noProof/>
        </w:rPr>
        <w:t>med beaktande av fördraget om Europeiska unionens funktionssätt,</w:t>
      </w:r>
    </w:p>
    <w:p>
      <w:pPr>
        <w:rPr>
          <w:noProof/>
        </w:rPr>
      </w:pPr>
      <w:r>
        <w:rPr>
          <w:noProof/>
        </w:rPr>
        <w:t>med beaktande av rådets förordning (EU) 2020/672 av den 19 maj 2020 om inrättande av ett europeiskt instrument för tillfälligt stöd för att minska risken för arbetslöshet i en krissituation (SURE) till följd av covid-19-utbrottet</w:t>
      </w:r>
      <w:r>
        <w:rPr>
          <w:rStyle w:val="FootnoteReference"/>
          <w:noProof/>
        </w:rPr>
        <w:footnoteReference w:id="1"/>
      </w:r>
      <w:r>
        <w:rPr>
          <w:noProof/>
        </w:rPr>
        <w:t>, särskilt artikel 6.1,</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Den 6 augusti 2020 ansökte Ungern om ekonomiskt stöd från unionen i syfte att komplettera dess nationella ansträngningar att hantera effekterna av covid-19-utbrottet och bemöta de socioekonomiska konsekvenserna av utbrottet för arbetstagare och egenföretagare. </w:t>
      </w:r>
    </w:p>
    <w:p>
      <w:pPr>
        <w:pStyle w:val="ManualConsidrant"/>
        <w:rPr>
          <w:noProof/>
        </w:rPr>
      </w:pPr>
      <w:r>
        <w:t>(2)</w:t>
      </w:r>
      <w:r>
        <w:tab/>
      </w:r>
      <w:r>
        <w:rPr>
          <w:noProof/>
        </w:rPr>
        <w:t xml:space="preserve">Covid-19-utbrottet och de extraordinära åtgärder som Ungern har vidtagit för att begränsa utbrottet och dess socioekonomiska och hälsorelaterade effekter förväntas på ett dramatiskt sätt påverka de offentliga finanserna. I kommissionens vårprognos 2020 förväntades Ungerns offentliga underskott uppgå till 5,2 % av bruttonationalprodukten (BNP) och den offentliga skulden till 75,0 % av BNP i slutet av 2020. I kommissionens interimsprognos sommaren 2020 beräknas Ungerns BNP minska med 7,0 % 2020. </w:t>
      </w:r>
    </w:p>
    <w:p>
      <w:pPr>
        <w:pStyle w:val="ManualConsidrant"/>
        <w:rPr>
          <w:noProof/>
        </w:rPr>
      </w:pPr>
      <w:r>
        <w:t>(3)</w:t>
      </w:r>
      <w:r>
        <w:tab/>
      </w:r>
      <w:r>
        <w:rPr>
          <w:noProof/>
        </w:rPr>
        <w:t>Covid-19-utbrottet har även immobiliserat en stor del av arbetskraften i Ungern. Detta har lett till en plötslig och kraftig ökning av Ungerns offentliga utgifter till åtgärder liknande system för korttidsarbete och hälsorelaterade åtgärder, såsom anges i skälen 4–14.</w:t>
      </w:r>
    </w:p>
    <w:p>
      <w:pPr>
        <w:pStyle w:val="ManualConsidrant"/>
        <w:rPr>
          <w:noProof/>
        </w:rPr>
      </w:pPr>
      <w:r>
        <w:t>(4)</w:t>
      </w:r>
      <w:r>
        <w:tab/>
      </w:r>
      <w:r>
        <w:rPr>
          <w:noProof/>
        </w:rPr>
        <w:t xml:space="preserve">Genom regeringsresolution 2080/2020 om nationell utveckling av boenden, som det hänvisas till i Ungerns begäran av den 6 augusti 2020, infördes tillfälligt stöd för att uppgradera boenden (ombyggnad, utbyggnad, renovering av lokaler, inköp av utrustning) på turistorter för att behålla den befintliga arbetskraften. Ansökan gäller bara den del av utgifterna som avser stödet till egenföretagare och enmansföretag. Åtgärden kan betraktas som en åtgärd liknande system för korttidsarbete, som det hänvisas till i förordning (EU) 2020/672, eftersom den syftar till att skydda egenföretagare och liknande arbetstagarkategorier mot minskad eller förlorad inkomst. </w:t>
      </w:r>
    </w:p>
    <w:p>
      <w:pPr>
        <w:pStyle w:val="ManualConsidrant"/>
        <w:rPr>
          <w:noProof/>
        </w:rPr>
      </w:pPr>
      <w:r>
        <w:t>(5)</w:t>
      </w:r>
      <w:r>
        <w:tab/>
      </w:r>
      <w:r>
        <w:rPr>
          <w:noProof/>
        </w:rPr>
        <w:t>Genom jordbruksministerns dekret nr 25/2020</w:t>
      </w:r>
      <w:r>
        <w:rPr>
          <w:rStyle w:val="FootnoteReference"/>
          <w:noProof/>
        </w:rPr>
        <w:footnoteReference w:id="2"/>
      </w:r>
      <w:r>
        <w:rPr>
          <w:noProof/>
        </w:rPr>
        <w:t>, jordbruksministerns dekret nr 26/2020</w:t>
      </w:r>
      <w:r>
        <w:rPr>
          <w:rStyle w:val="FootnoteReference"/>
          <w:noProof/>
        </w:rPr>
        <w:footnoteReference w:id="3"/>
      </w:r>
      <w:r>
        <w:rPr>
          <w:noProof/>
        </w:rPr>
        <w:t xml:space="preserve"> och jordbruksministerns dekret nr 30/2020</w:t>
      </w:r>
      <w:r>
        <w:rPr>
          <w:rStyle w:val="FootnoteReference"/>
          <w:noProof/>
        </w:rPr>
        <w:footnoteReference w:id="4"/>
      </w:r>
      <w:r>
        <w:rPr>
          <w:noProof/>
        </w:rPr>
        <w:t xml:space="preserve">, som det hänvisas till i Ungerns </w:t>
      </w:r>
      <w:r>
        <w:rPr>
          <w:noProof/>
        </w:rPr>
        <w:lastRenderedPageBreak/>
        <w:t>ansökan av den 6 augusti 2020, infördes ett engångsstöd till livsmedelsbearbetningsföretag, till trädgårdsodlingsföretag inom sektorerna för odling av icke-fleråriga grödor och för växtförökning, samt till fiskodlingsföretag. Stödet är villkorat av att företaget behåller sina anställda fram till december 2020. När det gäller den del av utgifterna som rör stöd till egenföretagare och enmansbolag kan stödåtgärden betraktas som en åtgärd liknande system för korttidsarbete, som avses i förordning (EU) 2020/672, eftersom den syftar till att skydda egenföretagare och liknande kategorier av arbetare mot minskad eller förlorad inkomst.</w:t>
      </w:r>
    </w:p>
    <w:p>
      <w:pPr>
        <w:pStyle w:val="ManualConsidrant"/>
        <w:rPr>
          <w:noProof/>
        </w:rPr>
      </w:pPr>
      <w:r>
        <w:t>(6)</w:t>
      </w:r>
      <w:r>
        <w:tab/>
      </w:r>
      <w:r>
        <w:rPr>
          <w:noProof/>
        </w:rPr>
        <w:t xml:space="preserve">”Genom ”regeringsdekret nr 59/2020. (III. 23.) ”och” lag LVIII från 2020 ”, som de kallas i Ungerns ansökan av den 6 augusti 2020, utvidgades anställdas och egenföretagares barnomsorgsstöd, som skulle ha löpt ut på grund av åldersbegränsningar mellan den 11 mars 2020 och den 30 juni 2020, den period som nödläget varade. Dessa vårdbidrag för barn kan betraktas som en åtgärder liknande system för korttidsarbete, som avses i förordning (EU) 2020/672, eftersom de tillhandahåller inkomststöd för anställda och egenföretagare, vilket kommer att bidra till att täcka kostnaderna för barnomsorg när skolorna är stängda så att föräldrarna kan fortsätta att arbeta, vilket innebär att deras anställning inte äventyras. </w:t>
      </w:r>
    </w:p>
    <w:p>
      <w:pPr>
        <w:pStyle w:val="ManualConsidrant"/>
        <w:rPr>
          <w:noProof/>
        </w:rPr>
      </w:pPr>
      <w:r>
        <w:t>(7)</w:t>
      </w:r>
      <w:r>
        <w:tab/>
      </w:r>
      <w:r>
        <w:rPr>
          <w:noProof/>
        </w:rPr>
        <w:t>På grundval av regeringsdekret nr 47/2020</w:t>
      </w:r>
      <w:r>
        <w:rPr>
          <w:rStyle w:val="FootnoteReference"/>
          <w:noProof/>
        </w:rPr>
        <w:footnoteReference w:id="5"/>
      </w:r>
      <w:r>
        <w:rPr>
          <w:noProof/>
        </w:rPr>
        <w:t xml:space="preserve"> (i dess ändrade lydelse), som det hänvisas till i Ungerns ansökan av den 6 augusti 2020, har myndigheterna infört ett antal skatterelaterade åtgärder. Eftersom de åtgärderna består i uteblivna intäkter för staten kan de anses vara likvärdiga med offentliga utgifter.</w:t>
      </w:r>
    </w:p>
    <w:p>
      <w:pPr>
        <w:pStyle w:val="ManualConsidrant"/>
        <w:rPr>
          <w:noProof/>
        </w:rPr>
      </w:pPr>
      <w:r>
        <w:t>(8)</w:t>
      </w:r>
      <w:r>
        <w:tab/>
      </w:r>
      <w:r>
        <w:rPr>
          <w:noProof/>
        </w:rPr>
        <w:t>För de sektorer som drabbats hårdast av pandemin införde myndigheterna ett undantag från arbetsgivarnas sociala avgifter och utbildningsavgifter för perioden mars-december 2020 samt en sänkning av arbetsgivarnas skatt för rehabiliteringsbidrag för perioden mars-juni 2020. Begäran avser den del av de totala utgifterna som avser företag som förkortar eller tillfälligt avbryter arbetstiden eller i vilka de anställda kontinuerligt var i sysselsättning fram till de senaste tillgängliga utfallsdata.</w:t>
      </w:r>
    </w:p>
    <w:p>
      <w:pPr>
        <w:pStyle w:val="ManualConsidrant"/>
        <w:rPr>
          <w:noProof/>
        </w:rPr>
      </w:pPr>
      <w:r>
        <w:t>(9)</w:t>
      </w:r>
      <w:r>
        <w:tab/>
      </w:r>
      <w:r>
        <w:rPr>
          <w:noProof/>
        </w:rPr>
        <w:t>För små skattebetalare inom 26 verksamheter infördes ett undantag från systemet med engångsskatt (</w:t>
      </w:r>
      <w:r>
        <w:rPr>
          <w:i/>
          <w:iCs/>
          <w:noProof/>
        </w:rPr>
        <w:t>KATA</w:t>
      </w:r>
      <w:r>
        <w:rPr>
          <w:noProof/>
        </w:rPr>
        <w:t xml:space="preserve">) för perioden mars-juni 2020. Ansökan gäller bara den del av utgifterna som avser stödet till egenföretagare och enmansföretag. Åtgärden kan betraktas som en åtgärd liknande system för korttidsarbete, som det hänvisas till i förordning (EU) 2020/672, eftersom den syftar till att skydda egenföretagare och liknande arbetstagarkategorier mot minskad eller förlorad inkomst. </w:t>
      </w:r>
    </w:p>
    <w:p>
      <w:pPr>
        <w:pStyle w:val="ManualConsidrant"/>
        <w:rPr>
          <w:noProof/>
        </w:rPr>
      </w:pPr>
      <w:r>
        <w:t>(10)</w:t>
      </w:r>
      <w:r>
        <w:tab/>
      </w:r>
      <w:r>
        <w:rPr>
          <w:noProof/>
        </w:rPr>
        <w:t>När det slutligen gäller skatterelaterade åtgärder har myndigheterna i de sektorer som drabbats hårdast av pandemin undantagit personalkostnader från skattebasen för småföretagsskatten (</w:t>
      </w:r>
      <w:r>
        <w:rPr>
          <w:i/>
          <w:iCs/>
          <w:noProof/>
        </w:rPr>
        <w:t>KIVA</w:t>
      </w:r>
      <w:r>
        <w:rPr>
          <w:noProof/>
        </w:rPr>
        <w:t>) för perioden mars-juni 2020. Begäran avser den del av de totala utgifterna som avser företag som förkortar eller tillfälligt avbryter arbetstiden eller i vilka de anställda kontinuerligt var i sysselsättning fram till de senaste tillgängliga utfallsdata.</w:t>
      </w:r>
    </w:p>
    <w:p>
      <w:pPr>
        <w:pStyle w:val="ManualConsidrant"/>
        <w:rPr>
          <w:noProof/>
        </w:rPr>
      </w:pPr>
      <w:r>
        <w:t>(11)</w:t>
      </w:r>
      <w:r>
        <w:tab/>
      </w:r>
      <w:r>
        <w:rPr>
          <w:noProof/>
        </w:rPr>
        <w:t>Ungern har också infört en rad hälsorelaterade åtgärder för att hantera covid-19-utbrottet. Genom regeringsdekret nr 275/2020</w:t>
      </w:r>
      <w:r>
        <w:rPr>
          <w:rStyle w:val="FootnoteReference"/>
          <w:noProof/>
        </w:rPr>
        <w:footnoteReference w:id="6"/>
      </w:r>
      <w:r>
        <w:rPr>
          <w:noProof/>
        </w:rPr>
        <w:t>, som det hänvisas till i Ungerns begäran av den 6 augusti 2020, infördes en engångsförmån på 500 000 HUF per person för vårdpersonal som ett erkännande av deras extraarbete under pandemin.</w:t>
      </w:r>
    </w:p>
    <w:p>
      <w:pPr>
        <w:pStyle w:val="ManualConsidrant"/>
        <w:rPr>
          <w:noProof/>
        </w:rPr>
      </w:pPr>
      <w:r>
        <w:lastRenderedPageBreak/>
        <w:t>(12)</w:t>
      </w:r>
      <w:r>
        <w:tab/>
      </w:r>
      <w:r>
        <w:rPr>
          <w:noProof/>
        </w:rPr>
        <w:t xml:space="preserve">Statsägda företag, vars kostnader bärs av staten, har infört särskilda åtgärder med motsvarande kostnader för att bekämpa pandemin. Sådana hälsorelaterade åtgärder omfattar rengöring och tillhandahållande av skyddsutrustning. </w:t>
      </w:r>
    </w:p>
    <w:p>
      <w:pPr>
        <w:pStyle w:val="ManualConsidrant"/>
        <w:rPr>
          <w:noProof/>
        </w:rPr>
      </w:pPr>
      <w:r>
        <w:t>(13)</w:t>
      </w:r>
      <w:r>
        <w:tab/>
      </w:r>
      <w:r>
        <w:rPr>
          <w:noProof/>
        </w:rPr>
        <w:t>På grundval av regeringsdekret nr 250/2014 (X. 2) om generaldirektoratet för offentlig upphandling och försörjning (</w:t>
      </w:r>
      <w:r>
        <w:rPr>
          <w:i/>
          <w:iCs/>
          <w:noProof/>
        </w:rPr>
        <w:t>KEF</w:t>
      </w:r>
      <w:r>
        <w:rPr>
          <w:noProof/>
        </w:rPr>
        <w:t>)</w:t>
      </w:r>
      <w:r>
        <w:rPr>
          <w:rStyle w:val="FootnoteReference"/>
          <w:noProof/>
        </w:rPr>
        <w:footnoteReference w:id="7"/>
      </w:r>
      <w:r>
        <w:rPr>
          <w:noProof/>
        </w:rPr>
        <w:t>, som det hänvisas till i Ungerns begäran av den 6 augusti 2020, har särskilda åtgärder som vidtagits för att bekämpa pandemin (t.ex. dagliga desinficeringstjänster samt upprepad rengöring av ventilationssystem och hissar) och för att skydda statstjänstemännens personliga hälsa med desinfektionsmedel och skyddsverktyg, medfört ökade kostnader. Sådana åtgärder har införts av generaldirektoratet för offentlig upphandling och försörjning (KEF) för att säkerställa att de statliga budgetorganen verksamhet förlöper oavbrutet.</w:t>
      </w:r>
    </w:p>
    <w:p>
      <w:pPr>
        <w:pStyle w:val="ManualConsidrant"/>
        <w:rPr>
          <w:noProof/>
        </w:rPr>
      </w:pPr>
      <w:r>
        <w:t>(14)</w:t>
      </w:r>
      <w:r>
        <w:tab/>
      </w:r>
      <w:r>
        <w:rPr>
          <w:noProof/>
        </w:rPr>
        <w:t>Slutligen har det genom regeringsresolution 1012/2020 om förvaltning av driftspersonal</w:t>
      </w:r>
      <w:r>
        <w:rPr>
          <w:rStyle w:val="FootnoteReference"/>
          <w:noProof/>
        </w:rPr>
        <w:footnoteReference w:id="8"/>
      </w:r>
      <w:r>
        <w:rPr>
          <w:noProof/>
        </w:rPr>
        <w:t xml:space="preserve">, som det hänvisas till i Ungerns begäran av den 6 augusti 2020, införts åtgärder med anknytning till infrastruktur och investeringar i sjukhus för att möjliggöra en hög skyddsnivå för vårdpersonal och patienter. Åtgärderna omfattar särskilda lokaler för läkarundersökningar och isolerade Covid-vårdavdelningar. Dessutom har de direkta kostnaderna för personliga skyddsverktyg och personlig skyddsutrustning (munskydd för engångsbruk, medicinska rockar, plastskärmar, handskar, desinfektionsmedel osv.) ökat på sjukhus och andra vårdinrättningar för att möjliggöra en hög skyddsnivå för vårdpersonal. </w:t>
      </w:r>
    </w:p>
    <w:p>
      <w:pPr>
        <w:pStyle w:val="ManualConsidrant"/>
        <w:rPr>
          <w:noProof/>
        </w:rPr>
      </w:pPr>
      <w:r>
        <w:t>(15)</w:t>
      </w:r>
      <w:r>
        <w:tab/>
      </w:r>
      <w:r>
        <w:rPr>
          <w:noProof/>
        </w:rPr>
        <w:t>Ungern uppfyller de villkor för att få ansöka om ekonomiskt stöd som anges i artikel 3 i förordning (EU) 2020/672. Ungern har tillhandahållit kommissionen lämplig bevisning för att de faktiska och planerade offentliga utgifterna har ökat med 639 500 000 EUR från och med den 1 februari 2020 på grund av de nationella åtgärder som har vidtagits för att hantera de socioekonomiska effekterna av covid-19-utbrottet. Det ökade beloppet som har direkt anknytning till ovanstående åtgärder liknande systemen för korttidsarbete utgör en plötslig och kraftig ökning, eftersom det avser både nya åtgärder och en utvidgning av befintliga åtgärder, som omfattar en betydande andel av företagen och arbetskraften i Ungern. Ungern har för avsikt att finansiera 113 740 000 EUR av det ökade utgiftsbeloppet med unionsmedel.</w:t>
      </w:r>
    </w:p>
    <w:p>
      <w:pPr>
        <w:pStyle w:val="ManualConsidrant"/>
        <w:rPr>
          <w:noProof/>
        </w:rPr>
      </w:pPr>
      <w:r>
        <w:t>(16)</w:t>
      </w:r>
      <w:r>
        <w:tab/>
      </w:r>
      <w:r>
        <w:rPr>
          <w:noProof/>
        </w:rPr>
        <w:t xml:space="preserve">Kommissionen har i enlighet med artikel 6 i förordning (EU) 2020/672 samrått med Ungern och kontrollerat den plötsliga och kraftiga ökning av de faktiska och planerade offentliga utgifterna med direkt anknytning till system för korttidsarbete och liknande åtgärder samt till relevanta hälsorelaterade åtgärder med anledning av covid-19-utbrottet som det hänvisas till i ansökan av den 6 augusti 2020. </w:t>
      </w:r>
    </w:p>
    <w:p>
      <w:pPr>
        <w:pStyle w:val="ManualConsidrant"/>
        <w:rPr>
          <w:noProof/>
        </w:rPr>
      </w:pPr>
      <w:r>
        <w:t>(17)</w:t>
      </w:r>
      <w:r>
        <w:tab/>
      </w:r>
      <w:r>
        <w:rPr>
          <w:noProof/>
        </w:rPr>
        <w:t xml:space="preserve">De hälsorelaterade åtgärder som Ungern begärt och som det hänvisas till i skälen 11-14 uppgår till 268 550 000 EUR. Detta belopp utgör mer än hälften av det totala begärda stödbeloppet. Eftersom det behöver säkerställas att denna kategori av åtgärder är underordnade, bör det ekonomiska stödet till hälsorelaterade åtgärder begränsas till 247 124 000 EUR, så att beloppet utgör mindre än hälften av det totala ekonomiska stödet. </w:t>
      </w:r>
    </w:p>
    <w:p>
      <w:pPr>
        <w:pStyle w:val="ManualConsidrant"/>
        <w:rPr>
          <w:noProof/>
        </w:rPr>
      </w:pPr>
      <w:r>
        <w:t>(18)</w:t>
      </w:r>
      <w:r>
        <w:tab/>
      </w:r>
      <w:r>
        <w:rPr>
          <w:noProof/>
        </w:rPr>
        <w:t>Ekonomiskt stöd bör därför ges för att hjälpa Ungern att hantera de socioekonomiska effekterna av de stora ekonomiska störningar som är en följd av covid-19-utbrottet. Kommissionen bör fatta beslut om löptid och storlek på samt utbetalning av delbetalningar och trancher i nära samarbete med de nationella myndigheterna.</w:t>
      </w:r>
    </w:p>
    <w:p>
      <w:pPr>
        <w:pStyle w:val="ManualConsidrant"/>
        <w:rPr>
          <w:noProof/>
        </w:rPr>
      </w:pPr>
      <w:r>
        <w:lastRenderedPageBreak/>
        <w:t>(19)</w:t>
      </w:r>
      <w:r>
        <w:tab/>
      </w:r>
      <w:r>
        <w:rPr>
          <w:noProof/>
        </w:rPr>
        <w:t>Detta beslut bör inte påverka resultatet av eventuella förfaranden som rör snedvridningar av den inre marknadens funktion som kan komma att inledas, särskilt enligt artiklarna 107 och 108 i fördraget. Beslutet befriar inte medlemsstaterna från deras skyldighet att i enlighet med artikel 108 i fördraget till kommissionen anmäla alla planerade statliga stödåtgärder.</w:t>
      </w:r>
    </w:p>
    <w:p>
      <w:pPr>
        <w:pStyle w:val="ManualConsidrant"/>
        <w:rPr>
          <w:noProof/>
        </w:rPr>
      </w:pPr>
      <w:r>
        <w:t>(20)</w:t>
      </w:r>
      <w:r>
        <w:tab/>
      </w:r>
      <w:r>
        <w:rPr>
          <w:noProof/>
        </w:rPr>
        <w:t>Ungern bör regelbundet informera kommissionen om genomförandet av de planerade offentliga utgifterna för att göra det möjligt för kommissionen att bedöma i vilken utsträckning Ungern har genomfört utgifterna.</w:t>
      </w:r>
    </w:p>
    <w:p>
      <w:pPr>
        <w:pStyle w:val="ManualConsidrant"/>
        <w:rPr>
          <w:noProof/>
        </w:rPr>
      </w:pPr>
      <w:r>
        <w:t>(21)</w:t>
      </w:r>
      <w:r>
        <w:tab/>
      </w:r>
      <w:r>
        <w:rPr>
          <w:noProof/>
        </w:rPr>
        <w:t>Beslutet att ge ekonomiskt stöd har fattats med beaktande av Ungerns befintliga och förväntade behov, de ansökningar om ekonomiskt stöd enligt förordning (EU) 2020/672 som andra medlemsstater redan lämnat in eller planerar att lämna in, samt med tillämpning av principerna om likabehandling, solidaritet, proportionalitet och insyn.</w:t>
      </w:r>
    </w:p>
    <w:p>
      <w:pPr>
        <w:pStyle w:val="Formuledadoption"/>
        <w:rPr>
          <w:noProof/>
        </w:rPr>
      </w:pPr>
      <w:r>
        <w:rPr>
          <w:noProof/>
        </w:rPr>
        <w:t xml:space="preserve">HÄRIGENOM FÖRESKRIVS FÖLJANDE. </w:t>
      </w:r>
    </w:p>
    <w:p>
      <w:pPr>
        <w:pStyle w:val="Titrearticle"/>
        <w:rPr>
          <w:noProof/>
        </w:rPr>
      </w:pPr>
      <w:r>
        <w:rPr>
          <w:noProof/>
        </w:rPr>
        <w:t>Artikel 1</w:t>
      </w:r>
    </w:p>
    <w:p>
      <w:pPr>
        <w:rPr>
          <w:i/>
          <w:noProof/>
        </w:rPr>
      </w:pPr>
      <w:r>
        <w:rPr>
          <w:noProof/>
        </w:rPr>
        <w:t xml:space="preserve">Ungern uppfyller villkoren i artikel 3 i förordning (EU) 2020/672.  </w:t>
      </w:r>
    </w:p>
    <w:p>
      <w:pPr>
        <w:pStyle w:val="Titrearticle"/>
        <w:rPr>
          <w:noProof/>
        </w:rPr>
      </w:pPr>
      <w:r>
        <w:rPr>
          <w:noProof/>
        </w:rPr>
        <w:t>Artikel 2</w:t>
      </w:r>
    </w:p>
    <w:p>
      <w:pPr>
        <w:pStyle w:val="ManualNumPar1"/>
        <w:rPr>
          <w:noProof/>
        </w:rPr>
      </w:pPr>
      <w:r>
        <w:t>1.</w:t>
      </w:r>
      <w:r>
        <w:tab/>
      </w:r>
      <w:r>
        <w:rPr>
          <w:noProof/>
        </w:rPr>
        <w:t>Unionen ska göra ett lån på högst 504 330 000 EUR tillgängligt för Ungern. Lånet ska ha en längsta genomsnittlig löptid på 15 år.</w:t>
      </w:r>
    </w:p>
    <w:p>
      <w:pPr>
        <w:pStyle w:val="ManualNumPar1"/>
        <w:rPr>
          <w:noProof/>
        </w:rPr>
      </w:pPr>
      <w:r>
        <w:t>2.</w:t>
      </w:r>
      <w:r>
        <w:tab/>
      </w:r>
      <w:r>
        <w:rPr>
          <w:noProof/>
        </w:rPr>
        <w:t xml:space="preserve">Det ekonomiska stöd som beviljas genom detta beslut ska vara tillgängligt under en period på 18 månader från och med den första dagen efter det att detta beslut fått verkan. </w:t>
      </w:r>
    </w:p>
    <w:p>
      <w:pPr>
        <w:pStyle w:val="ManualNumPar1"/>
        <w:rPr>
          <w:noProof/>
        </w:rPr>
      </w:pPr>
      <w:r>
        <w:t>3.</w:t>
      </w:r>
      <w:r>
        <w:tab/>
      </w:r>
      <w:r>
        <w:rPr>
          <w:noProof/>
        </w:rPr>
        <w:t xml:space="preserve">Kommissionen ska göra unionens ekonomiska stöd tillgängligt för Ungern i högst åtta delbetalningar. En delbetalning får delas upp i en eller flera trancher. Trancherna i den första delbetalningen får ha en längre löptid än den längsta genomsnittliga löptid som avses i punkt 1. I sådana fall ska löptiderna för ytterligare trancher fastställas på ett sätt som innebär att den längsta genomsnittliga löptid som avses i punkt 1 respekteras när alla delbetalningar har verkställts. </w:t>
      </w:r>
    </w:p>
    <w:p>
      <w:pPr>
        <w:pStyle w:val="ManualNumPar1"/>
        <w:rPr>
          <w:noProof/>
        </w:rPr>
      </w:pPr>
      <w:r>
        <w:t>4.</w:t>
      </w:r>
      <w:r>
        <w:tab/>
      </w:r>
      <w:r>
        <w:rPr>
          <w:noProof/>
        </w:rPr>
        <w:t xml:space="preserve">Den första delbetalningen ska verkställas med förbehåll för att det låneavtal som föreskrivs i artikel 8.2 i förordning (EU) 2020/672 träder i kraft. </w:t>
      </w:r>
    </w:p>
    <w:p>
      <w:pPr>
        <w:pStyle w:val="ManualNumPar1"/>
        <w:rPr>
          <w:noProof/>
        </w:rPr>
      </w:pPr>
      <w:r>
        <w:t>5.</w:t>
      </w:r>
      <w:r>
        <w:tab/>
      </w:r>
      <w:r>
        <w:rPr>
          <w:noProof/>
        </w:rPr>
        <w:t xml:space="preserve">Ungern ska bära de finansieringskostnader för unionen som avses i artikel 4 i förordning (EU) 2020/672 för varje delbetalning samt eventuella avgifter, kostnader och utgifter som unionen ådrar sig till följd av finansiering som är knuten till det lån som beviljats enligt punkt 1 i den här artikeln. </w:t>
      </w:r>
    </w:p>
    <w:p>
      <w:pPr>
        <w:pStyle w:val="ManualNumPar1"/>
        <w:rPr>
          <w:noProof/>
        </w:rPr>
      </w:pPr>
      <w:r>
        <w:t>6.</w:t>
      </w:r>
      <w:r>
        <w:tab/>
      </w:r>
      <w:r>
        <w:rPr>
          <w:noProof/>
        </w:rPr>
        <w:t xml:space="preserve">Kommissionen ska besluta om delbetalningarnas storlek och verkställande, samt om tranchernas storlek. </w:t>
      </w:r>
    </w:p>
    <w:p>
      <w:pPr>
        <w:pStyle w:val="Titrearticle"/>
        <w:rPr>
          <w:noProof/>
        </w:rPr>
      </w:pPr>
      <w:r>
        <w:rPr>
          <w:noProof/>
        </w:rPr>
        <w:t xml:space="preserve">Artikel 3 </w:t>
      </w:r>
    </w:p>
    <w:p>
      <w:pPr>
        <w:rPr>
          <w:noProof/>
        </w:rPr>
      </w:pPr>
      <w:r>
        <w:rPr>
          <w:noProof/>
        </w:rPr>
        <w:t>1. Ungern får finansiera följande åtgärder:</w:t>
      </w:r>
    </w:p>
    <w:p>
      <w:pPr>
        <w:pStyle w:val="Point0"/>
        <w:rPr>
          <w:noProof/>
        </w:rPr>
      </w:pPr>
      <w:r>
        <w:t>(a)</w:t>
      </w:r>
      <w:r>
        <w:tab/>
      </w:r>
      <w:r>
        <w:rPr>
          <w:noProof/>
        </w:rPr>
        <w:t xml:space="preserve">Tillfälligt stöd för att uppgradera boenden på turistorter för att behålla den befintliga arbetskraften i enlighet med regeringsresolution 2080/2020 om nationell utveckling </w:t>
      </w:r>
      <w:r>
        <w:rPr>
          <w:noProof/>
        </w:rPr>
        <w:lastRenderedPageBreak/>
        <w:t>av boenden, för den del av utgifterna som avser stöd till egenföretagare och enmansföretag.</w:t>
      </w:r>
    </w:p>
    <w:p>
      <w:pPr>
        <w:pStyle w:val="Point0"/>
        <w:rPr>
          <w:noProof/>
        </w:rPr>
      </w:pPr>
      <w:r>
        <w:t>(b)</w:t>
      </w:r>
      <w:r>
        <w:tab/>
      </w:r>
      <w:r>
        <w:rPr>
          <w:noProof/>
        </w:rPr>
        <w:t>Tillfälligt stöd till livsmedelsbearbetningsföretag enligt jordbruksministerns dekret nr 25/2020 för den del av utgifterna som avser stöd till egenföretagare och enmansföretag.</w:t>
      </w:r>
    </w:p>
    <w:p>
      <w:pPr>
        <w:pStyle w:val="Point0"/>
        <w:rPr>
          <w:noProof/>
        </w:rPr>
      </w:pPr>
      <w:r>
        <w:t>(c)</w:t>
      </w:r>
      <w:r>
        <w:tab/>
      </w:r>
      <w:r>
        <w:rPr>
          <w:noProof/>
        </w:rPr>
        <w:t>Tillfälligt stöd till trädgårdsodlingsföretag inom sektorerna för odling av icke-fleråriga grödor och växtförökningsmaterial i enlighet med jordbruksministerns dekret nr 26/2020, för den del av utgifterna som avser stöd till egenföretagare och enmansföretag.</w:t>
      </w:r>
    </w:p>
    <w:p>
      <w:pPr>
        <w:pStyle w:val="Point0"/>
        <w:rPr>
          <w:noProof/>
        </w:rPr>
      </w:pPr>
      <w:r>
        <w:t>(d)</w:t>
      </w:r>
      <w:r>
        <w:tab/>
      </w:r>
      <w:r>
        <w:rPr>
          <w:noProof/>
        </w:rPr>
        <w:t>Tillfälligt stöd till vattenbruksföretag, i enlighet med jordbruksministerns dekret nr 30/2020, för den del av utgifterna som avser stöd till egenföretagare och enmansföretag.</w:t>
      </w:r>
    </w:p>
    <w:p>
      <w:pPr>
        <w:pStyle w:val="Point0"/>
        <w:rPr>
          <w:noProof/>
        </w:rPr>
      </w:pPr>
      <w:r>
        <w:t>(e)</w:t>
      </w:r>
      <w:r>
        <w:tab/>
      </w:r>
      <w:r>
        <w:rPr>
          <w:noProof/>
        </w:rPr>
        <w:t>Förlängning till och med den 30 juni 2020 av de barnomsorgsstöd som löpte ut under den period då nödläget varade, i enlighet med statsrådets förordning nr 59/2020. (III. 23.) och Lag LVIII av 2020 artikel 71.</w:t>
      </w:r>
    </w:p>
    <w:p>
      <w:pPr>
        <w:pStyle w:val="Point0"/>
        <w:rPr>
          <w:noProof/>
        </w:rPr>
      </w:pPr>
      <w:r>
        <w:t>(f)</w:t>
      </w:r>
      <w:r>
        <w:tab/>
      </w:r>
      <w:r>
        <w:rPr>
          <w:noProof/>
        </w:rPr>
        <w:t>Tillfälligt avbrytande av arbetsgivarnas socialförsäkringsskatt inom vissa sektorer för perioden mars-december 2020, i enlighet med artikel 4 a i regeringsdekret nr 47/2020 (i dess ändrade lydelse), för den del av utgifterna som avser företag som förkortar eller tillfälligt avbryter arbetstiden eller i vilka de anställda kontinuerligt var i sysselsättning.</w:t>
      </w:r>
    </w:p>
    <w:p>
      <w:pPr>
        <w:pStyle w:val="Point0"/>
        <w:rPr>
          <w:noProof/>
        </w:rPr>
      </w:pPr>
      <w:r>
        <w:t>(g)</w:t>
      </w:r>
      <w:r>
        <w:tab/>
      </w:r>
      <w:r>
        <w:rPr>
          <w:noProof/>
        </w:rPr>
        <w:t>Undantag från arbetsgivarnas utbildningsavgifter inom vissa sektorer för perioden mars-december 2020, i enlighet med artikel 4 a i regeringsdekret nr 47/2020 (i dess ändrade lydelse), för den del av utgifterna som avser företag som förkortar eller tillfälligt avbryter arbetstiden eller i vilka de anställda kontinuerligt var i sysselsättning.</w:t>
      </w:r>
    </w:p>
    <w:p>
      <w:pPr>
        <w:pStyle w:val="Point0"/>
        <w:rPr>
          <w:noProof/>
        </w:rPr>
      </w:pPr>
      <w:r>
        <w:t>(h)</w:t>
      </w:r>
      <w:r>
        <w:tab/>
      </w:r>
      <w:r>
        <w:rPr>
          <w:noProof/>
        </w:rPr>
        <w:t>Sänkning av arbetsgivarnas skatt för rehabiliteringsbidrag inom vissa sektorer för perioden mars-juni 2020, i enlighet med artikel 4 a i regeringsdekret nr 47/2020 (i dess ändrade lydelse), för den del av utgifterna som avser företag som förkortar eller tillfälligt avbryter arbetstiden eller i vilka de anställda kontinuerligt var i sysselsättning.</w:t>
      </w:r>
    </w:p>
    <w:p>
      <w:pPr>
        <w:pStyle w:val="Point0"/>
        <w:rPr>
          <w:noProof/>
        </w:rPr>
      </w:pPr>
      <w:r>
        <w:t>(i)</w:t>
      </w:r>
      <w:r>
        <w:tab/>
      </w:r>
      <w:r>
        <w:rPr>
          <w:noProof/>
        </w:rPr>
        <w:t>Skattebefrielse från systemet med engångsskatt (</w:t>
      </w:r>
      <w:r>
        <w:rPr>
          <w:i/>
          <w:iCs/>
          <w:noProof/>
        </w:rPr>
        <w:t>KATA</w:t>
      </w:r>
      <w:r>
        <w:rPr>
          <w:noProof/>
        </w:rPr>
        <w:t>) för perioden mars-juni 2020 för små skattebetalare inom 26 verksamheter, i enlighet med artikel 5 i regeringsdekret nr 47/2020 (i dess ändrade lydelse), för den del av utgifterna som avser stöd till egenföretagare och enmansföretag.</w:t>
      </w:r>
    </w:p>
    <w:p>
      <w:pPr>
        <w:pStyle w:val="Point0"/>
        <w:rPr>
          <w:noProof/>
        </w:rPr>
      </w:pPr>
      <w:r>
        <w:t>(j)</w:t>
      </w:r>
      <w:r>
        <w:tab/>
      </w:r>
      <w:r>
        <w:rPr>
          <w:noProof/>
        </w:rPr>
        <w:t>Undantagande av personalkostnader från skattebasen för småföretagsskatten (</w:t>
      </w:r>
      <w:r>
        <w:rPr>
          <w:i/>
          <w:iCs/>
          <w:noProof/>
        </w:rPr>
        <w:t>KIVA</w:t>
      </w:r>
      <w:r>
        <w:rPr>
          <w:noProof/>
        </w:rPr>
        <w:t>) inom vissa sektorer för perioden mars-juni 2020 enligt vad som föreskrivs i regeringsdekret nr 47/2020 (i dess ändrade lydelse), för den del av utgifterna som avser företag som förkortar eller tillfälligt avbryter arbetstiden eller i vilka de anställda kontinuerligt var i sysselsättning.</w:t>
      </w:r>
    </w:p>
    <w:p>
      <w:pPr>
        <w:pStyle w:val="Point0"/>
        <w:rPr>
          <w:noProof/>
        </w:rPr>
      </w:pPr>
      <w:r>
        <w:t>(k)</w:t>
      </w:r>
      <w:r>
        <w:tab/>
      </w:r>
      <w:r>
        <w:rPr>
          <w:noProof/>
        </w:rPr>
        <w:t>En engångsförmån för vårdpersonal som ett erkännande av deras extraarbete under pandemin, i enlighet med regeringsdekret nr 275/2020.</w:t>
      </w:r>
    </w:p>
    <w:p>
      <w:pPr>
        <w:pStyle w:val="Point0"/>
        <w:rPr>
          <w:noProof/>
        </w:rPr>
      </w:pPr>
      <w:r>
        <w:t>(l)</w:t>
      </w:r>
      <w:r>
        <w:tab/>
      </w:r>
      <w:r>
        <w:rPr>
          <w:noProof/>
        </w:rPr>
        <w:t>Kostnader för särskilda åtgärder för att bekämpa pandemin som införts i statsägda företag.</w:t>
      </w:r>
    </w:p>
    <w:p>
      <w:pPr>
        <w:pStyle w:val="Point0"/>
        <w:rPr>
          <w:noProof/>
        </w:rPr>
      </w:pPr>
      <w:r>
        <w:lastRenderedPageBreak/>
        <w:t>(m)</w:t>
      </w:r>
      <w:r>
        <w:tab/>
      </w:r>
      <w:r>
        <w:rPr>
          <w:noProof/>
        </w:rPr>
        <w:t>Kostnader för särskilda åtgärder för att bekämpa pandemin och skydda statstjänstemäns personliga hälsa, i enlighet med regeringsdekret nr 250/2014 (X. 2.) om generaldirektoratet för offentlig upphandling och försörjning (</w:t>
      </w:r>
      <w:r>
        <w:rPr>
          <w:i/>
          <w:iCs/>
          <w:noProof/>
        </w:rPr>
        <w:t>KEF</w:t>
      </w:r>
      <w:r>
        <w:rPr>
          <w:noProof/>
        </w:rPr>
        <w:t>).</w:t>
      </w:r>
    </w:p>
    <w:p>
      <w:pPr>
        <w:pStyle w:val="Point0"/>
        <w:rPr>
          <w:noProof/>
        </w:rPr>
      </w:pPr>
      <w:r>
        <w:t>(n)</w:t>
      </w:r>
      <w:r>
        <w:tab/>
      </w:r>
      <w:r>
        <w:rPr>
          <w:noProof/>
        </w:rPr>
        <w:t>Kostnader som rör infrastruktur och investeringar i sjukhus för en hög skyddsnivå för vårdpersonal och patienter, i enlighet med regeringsresolution 1012/2020 om förvaltning av driftspersonal.</w:t>
      </w:r>
    </w:p>
    <w:p>
      <w:pPr>
        <w:pStyle w:val="Point0"/>
        <w:rPr>
          <w:noProof/>
        </w:rPr>
      </w:pPr>
      <w:r>
        <w:t>(o)</w:t>
      </w:r>
      <w:r>
        <w:tab/>
      </w:r>
      <w:r>
        <w:rPr>
          <w:noProof/>
        </w:rPr>
        <w:t xml:space="preserve">Direkta kostnader för personliga skyddsverktyg och personlig skyddsutrustning på sjukhus och andra vårdinrättningar för en hög skyddsnivå för vårdpersonal, i enlighet med regeringens resolution 1012/2020 om förvaltning av driftspersonal. </w:t>
      </w:r>
    </w:p>
    <w:p>
      <w:pPr>
        <w:pStyle w:val="Titrearticle"/>
        <w:rPr>
          <w:noProof/>
        </w:rPr>
      </w:pPr>
      <w:r>
        <w:rPr>
          <w:noProof/>
        </w:rPr>
        <w:t>Artikel 4</w:t>
      </w:r>
    </w:p>
    <w:p>
      <w:pPr>
        <w:rPr>
          <w:noProof/>
        </w:rPr>
      </w:pPr>
      <w:r>
        <w:rPr>
          <w:noProof/>
        </w:rPr>
        <w:t>Ungern ska senast ... [</w:t>
      </w:r>
      <w:r>
        <w:rPr>
          <w:i/>
          <w:iCs/>
          <w:noProof/>
        </w:rPr>
        <w:t>sex månader efter offentliggörandet av detta beslut</w:t>
      </w:r>
      <w:r>
        <w:rPr>
          <w:noProof/>
        </w:rPr>
        <w:t>] och därefter var sjätte månad informera kommissionen om genomförandet av de planerade offentliga utgifterna till dess att de är helt genomförda.</w:t>
      </w:r>
    </w:p>
    <w:p>
      <w:pPr>
        <w:pStyle w:val="Titrearticle"/>
        <w:rPr>
          <w:noProof/>
        </w:rPr>
      </w:pPr>
      <w:r>
        <w:rPr>
          <w:noProof/>
        </w:rPr>
        <w:t>Artikel 5</w:t>
      </w:r>
    </w:p>
    <w:p>
      <w:pPr>
        <w:keepNext/>
        <w:keepLines/>
        <w:rPr>
          <w:noProof/>
        </w:rPr>
      </w:pPr>
      <w:r>
        <w:rPr>
          <w:noProof/>
        </w:rPr>
        <w:t>Detta beslut riktar sig till Ungern.</w:t>
      </w:r>
    </w:p>
    <w:p>
      <w:pPr>
        <w:keepNext/>
        <w:keepLines/>
        <w:rPr>
          <w:noProof/>
        </w:rPr>
      </w:pPr>
      <w:r>
        <w:rPr>
          <w:noProof/>
        </w:rPr>
        <w:t>Detta beslut får verkan samma dag som det delges adressaten.</w:t>
      </w:r>
    </w:p>
    <w:p>
      <w:pPr>
        <w:pStyle w:val="Titrearticle"/>
        <w:rPr>
          <w:noProof/>
        </w:rPr>
      </w:pPr>
      <w:r>
        <w:rPr>
          <w:noProof/>
        </w:rPr>
        <w:t>Artikel 6</w:t>
      </w:r>
    </w:p>
    <w:p>
      <w:pPr>
        <w:rPr>
          <w:noProof/>
        </w:rPr>
      </w:pPr>
      <w:r>
        <w:rPr>
          <w:noProof/>
        </w:rPr>
        <w:t xml:space="preserve">Detta beslut ska offentliggöras i </w:t>
      </w:r>
      <w:r>
        <w:rPr>
          <w:i/>
          <w:iCs/>
          <w:noProof/>
        </w:rPr>
        <w:t>Europeiska unionens officiella tidning</w:t>
      </w:r>
      <w:r>
        <w:rPr>
          <w:noProof/>
        </w:rPr>
        <w:t xml:space="preserve">. </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159, 20.5.2020, s. 1.</w:t>
      </w:r>
    </w:p>
  </w:footnote>
  <w:footnote w:id="2">
    <w:p>
      <w:pPr>
        <w:pStyle w:val="FootnoteText"/>
      </w:pPr>
      <w:r>
        <w:rPr>
          <w:rStyle w:val="FootnoteReference"/>
        </w:rPr>
        <w:footnoteRef/>
      </w:r>
      <w:r>
        <w:tab/>
        <w:t>(VI. 22), offentliggjord i Ungerns officiella tidning den 22 juni 2020 (nr 148).</w:t>
      </w:r>
    </w:p>
  </w:footnote>
  <w:footnote w:id="3">
    <w:p>
      <w:pPr>
        <w:pStyle w:val="FootnoteText"/>
      </w:pPr>
      <w:r>
        <w:rPr>
          <w:rStyle w:val="FootnoteReference"/>
        </w:rPr>
        <w:footnoteRef/>
      </w:r>
      <w:r>
        <w:tab/>
        <w:t>(VI. 22), offentliggjord i Ungerns officiella tidning den 22 juni 2020 (nr 148).</w:t>
      </w:r>
    </w:p>
  </w:footnote>
  <w:footnote w:id="4">
    <w:p>
      <w:pPr>
        <w:pStyle w:val="FootnoteText"/>
      </w:pPr>
      <w:r>
        <w:rPr>
          <w:rStyle w:val="FootnoteReference"/>
        </w:rPr>
        <w:footnoteRef/>
      </w:r>
      <w:r>
        <w:tab/>
        <w:t>(VI. 22), offentliggjord i Ungerns officiella tidning den 22 juni 2020 (nr 148).</w:t>
      </w:r>
    </w:p>
  </w:footnote>
  <w:footnote w:id="5">
    <w:p>
      <w:pPr>
        <w:pStyle w:val="FootnoteText"/>
      </w:pPr>
      <w:r>
        <w:rPr>
          <w:rStyle w:val="FootnoteReference"/>
        </w:rPr>
        <w:footnoteRef/>
      </w:r>
      <w:r>
        <w:tab/>
        <w:t>Utfärdad i Ungerns officiella tidning onsdagen den 18 mars 2020 (nr 47).</w:t>
      </w:r>
    </w:p>
  </w:footnote>
  <w:footnote w:id="6">
    <w:p>
      <w:pPr>
        <w:pStyle w:val="FootnoteText"/>
      </w:pPr>
      <w:r>
        <w:rPr>
          <w:rStyle w:val="FootnoteReference"/>
        </w:rPr>
        <w:footnoteRef/>
      </w:r>
      <w:r>
        <w:tab/>
        <w:t>(VI. 12.), offentliggjord i Ungerns officiella tidning den 12 juni 2020 (nr 141).</w:t>
      </w:r>
    </w:p>
  </w:footnote>
  <w:footnote w:id="7">
    <w:p>
      <w:pPr>
        <w:pStyle w:val="FootnoteText"/>
      </w:pPr>
      <w:r>
        <w:rPr>
          <w:rStyle w:val="FootnoteReference"/>
        </w:rPr>
        <w:footnoteRef/>
      </w:r>
      <w:r>
        <w:tab/>
        <w:t>Utfärdat i Ungerns officiella tidning den 2 oktober 2014 (nr 136).</w:t>
      </w:r>
    </w:p>
  </w:footnote>
  <w:footnote w:id="8">
    <w:p>
      <w:pPr>
        <w:pStyle w:val="FootnoteText"/>
      </w:pPr>
      <w:r>
        <w:rPr>
          <w:rStyle w:val="FootnoteReference"/>
        </w:rPr>
        <w:footnoteRef/>
      </w:r>
      <w:r>
        <w:tab/>
        <w:t>Utfärdat i Ungerns officiella tidning den 31 januari 2020 (nr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D0A2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200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0E54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1C2C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9 07:52: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4AEDAFC-8515-4DAF-B0FA-10421C780CEF"/>
    <w:docVar w:name="LW_COVERPAGE_TYPE" w:val="1"/>
    <w:docVar w:name="LW_CROSSREFERENCE" w:val="&lt;UNUSED&gt;"/>
    <w:docVar w:name="LW_DocType" w:val="COM"/>
    <w:docVar w:name="LW_EMISSION" w:val="7.10.2020"/>
    <w:docVar w:name="LW_EMISSION_ISODATE" w:val="2020-10-07"/>
    <w:docVar w:name="LW_EMISSION_LOCATION" w:val="BRX"/>
    <w:docVar w:name="LW_EMISSION_PREFIX" w:val="Bryssel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91"/>
    <w:docVar w:name="LW_REF.II.NEW.CP_YEAR" w:val="2020"/>
    <w:docVar w:name="LW_REF.INST.NEW" w:val="COM"/>
    <w:docVar w:name="LW_REF.INST.NEW_ADOPTED" w:val="final"/>
    <w:docVar w:name="LW_REF.INST.NEW_TEXT" w:val="(2020) 6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beviljande av tillfälligt stöd enligt förordning (EU) 2020/672 till Ungern för att minska risken för arbetslöshet i krissituationen till följd av covid-19-utbrottet"/>
    <w:docVar w:name="LW_TYPE.DOC.CP" w:val="RÅDETS GENOMFÖRANDE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480077670">
      <w:bodyDiv w:val="1"/>
      <w:marLeft w:val="0"/>
      <w:marRight w:val="0"/>
      <w:marTop w:val="0"/>
      <w:marBottom w:val="0"/>
      <w:divBdr>
        <w:top w:val="none" w:sz="0" w:space="0" w:color="auto"/>
        <w:left w:val="none" w:sz="0" w:space="0" w:color="auto"/>
        <w:bottom w:val="none" w:sz="0" w:space="0" w:color="auto"/>
        <w:right w:val="none" w:sz="0" w:space="0" w:color="auto"/>
      </w:divBdr>
    </w:div>
    <w:div w:id="578444523">
      <w:bodyDiv w:val="1"/>
      <w:marLeft w:val="0"/>
      <w:marRight w:val="0"/>
      <w:marTop w:val="0"/>
      <w:marBottom w:val="0"/>
      <w:divBdr>
        <w:top w:val="none" w:sz="0" w:space="0" w:color="auto"/>
        <w:left w:val="none" w:sz="0" w:space="0" w:color="auto"/>
        <w:bottom w:val="none" w:sz="0" w:space="0" w:color="auto"/>
        <w:right w:val="none" w:sz="0" w:space="0" w:color="auto"/>
      </w:divBdr>
    </w:div>
    <w:div w:id="680398505">
      <w:bodyDiv w:val="1"/>
      <w:marLeft w:val="0"/>
      <w:marRight w:val="0"/>
      <w:marTop w:val="0"/>
      <w:marBottom w:val="0"/>
      <w:divBdr>
        <w:top w:val="none" w:sz="0" w:space="0" w:color="auto"/>
        <w:left w:val="none" w:sz="0" w:space="0" w:color="auto"/>
        <w:bottom w:val="none" w:sz="0" w:space="0" w:color="auto"/>
        <w:right w:val="none" w:sz="0" w:space="0" w:color="auto"/>
      </w:divBdr>
    </w:div>
    <w:div w:id="734549241">
      <w:bodyDiv w:val="1"/>
      <w:marLeft w:val="0"/>
      <w:marRight w:val="0"/>
      <w:marTop w:val="0"/>
      <w:marBottom w:val="0"/>
      <w:divBdr>
        <w:top w:val="none" w:sz="0" w:space="0" w:color="auto"/>
        <w:left w:val="none" w:sz="0" w:space="0" w:color="auto"/>
        <w:bottom w:val="none" w:sz="0" w:space="0" w:color="auto"/>
        <w:right w:val="none" w:sz="0" w:space="0" w:color="auto"/>
      </w:divBdr>
    </w:div>
    <w:div w:id="7698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67C99D-BAB7-4E7C-B5B1-C7A1FA4E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3429</Words>
  <Characters>21265</Characters>
  <Application>Microsoft Office Word</Application>
  <DocSecurity>0</DocSecurity>
  <Lines>354</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2020-10-08T18:53:00Z</dcterms:created>
  <dcterms:modified xsi:type="dcterms:W3CDTF">2020-10-09T05:52:00Z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