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99E563B-DFC9-48D0-8193-DEA520EC2E07" style="width:450.75pt;height:434.2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DALYKAS</w:t>
      </w:r>
    </w:p>
    <w:p>
      <w:pPr>
        <w:pStyle w:val="ManualHeading1"/>
        <w:ind w:left="0" w:firstLine="0"/>
        <w:rPr>
          <w:b w:val="0"/>
          <w:smallCaps w:val="0"/>
          <w:noProof/>
        </w:rPr>
      </w:pPr>
      <w:r>
        <w:rPr>
          <w:b w:val="0"/>
          <w:smallCaps w:val="0"/>
          <w:noProof/>
        </w:rPr>
        <w:t>Šis pasiūlymas teikiamas dėl sprendimo, kuriuo nustatoma pozicija, kurios turi būti laikomasi Sąjungos vardu  Jungtinių Tautų Europos ekonomikos komisijos Pasauliniame transporto priemonių reglamentų derinimo forume (29 straipsnio darbo grupėje arba WP.29 grupėje), atsižvelgiant į tai, kad numatoma priimti naujas JT taisykles ir galiojančių JT taisyklių, JT bendrųjų techninių reglamentų ir vienos rezoliucijos pakeitimus.</w:t>
      </w:r>
    </w:p>
    <w:p>
      <w:pPr>
        <w:pStyle w:val="ManualHeading1"/>
        <w:rPr>
          <w:noProof/>
        </w:rPr>
      </w:pPr>
      <w:r>
        <w:rPr>
          <w:noProof/>
        </w:rPr>
        <w:t>2.</w:t>
      </w:r>
      <w:r>
        <w:rPr>
          <w:noProof/>
        </w:rPr>
        <w:tab/>
        <w:t>PASIŪLYMO APLINKYBĖS</w:t>
      </w:r>
    </w:p>
    <w:p>
      <w:pPr>
        <w:pStyle w:val="ManualHeading1"/>
        <w:rPr>
          <w:noProof/>
        </w:rPr>
      </w:pPr>
      <w:r>
        <w:rPr>
          <w:noProof/>
        </w:rPr>
        <w:t>2.1.</w:t>
      </w:r>
      <w:r>
        <w:rPr>
          <w:noProof/>
        </w:rPr>
        <w:tab/>
      </w:r>
      <w:r>
        <w:rPr>
          <w:smallCaps w:val="0"/>
          <w:noProof/>
        </w:rPr>
        <w:t>1958 m. Susitarimas ir 1998 m. Susitarimas</w:t>
      </w:r>
    </w:p>
    <w:p>
      <w:pPr>
        <w:rPr>
          <w:noProof/>
        </w:rPr>
      </w:pPr>
      <w:r>
        <w:rPr>
          <w:noProof/>
        </w:rPr>
        <w:t>Jungtinių Tautų Europos ekonomikos komisijos (toliau – JT EEK) susitarimu dėl suvienodintų techninių normų priėmimo ratinėms transporto priemonėms, įrangai ir dalims, kurios gali būti montuojamos ir (arba) naudojamos ratinėse transporto priemonėse, ir pagal tas normas suteiktų patvirtinimų abipusio pripažinimo sąlygų (toliau – Pataisytas 1958 m. susitarimas), ir Susitarimu dėl bendrųjų techninių reglamentų priėmimo ratinėms transporto priemonėms, įrangai ir dalims, kurios gali būti montuojamos ir (arba) naudojamos ratinėse transporto priemonėse (toliau – Paralelus susitarimas), siekiama parengti suderintus reikalavimus, kuriais siekiama pašalinti technines kliūtis JT EEK susitariančiųjų šalių prekybai motorinėmis transporto priemonėmis ir užtikrinti aukštą tokių transporto priemonių saugos ir aplinkos apsaugos lygį. Susitarimai ES atžvilgiu įsigaliojo atitinkamai 1998 m. kovo 24 d. ir 2000 m. vasario 15 d. Juos abu administruoja JT EEK Pasaulinis transporto priemonių reglamentų derinimo forumas (29 straipsnio darbo grupė arba WP.29 grupė).</w:t>
      </w:r>
    </w:p>
    <w:p>
      <w:pPr>
        <w:pStyle w:val="ManualHeading1"/>
        <w:ind w:left="0" w:firstLine="0"/>
        <w:rPr>
          <w:noProof/>
        </w:rPr>
      </w:pPr>
      <w:r>
        <w:rPr>
          <w:noProof/>
        </w:rPr>
        <w:t xml:space="preserve">2.2. </w:t>
      </w:r>
      <w:r>
        <w:rPr>
          <w:noProof/>
        </w:rPr>
        <w:tab/>
      </w:r>
      <w:r>
        <w:rPr>
          <w:smallCaps w:val="0"/>
          <w:noProof/>
        </w:rPr>
        <w:t>Jungtinių Tautų Europos ekonomikos komisijos (JT EEK) Pasaulinis transporto priemonių reglamentų derinimo forumas. 29 straipsnio darbo grupė arba WP. 29 grupė</w:t>
      </w:r>
    </w:p>
    <w:p>
      <w:pPr>
        <w:rPr>
          <w:noProof/>
        </w:rPr>
      </w:pPr>
      <w:r>
        <w:rPr>
          <w:noProof/>
        </w:rPr>
        <w:t>WP.29 grupė suteikia išskirtinę galimybę pasauliniu lygiu derinti transporto priemones reglamentuojančias taisykles. WP.29 grupė yra nuolatinė Jungtinių Tautų institucinės struktūros darbo grupė, turinti apibrėžtus įgaliojimus ir darbo tvarkos taisykles. Ji veikia kaip pasaulinis forumas, kuriame atvirai diskutuojama apie motorines transporto priemones reglamentuojančias taisykles ir Pataisyto 1958 m. susitarimo bei Paralelaus susitarimo įgyvendinimą. Bet kuri Jungtinių Tautų valstybė narė ir bet kuri regioninė ekonominės integracijos organizacija, įkurta Jungtinių Tautų valstybių narių, gali visapusiškai dalyvauti WP.29 grupės veikloje ir tapti WP.29 grupės administruojamų susitarimų dėl transporto priemonių susitariančiąja šalimi. Europos Sąjunga yra šių susitarimų šalis</w:t>
      </w:r>
      <w:r>
        <w:rPr>
          <w:rStyle w:val="FootnoteReference"/>
          <w:noProof/>
        </w:rPr>
        <w:footnoteReference w:id="1"/>
      </w:r>
      <w:r>
        <w:rPr>
          <w:noProof/>
        </w:rPr>
        <w:t xml:space="preserve">. </w:t>
      </w:r>
    </w:p>
    <w:p>
      <w:pPr>
        <w:rPr>
          <w:noProof/>
        </w:rPr>
      </w:pPr>
    </w:p>
    <w:p>
      <w:pPr>
        <w:rPr>
          <w:noProof/>
        </w:rPr>
      </w:pPr>
      <w:r>
        <w:rPr>
          <w:noProof/>
        </w:rPr>
        <w:lastRenderedPageBreak/>
        <w:t>JT EEK WP.29 grupės posėdžiai rengiami tris kartus per metus, t. y. kovo, birželio ir lapkričio mėn. Per kiekvieną posėdžių sesiją, siekiant atsižvelgti į technikos pažangą, gali būti priimama naujų JT taisyklių, naujų JT bendrųjų techninių reglamentų (JT BTR), galiojančių JT taisyklių bei nutarimų pagal Pataisytą 1958 m. susitarimą pakeitimų ir galiojančių JT bendrųjų techninių reglamentų bei nutarimų pagal Paralelų susitarimą pakeitimų. Prieš kiekvieną WP.29 grupės posėdį šiuos pakeitimus pirmiausia aptaria specialių pagalbinių WP.29 grupės organų techniniai ekspertai.</w:t>
      </w:r>
    </w:p>
    <w:p>
      <w:pPr>
        <w:rPr>
          <w:noProof/>
        </w:rPr>
      </w:pPr>
      <w:r>
        <w:rPr>
          <w:noProof/>
        </w:rPr>
        <w:t xml:space="preserve">Vėliau vyksta balsavimas WP.29 grupėje, t. y. sprendimai priimami kvalifikuota visų dalyvaujančių susitariančiųjų šalių, balsuojančių už pasiūlymus pagal Pataisytą 1958 m. susitarimą, balsų dauguma ir balsuojant visų dalyvaujančių susitariančiųjų šalių, balsuojančių už pasiūlymus pagal Paralelų susitarimą, susitarimu. </w:t>
      </w:r>
    </w:p>
    <w:p>
      <w:pPr>
        <w:rPr>
          <w:noProof/>
        </w:rPr>
      </w:pPr>
      <w:r>
        <w:rPr>
          <w:noProof/>
        </w:rPr>
        <w:t xml:space="preserve">Pozicija, kurios turi būti laikomasi Sąjungos vardu, dėl naujų taisyklių ir BTR, jų pakeitimų, papildymų ir klaidų ištaisymų bei rezoliucijų prieš kiekvieną WP.29 grupės sesiją nustatoma Tarybos sprendimu pagal SESV 218 straipsnio 9 dalį. </w:t>
      </w:r>
    </w:p>
    <w:p>
      <w:pPr>
        <w:pStyle w:val="ManualHeading1"/>
        <w:rPr>
          <w:smallCaps w:val="0"/>
          <w:noProof/>
        </w:rPr>
      </w:pPr>
      <w:r>
        <w:rPr>
          <w:smallCaps w:val="0"/>
          <w:noProof/>
        </w:rPr>
        <w:t xml:space="preserve">2.3. </w:t>
      </w:r>
      <w:r>
        <w:rPr>
          <w:noProof/>
        </w:rPr>
        <w:tab/>
      </w:r>
      <w:r>
        <w:rPr>
          <w:smallCaps w:val="0"/>
          <w:noProof/>
        </w:rPr>
        <w:t>Numatomas WP.29 grupės aktas</w:t>
      </w:r>
    </w:p>
    <w:p>
      <w:pPr>
        <w:rPr>
          <w:noProof/>
        </w:rPr>
      </w:pPr>
      <w:r>
        <w:rPr>
          <w:noProof/>
        </w:rPr>
        <w:t>2020 m. lapkričio 10 d. 182-ojoje sesijoje WP.29 gali priimti pasiūlymus dėl JT taisyklių Nr. 0, 13, 16, 17, 35, 44, 55, 83, 93, 94, 95, 100, 115, 137, 144, 151, 152 ir 153 pakeitimų, pasiūlymą dėl naujos JT taisyklės dėl realiomis važiavimo sąlygomis išmetamų teršalų, pasiūlymą dėl naujos JT taisyklės dėl transporto priemonių atbulinės eigos judėjimo įtaisų ir motorinių transporto priemonių patvirtinimo atsižvelgiant į vairuotojo informuotumą apie pažeidžiamus eismo dalyvius už transporto priemonės, pasiūlymą dėl naujos JT taisyklės dėl motorinių transporto priemonių atsižvelgiant į pėsčiųjų ir dviratininkų aptikimo mobiliąją informacinę sistemą, pasiūlymą dėl naujos JT taisyklės dėl įvykių duomenų savirašio, pasiūlymus dėl bendrųjų techninių reglamentų (JT BTR) Nr. 7, 15 ir 18 pakeitimų, pasiūlymą dėl naujo bendrojo techninio reglamento dėl elektrinių transporto priemonių galios nustatymo ir pasiūlymą dėl Bendrojo nutarimo dėl transporto priemonių vidaus oro kokybės (VIAQ) M.R.3 pakeitimų.</w:t>
      </w:r>
    </w:p>
    <w:p>
      <w:pPr>
        <w:pStyle w:val="ManualHeading1"/>
        <w:rPr>
          <w:noProof/>
        </w:rPr>
      </w:pPr>
      <w:r>
        <w:rPr>
          <w:noProof/>
        </w:rPr>
        <w:t xml:space="preserve">3. </w:t>
      </w:r>
      <w:r>
        <w:rPr>
          <w:noProof/>
        </w:rPr>
        <w:tab/>
        <w:t>POZICIJA, KURIOS TURI BŪTI LAIKOMASI SĄJUNGOS VARDU</w:t>
      </w:r>
    </w:p>
    <w:p>
      <w:pPr>
        <w:rPr>
          <w:noProof/>
        </w:rPr>
      </w:pPr>
      <w:r>
        <w:rPr>
          <w:noProof/>
        </w:rPr>
        <w:t>WP 29 sistema stiprinamas tarptautinis transporto priemonių standartų derinimas. 1958 m. Susitarimas yra labai svarbus siekiant šio tikslo, nes ES gamintojai gali laikytis bendrų tipo patvirtinimo taisyklių žinodami, kad jų gaminiai bus pripažinti atitinkančiais susitariančiųjų šalių nacionalinės teisės aktus. Pagal šią sistemą, pavyzdžiui, buvo sudarytos sąlygos Reglamentu (EB) Nr. 661/2009 dėl variklinių transporto priemonių bendrosios saugos panaikinti daugiau kaip 50 ES direktyvų ir jas pakeisti pagal 1958 m. Susitarimą parengtomis atitinkamomis taisyklėmis.</w:t>
      </w:r>
    </w:p>
    <w:p>
      <w:pPr>
        <w:rPr>
          <w:noProof/>
        </w:rPr>
      </w:pPr>
      <w:r>
        <w:rPr>
          <w:noProof/>
        </w:rPr>
        <w:t>Panašaus požiūrio laikomasi ir Europos Parlamento ir Tarybos Reglamente (ES) 2018/858</w:t>
      </w:r>
      <w:r>
        <w:rPr>
          <w:rStyle w:val="FootnoteReference"/>
          <w:noProof/>
        </w:rPr>
        <w:footnoteReference w:id="2"/>
      </w:r>
      <w:r>
        <w:rPr>
          <w:noProof/>
        </w:rPr>
        <w:t xml:space="preserve">, kuriuo nustatomos visų naujų transporto priemonių, sistemų, komponentų ir atskirų techninių mazgų tipo patvirtinimo ir pateikimo rinkai administracinės nuostatos ir techniniai reikalavimai. Vadovaujantis tuo reglamentu pagal Pataisytą 1958 m. susitarimą priimtos taisyklės (toliau – JT taisyklės) buvo įtrauktos į ES tipo patvirtinimo sistemą kaip tipo patvirtinimo reikalavimai arba kaip Sąjungos teisės aktų alternatyvos. </w:t>
      </w:r>
    </w:p>
    <w:p>
      <w:pPr>
        <w:rPr>
          <w:noProof/>
        </w:rPr>
      </w:pPr>
      <w:r>
        <w:rPr>
          <w:noProof/>
        </w:rPr>
        <w:lastRenderedPageBreak/>
        <w:t xml:space="preserve">Kai tik WP.29 grupė priima JT taisyklių pakeitimų arba naujų JT taisyklių pasiūlymus ir apie šiuos teisės aktus JT EEK vykdomasis sekretorius praneša susitariančiosioms šalims, o sprendimą blokuojančią mažumą sudarančios susitariančiosios šalys nepateikia prieštaravimų, teisės aktai, praėjus šešiems mėnesiams, galiausiai gali įsigalioti ir būti perkelti į galiojančius kiekvienos susitariančiosios šalies nacionalinės teisės aktus. ES perkėlimo į nacionalinės teisės aktus procedūra užbaigiama šių teisės aktų paskelbimu ES oficialiajame leidinyje. </w:t>
      </w:r>
    </w:p>
    <w:p>
      <w:pPr>
        <w:pStyle w:val="ManualHeading1"/>
        <w:rPr>
          <w:b w:val="0"/>
          <w:smallCaps w:val="0"/>
          <w:noProof/>
        </w:rPr>
      </w:pPr>
      <w:r>
        <w:rPr>
          <w:b w:val="0"/>
          <w:smallCaps w:val="0"/>
          <w:noProof/>
        </w:rPr>
        <w:t>Todėl būtina apibrėžti Sąjungos poziciją dėl šių aktų:</w:t>
      </w:r>
    </w:p>
    <w:p>
      <w:pPr>
        <w:pStyle w:val="Tiret0"/>
        <w:numPr>
          <w:ilvl w:val="0"/>
          <w:numId w:val="2"/>
        </w:numPr>
        <w:rPr>
          <w:noProof/>
        </w:rPr>
      </w:pPr>
      <w:r>
        <w:rPr>
          <w:noProof/>
        </w:rPr>
        <w:t>pasiūlymų dėl JT taisyklių Nr. 0, 13, 16, 17, 44, 94, 55, 83, 93, 95, 100, 115, 137, 144, 151, 152 ir 153 pakeitimų, susijusių su nuostatų dėl tarptautinio visos transporto priemonės tipo patvirtinimo, sunkiasvorių transporto priemonių stabdžių, saugos diržų, sėdynių tvirtumo, vaikų apsaugos sistemų, motorinėse transporto priemonėse įrengtų mechaninių sukabintuvų, M1 ir N1 kategorijų transporto priemonių išmetamųjų teršalų, priekinės apsaugos nuo palindimo įtaisų, priekinės ir šoninės apsaugos nuo susidūrimo, elektra varomų transporto priemonių, SND ir SGD pritaikymo įrangos, priekinio susidūrimo, atsižvelgiant į apsaugos sistemas, avarinės iškvietos sistemos, aklosios zonos informacinės sistemos, pažangiosios avarinio stabdymo sistemos, skirtos M1 ir N1 kategorijų transporto priemonėms, ir elektra varomų transporto priemonių degalų sistemos vientisumo ir saugos galinio susidūrimo atveju atnaujinimu;</w:t>
      </w:r>
    </w:p>
    <w:p>
      <w:pPr>
        <w:pStyle w:val="Tiret0"/>
        <w:numPr>
          <w:ilvl w:val="0"/>
          <w:numId w:val="2"/>
        </w:numPr>
        <w:rPr>
          <w:noProof/>
        </w:rPr>
      </w:pPr>
      <w:r>
        <w:rPr>
          <w:noProof/>
        </w:rPr>
        <w:t>pasiūlymo dėl naujos JT taisyklės dėl atbulinės eigos judėjimo įtaisų ir motorinių transporto priemonių patvirtinimo atsižvelgiant į vairuotojo informuotumą apie pažeidžiamus eismo dalyvius už transporto priemonės;</w:t>
      </w:r>
    </w:p>
    <w:p>
      <w:pPr>
        <w:pStyle w:val="Tiret0"/>
        <w:numPr>
          <w:ilvl w:val="0"/>
          <w:numId w:val="2"/>
        </w:numPr>
        <w:rPr>
          <w:noProof/>
        </w:rPr>
      </w:pPr>
      <w:r>
        <w:rPr>
          <w:noProof/>
        </w:rPr>
        <w:t>pasiūlymo dėl naujos JT taisyklės dėl motorinių transporto priemonių patvirtinimo atsižvelgiant į mobiliąją pėsčiųjų ir dviratininkų aptikimo informacinę sistemą;</w:t>
      </w:r>
    </w:p>
    <w:p>
      <w:pPr>
        <w:pStyle w:val="Tiret0"/>
        <w:numPr>
          <w:ilvl w:val="0"/>
          <w:numId w:val="2"/>
        </w:numPr>
        <w:rPr>
          <w:noProof/>
        </w:rPr>
      </w:pPr>
      <w:r>
        <w:rPr>
          <w:noProof/>
        </w:rPr>
        <w:t>pasiūlymų dėl bendrųjų techninių reglamentų (JT BTR) Nr. 7, 15 ir 18 pakeitimų, susijusių su galvos atramomis, pasauliniu mastu suderintomis lengvųjų transporto priemonių bandymų procedūromis (WLTP) ir L kategorijos transporto priemonių diagnostikos (OBD) sistemomis;</w:t>
      </w:r>
    </w:p>
    <w:p>
      <w:pPr>
        <w:pStyle w:val="Tiret0"/>
        <w:numPr>
          <w:ilvl w:val="0"/>
          <w:numId w:val="2"/>
        </w:numPr>
        <w:rPr>
          <w:noProof/>
        </w:rPr>
      </w:pPr>
      <w:r>
        <w:rPr>
          <w:noProof/>
        </w:rPr>
        <w:t>naujo bendrojo techninio reglamento dėl elektrinių transporto priemonių galios nustatymo pasiūlymo;</w:t>
      </w:r>
    </w:p>
    <w:p>
      <w:pPr>
        <w:pStyle w:val="Tiret0"/>
        <w:numPr>
          <w:ilvl w:val="0"/>
          <w:numId w:val="2"/>
        </w:numPr>
        <w:rPr>
          <w:noProof/>
        </w:rPr>
      </w:pPr>
      <w:r>
        <w:rPr>
          <w:noProof/>
        </w:rPr>
        <w:t xml:space="preserve"> Bendrojo nutarimo M.R.3 dėl transporto priemonių vidaus oro kokybės (VIAQ) pakeitimų pasiūlymo; </w:t>
      </w:r>
    </w:p>
    <w:p>
      <w:pPr>
        <w:rPr>
          <w:noProof/>
        </w:rPr>
      </w:pPr>
      <w:r>
        <w:rPr>
          <w:noProof/>
        </w:rPr>
        <w:t>pateiktų balsavimui 2020 m. lapkričio mėn. WP.29 grupės posėdyje, vyksiančiame 2020 m. lapkričio 10 d. Be to, būtina apibrėžti Sąjungos poziciją dėl:</w:t>
      </w:r>
    </w:p>
    <w:p>
      <w:pPr>
        <w:pStyle w:val="Tiret0"/>
        <w:rPr>
          <w:noProof/>
        </w:rPr>
      </w:pPr>
      <w:r>
        <w:rPr>
          <w:noProof/>
        </w:rPr>
        <w:t>įgaliojimų parengti JT BTR Nr. 8 dėl elektroninių stabilumo kontrolės sistemų pakeitimą ir naują JT BTR dėl transporto priemonėse sumontuotų baterijų patvarumo pasiūlymus;</w:t>
      </w:r>
    </w:p>
    <w:p>
      <w:pPr>
        <w:pStyle w:val="Tiret0"/>
        <w:rPr>
          <w:noProof/>
        </w:rPr>
      </w:pPr>
      <w:r>
        <w:rPr>
          <w:noProof/>
        </w:rPr>
        <w:t>pasiūlymus dėl JT taisyklių Nr. 155 ir 156 aiškinimo dokumentų, taip pat pasiūlymą dėl duomenų bazės naudojimo keičiantis tipo patvirtinimais (DETA) gairių pagal JT taisyklę Nr. 155.</w:t>
      </w:r>
    </w:p>
    <w:p>
      <w:pPr>
        <w:rPr>
          <w:noProof/>
        </w:rPr>
      </w:pPr>
      <w:r>
        <w:rPr>
          <w:noProof/>
        </w:rPr>
        <w:t xml:space="preserve">Sąjunga turėtų pritarti minėtiesiems teisės aktams, nes jie visiškai atitinka Sąjungos vidaus rinkos politikos priemones, susijusias su automobilių pramone, ir dera su Sąjungos transporto, klimato ir energetikos politika. Šie teisės aktai daro itin teigiamą poveikį ES automobilių pramonės konkurencingumui ir tarptautinei prekybai. Nubalsavus už šiuos teisės aktus, visoje Sąjungoje būtų skatinama technologijų pažanga, išnaudojami masto ekonomijos privalumai, </w:t>
      </w:r>
      <w:r>
        <w:rPr>
          <w:noProof/>
        </w:rPr>
        <w:lastRenderedPageBreak/>
        <w:t xml:space="preserve">užkertamas kelias vidaus rinkos susiskaidymui ir užtikrinamas vienodas automobilių standartų taikymas. </w:t>
      </w:r>
    </w:p>
    <w:p>
      <w:pPr>
        <w:rPr>
          <w:noProof/>
        </w:rPr>
      </w:pPr>
      <w:r>
        <w:rPr>
          <w:noProof/>
        </w:rPr>
        <w:t>O kadangi JT taisyklės Nr. 35 vienodos nuostatos Sąjungoje netaikomos, Sąjungos pozicijos dėl šiuo metu JT EEK WP.29 grupėje svarstomų JT taisyklės Nr. 35 pakeitimų pasiūlymo nustatyti nereikia.</w:t>
      </w:r>
    </w:p>
    <w:p>
      <w:pPr>
        <w:rPr>
          <w:noProof/>
        </w:rPr>
      </w:pPr>
      <w:r>
        <w:rPr>
          <w:noProof/>
        </w:rPr>
        <w:t>Pasiūlymas dėl naujos JT taisyklės dėl pasaulinių realiomis važiavimo sąlygomis išmetamų teršalų nėra parengtas balsavimui 2020 m. lapkričio mėn. WP 29 posėdyje ir jį reikia toliau svarstyti.</w:t>
      </w:r>
    </w:p>
    <w:p>
      <w:pPr>
        <w:rPr>
          <w:noProof/>
        </w:rPr>
      </w:pPr>
      <w:r>
        <w:rPr>
          <w:noProof/>
        </w:rPr>
        <w:t>Rengiant šį pasiūlymą nepriklausomo tyrimo neprireikė. Tačiau šį pasiūlymą peržiūrės Motorinių transporto priemonių techninis komitetas.</w:t>
      </w:r>
    </w:p>
    <w:p>
      <w:pPr>
        <w:rPr>
          <w:noProof/>
        </w:rPr>
      </w:pPr>
    </w:p>
    <w:p>
      <w:pPr>
        <w:pStyle w:val="ManualHeading1"/>
        <w:rPr>
          <w:noProof/>
        </w:rPr>
      </w:pPr>
      <w:r>
        <w:rPr>
          <w:noProof/>
        </w:rPr>
        <w:t>4.</w:t>
      </w:r>
      <w:r>
        <w:rPr>
          <w:noProof/>
        </w:rPr>
        <w:tab/>
        <w:t>TEISINIS PAGRINDAS</w:t>
      </w:r>
    </w:p>
    <w:p>
      <w:pPr>
        <w:pStyle w:val="Text1"/>
        <w:ind w:left="0"/>
        <w:rPr>
          <w:noProof/>
        </w:rPr>
      </w:pPr>
    </w:p>
    <w:p>
      <w:pPr>
        <w:pStyle w:val="Text1"/>
        <w:ind w:left="0"/>
        <w:rPr>
          <w:b/>
          <w:noProof/>
        </w:rPr>
      </w:pPr>
      <w:r>
        <w:rPr>
          <w:b/>
          <w:noProof/>
        </w:rPr>
        <w:t xml:space="preserve">4.1. </w:t>
      </w:r>
      <w:r>
        <w:rPr>
          <w:noProof/>
        </w:rPr>
        <w:tab/>
      </w:r>
      <w:r>
        <w:rPr>
          <w:b/>
          <w:noProof/>
        </w:rPr>
        <w:t xml:space="preserve">Procedūrinis teisinis pagrindas </w:t>
      </w:r>
    </w:p>
    <w:p>
      <w:pPr>
        <w:pStyle w:val="Text1"/>
        <w:ind w:left="0"/>
        <w:rPr>
          <w:i/>
          <w:noProof/>
        </w:rPr>
      </w:pPr>
      <w:r>
        <w:rPr>
          <w:i/>
          <w:noProof/>
        </w:rPr>
        <w:t xml:space="preserve">4.1.1. </w:t>
      </w:r>
      <w:r>
        <w:rPr>
          <w:noProof/>
        </w:rPr>
        <w:tab/>
      </w:r>
      <w:r>
        <w:rPr>
          <w:i/>
          <w:noProof/>
        </w:rPr>
        <w:t xml:space="preserve">Principai </w:t>
      </w:r>
    </w:p>
    <w:p>
      <w:pPr>
        <w:pStyle w:val="Text1"/>
        <w:ind w:left="0"/>
        <w:rPr>
          <w:noProof/>
        </w:rPr>
      </w:pPr>
      <w:r>
        <w:rPr>
          <w:noProof/>
        </w:rPr>
        <w:t xml:space="preserve">Sutarties dėl Europos Sąjungos veikimo (SESV) 218 straipsnio 9 dalyje numatyti sprendimai, kuriais „nustatomos pozicijos, kurios Sąjungos vardu priimamos susitarimu įsteigtame organe, kai tam organui reikia priimti teisinę galią turinčius aktus, išskyrus aktus, papildančius arba pakeičiančius susitarimo institucinę struktūrą“. </w:t>
      </w:r>
    </w:p>
    <w:p>
      <w:pPr>
        <w:pStyle w:val="Text1"/>
        <w:ind w:left="0"/>
        <w:rPr>
          <w:noProof/>
        </w:rPr>
      </w:pPr>
      <w:r>
        <w:rPr>
          <w:noProof/>
        </w:rPr>
        <w:t>Sąvoka „teisinę galią turintys aktai“ apima aktus, turinčius teisinę galią pagal aptariamą organą reglamentuojančias tarptautinės teisės normas. Ji taip pat apima priemones, kurios nėra privalomos pagal tarptautinę teisę, tačiau „gali stipriai paveikti Sąjungos teisės akto leidėjo priimamų teisės aktų [...] turinį“</w:t>
      </w:r>
      <w:r>
        <w:rPr>
          <w:rStyle w:val="FootnoteReference"/>
          <w:noProof/>
        </w:rPr>
        <w:footnoteReference w:id="3"/>
      </w:r>
      <w:r>
        <w:rPr>
          <w:noProof/>
        </w:rPr>
        <w:t>.</w:t>
      </w:r>
    </w:p>
    <w:p>
      <w:pPr>
        <w:pStyle w:val="Text1"/>
        <w:ind w:left="0"/>
        <w:rPr>
          <w:noProof/>
        </w:rPr>
      </w:pPr>
    </w:p>
    <w:p>
      <w:pPr>
        <w:pStyle w:val="Text1"/>
        <w:ind w:left="0"/>
        <w:rPr>
          <w:i/>
          <w:noProof/>
        </w:rPr>
      </w:pPr>
      <w:r>
        <w:rPr>
          <w:i/>
          <w:noProof/>
        </w:rPr>
        <w:t xml:space="preserve">4.1.2. </w:t>
      </w:r>
      <w:r>
        <w:rPr>
          <w:noProof/>
        </w:rPr>
        <w:tab/>
      </w:r>
      <w:r>
        <w:rPr>
          <w:i/>
          <w:noProof/>
        </w:rPr>
        <w:t xml:space="preserve">Taikymas aptariamuoju atveju </w:t>
      </w:r>
    </w:p>
    <w:p>
      <w:pPr>
        <w:pStyle w:val="Text1"/>
        <w:ind w:left="0"/>
        <w:rPr>
          <w:noProof/>
        </w:rPr>
      </w:pPr>
      <w:r>
        <w:rPr>
          <w:noProof/>
        </w:rPr>
        <w:t xml:space="preserve">WP.29 grupė yra organas, kurio veikloje dalyvaujančios JT EEK susitariančiosios šalys nagrinėja Pataisyto 1958 m. susitarimo ir Paralelaus susitarimo įgyvendinimo klausimus.  </w:t>
      </w:r>
    </w:p>
    <w:p>
      <w:pPr>
        <w:pStyle w:val="Text1"/>
        <w:ind w:left="0"/>
        <w:rPr>
          <w:noProof/>
        </w:rPr>
      </w:pPr>
      <w:r>
        <w:rPr>
          <w:noProof/>
        </w:rPr>
        <w:t xml:space="preserve">Aktai, kuriuos turi priimti WP.29 grupė, turi teisinę galią. </w:t>
      </w:r>
    </w:p>
    <w:p>
      <w:pPr>
        <w:pStyle w:val="Text1"/>
        <w:ind w:left="0"/>
        <w:rPr>
          <w:noProof/>
        </w:rPr>
      </w:pPr>
      <w:r>
        <w:rPr>
          <w:noProof/>
        </w:rPr>
        <w:t xml:space="preserve">Numatomame akte nurodytos JT taisyklės bus privalomos Sąjungai ir kartu su JT bendraisiais techniniais reglamentais ir rezoliucijomis galės iš esmės įtakoti ES teisės aktų, susijusių su transporto priemonių tipo patvirtinimu, turinį. </w:t>
      </w:r>
    </w:p>
    <w:p>
      <w:pPr>
        <w:pStyle w:val="Text1"/>
        <w:ind w:left="0"/>
        <w:rPr>
          <w:noProof/>
        </w:rPr>
      </w:pPr>
      <w:r>
        <w:rPr>
          <w:noProof/>
        </w:rPr>
        <w:t xml:space="preserve">Numatomais aktais susitarimo institucinė struktūra nepapildoma ir nekeičiama. </w:t>
      </w:r>
    </w:p>
    <w:p>
      <w:pPr>
        <w:pStyle w:val="Text1"/>
        <w:ind w:left="0"/>
        <w:rPr>
          <w:noProof/>
        </w:rPr>
      </w:pPr>
      <w:r>
        <w:rPr>
          <w:noProof/>
        </w:rPr>
        <w:t>Todėl siūlomo sprendimo procedūrinis teisinis pagrindas yra SESV 218 straipsnio 9 dalis.</w:t>
      </w:r>
    </w:p>
    <w:p>
      <w:pPr>
        <w:pStyle w:val="Text1"/>
        <w:ind w:left="0"/>
        <w:rPr>
          <w:noProof/>
        </w:rPr>
      </w:pPr>
    </w:p>
    <w:p>
      <w:pPr>
        <w:pStyle w:val="Text1"/>
        <w:ind w:left="0"/>
        <w:rPr>
          <w:b/>
          <w:noProof/>
        </w:rPr>
      </w:pPr>
      <w:r>
        <w:rPr>
          <w:b/>
          <w:noProof/>
        </w:rPr>
        <w:t xml:space="preserve">4.2. </w:t>
      </w:r>
      <w:r>
        <w:rPr>
          <w:noProof/>
        </w:rPr>
        <w:tab/>
      </w:r>
      <w:r>
        <w:rPr>
          <w:b/>
          <w:noProof/>
        </w:rPr>
        <w:t xml:space="preserve">Materialinis teisinis pagrindas </w:t>
      </w:r>
    </w:p>
    <w:p>
      <w:pPr>
        <w:pStyle w:val="Text1"/>
        <w:ind w:left="0"/>
        <w:rPr>
          <w:i/>
          <w:noProof/>
        </w:rPr>
      </w:pPr>
      <w:r>
        <w:rPr>
          <w:i/>
          <w:noProof/>
        </w:rPr>
        <w:t xml:space="preserve">4.2.1. </w:t>
      </w:r>
      <w:r>
        <w:rPr>
          <w:noProof/>
        </w:rPr>
        <w:tab/>
      </w:r>
      <w:r>
        <w:rPr>
          <w:i/>
          <w:noProof/>
        </w:rPr>
        <w:t xml:space="preserve">Principai </w:t>
      </w:r>
    </w:p>
    <w:p>
      <w:pPr>
        <w:pStyle w:val="Text1"/>
        <w:ind w:left="0"/>
        <w:rPr>
          <w:noProof/>
        </w:rPr>
      </w:pPr>
      <w:r>
        <w:rPr>
          <w:noProof/>
        </w:rPr>
        <w:t xml:space="preserve">Sprendimo pagal SESV 218 straipsnio 9 dalį materialinis teisinis pagrindas pirmiausia priklauso nuo numatomo akto, dėl kurio Sąjungos vardu nustatoma pozicija, tikslo ir turinio. </w:t>
      </w:r>
      <w:r>
        <w:rPr>
          <w:noProof/>
        </w:rPr>
        <w:lastRenderedPageBreak/>
        <w:t xml:space="preserve">Jeigu numatomu aktu siekiama dviejų tikslų arba jį sudaro dvi dalys ir jeigu vieną iš tų tikslų ar dalių galima laikyti pagrindiniu tikslu arba pagrindine dalimi, o kita dalis ar kiti tikslai yra tik papildomi, sprendimas pagal SESV 218 straipsnio 9 dalį turi būti grindžiamas tik vienu materialiniu teisiniu pagrindu – tuo, kurio reikalauja pagrindinis ar svarbesnis tikslas arba dalis. </w:t>
      </w:r>
    </w:p>
    <w:p>
      <w:pPr>
        <w:pStyle w:val="Text1"/>
        <w:ind w:left="0"/>
        <w:rPr>
          <w:noProof/>
        </w:rPr>
      </w:pPr>
    </w:p>
    <w:p>
      <w:pPr>
        <w:pStyle w:val="Text1"/>
        <w:ind w:left="0"/>
        <w:rPr>
          <w:i/>
          <w:noProof/>
        </w:rPr>
      </w:pPr>
      <w:r>
        <w:rPr>
          <w:i/>
          <w:noProof/>
        </w:rPr>
        <w:t xml:space="preserve">4.2.2. Taikymas aptariamuoju atveju </w:t>
      </w:r>
    </w:p>
    <w:p>
      <w:pPr>
        <w:pStyle w:val="Text1"/>
        <w:ind w:left="0"/>
        <w:rPr>
          <w:noProof/>
        </w:rPr>
      </w:pPr>
      <w:r>
        <w:rPr>
          <w:noProof/>
        </w:rPr>
        <w:t xml:space="preserve">Pagrindinis numatomo akto tikslas ir turinys yra susiję su teisės aktų suderinimu. Todėl siūlomo sprendimo materialinis teisinis pagrindas yra SESV 114 straipsnis. </w:t>
      </w:r>
    </w:p>
    <w:p>
      <w:pPr>
        <w:pStyle w:val="Text1"/>
        <w:ind w:left="0"/>
        <w:rPr>
          <w:i/>
          <w:noProof/>
        </w:rPr>
      </w:pPr>
    </w:p>
    <w:p>
      <w:pPr>
        <w:pStyle w:val="Text1"/>
        <w:ind w:left="0"/>
        <w:rPr>
          <w:i/>
          <w:noProof/>
        </w:rPr>
      </w:pPr>
      <w:r>
        <w:rPr>
          <w:i/>
          <w:noProof/>
        </w:rPr>
        <w:t xml:space="preserve">4.3. </w:t>
      </w:r>
      <w:r>
        <w:rPr>
          <w:noProof/>
        </w:rPr>
        <w:tab/>
      </w:r>
      <w:r>
        <w:rPr>
          <w:i/>
          <w:noProof/>
        </w:rPr>
        <w:t xml:space="preserve">Išvada </w:t>
      </w:r>
    </w:p>
    <w:p>
      <w:pPr>
        <w:pStyle w:val="Text1"/>
        <w:ind w:left="0"/>
        <w:rPr>
          <w:noProof/>
        </w:rPr>
      </w:pPr>
      <w:r>
        <w:rPr>
          <w:noProof/>
        </w:rPr>
        <w:t>Siūlomo sprendimo teisinis pagrindas turėtų būti SESV 114 straipsnis kartu su 218 straipsnio 9 dalimi.</w:t>
      </w:r>
    </w:p>
    <w:p>
      <w:pPr>
        <w:pStyle w:val="Text1"/>
        <w:ind w:left="0"/>
        <w:rPr>
          <w:noProof/>
        </w:rPr>
      </w:pPr>
    </w:p>
    <w:p>
      <w:pPr>
        <w:spacing w:before="0" w:after="200" w:line="276" w:lineRule="auto"/>
        <w:jc w:val="center"/>
        <w:rPr>
          <w:noProof/>
        </w:rPr>
        <w:sectPr>
          <w:footerReference w:type="default" r:id="rId10"/>
          <w:footerReference w:type="first" r:id="rId11"/>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2020/0295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Jungtinių Tautų Europos ekonomikos komisijos Pasauliniame transporto priemonių reglamentų derinimo forume, dėl JT taisyklių Nr. 0, 13, 16, 17, 44, 55, 83, 93, 94, 95, 100, 115, 137, 144, 151, 152 ir 153 pakeitimų pasiūlymų, dėl bendrųjų techninių reglamentų Nr. 7, 15 ir 18 pakeitimų pasiūlymų, dėl Bendrojo nutarimo M.R.3 pakeitimų pasiūlymo, dėl dviejų naujų JT taisyklių, susijusių su motorinių transporto priemonių judėjimu atbuline eiga ir mobiliosiomis  informacinėmis sistemomis, pasiūlymų ir naujo Bendrojo techninio reglamento dėl elektrinių transporto priemonių galios nustatymo pasiūlymo</w:t>
      </w:r>
    </w:p>
    <w:p>
      <w:pPr>
        <w:pStyle w:val="Institutionquiagit"/>
        <w:rPr>
          <w:noProof/>
        </w:rPr>
      </w:pPr>
      <w:r>
        <w:rPr>
          <w:noProof/>
        </w:rPr>
        <w:t>EUROPOS SĄJUNGOS TARYBA,</w:t>
      </w:r>
    </w:p>
    <w:p>
      <w:pPr>
        <w:rPr>
          <w:noProof/>
        </w:rPr>
      </w:pPr>
      <w:r>
        <w:rPr>
          <w:noProof/>
        </w:rPr>
        <w:t>atsižvelgdama į Sutartį dėl Europos Sąjungos veikimo, ypač į jos 114 straipsnį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Tarybos sprendimu 97/836/EB</w:t>
      </w:r>
      <w:r>
        <w:rPr>
          <w:rStyle w:val="FootnoteReference"/>
          <w:noProof/>
        </w:rPr>
        <w:footnoteReference w:id="4"/>
      </w:r>
      <w:r>
        <w:rPr>
          <w:noProof/>
        </w:rPr>
        <w:t xml:space="preserve"> Sąjunga prisijungė prie Jungtinių Tautų Europos ekonomikos komisijos (JT EKK) susitarimo dėl suvienodintų techninių normų priėmimo ratinėms transporto priemonėms, įrangai ir dalims, kurios gali būti montuojamos ir (arba) naudojamos ratinėse transporto priemonėse, ir pagal tas normas suteiktų patvirtinimų abipusio pripažinimo sąlygų (toliau – Pataisytas 1958 m. susitarimas). Pataisytas 1958 m. susitarimas įsigaliojo 1998 m. kovo 24 d.;</w:t>
      </w:r>
    </w:p>
    <w:p>
      <w:pPr>
        <w:pStyle w:val="ManualConsidrant"/>
        <w:rPr>
          <w:noProof/>
        </w:rPr>
      </w:pPr>
      <w:r>
        <w:t>(2)</w:t>
      </w:r>
      <w:r>
        <w:tab/>
      </w:r>
      <w:r>
        <w:rPr>
          <w:noProof/>
        </w:rPr>
        <w:t>Tarybos sprendimu 2000/125/EB</w:t>
      </w:r>
      <w:r>
        <w:rPr>
          <w:rStyle w:val="FootnoteReference"/>
          <w:noProof/>
        </w:rPr>
        <w:footnoteReference w:id="5"/>
      </w:r>
      <w:r>
        <w:rPr>
          <w:noProof/>
        </w:rPr>
        <w:t xml:space="preserve"> Sąjunga prisijungė prie Susitarimo dėl bendrųjų techninių reglamentų priėmimo ratinėms transporto priemonėms, įrangai ir dalims, kurios gali būti montuojamos ir (arba) naudojamos ratinėse transporto priemonėse (toliau – Paralelus susitarimas). Paralelus susitarimas įsigaliojo 2000 m. vasario 15 d.;</w:t>
      </w:r>
    </w:p>
    <w:p>
      <w:pPr>
        <w:pStyle w:val="ManualConsidrant"/>
        <w:rPr>
          <w:noProof/>
        </w:rPr>
      </w:pPr>
      <w:r>
        <w:t>(3)</w:t>
      </w:r>
      <w:r>
        <w:tab/>
      </w:r>
      <w:r>
        <w:rPr>
          <w:noProof/>
        </w:rPr>
        <w:t>Europos Parlamento ir Tarybos Reglamente (ES) 2018/858</w:t>
      </w:r>
      <w:r>
        <w:rPr>
          <w:rStyle w:val="FootnoteReference"/>
          <w:noProof/>
        </w:rPr>
        <w:footnoteReference w:id="6"/>
      </w:r>
      <w:r>
        <w:rPr>
          <w:noProof/>
        </w:rPr>
        <w:t xml:space="preserve"> nustatomos visų naujų transporto priemonių, sistemų, komponentų ir atskirų techninių mazgų tipo patvirtinimo ir pateikimo rinkai administracinės nuostatos ir techniniai reikalavimai. </w:t>
      </w:r>
      <w:r>
        <w:rPr>
          <w:noProof/>
        </w:rPr>
        <w:lastRenderedPageBreak/>
        <w:t xml:space="preserve">Vadovaujantis tuo reglamentu pagal Pataisytą 1958 m. susitarimą priimtos taisyklės (toliau – JT taisyklės) buvo įtrauktos į ES tipo patvirtinimo sistemą kaip tipo patvirtinimo reikalavimai arba kaip Sąjungos teisės aktų alternatyvos;  </w:t>
      </w:r>
    </w:p>
    <w:p>
      <w:pPr>
        <w:pStyle w:val="ManualConsidrant"/>
        <w:rPr>
          <w:noProof/>
        </w:rPr>
      </w:pPr>
      <w:r>
        <w:t>(4)</w:t>
      </w:r>
      <w:r>
        <w:tab/>
      </w:r>
      <w:r>
        <w:rPr>
          <w:noProof/>
        </w:rPr>
        <w:t>pagal Pataisyto 1958 m. susitarimo 1 straipsnį ir Paralelaus susitarimo 6 straipsnį JT EEK Pasaulinis transporto priemonių reglamentų derinimo forumas (JT EEK WP.29) gali priimti JT taisyklių, JT bendrųjų techninių reglamentų (JT BTR) ir JT rezoliucijų pakeitimų pasiūlymus ir naujų JT taisyklių, JT BTR ir JT rezoliucijų dėl transporto priemonių patvirtinimo pasiūlymus. Be to, pagal tas nuostatas JT EEK WP.29 gali priimti pasiūlymus dėl JT BTR pakeitimų parengimo arba dėl naujų JT BTR parengimo įgaliojimų ir gali priimti pasiūlymus dėl JT BTR įgaliojimų pratęsimo;</w:t>
      </w:r>
    </w:p>
    <w:p>
      <w:pPr>
        <w:pStyle w:val="ManualConsidrant"/>
        <w:rPr>
          <w:noProof/>
        </w:rPr>
      </w:pPr>
      <w:r>
        <w:t>(5)</w:t>
      </w:r>
      <w:r>
        <w:tab/>
      </w:r>
      <w:r>
        <w:rPr>
          <w:noProof/>
        </w:rPr>
        <w:t>2020 m. lapkričio 10 d. 182-ojoje sesijoje JT EEK WP.29 gali priimti pasiūlymus dėl JT taisyklių Nr. 0, 13, 16, 17, 44, 55, 83, 93, 94, 95, 100, 115, 137, 144, 151, 152 ir 153 pakeitimų, pasiūlymą dėl naujos JT taisyklės dėl transporto priemonių atbulinės eigos judėjimo įtaisų  ir motorinių transporto priemonių patvirtinimo atsižvelgiant į vairuotojo informuotumą apie pažeidžiamus eismo dalyvius už transporto priemonės, pasiūlymą dėl naujos JT taisyklės dėl motorinių transporto priemonių patvirtinimo atsižvelgiant į pėsčiųjų ir dviratininkų aptikimo mobiliąją  informacinę sistemą, pasiūlymus dėl bendrųjų techninių reglamentų (JT BTR) Nr. 7, 15 ir 18 pakeitimų, pasiūlymą dėl naujo bendrojo techninio reglamento dėl elektrinių transporto priemonių galios nustatymo ir pasiūlymą dėl Bendrojo nutarimo M.R.3 dėl transporto priemonių vidaus oro kokybės (VIAQ) WP.29 pakeitimų. Be to, JT EEK WP.29 planuoja priimti pasiūlymą dėl įgaliojimų rengti JT BTR Nr. 8 pakeitimus ir naują JT BTR dėl transporto priemonėse sumontuotų  baterijų patvarumo;</w:t>
      </w:r>
    </w:p>
    <w:p>
      <w:pPr>
        <w:pStyle w:val="ManualConsidrant"/>
        <w:rPr>
          <w:noProof/>
        </w:rPr>
      </w:pPr>
      <w:r>
        <w:t>(6)</w:t>
      </w:r>
      <w:r>
        <w:tab/>
      </w:r>
      <w:r>
        <w:rPr>
          <w:noProof/>
        </w:rPr>
        <w:t>tikslinga nustatyti poziciją dėl tų pasiūlymų priėmimo, kurios Sąjungos vardu turi būti laikomasi JT EEK WP.29 grupėje, kadangi JT taisyklės Sąjungai bus privalomos ir kartu su JT bendraisiais techniniais reglamentais ir Bendruoju nutarimu gali iš esmės įtakoti Sąjungos teisės aktų, susijusių su transporto priemonių tipo patvirtinimu, turinį;</w:t>
      </w:r>
    </w:p>
    <w:p>
      <w:pPr>
        <w:pStyle w:val="ManualConsidrant"/>
        <w:rPr>
          <w:i/>
          <w:noProof/>
        </w:rPr>
      </w:pPr>
      <w:r>
        <w:t>(7)</w:t>
      </w:r>
      <w:r>
        <w:tab/>
      </w:r>
      <w:r>
        <w:rPr>
          <w:noProof/>
        </w:rPr>
        <w:t xml:space="preserve">atsižvelgiant į įgytą patirtį ir technikos raidą, reikia iš dalies pakeisti ar papildyti reikalavimus, susijusius su tam tikrais elementais ar savybėmis, kuriems taikomos JT taisyklės Nr. 0, 13, 16, 17, 44, 55, 83, 93, 94, 95, 100, 115, 137, 144, 151, 152 ir 153 ir Bendrasis nutarimas M.R.3; </w:t>
      </w:r>
    </w:p>
    <w:p>
      <w:pPr>
        <w:pStyle w:val="ManualConsidrant"/>
        <w:rPr>
          <w:i/>
          <w:noProof/>
        </w:rPr>
      </w:pPr>
      <w:r>
        <w:t>(8)</w:t>
      </w:r>
      <w:r>
        <w:tab/>
      </w:r>
      <w:r>
        <w:rPr>
          <w:noProof/>
        </w:rPr>
        <w:t>be to, reikia iš dalies pakeisti JT BTR Nr. 7, 15 ir 18 tam tikras nuostatas;</w:t>
      </w:r>
    </w:p>
    <w:p>
      <w:pPr>
        <w:pStyle w:val="ManualConsidrant"/>
        <w:rPr>
          <w:noProof/>
        </w:rPr>
      </w:pPr>
      <w:r>
        <w:t>(9)</w:t>
      </w:r>
      <w:r>
        <w:tab/>
      </w:r>
      <w:r>
        <w:rPr>
          <w:noProof/>
        </w:rPr>
        <w:t>siekiant sudaryti sąlygas technikos pažangai ir pagerinti transporto priemonių saugą ir išmetamųjų teršalų kiekio bandymus, reikia priimti dvi naujas JT taisykles dėl atbulinės eigos judėjimo įtaisų ir motorinių transporto priemonių patvirtinimo atsižvelgiant į vairuotojo informuotumą apie pažeidžiamus eismo dalyvius už transporto priemonės ir dėl motorinių transporto priemonių atsižvelgiant į pėsčiųjų ir dviratininkų aptikimo mobiliąją informacinę sistemą. Kartu turi būti priimtas naujas bendrasis techninis reglamentas dėl elektrinių transporto priemonių galios nustatymo;</w:t>
      </w:r>
    </w:p>
    <w:p>
      <w:pPr>
        <w:pStyle w:val="ManualConsidrant"/>
        <w:rPr>
          <w:noProof/>
        </w:rPr>
      </w:pPr>
      <w:r>
        <w:t>(10)</w:t>
      </w:r>
      <w:r>
        <w:tab/>
      </w:r>
      <w:r>
        <w:rPr>
          <w:noProof/>
        </w:rPr>
        <w:t xml:space="preserve">siekiant sudaryti sąlygas toliau rengti techninius reikalavimus, reikia priimti pasiūlymus įgalioti parengti JT BTR Nr. 8 pakeitimą ir naują JT BTR dėl transporto priemonėse sumontuotų baterijų patvarumo, atsižvelgiant į JT EEK susitariančiųjų šalių, remiančių JT BTR srities veiklą, arba specialių JT EEK WP.29 grupės pagalbinių organų prašymus; </w:t>
      </w:r>
    </w:p>
    <w:p>
      <w:pPr>
        <w:pStyle w:val="ManualConsidrant"/>
        <w:rPr>
          <w:noProof/>
        </w:rPr>
      </w:pPr>
      <w:r>
        <w:t>(11)</w:t>
      </w:r>
      <w:r>
        <w:tab/>
      </w:r>
      <w:r>
        <w:rPr>
          <w:noProof/>
        </w:rPr>
        <w:t>siekiant užtikrinti JT taisyklių Nr. 155 ir 156 aiškinimo nuoseklumą, reikėtų priimti pasiūlymus dėl abiejų reglamentų aiškinimo, taip pat pasiūlymą dėl duomenų bazės naudojimo keičiantis tipo patvirtinimais (DETA) gairių pagal JT taisyklę Nr. 155;</w:t>
      </w:r>
    </w:p>
    <w:p>
      <w:pPr>
        <w:pStyle w:val="ManualConsidrant"/>
        <w:rPr>
          <w:noProof/>
        </w:rPr>
      </w:pPr>
      <w:r>
        <w:lastRenderedPageBreak/>
        <w:t>(12)</w:t>
      </w:r>
      <w:r>
        <w:tab/>
      </w:r>
      <w:r>
        <w:rPr>
          <w:noProof/>
        </w:rPr>
        <w:t>2020 m. birželio 16 d. Taryba priėmė Sprendimą (ES) 2020/848</w:t>
      </w:r>
      <w:r>
        <w:rPr>
          <w:rStyle w:val="FootnoteReference"/>
          <w:noProof/>
        </w:rPr>
        <w:footnoteReference w:id="7"/>
      </w:r>
      <w:r>
        <w:rPr>
          <w:noProof/>
        </w:rPr>
        <w:t xml:space="preserve"> dėl pozicijos, kurios turi būti laikomasi dėl JT BTR Nr. 7, ir pasiūlymus įgalioti parengti JT BTR Nr. 8 pakeitimą ir naują JT BTR dėl transporto priemonėse sumontuotų baterijų patvarumo, skirtą 2020 m. birželio 24 d. vykusiai JT EEK WP 29 181-ajai sesijai. Tačiau WP.29 grupė negalėjo balsuoti toje sesijoje ir nusprendė iš naujo pateikti pasiūlymus balsavimui lapkričio mėn. sesijoje;</w:t>
      </w:r>
    </w:p>
    <w:p>
      <w:pPr>
        <w:rPr>
          <w:noProof/>
        </w:rPr>
      </w:pPr>
    </w:p>
    <w:p>
      <w:pPr>
        <w:pStyle w:val="Formuledadoption"/>
        <w:rPr>
          <w:noProof/>
        </w:rPr>
      </w:pPr>
      <w:r>
        <w:rPr>
          <w:noProof/>
        </w:rPr>
        <w:t>PRIĖMĖ ŠĮ SPRENDIMĄ:</w:t>
      </w:r>
    </w:p>
    <w:p>
      <w:pPr>
        <w:pStyle w:val="Titrearticle"/>
        <w:rPr>
          <w:noProof/>
        </w:rPr>
      </w:pPr>
      <w:r>
        <w:rPr>
          <w:noProof/>
        </w:rPr>
        <w:t>1 straipsnis</w:t>
      </w:r>
    </w:p>
    <w:p>
      <w:pPr>
        <w:rPr>
          <w:noProof/>
        </w:rPr>
      </w:pPr>
      <w:r>
        <w:rPr>
          <w:noProof/>
        </w:rPr>
        <w:t>Pozicija, kurios Sąjungos vardu turi būti laikomasi per 2020 m. lapkričio 10 d. rengiamą JT EEK Pasaulinio transporto priemonių reglamentų derinimo forumo 182-ą sesiją, yra balsuoti už pasiūlymus, išvardytus šio sprendimo priede.</w:t>
      </w:r>
    </w:p>
    <w:p>
      <w:pPr>
        <w:pStyle w:val="Titrearticle"/>
        <w:rPr>
          <w:noProof/>
        </w:rPr>
      </w:pPr>
      <w:r>
        <w:rPr>
          <w:noProof/>
        </w:rPr>
        <w:t>2 straipsnis</w:t>
      </w:r>
    </w:p>
    <w:p>
      <w:pPr>
        <w:rPr>
          <w:noProof/>
        </w:rPr>
      </w:pPr>
      <w:r>
        <w:rPr>
          <w:noProof/>
        </w:rPr>
        <w:t>Šis sprendimas skirtas Komisijai.</w:t>
      </w:r>
    </w:p>
    <w:p>
      <w:pPr>
        <w:rPr>
          <w:noProof/>
        </w:rPr>
      </w:pPr>
    </w:p>
    <w:p>
      <w:pPr>
        <w:pStyle w:val="Fait"/>
        <w:rPr>
          <w:noProof/>
        </w:rPr>
      </w:pPr>
      <w:r>
        <w:t>Priimta Briuselyje</w:t>
      </w:r>
    </w:p>
    <w:p>
      <w:pPr>
        <w:pStyle w:val="Institutionquisigne"/>
        <w:rPr>
          <w:noProof/>
        </w:rPr>
      </w:pPr>
    </w:p>
    <w:p>
      <w:pPr>
        <w:pStyle w:val="Institutionquisigne"/>
        <w:spacing w:before="120"/>
        <w:rPr>
          <w:noProof/>
        </w:rPr>
      </w:pPr>
      <w:r>
        <w:rPr>
          <w:noProof/>
        </w:rPr>
        <w:tab/>
        <w:t>Tarybos vardu</w:t>
      </w:r>
    </w:p>
    <w:p>
      <w:pPr>
        <w:pStyle w:val="Personnequisigne"/>
        <w:rPr>
          <w:noProof/>
        </w:rPr>
      </w:pP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1997 m. lapkričio 27 d. Tarybos sprendimas 97/836/EB dėl Europos bendrijos prisijungimo prie Jungtinių Tautų Europos ekonominės komisijos susitarimo dėl suvienodintų techninių normų priėmimo ratinėms transporto priemonėms, įrangai ir dalims, kurios gali būti montuojamos ir (arba) naudojamos ratinėse transporto priemonėse, ir pagal tas normas suteiktų patvirtinimų abipusio pripažinimo sąlygų (pataisytas 1958 m. susitarimas) (OL L 346, 1997 12 17, p. 78).</w:t>
      </w:r>
    </w:p>
    <w:p>
      <w:pPr>
        <w:pStyle w:val="FootnoteText"/>
        <w:ind w:firstLine="0"/>
      </w:pPr>
      <w:r>
        <w:t>2000 m. sausio 31 d. Tarybos sprendimas 2000/125/EB dėl Susitarimo dėl bendrųjų techninių reglamentų priėmimo ratinėms transporto priemonėms, įrangai ir dalims, kurios gali būti montuojamos ir (arba) naudojamos ratinėse transporto priemonėse (Paralelus susitarimas), patvirtinimo (OL L 35, 2000 2 10, p. 12).</w:t>
      </w:r>
    </w:p>
  </w:footnote>
  <w:footnote w:id="2">
    <w:p>
      <w:pPr>
        <w:pStyle w:val="FootnoteText"/>
      </w:pPr>
      <w:r>
        <w:rPr>
          <w:rStyle w:val="FootnoteReference"/>
        </w:rPr>
        <w:footnoteRef/>
      </w:r>
      <w:r>
        <w:tab/>
        <w:t>2018 m. gegužės 30 d. Europos Parlamento ir Tarybos reglamentas (ES) 2018/858 dėl motorinių transporto priemonių ir jų priekabų bei tokioms transporto priemonėms skirtų sistemų, komponentų ir atskirų techninių mazgų patvirtinimo ir rinkos priežiūros, kuriuo iš dalies keičiami reglamentai (EB) Nr. 715/2007 ir (EB) Nr. 595/2009 bei panaikinama Direktyva 2007/46/EB (OL L 151, 2018 6 14, p. 1).</w:t>
      </w:r>
    </w:p>
  </w:footnote>
  <w:footnote w:id="3">
    <w:p>
      <w:pPr>
        <w:pStyle w:val="FootnoteText"/>
      </w:pPr>
      <w:r>
        <w:rPr>
          <w:rStyle w:val="FootnoteReference"/>
        </w:rPr>
        <w:footnoteRef/>
      </w:r>
      <w:r>
        <w:tab/>
        <w:t xml:space="preserve">2014 m. spalio 7 d. Teisingumo Teismo sprendimas Vokietija prieš Tarybą, C-399/12, ECLI:EU:C:2014:2258, 61–64 punktai.  </w:t>
      </w:r>
    </w:p>
  </w:footnote>
  <w:footnote w:id="4">
    <w:p>
      <w:pPr>
        <w:pStyle w:val="FootnoteText"/>
      </w:pPr>
      <w:r>
        <w:rPr>
          <w:rStyle w:val="FootnoteReference"/>
        </w:rPr>
        <w:footnoteRef/>
      </w:r>
      <w:r>
        <w:tab/>
        <w:t>1997 m. lapkričio 27 d. Tarybos sprendimas 97/836/EB dėl Europos bendrijos prisijungimo prie Jungtinių Tautų Europos ekonominės komisijos susitarimo dėl suvienodintų techninių normų priėmimo ratinėms transporto priemonėms, įrangai ir dalims, kurios gali būti montuojamos ir (arba) naudojamos ratinėse transporto priemonėse, ir pagal tas normas suteiktų patvirtinimų abipusio pripažinimo sąlygų (pataisytas 1958 m. susitarimas) (OL L 346, 1997 12 17, p. 78).</w:t>
      </w:r>
    </w:p>
  </w:footnote>
  <w:footnote w:id="5">
    <w:p>
      <w:pPr>
        <w:pStyle w:val="FootnoteText"/>
      </w:pPr>
      <w:r>
        <w:rPr>
          <w:rStyle w:val="FootnoteReference"/>
        </w:rPr>
        <w:footnoteRef/>
      </w:r>
      <w:r>
        <w:tab/>
        <w:t>2000 m. sausio 31 d. Tarybos sprendimas 2000/125/EB dėl Susitarimo dėl bendrųjų techninių reglamentų priėmimo ratinėms transporto priemonėms, įrangai ir dalims, kurios gali būti montuojamos ir (arba) naudojamos ratinėse transporto priemonėse (Paralelus susitarimas), patvirtinimo (OL L 35, 2000 2 10, p. 12).</w:t>
      </w:r>
    </w:p>
  </w:footnote>
  <w:footnote w:id="6">
    <w:p>
      <w:pPr>
        <w:pStyle w:val="FootnoteText"/>
      </w:pPr>
      <w:r>
        <w:rPr>
          <w:rStyle w:val="FootnoteReference"/>
        </w:rPr>
        <w:footnoteRef/>
      </w:r>
      <w:r>
        <w:tab/>
        <w:t>2018 m. gegužės 30 d. Europos Parlamento ir Tarybos reglamentas (ES) 2018/858 dėl motorinių transporto priemonių ir jų priekabų bei tokioms transporto priemonėms skirtų sistemų, komponentų ir atskirų techninių mazgų patvirtinimo ir rinkos priežiūros, kuriuo iš dalies keičiami reglamentai (EB) Nr. 715/2007 ir (EB) Nr. 595/2009 bei panaikinama Direktyva 2007/46/EB (OL L 151, 2018 6 14, p. 1).</w:t>
      </w:r>
    </w:p>
    <w:p>
      <w:pPr>
        <w:pStyle w:val="FootnoteText"/>
      </w:pPr>
    </w:p>
  </w:footnote>
  <w:footnote w:id="7">
    <w:p>
      <w:pPr>
        <w:pStyle w:val="FootnoteText"/>
        <w:ind w:left="142" w:hanging="142"/>
      </w:pPr>
      <w:r>
        <w:rPr>
          <w:rStyle w:val="FootnoteReference"/>
        </w:rPr>
        <w:footnoteRef/>
      </w:r>
      <w:r>
        <w:tab/>
        <w:t>Tarybos sprendimas (ES) 2020/848 2020 m. birželio 16 d. dėl pozicijos, kurios Europos Sąjungos vardu turi būti laikomasi Jungtinių Tautų Europos ekonomikos komisijos Pasauliniame transporto priemonių reglamentų derinimo forume, dėl JT taisyklių Nr. 13, 14, 16, 22, 30, 41, 78, 79, 83, 94, 95, 101, 108, 109, 117, 129, 137, 138, 140 ir 152 pakeitimų pasiūlymų, dėl bendrųjų techninių reglamentų Nr. 3, 6, 7, 16 ir 19 pakeitimų pasiūlymų, dėl Suvestinės rezoliucijos R.E.3 pakeitimų pasiūlymo ir dėl penkių naujų JT taisyklių, susijusių su motorinių transporto priemonių sauga, išmetamaisiais teršalais ir automatizavimu, pasiūlymų.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D64D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EBAF3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E0859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40680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0EE7C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9EE45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E0D214"/>
    <w:lvl w:ilvl="0">
      <w:start w:val="1"/>
      <w:numFmt w:val="decimal"/>
      <w:pStyle w:val="ListNumber"/>
      <w:lvlText w:val="%1."/>
      <w:lvlJc w:val="left"/>
      <w:pPr>
        <w:tabs>
          <w:tab w:val="num" w:pos="360"/>
        </w:tabs>
        <w:ind w:left="360" w:hanging="360"/>
      </w:pPr>
    </w:lvl>
  </w:abstractNum>
  <w:abstractNum w:abstractNumId="7">
    <w:nsid w:val="FFFFFF89"/>
    <w:multiLevelType w:val="singleLevel"/>
    <w:tmpl w:val="12A6B1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8"/>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13 10:47: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7"/>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99E563B-DFC9-48D0-8193-DEA520EC2E07"/>
    <w:docVar w:name="LW_COVERPAGE_TYPE" w:val="1"/>
    <w:docVar w:name="LW_CROSSREFERENCE" w:val="&lt;UNUSED&gt;"/>
    <w:docVar w:name="LW_DocType" w:val="COM"/>
    <w:docVar w:name="LW_EMISSION" w:val="2020 10 14"/>
    <w:docVar w:name="LW_EMISSION_ISODATE" w:val="2020-10-14"/>
    <w:docVar w:name="LW_EMISSION_LOCATION" w:val="BRX"/>
    <w:docVar w:name="LW_EMISSION_PREFIX" w:val="Briuseli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295"/>
    <w:docVar w:name="LW_REF.II.NEW.CP_YEAR" w:val="2020"/>
    <w:docVar w:name="LW_REF.INST.NEW" w:val="COM"/>
    <w:docVar w:name="LW_REF.INST.NEW_ADOPTED" w:val="final"/>
    <w:docVar w:name="LW_REF.INST.NEW_TEXT" w:val="(2020) 6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Jungtini\u371? Taut\u371? Europos ekonomikos komisijos Pasauliniame transporto priemoni\u371? reglament\u371? derinimo forume, d\u279?l JT taisykli\u371? Nr. 0, 13, 16, 17, 44, 55, 83, 93, 94, 95, 100, 115, 137, 144, 151, 152 ir 153 pakeitim\u371? pasi\u363?lym\u371?, d\u279?l bendr\u371?j\u371? technini\u371? reglament\u371? Nr. 7, 15 ir 18 pakeitim\u371? pasi\u363?lym\u371?, d\u279?l Bendrojo nutarimo M.R.3 pakeitim\u371? pasi\u363?lymo, d\u279?l dviej\u371? nauj\u371? JT taisykli\u371?, susijusi\u371? su motorini\u371? transporto priemoni\u371? jud\u279?jimu atbuline eiga ir mobiliosiomis  informacin\u279?mis sistemomis, pasi\u363?lym\u371? ir naujo Bendrojo techninio reglamento d\u279?l elektrini\u371? transporto priemoni\u371? galios nustatymo pasi\u363?ly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ensitivityRight">
    <w:name w:val="Header Sensitivity Right"/>
    <w:basedOn w:val="Normal"/>
    <w:pPr>
      <w:spacing w:before="0"/>
      <w:jc w:val="right"/>
    </w:pPr>
    <w:rPr>
      <w:sz w:val="28"/>
    </w:r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ensitivityRight">
    <w:name w:val="Header Sensitivity Right"/>
    <w:basedOn w:val="Normal"/>
    <w:pPr>
      <w:spacing w:before="0"/>
      <w:jc w:val="right"/>
    </w:pPr>
    <w:rPr>
      <w:sz w:val="28"/>
    </w:r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9</Pages>
  <Words>2479</Words>
  <Characters>16266</Characters>
  <Application>Microsoft Office Word</Application>
  <DocSecurity>0</DocSecurity>
  <Lines>271</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2020-10-08T08:17:00Z</dcterms:created>
  <dcterms:modified xsi:type="dcterms:W3CDTF">2020-10-13T08:47:00Z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