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577CF3B-8A20-492D-92B4-1F2F82EE095D" style="width:450.8pt;height:433.9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FORSLAGETS GENSTAND</w:t>
      </w:r>
    </w:p>
    <w:p>
      <w:pPr>
        <w:pStyle w:val="ManualHeading1"/>
        <w:ind w:left="0" w:firstLine="0"/>
        <w:rPr>
          <w:b w:val="0"/>
          <w:smallCaps w:val="0"/>
          <w:noProof/>
        </w:rPr>
      </w:pPr>
      <w:r>
        <w:rPr>
          <w:b w:val="0"/>
          <w:smallCaps w:val="0"/>
          <w:noProof/>
        </w:rPr>
        <w:t>Dette forslag vedrører en afgørelse om fastlæggelse af den holdning, der skal indtages på Unionens vegne i verdensforummet for harmonisering af køretøjsforskrifter under De Forenede Nationers Økonomiske Kommission for Europa (WP.29) for så vidt angår vedtagelsen af nye FN-regulativer og ændringer af eksisterende FN-regulativer, nye globale tekniske FN-forskrifter og ændringer af eksisterende globale tekniske FN-forskrifter og en resolution.</w:t>
      </w:r>
    </w:p>
    <w:p>
      <w:pPr>
        <w:pStyle w:val="ManualHeading1"/>
        <w:rPr>
          <w:noProof/>
        </w:rPr>
      </w:pPr>
      <w:r>
        <w:rPr>
          <w:noProof/>
        </w:rPr>
        <w:t>2.</w:t>
      </w:r>
      <w:r>
        <w:rPr>
          <w:noProof/>
        </w:rPr>
        <w:tab/>
        <w:t>BAGGRUND FOR FORSLAGET</w:t>
      </w:r>
    </w:p>
    <w:p>
      <w:pPr>
        <w:pStyle w:val="ManualHeading1"/>
        <w:rPr>
          <w:noProof/>
        </w:rPr>
      </w:pPr>
      <w:r>
        <w:rPr>
          <w:noProof/>
        </w:rPr>
        <w:t>2.1.</w:t>
      </w:r>
      <w:r>
        <w:rPr>
          <w:noProof/>
        </w:rPr>
        <w:tab/>
      </w:r>
      <w:r>
        <w:rPr>
          <w:smallCaps w:val="0"/>
          <w:noProof/>
        </w:rPr>
        <w:t>Overenskomsten af 1958 og overenskomsten af 1998</w:t>
      </w:r>
    </w:p>
    <w:p>
      <w:pPr>
        <w:rPr>
          <w:noProof/>
        </w:rPr>
      </w:pPr>
      <w:r>
        <w:rPr>
          <w:noProof/>
        </w:rPr>
        <w:t>Formålet med overenskomsten under De Forenede Nationers Økonomiske Kommission for Europa ("FN/ECE")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 og aftalen om etablering af globale tekniske forskrifter for hjulkøretøjer samt udstyr og dele, der kan monteres og/eller anvendes på hjulkøretøjer ("parallelaftalen") er at udarbejde harmoniserede forskrifter, der skal fjerne de tekniske hindringer for samhandel med motorkøretøjer mellem de kontraherende parter i FN/ECE og sikre, at sådanne køretøjer har et højt sikkerheds- og miljøbeskyttelsesniveau. Overenskomsten/aftalen trådte i kraft for EU henholdsvis den 24. marts 1998 og den 15. februar 2000. De forvaltes begge af FN/ECE's Verdensforum for Harmonisering af Køretøjsforskrifter (arbejdsgruppe 29 eller WP.29).</w:t>
      </w:r>
    </w:p>
    <w:p>
      <w:pPr>
        <w:pStyle w:val="ManualHeading1"/>
        <w:ind w:left="0" w:firstLine="0"/>
        <w:rPr>
          <w:noProof/>
        </w:rPr>
      </w:pPr>
      <w:r>
        <w:rPr>
          <w:noProof/>
        </w:rPr>
        <w:t xml:space="preserve">2.2. </w:t>
      </w:r>
      <w:r>
        <w:rPr>
          <w:noProof/>
        </w:rPr>
        <w:tab/>
      </w:r>
      <w:r>
        <w:rPr>
          <w:smallCaps w:val="0"/>
          <w:noProof/>
        </w:rPr>
        <w:t>Verdensforummet for Harmonisering af Køretøjsforskrifter under De Forenede Nationers Økonomiske Kommission for Europa (FN/ECE) — arbejdsgruppe 29 eller WP. 29</w:t>
      </w:r>
    </w:p>
    <w:p>
      <w:pPr>
        <w:rPr>
          <w:noProof/>
        </w:rPr>
      </w:pPr>
      <w:r>
        <w:rPr>
          <w:noProof/>
        </w:rPr>
        <w:t>WP.29 er en enestående ramme for globalt harmoniserede forskrifter for køretøjer. WP.29 er en fast arbejdsgruppe under De Forenede Nationers institutionelle ramme med et særligt mandat og en særlig forretningsorden. Den fungerer som et globalt forum for åbne drøftelser om forskrifter for motorkøretøjer, hvor gennemførelsen af Overenskomsten af 1958 som revideret og parallelaftalen drøftes. Ethvert af De Forenede Nationers medlemslande og enhver regional organisation for økonomisk integration, der er oprettet af De Forenede Nationers medlemslande, kan deltage fuldt ud i aktiviteterne i WP.29 og kan blive kontraherende part i aftalerne om køretøjer, der forvaltes af WP.29. Den Europæiske Union er part i overenskomsten/aftalen</w:t>
      </w:r>
      <w:r>
        <w:rPr>
          <w:rStyle w:val="FootnoteReference"/>
          <w:noProof/>
        </w:rPr>
        <w:footnoteReference w:id="1"/>
      </w:r>
      <w:r>
        <w:rPr>
          <w:noProof/>
        </w:rPr>
        <w:t xml:space="preserve">. </w:t>
      </w:r>
    </w:p>
    <w:p>
      <w:pPr>
        <w:rPr>
          <w:noProof/>
        </w:rPr>
      </w:pPr>
    </w:p>
    <w:p>
      <w:pPr>
        <w:rPr>
          <w:noProof/>
        </w:rPr>
      </w:pPr>
      <w:r>
        <w:rPr>
          <w:noProof/>
        </w:rPr>
        <w:lastRenderedPageBreak/>
        <w:t>Der afholdes møder i FN/ECE WP.29 tre gange om året, i marts, juni og november. På hvert møde kan der vedtages nye FN-regulativer, nye globale tekniske FN-forskrifter, ændringer af eksisterende FN-regulativer og FN-resolutioner (i medfør af Overenskomsten af 1958 som revideret), og der kan vedtages ændringer af eksisterende globale tekniske forskrifter og resolutioner (i medfør af "parallelaftalen") for at tage hensyn til den tekniske udvikling. Forud for møderne i WP.29 drøftes disse ændringer først på teknisk niveau i specifikke hjælpeorganer under WP.29.</w:t>
      </w:r>
    </w:p>
    <w:p>
      <w:pPr>
        <w:rPr>
          <w:noProof/>
        </w:rPr>
      </w:pPr>
      <w:r>
        <w:rPr>
          <w:noProof/>
        </w:rPr>
        <w:t xml:space="preserve">Efterfølgende afholdes der en afstemning i WP.29 (dvs. ved kvalificeret flertal af de tilstedeværende kontraherende parter og afstemning om forslagene i henhold til Overenskomsten af 1958 som revideret og ved konsensusafstemning blandt de tilstedeværende kontraherende parter og afstemning om forslagene i henhold til parallelaftalen). </w:t>
      </w:r>
    </w:p>
    <w:p>
      <w:pPr>
        <w:rPr>
          <w:noProof/>
        </w:rPr>
      </w:pPr>
      <w:r>
        <w:rPr>
          <w:noProof/>
        </w:rPr>
        <w:t xml:space="preserve">Den holdning, der skal indtages på Unionens vegne om de nye regulativer og de nye globale tekniske forskrifter, samt ændringer, supplementer og korrigenda hertil, og om resolutioner fastlægges forud for hvert møde i WP.29 ved rådsafgørelse i henhold til artikel 218, stk. 9, i TEUF. </w:t>
      </w:r>
    </w:p>
    <w:p>
      <w:pPr>
        <w:pStyle w:val="ManualHeading1"/>
        <w:rPr>
          <w:smallCaps w:val="0"/>
          <w:noProof/>
        </w:rPr>
      </w:pPr>
      <w:r>
        <w:rPr>
          <w:smallCaps w:val="0"/>
          <w:noProof/>
        </w:rPr>
        <w:t xml:space="preserve">2.3. </w:t>
      </w:r>
      <w:r>
        <w:rPr>
          <w:noProof/>
        </w:rPr>
        <w:tab/>
      </w:r>
      <w:r>
        <w:rPr>
          <w:smallCaps w:val="0"/>
          <w:noProof/>
        </w:rPr>
        <w:t>Den påtænkte retsakt fra WP.29</w:t>
      </w:r>
    </w:p>
    <w:p>
      <w:pPr>
        <w:rPr>
          <w:noProof/>
        </w:rPr>
      </w:pPr>
      <w:r>
        <w:rPr>
          <w:noProof/>
        </w:rPr>
        <w:t>Den 10. november 2020 kan WP.29 på sit 182. møde vedtage forslagene til ændring af FN-regulativ nr. 0, 13, 16, 17, 35, 44, 55, 83, 93, 94, 95, 100, 115, 137, 144, 151, 152 og 153, forslaget til et nyt FN-regulativ om de globale emissioner ved faktisk kørsel, forslaget til et nyt FN-regulativ om godkendelse af anordninger til bakkørsel og motorkøretøjer for så vidt angår førerens opmærksomhed på bløde trafikanter bag køretøjet, forslaget til et nyt FN-regulativ om godkendelse af motorkøretøjer for så vidt angår systemet til detektering af fodgængere og cyklister ved start af køretøjet, forslaget til et nyt FN-regulativ om kollisionsdatarekorder, forslagene til ændringer af globale tekniske forskrifter nr. 7, 15 og 18, forslaget til en ny global teknisk forskrift om bestemmelse af elektriske køretøjers effekt og forslaget til ændring af den fælles resolution om den indvendige luftkvalitet i køretøjer (Vehicle Interior Air Quality (VIAQ)) M.R.3.</w:t>
      </w:r>
    </w:p>
    <w:p>
      <w:pPr>
        <w:pStyle w:val="ManualHeading1"/>
        <w:rPr>
          <w:noProof/>
        </w:rPr>
      </w:pPr>
      <w:r>
        <w:rPr>
          <w:noProof/>
        </w:rPr>
        <w:t xml:space="preserve">3. </w:t>
      </w:r>
      <w:r>
        <w:rPr>
          <w:noProof/>
        </w:rPr>
        <w:tab/>
        <w:t>DEN HOLDNING, DER SKAL INDTAGES PÅ UNIONENS VEGNE</w:t>
      </w:r>
    </w:p>
    <w:p>
      <w:pPr>
        <w:rPr>
          <w:noProof/>
        </w:rPr>
      </w:pPr>
      <w:r>
        <w:rPr>
          <w:noProof/>
        </w:rPr>
        <w:t>WP.29-systemet styrker den internationale harmonisering af standarder for køretøjer. Overenskomsten af 1958 spiller en central rolle for opnåelsen af dette mål, eftersom fabrikanterne i EU kan følge fælles regulativer om typegodkendelse, vel vidende at produktet vil blive anerkendt af de kontraherende parter som værende i overensstemmelse med deres nationale lovgivning. Denne ordning har f.eks. gjort det muligt at ophæve over 50 EU-direktiver ved forordning (EF) nr. 661/2009 om den generelle sikkerhed af motorkøretøjer og erstatte disse med de tilsvarende regulativer, der er udarbejdet i henhold til overenskomsten af 1958.</w:t>
      </w:r>
    </w:p>
    <w:p>
      <w:pPr>
        <w:rPr>
          <w:noProof/>
        </w:rPr>
      </w:pPr>
      <w:r>
        <w:rPr>
          <w:noProof/>
        </w:rPr>
        <w:t>En lignende fremgangsmåde følges i Europa-Parlamentets og Rådets forordning (EU) 2018/858</w:t>
      </w:r>
      <w:r>
        <w:rPr>
          <w:rStyle w:val="FootnoteReference"/>
          <w:noProof/>
        </w:rPr>
        <w:footnoteReference w:id="2"/>
      </w:r>
      <w:r>
        <w:rPr>
          <w:noProof/>
        </w:rPr>
        <w:t xml:space="preserve">, som fastlægger administrative bestemmelser og tekniske krav til typegodkendelse og omsætning af alle nye køretøjer, systemer, komponenter og separate tekniske enheder. Ved nævnte forordning indarbejdes regulativer vedtaget i medfør af overenskomsten af 1958 som </w:t>
      </w:r>
      <w:r>
        <w:rPr>
          <w:noProof/>
        </w:rPr>
        <w:lastRenderedPageBreak/>
        <w:t xml:space="preserve">revideret ("FN-regulativer") i EU-typegodkendelsessystemet, enten som krav ved typegodkendelse eller som alternativer til EU-lovgivningen. </w:t>
      </w:r>
    </w:p>
    <w:p>
      <w:pPr>
        <w:rPr>
          <w:noProof/>
        </w:rPr>
      </w:pPr>
      <w:r>
        <w:rPr>
          <w:noProof/>
        </w:rPr>
        <w:t xml:space="preserve">Når forslagene til ændringer af FN-regulativer, eller nye FN-regulativer, vedtages af WP.29, og når disse retsakter meddeles de kontraherende parter af FN/ECE's eksekutivsekretariat, kan retsakterne, hvis de kontraherende parter ikke gør indsigelser, der udgør et blokerende mindretal, efter seks måneder endelig træde i kraft og gennemføres i hver af de kontraherende parters gældende nationale regler. I EU er gennemførelsen afsluttet efter offentliggørelsen af disse retsakter i Den Europæiske Unions Tidende. </w:t>
      </w:r>
    </w:p>
    <w:p>
      <w:pPr>
        <w:pStyle w:val="ManualHeading1"/>
        <w:rPr>
          <w:b w:val="0"/>
          <w:smallCaps w:val="0"/>
          <w:noProof/>
        </w:rPr>
      </w:pPr>
      <w:r>
        <w:rPr>
          <w:b w:val="0"/>
          <w:smallCaps w:val="0"/>
          <w:noProof/>
        </w:rPr>
        <w:t>Det er derfor nødvendigt at fastlægge Unionens holdning til følgende retsakter:</w:t>
      </w:r>
    </w:p>
    <w:p>
      <w:pPr>
        <w:pStyle w:val="Tiret0"/>
        <w:numPr>
          <w:ilvl w:val="0"/>
          <w:numId w:val="2"/>
        </w:numPr>
        <w:rPr>
          <w:noProof/>
        </w:rPr>
      </w:pPr>
      <w:r>
        <w:rPr>
          <w:noProof/>
        </w:rPr>
        <w:t>forslagene til ændringer af FN-regulativ nr. 0, 13, 16, 17, 44, 55, 83, 93, 94, 95, 100, 115, 137, 144, 151, 152 og 153, der vedrører ajourføring af bestemmelserne om international typegodkendelse af køretøjer, bremsesystemer på tunge køretøjer, sikkerhedsseler, styrken af sæder, barnefastholdelsesanordninger, mekanisk sammenkobling, der er påmonteret motorkøretøjer, emissioner fra køretøjer i klasse M1 og N1, anordninger til afskærmning fortil mod underkøring, beskyttelse mod frontal- og sidekollision, køretøjer med elektrisk fremdriftssystem, eftermonterede brændstofsystemer (LPG og CNG)), frontalsammenstød med fokus på fastholdelsesanordninger, nødtelefonsystemer, system til information om blinde vinkler, avancerede nødbremsesystemer for køretøjer i klasse M1 og N1 samt brændstofsystemets integritet og sikkerhed af elektriske fremdriftssystemer ved kollision bagfra</w:t>
      </w:r>
    </w:p>
    <w:p>
      <w:pPr>
        <w:pStyle w:val="Tiret0"/>
        <w:numPr>
          <w:ilvl w:val="0"/>
          <w:numId w:val="2"/>
        </w:numPr>
        <w:rPr>
          <w:noProof/>
        </w:rPr>
      </w:pPr>
      <w:r>
        <w:rPr>
          <w:noProof/>
        </w:rPr>
        <w:t>forslaget til et nyt FN-regulativ om godkendelse af anordninger til bakkørsel og motorkøretøjer for så vidt angår førerens opmærksomhed på bløde trafikanter bag køretøjet</w:t>
      </w:r>
    </w:p>
    <w:p>
      <w:pPr>
        <w:pStyle w:val="Tiret0"/>
        <w:numPr>
          <w:ilvl w:val="0"/>
          <w:numId w:val="2"/>
        </w:numPr>
        <w:rPr>
          <w:noProof/>
        </w:rPr>
      </w:pPr>
      <w:r>
        <w:rPr>
          <w:noProof/>
        </w:rPr>
        <w:t>forslaget til et nyt FN-regulativ om godkendelse af motorkøretøjer for så vidt angår systemet til detektering af fodgængere og cyklister ved start af køretøjet</w:t>
      </w:r>
    </w:p>
    <w:p>
      <w:pPr>
        <w:pStyle w:val="Tiret0"/>
        <w:numPr>
          <w:ilvl w:val="0"/>
          <w:numId w:val="2"/>
        </w:numPr>
        <w:rPr>
          <w:noProof/>
        </w:rPr>
      </w:pPr>
      <w:r>
        <w:rPr>
          <w:noProof/>
        </w:rPr>
        <w:t>forslagene til ændringer af de globale tekniske forskrifter (FN-GTR) nr. 7, 15 og 18 om nakkestøtter, globalt harmoniserede prøvningsprocedurer for lette køretøjer (Worldwide harmonized Light vehicles Test Procedures (WLTP)) og egendiagnosesystemer (OBD-systemer) for køretøjer i klasse L.</w:t>
      </w:r>
    </w:p>
    <w:p>
      <w:pPr>
        <w:pStyle w:val="Tiret0"/>
        <w:numPr>
          <w:ilvl w:val="0"/>
          <w:numId w:val="2"/>
        </w:numPr>
        <w:rPr>
          <w:noProof/>
        </w:rPr>
      </w:pPr>
      <w:r>
        <w:rPr>
          <w:noProof/>
        </w:rPr>
        <w:t>forslaget til en ny FN-GTR om bestemmelse af elektriske køretøjers effekt</w:t>
      </w:r>
    </w:p>
    <w:p>
      <w:pPr>
        <w:pStyle w:val="Tiret0"/>
        <w:numPr>
          <w:ilvl w:val="0"/>
          <w:numId w:val="2"/>
        </w:numPr>
        <w:rPr>
          <w:noProof/>
        </w:rPr>
      </w:pPr>
      <w:r>
        <w:rPr>
          <w:noProof/>
        </w:rPr>
        <w:t xml:space="preserve"> forslaget til ændringer af den fælles resolution M.R.3 om den indvendige luftkvalitet i køretøjer (Vehicle Interior Air Quality (VIAQ)), </w:t>
      </w:r>
    </w:p>
    <w:p>
      <w:pPr>
        <w:rPr>
          <w:noProof/>
        </w:rPr>
      </w:pPr>
      <w:r>
        <w:rPr>
          <w:noProof/>
        </w:rPr>
        <w:t>der bliver forelagt til afstemning på WP.29-mødet i november 2020, der finder sted den 10. november 2020. Det er derover nødvendigt at fastlægge Unionens holdning til:</w:t>
      </w:r>
    </w:p>
    <w:p>
      <w:pPr>
        <w:pStyle w:val="Tiret0"/>
        <w:rPr>
          <w:noProof/>
        </w:rPr>
      </w:pPr>
      <w:r>
        <w:rPr>
          <w:noProof/>
        </w:rPr>
        <w:t>forslagene til tilladelser til at udarbejde ændringer af FN-GTR nr. 8 om elektroniske stabilitetskontrolsystemer og til at udarbejde en ny FN-GTR om batterilevetiden i køretøjer</w:t>
      </w:r>
    </w:p>
    <w:p>
      <w:pPr>
        <w:pStyle w:val="Tiret0"/>
        <w:rPr>
          <w:noProof/>
        </w:rPr>
      </w:pPr>
      <w:r>
        <w:rPr>
          <w:noProof/>
        </w:rPr>
        <w:t>forslagene til fortolkningsdokumenter om FN-regulativ nr. 155 og 156 samt forslaget til retningslinjer for anvendelse af databasen til udveksling af typegodkendelser (DETA) i henhold til FN-regulativ nr. 155.</w:t>
      </w:r>
    </w:p>
    <w:p>
      <w:pPr>
        <w:rPr>
          <w:noProof/>
        </w:rPr>
      </w:pPr>
      <w:r>
        <w:rPr>
          <w:noProof/>
        </w:rPr>
        <w:t xml:space="preserve">Unionen bør støtte de ovennævnte retsakter, fordi de er i fuld overensstemmelse med Unionens politik for det indre marked for så vidt angår bilindustrien og med Unionens politikker om transport, klima og energi. Disse retsakter har en yderst positiv indvirkning på </w:t>
      </w:r>
      <w:r>
        <w:rPr>
          <w:noProof/>
        </w:rPr>
        <w:lastRenderedPageBreak/>
        <w:t xml:space="preserve">bilindustriens konkurrenceevne i EU og den internationale handel. At stemme for disse retsakter vil fremme den teknologiske udvikling, give stordriftsfordele, forhindre en opsplitning af det indre marked og sikre, at bilstandarderne anvendes ensartet i hele Unionen. </w:t>
      </w:r>
    </w:p>
    <w:p>
      <w:pPr>
        <w:rPr>
          <w:noProof/>
        </w:rPr>
      </w:pPr>
      <w:r>
        <w:rPr>
          <w:noProof/>
        </w:rPr>
        <w:t>I betragtning af, at Unionen ikke anvender de ensartede forskrifter i FN-regulativ nr. 35, er det ikke nødvendigt at fastlægge Unionens holdning til forslaget om ændring af FN-regulativ nr. 35, som behandles inden for rammerne af FN/ECE WP 29.</w:t>
      </w:r>
    </w:p>
    <w:p>
      <w:pPr>
        <w:rPr>
          <w:noProof/>
        </w:rPr>
      </w:pPr>
      <w:r>
        <w:rPr>
          <w:noProof/>
        </w:rPr>
        <w:t>Forslaget til et nyt FN-regulativ om de globale emissioner ved faktisk kørsel og forslaget til et nyt FN-regulativ om kollisionsdatarekordere er ikke klar til afstemning på WP.29-mødet i november 2020 og skal drøftes yderligere.</w:t>
      </w:r>
    </w:p>
    <w:p>
      <w:pPr>
        <w:rPr>
          <w:noProof/>
        </w:rPr>
      </w:pPr>
      <w:r>
        <w:rPr>
          <w:noProof/>
        </w:rPr>
        <w:t>Ekstern ekspertbistand er ikke relevant i forbindelse med dette forslag. Det vil imidlertid blive behandlet af det tekniske udvalg for motorkøretøjer.</w:t>
      </w:r>
    </w:p>
    <w:p>
      <w:pPr>
        <w:rPr>
          <w:noProof/>
        </w:rPr>
      </w:pPr>
    </w:p>
    <w:p>
      <w:pPr>
        <w:pStyle w:val="ManualHeading1"/>
        <w:rPr>
          <w:noProof/>
        </w:rPr>
      </w:pPr>
      <w:r>
        <w:rPr>
          <w:noProof/>
        </w:rPr>
        <w:t>4.</w:t>
      </w:r>
      <w:r>
        <w:rPr>
          <w:noProof/>
        </w:rPr>
        <w:tab/>
        <w:t>RETSGRUNDLAG</w:t>
      </w:r>
    </w:p>
    <w:p>
      <w:pPr>
        <w:pStyle w:val="Text1"/>
        <w:ind w:left="0"/>
        <w:rPr>
          <w:noProof/>
        </w:rPr>
      </w:pPr>
    </w:p>
    <w:p>
      <w:pPr>
        <w:pStyle w:val="Text1"/>
        <w:ind w:left="0"/>
        <w:rPr>
          <w:b/>
          <w:noProof/>
        </w:rPr>
      </w:pPr>
      <w:r>
        <w:rPr>
          <w:b/>
          <w:noProof/>
        </w:rPr>
        <w:t xml:space="preserve">4.1. </w:t>
      </w:r>
      <w:r>
        <w:rPr>
          <w:noProof/>
        </w:rPr>
        <w:tab/>
      </w:r>
      <w:r>
        <w:rPr>
          <w:b/>
          <w:noProof/>
        </w:rPr>
        <w:t xml:space="preserve">Proceduremæssigt retsgrundlag </w:t>
      </w:r>
    </w:p>
    <w:p>
      <w:pPr>
        <w:pStyle w:val="Text1"/>
        <w:ind w:left="0"/>
        <w:rPr>
          <w:i/>
          <w:noProof/>
        </w:rPr>
      </w:pPr>
      <w:r>
        <w:rPr>
          <w:i/>
          <w:noProof/>
        </w:rPr>
        <w:t xml:space="preserve">4.1.1. </w:t>
      </w:r>
      <w:r>
        <w:rPr>
          <w:noProof/>
        </w:rPr>
        <w:tab/>
      </w:r>
      <w:r>
        <w:rPr>
          <w:i/>
          <w:noProof/>
        </w:rPr>
        <w:t xml:space="preserve">Principper </w:t>
      </w:r>
    </w:p>
    <w:p>
      <w:pPr>
        <w:pStyle w:val="Text1"/>
        <w:ind w:left="0"/>
        <w:rPr>
          <w:noProof/>
        </w:rPr>
      </w:pPr>
      <w:r>
        <w:rPr>
          <w:noProof/>
        </w:rPr>
        <w:t xml:space="preserve">I henhold til artikel 218, stk. 9, i traktaten om Den Europæiske Unions funktionsmåde (TEUF) vedtager Rådet afgørelser om "fastlæggelse af, hvilke holdninger der skal indtages på Unionens vegne i et organ nedsat ved en aftale, når dette organ skal vedtage retsakter, der har retsvirkninger, bortset fra retsakter, der supplerer eller ændrer den institutionelle ramme for aftalen". </w:t>
      </w:r>
    </w:p>
    <w:p>
      <w:pPr>
        <w:pStyle w:val="Text1"/>
        <w:ind w:left="0"/>
        <w:rPr>
          <w:noProof/>
        </w:rPr>
      </w:pPr>
      <w:r>
        <w:rPr>
          <w:noProof/>
        </w:rPr>
        <w:t>Begrebet "retsakter, der har retsvirkninger" omfatter retsakter, der har retsvirkninger i medfør af de folkeretlige regler, der gælder for det pågældende organ. Det omfatter også instrumenter, der ikke har bindende virkning i henhold til folkeretten, men som "vil kunne få afgørende indflydelse på indholdet af de regler, der vedtages af EU-lovgiver"</w:t>
      </w:r>
      <w:r>
        <w:rPr>
          <w:rStyle w:val="FootnoteReference"/>
          <w:noProof/>
        </w:rPr>
        <w:footnoteReference w:id="3"/>
      </w:r>
      <w:r>
        <w:rPr>
          <w:noProof/>
        </w:rPr>
        <w:t>.</w:t>
      </w:r>
    </w:p>
    <w:p>
      <w:pPr>
        <w:pStyle w:val="Text1"/>
        <w:ind w:left="0"/>
        <w:rPr>
          <w:noProof/>
        </w:rPr>
      </w:pPr>
    </w:p>
    <w:p>
      <w:pPr>
        <w:pStyle w:val="Text1"/>
        <w:ind w:left="0"/>
        <w:rPr>
          <w:i/>
          <w:noProof/>
        </w:rPr>
      </w:pPr>
      <w:r>
        <w:rPr>
          <w:i/>
          <w:noProof/>
        </w:rPr>
        <w:t xml:space="preserve">4.1.2. </w:t>
      </w:r>
      <w:r>
        <w:rPr>
          <w:noProof/>
        </w:rPr>
        <w:tab/>
      </w:r>
      <w:r>
        <w:rPr>
          <w:i/>
          <w:noProof/>
        </w:rPr>
        <w:t xml:space="preserve">Princippernes anvendelse på det foreliggende tilfælde </w:t>
      </w:r>
    </w:p>
    <w:p>
      <w:pPr>
        <w:pStyle w:val="Text1"/>
        <w:ind w:left="0"/>
        <w:rPr>
          <w:noProof/>
        </w:rPr>
      </w:pPr>
      <w:r>
        <w:rPr>
          <w:noProof/>
        </w:rPr>
        <w:t xml:space="preserve">WP.29 er et organ, hvor gennemførelse af Overenskomsten af 1958 som revideret og parallelaftalen drøftes mellem de kontraherende parter i FN/ECE.  </w:t>
      </w:r>
    </w:p>
    <w:p>
      <w:pPr>
        <w:pStyle w:val="Text1"/>
        <w:ind w:left="0"/>
        <w:rPr>
          <w:noProof/>
        </w:rPr>
      </w:pPr>
      <w:r>
        <w:rPr>
          <w:noProof/>
        </w:rPr>
        <w:t xml:space="preserve">De retsakter, som WP.29 skal vedtage, er retsakter, der har retsvirkninger. </w:t>
      </w:r>
    </w:p>
    <w:p>
      <w:pPr>
        <w:pStyle w:val="Text1"/>
        <w:ind w:left="0"/>
        <w:rPr>
          <w:noProof/>
        </w:rPr>
      </w:pPr>
      <w:r>
        <w:rPr>
          <w:noProof/>
        </w:rPr>
        <w:t xml:space="preserve">FN-regulativerne i den påtænkte retsakt vil være bindende for Unionen og vil sammen med FN's globale tekniske forskrifter og resolutioner kunne få afgørende indflydelse på indholdet af EU-lovgivningen på området for typegodkendelse af køretøjer. </w:t>
      </w:r>
    </w:p>
    <w:p>
      <w:pPr>
        <w:pStyle w:val="Text1"/>
        <w:ind w:left="0"/>
        <w:rPr>
          <w:noProof/>
        </w:rPr>
      </w:pPr>
      <w:r>
        <w:rPr>
          <w:noProof/>
        </w:rPr>
        <w:t xml:space="preserve">De påtænkte retsakter supplerer eller ændrer ikke den institutionelle ramme for overenskomsten. </w:t>
      </w:r>
    </w:p>
    <w:p>
      <w:pPr>
        <w:pStyle w:val="Text1"/>
        <w:ind w:left="0"/>
        <w:rPr>
          <w:noProof/>
        </w:rPr>
      </w:pPr>
      <w:r>
        <w:rPr>
          <w:noProof/>
        </w:rPr>
        <w:t>Det proceduremæssige retsgrundlag for den foreslåede afgørelse er derfor artikel 218, stk. 9, i TEUF.</w:t>
      </w:r>
    </w:p>
    <w:p>
      <w:pPr>
        <w:pStyle w:val="Text1"/>
        <w:ind w:left="0"/>
        <w:rPr>
          <w:noProof/>
        </w:rPr>
      </w:pPr>
    </w:p>
    <w:p>
      <w:pPr>
        <w:pStyle w:val="Text1"/>
        <w:ind w:left="0"/>
        <w:rPr>
          <w:b/>
          <w:noProof/>
        </w:rPr>
      </w:pPr>
      <w:r>
        <w:rPr>
          <w:b/>
          <w:noProof/>
        </w:rPr>
        <w:t xml:space="preserve">4.2. </w:t>
      </w:r>
      <w:r>
        <w:rPr>
          <w:noProof/>
        </w:rPr>
        <w:tab/>
      </w:r>
      <w:r>
        <w:rPr>
          <w:b/>
          <w:noProof/>
        </w:rPr>
        <w:t xml:space="preserve">Materielt retsgrundlag </w:t>
      </w:r>
    </w:p>
    <w:p>
      <w:pPr>
        <w:pStyle w:val="Text1"/>
        <w:ind w:left="0"/>
        <w:rPr>
          <w:i/>
          <w:noProof/>
        </w:rPr>
      </w:pPr>
      <w:r>
        <w:rPr>
          <w:i/>
          <w:noProof/>
        </w:rPr>
        <w:lastRenderedPageBreak/>
        <w:t xml:space="preserve">4.2.1. </w:t>
      </w:r>
      <w:r>
        <w:rPr>
          <w:noProof/>
        </w:rPr>
        <w:tab/>
      </w:r>
      <w:r>
        <w:rPr>
          <w:i/>
          <w:noProof/>
        </w:rPr>
        <w:t xml:space="preserve">Principper </w:t>
      </w:r>
    </w:p>
    <w:p>
      <w:pPr>
        <w:pStyle w:val="Text1"/>
        <w:ind w:left="0"/>
        <w:rPr>
          <w:noProof/>
        </w:rPr>
      </w:pPr>
      <w:r>
        <w:rPr>
          <w:noProof/>
        </w:rPr>
        <w:t xml:space="preserve">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elementer, og det ene af disse formål eller elementer kan bestemmes som det primære, mens det andet kun er sekundært, skal den afgørelse, der vedtages i henhold til artikel 218, stk. 9, i TEUF, have et enkelt materielt retsgrundlag, nemlig det, der kræves af det primære eller fremherskende formål eller element. </w:t>
      </w:r>
    </w:p>
    <w:p>
      <w:pPr>
        <w:pStyle w:val="Text1"/>
        <w:ind w:left="0"/>
        <w:rPr>
          <w:noProof/>
        </w:rPr>
      </w:pPr>
    </w:p>
    <w:p>
      <w:pPr>
        <w:pStyle w:val="Text1"/>
        <w:ind w:left="0"/>
        <w:rPr>
          <w:i/>
          <w:noProof/>
        </w:rPr>
      </w:pPr>
      <w:r>
        <w:rPr>
          <w:i/>
          <w:noProof/>
        </w:rPr>
        <w:t xml:space="preserve">4.2.2. Princippernes anvendelse på det foreliggende tilfælde </w:t>
      </w:r>
    </w:p>
    <w:p>
      <w:pPr>
        <w:pStyle w:val="Text1"/>
        <w:ind w:left="0"/>
        <w:rPr>
          <w:noProof/>
        </w:rPr>
      </w:pPr>
      <w:r>
        <w:rPr>
          <w:noProof/>
        </w:rPr>
        <w:t xml:space="preserve">Hovedformålet med og indholdet af den påtænkte retsakt vedrører tilnærmelse af lovgivninger. Det materielle retsgrundlag for den foreslåede afgørelse er derfor artikel 114 i TEUF. </w:t>
      </w:r>
    </w:p>
    <w:p>
      <w:pPr>
        <w:pStyle w:val="Text1"/>
        <w:ind w:left="0"/>
        <w:rPr>
          <w:i/>
          <w:noProof/>
        </w:rPr>
      </w:pPr>
    </w:p>
    <w:p>
      <w:pPr>
        <w:pStyle w:val="Text1"/>
        <w:ind w:left="0"/>
        <w:rPr>
          <w:i/>
          <w:noProof/>
        </w:rPr>
      </w:pPr>
      <w:r>
        <w:rPr>
          <w:i/>
          <w:noProof/>
        </w:rPr>
        <w:t xml:space="preserve">4.3. </w:t>
      </w:r>
      <w:r>
        <w:rPr>
          <w:noProof/>
        </w:rPr>
        <w:tab/>
      </w:r>
      <w:r>
        <w:rPr>
          <w:i/>
          <w:noProof/>
        </w:rPr>
        <w:t xml:space="preserve">Konklusion </w:t>
      </w:r>
    </w:p>
    <w:p>
      <w:pPr>
        <w:pStyle w:val="Text1"/>
        <w:ind w:left="0"/>
        <w:rPr>
          <w:noProof/>
        </w:rPr>
      </w:pPr>
      <w:r>
        <w:rPr>
          <w:noProof/>
        </w:rPr>
        <w:t>Retsgrundlaget for den foreslåede afgørelse bør være artikel 114 i TEUF sammenholdt med artikel 218, stk. 9, i TEUF.</w:t>
      </w:r>
    </w:p>
    <w:p>
      <w:pPr>
        <w:pStyle w:val="Text1"/>
        <w:ind w:left="0"/>
        <w:rPr>
          <w:noProof/>
        </w:rPr>
      </w:pPr>
    </w:p>
    <w:p>
      <w:pPr>
        <w:spacing w:before="0" w:after="200" w:line="276" w:lineRule="auto"/>
        <w:jc w:val="center"/>
        <w:rPr>
          <w:noProof/>
        </w:rPr>
        <w:sectPr>
          <w:footerReference w:type="default" r:id="rId10"/>
          <w:footerReference w:type="first" r:id="rId11"/>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2020/0295 (NLE)</w:t>
      </w:r>
    </w:p>
    <w:p>
      <w:pPr>
        <w:pStyle w:val="Statut"/>
        <w:rPr>
          <w:noProof/>
        </w:rPr>
      </w:pPr>
      <w:r>
        <w:rPr>
          <w:noProof/>
        </w:rPr>
        <w:t>&lt;FMT:Textcolor=000000,TextColor&gt;Forslag til&lt;/FMT&gt;</w:t>
      </w:r>
    </w:p>
    <w:p>
      <w:pPr>
        <w:pStyle w:val="Typedudocument"/>
        <w:rPr>
          <w:noProof/>
        </w:rPr>
      </w:pPr>
      <w:r>
        <w:rPr>
          <w:noProof/>
        </w:rPr>
        <w:t>RÅDETS AFGØRELSE</w:t>
      </w:r>
    </w:p>
    <w:p>
      <w:pPr>
        <w:pStyle w:val="Titreobjet"/>
        <w:rPr>
          <w:noProof/>
        </w:rPr>
      </w:pPr>
      <w:r>
        <w:rPr>
          <w:noProof/>
        </w:rPr>
        <w:t>om den holdning, der skal indtages på Den Europæiske Unions vegne i Verdensforummet for Harmonisering af Køretøjsforskrifter under De Forenede Nationers Økonomiske Kommission for Europa for så vidt angår forslag til ændring af FN-regulativ nr. 0, 13, 16, 17, 44, 55, 83, 93, 94, 95, 100, 115, 137, 144, 151, 152 og 153, forslag til ændring af global teknisk forskrift nr. 7, 15 og 18, forslag til ændring af den fælles resolution M.R.3, forslag til to nye FN-regulativer om bakkørsel og systemer til detektering ved start af køretøjet og forslag til en ny global teknisk forskrift om bestemmelse af elektriske køretøjers effekt</w:t>
      </w:r>
    </w:p>
    <w:p>
      <w:pPr>
        <w:pStyle w:val="Institutionquiagit"/>
        <w:rPr>
          <w:noProof/>
        </w:rPr>
      </w:pPr>
      <w:r>
        <w:rPr>
          <w:noProof/>
        </w:rPr>
        <w:t>RÅDET FOR DEN EUROPÆISKE UNION,</w:t>
      </w:r>
    </w:p>
    <w:p>
      <w:pPr>
        <w:rPr>
          <w:noProof/>
        </w:rPr>
      </w:pPr>
      <w:r>
        <w:rPr>
          <w:noProof/>
        </w:rPr>
        <w:t>under henvisning til traktaten om Den Europæiske Unions funktionsmåde, særlig artikel 114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Ved Rådets afgørelse 97/836/EF</w:t>
      </w:r>
      <w:r>
        <w:rPr>
          <w:rStyle w:val="FootnoteReference"/>
          <w:noProof/>
        </w:rPr>
        <w:footnoteReference w:id="4"/>
      </w:r>
      <w:r>
        <w:rPr>
          <w:noProof/>
        </w:rPr>
        <w:t xml:space="preserve"> tiltrådte Unionen overenskomsten under De Forenede Nationers Økonomiske Kommission for Europa (FN/ECE)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 Overenskomsten af 1958 som revideret trådte i kraft den 24. marts 1998.</w:t>
      </w:r>
    </w:p>
    <w:p>
      <w:pPr>
        <w:pStyle w:val="ManualConsidrant"/>
        <w:rPr>
          <w:noProof/>
        </w:rPr>
      </w:pPr>
      <w:r>
        <w:t>(2)</w:t>
      </w:r>
      <w:r>
        <w:tab/>
      </w:r>
      <w:r>
        <w:rPr>
          <w:noProof/>
        </w:rPr>
        <w:t>Ved Rådets afgørelse 2000/125/EF</w:t>
      </w:r>
      <w:r>
        <w:rPr>
          <w:rStyle w:val="FootnoteReference"/>
          <w:noProof/>
        </w:rPr>
        <w:footnoteReference w:id="5"/>
      </w:r>
      <w:r>
        <w:rPr>
          <w:noProof/>
        </w:rPr>
        <w:t xml:space="preserve"> tiltrådte Unionen aftalen om etablering af globale tekniske forskrifter for hjulkøretøjer samt udstyr og dele, der kan monteres og/eller anvendes på hjulkøretøjer ("parallelaftalen"). Parallelaftalen trådte i kraft den 15. februar 2000.</w:t>
      </w:r>
    </w:p>
    <w:p>
      <w:pPr>
        <w:pStyle w:val="ManualConsidrant"/>
        <w:rPr>
          <w:noProof/>
        </w:rPr>
      </w:pPr>
      <w:r>
        <w:t>(3)</w:t>
      </w:r>
      <w:r>
        <w:tab/>
      </w:r>
      <w:r>
        <w:rPr>
          <w:noProof/>
        </w:rPr>
        <w:t>Ved Europa-Parlamentets og Rådets forordning (EU) 2018/858</w:t>
      </w:r>
      <w:r>
        <w:rPr>
          <w:rStyle w:val="FootnoteReference"/>
          <w:noProof/>
        </w:rPr>
        <w:footnoteReference w:id="6"/>
      </w:r>
      <w:r>
        <w:rPr>
          <w:noProof/>
        </w:rPr>
        <w:t xml:space="preserve"> fastlægges der administrative bestemmelser og tekniske krav til typegodkendelse og omsætning af alle nye køretøjer, systemer, komponenter og separate tekniske enheder. Ved nævnte </w:t>
      </w:r>
      <w:r>
        <w:rPr>
          <w:noProof/>
        </w:rPr>
        <w:lastRenderedPageBreak/>
        <w:t xml:space="preserve">forordning indarbejdes regulativer vedtaget i medfør af overenskomsten af 1958 som revideret ("FN-regulativer") i EU-typegodkendelsessystemet, enten som krav ved typegodkendelse eller som alternativer til EU-lovgivningen.  </w:t>
      </w:r>
    </w:p>
    <w:p>
      <w:pPr>
        <w:pStyle w:val="ManualConsidrant"/>
        <w:rPr>
          <w:noProof/>
        </w:rPr>
      </w:pPr>
      <w:r>
        <w:t>(4)</w:t>
      </w:r>
      <w:r>
        <w:tab/>
      </w:r>
      <w:r>
        <w:rPr>
          <w:noProof/>
        </w:rPr>
        <w:t>I henhold til artikel 1 i overenskomsten af 1958 som revideret og parallelsaftalens artikel 6 kan FN/ECE's Verdensforum for Harmonisering af Køretøjsforskrifter (FN/ECE WP.29) vedtage forslag til ændring af FN-regulativer, FN's globale tekniske forskrifter og FN-resolutioner samt forslag til nye FN-regulativer, globale tekniske forskrifter fra FN og FN-resolutioner om godkendelse af køretøjer. Endvidere kan FN/ECE WP.29 i henhold til disse bestemmelser vedtage forslag til tilladelser til at udarbejde ændringer af FN's globale tekniske forskrifter eller til at udarbejde nye globale tekniske forskrifter og kan vedtage forslag om udvidelse af mandatet for FN's globale tekniske forskrifter.</w:t>
      </w:r>
    </w:p>
    <w:p>
      <w:pPr>
        <w:pStyle w:val="ManualConsidrant"/>
        <w:rPr>
          <w:noProof/>
        </w:rPr>
      </w:pPr>
      <w:r>
        <w:t>(5)</w:t>
      </w:r>
      <w:r>
        <w:tab/>
      </w:r>
      <w:r>
        <w:rPr>
          <w:noProof/>
        </w:rPr>
        <w:t>FN/ECE-WP.29 kan på det 182. møde i Verdensforummet, der skal afholdes den 10. november 2020, vedtage forslagene til ændring af FN-regulativ nr. 0, 13, 16, 17, 44, 55, 83, 93, 94, 95, 100, 115, 137, 144, 151, 152 og 153, forslaget til et nyt FN-regulativ om godkendelse af anordninger til bakkørsel og motorkøretøjer for så vidt angår førerens opmærksomhed på bløde trafikanter bag køretøjet, forslaget til et nyt FN-regulativ om godkendelse af motorkøretøjer for så vidt angår systemet til detektering af fodgængere og cyklister ved start af køretøjet, forslagene til ændring af globale tekniske forskrifter nr. 7, 15 og 18, forslaget til en ny global teknisk forskrift om bestemmelse af elektriske køretøjers effekt og forslaget til ændring af den fælles resolution M.R.3. om den indvendige luftkvalitet i køretøjer (Vehicle Interior Air Quality (VIAQ)). FN/ECE-WP.29. vil desuden vedtage forslaget om tilladelser til at udarbejde en ændring af global teknisk forskrift nr. 8 og til at udarbejde en ny global teknisk forskrift om batterilevetiden i køretøjer.</w:t>
      </w:r>
    </w:p>
    <w:p>
      <w:pPr>
        <w:pStyle w:val="ManualConsidrant"/>
        <w:rPr>
          <w:noProof/>
        </w:rPr>
      </w:pPr>
      <w:r>
        <w:t>(6)</w:t>
      </w:r>
      <w:r>
        <w:tab/>
      </w:r>
      <w:r>
        <w:rPr>
          <w:noProof/>
        </w:rPr>
        <w:t>Det er hensigtsmæssigt at fastlægge den holdning, som på Unionens vegne skal indtages i FN/ECE WP.29, til vedtagelsen af disse forslag, da FN-regulativerne vil blive bindende for Unionen og sammen med FN's globale tekniske forskrifter og den fælles resolution vil kunne få afgørende indflydelse på indholdet af EU-lovgivningen om typegodkendelse af køretøjer.</w:t>
      </w:r>
    </w:p>
    <w:p>
      <w:pPr>
        <w:pStyle w:val="ManualConsidrant"/>
        <w:rPr>
          <w:i/>
          <w:noProof/>
        </w:rPr>
      </w:pPr>
      <w:r>
        <w:t>(7)</w:t>
      </w:r>
      <w:r>
        <w:tab/>
      </w:r>
      <w:r>
        <w:rPr>
          <w:noProof/>
        </w:rPr>
        <w:t xml:space="preserve">I lyset af den opnåede erfaring og den tekniske udvikling er det nødvendigt at ændre eller supplere kravene til visse dele og karakteristika, der er omfattet af FN-regulativ nr. 0, 13, 16, 17, 44, 55, 83, 93, 94, 95, 100, 115, 137, 144, 151, 152 og 153 og af den fælles resolution M.R.3. </w:t>
      </w:r>
    </w:p>
    <w:p>
      <w:pPr>
        <w:pStyle w:val="ManualConsidrant"/>
        <w:rPr>
          <w:i/>
          <w:noProof/>
        </w:rPr>
      </w:pPr>
      <w:r>
        <w:t>(8)</w:t>
      </w:r>
      <w:r>
        <w:tab/>
      </w:r>
      <w:r>
        <w:rPr>
          <w:noProof/>
        </w:rPr>
        <w:t>Det er desuden nødvendigt at ændre visse bestemmelser i FN-GTR nr. 7, 15 og 18.</w:t>
      </w:r>
    </w:p>
    <w:p>
      <w:pPr>
        <w:pStyle w:val="ManualConsidrant"/>
        <w:rPr>
          <w:noProof/>
        </w:rPr>
      </w:pPr>
      <w:r>
        <w:t>(9)</w:t>
      </w:r>
      <w:r>
        <w:tab/>
      </w:r>
      <w:r>
        <w:rPr>
          <w:noProof/>
        </w:rPr>
        <w:t>For at tage hensyn til den tekniske udvikling og for at sikre bedre køretøjssikkerhed og emissionsprøvning skal der vedtages to nye FN-regulativer om godkendelse af anordninger til bakkørsel og motorkøretøjer for så vidt angår førerens opmærksomhed på bløde trafikanter bag køretøjet og om godkendelse af motorkøretøjer for så vidt angår systemet til detektering af fodgængere og cyklister ved start af køretøjet. Parallelt hermed skal der vedtages en ny global teknisk forskrift om bestemmelse af elektriske køretøjers effekt.</w:t>
      </w:r>
    </w:p>
    <w:p>
      <w:pPr>
        <w:pStyle w:val="ManualConsidrant"/>
        <w:rPr>
          <w:noProof/>
        </w:rPr>
      </w:pPr>
      <w:r>
        <w:t>(10)</w:t>
      </w:r>
      <w:r>
        <w:tab/>
      </w:r>
      <w:r>
        <w:rPr>
          <w:noProof/>
        </w:rPr>
        <w:t xml:space="preserve">For at give mulighed for yderligere udvikling af tekniske krav skal forslagene om tilladelse til udarbejdelse af en ændring af FN-GTR nr. 8 og om en ny global teknisk forskrift om batterilevetiden i køretøjer vedtages på grundlag af anmodning fra FN/ECE's kontraherende parter, som støtter arbejdet om FN's globale tekniske forskrifter, eller fra de specifikke hjælpeorganer under FN/ECE WP.29. </w:t>
      </w:r>
    </w:p>
    <w:p>
      <w:pPr>
        <w:pStyle w:val="ManualConsidrant"/>
        <w:rPr>
          <w:noProof/>
        </w:rPr>
      </w:pPr>
      <w:r>
        <w:lastRenderedPageBreak/>
        <w:t>(11)</w:t>
      </w:r>
      <w:r>
        <w:tab/>
      </w:r>
      <w:r>
        <w:rPr>
          <w:noProof/>
        </w:rPr>
        <w:t>For at sikre en konsekvent fortolkning af FN-regulativ nr. 155 og 156 bør forslagene til fortolkningsdokumenter til begge regulativer samt forslaget til retningslinjer for anvendelse af databasen til udveksling af typegodkendelser (DETA) i henhold til FN-regulativ nr. 155 vedtages.</w:t>
      </w:r>
    </w:p>
    <w:p>
      <w:pPr>
        <w:pStyle w:val="ManualConsidrant"/>
        <w:rPr>
          <w:noProof/>
        </w:rPr>
      </w:pPr>
      <w:r>
        <w:t>(12)</w:t>
      </w:r>
      <w:r>
        <w:tab/>
      </w:r>
      <w:r>
        <w:rPr>
          <w:noProof/>
        </w:rPr>
        <w:t>Den 16. juni 2020 vedtog Rådet afgørelse (EU) 2020/848</w:t>
      </w:r>
      <w:r>
        <w:rPr>
          <w:rStyle w:val="FootnoteReference"/>
          <w:noProof/>
        </w:rPr>
        <w:footnoteReference w:id="7"/>
      </w:r>
      <w:r>
        <w:rPr>
          <w:noProof/>
        </w:rPr>
        <w:t xml:space="preserve"> om den holdning, der skulle indtages for så vidt angår FN's globale tekniske forskrift nr. 7, og forslagene om tilladelse til udarbejdelse af en ændring af FN-GTR nr. 8 og til udarbejdelse af en ny global teknisk forskrift fra FN om batterilevetiden i køretøjer på det 181. møde i FN/ECE WP.29, der blev afholdt den 24. juni 2020. WP.29 var dog ikke i stand til at stemme på dette møde og besluttede at genindsende forslagene til afstemning på mødet i november —</w:t>
      </w:r>
    </w:p>
    <w:p>
      <w:pPr>
        <w:rPr>
          <w:noProof/>
        </w:rPr>
      </w:pPr>
    </w:p>
    <w:p>
      <w:pPr>
        <w:pStyle w:val="Formuledadoption"/>
        <w:rPr>
          <w:noProof/>
        </w:rPr>
      </w:pPr>
      <w:r>
        <w:rPr>
          <w:noProof/>
        </w:rPr>
        <w:t>VEDTAGET DENNE AFGØRELSE:</w:t>
      </w:r>
    </w:p>
    <w:p>
      <w:pPr>
        <w:pStyle w:val="Titrearticle"/>
        <w:rPr>
          <w:noProof/>
        </w:rPr>
      </w:pPr>
      <w:r>
        <w:rPr>
          <w:noProof/>
        </w:rPr>
        <w:t>Artikel 1</w:t>
      </w:r>
    </w:p>
    <w:p>
      <w:pPr>
        <w:rPr>
          <w:noProof/>
        </w:rPr>
      </w:pPr>
      <w:r>
        <w:rPr>
          <w:noProof/>
        </w:rPr>
        <w:t>Den holdning, der skal indtages på Unionens vegne på det 182. møde i FN/ECE's verdensforum for harmonisering af køretøjsforskrifter, som finder sted mellem den 10. november 2020, skal være at stemme for de forslag, der er opført i bilaget til denne afgørelse.</w:t>
      </w:r>
    </w:p>
    <w:p>
      <w:pPr>
        <w:pStyle w:val="Titrearticle"/>
        <w:rPr>
          <w:noProof/>
        </w:rPr>
      </w:pPr>
      <w:r>
        <w:rPr>
          <w:noProof/>
        </w:rPr>
        <w:t>Artikel 2</w:t>
      </w:r>
    </w:p>
    <w:p>
      <w:pPr>
        <w:rPr>
          <w:noProof/>
        </w:rPr>
      </w:pPr>
      <w:r>
        <w:rPr>
          <w:noProof/>
        </w:rPr>
        <w:t>Denne afgørelse er rettet til Kommissionen.</w:t>
      </w:r>
    </w:p>
    <w:p>
      <w:pPr>
        <w:rPr>
          <w:noProof/>
        </w:rPr>
      </w:pPr>
    </w:p>
    <w:p>
      <w:pPr>
        <w:pStyle w:val="Fait"/>
        <w:rPr>
          <w:noProof/>
        </w:rPr>
      </w:pPr>
      <w:r>
        <w:t xml:space="preserve">Udfærdiget i Bruxelles, den </w:t>
      </w:r>
      <w:r>
        <w:rPr>
          <w:rStyle w:val="Marker"/>
        </w:rPr>
        <w:t>[…]</w:t>
      </w:r>
      <w:r>
        <w:t>.</w:t>
      </w:r>
    </w:p>
    <w:p>
      <w:pPr>
        <w:pStyle w:val="Institutionquisigne"/>
        <w:rPr>
          <w:noProof/>
        </w:rPr>
      </w:pPr>
    </w:p>
    <w:p>
      <w:pPr>
        <w:pStyle w:val="Institutionquisigne"/>
        <w:spacing w:before="120"/>
        <w:rPr>
          <w:noProof/>
        </w:rPr>
      </w:pPr>
      <w:r>
        <w:rPr>
          <w:noProof/>
        </w:rPr>
        <w:tab/>
        <w:t>På Rådets vegne</w:t>
      </w:r>
    </w:p>
    <w:p>
      <w:pPr>
        <w:pStyle w:val="Personnequisigne"/>
        <w:rPr>
          <w:noProof/>
        </w:rPr>
      </w:pP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afgørelse 97/836/EF af 27. november 1997 om Det Europæiske Fællesskabs tiltrædelse af overenskomsten under FN's Økonomiske Kommission for Europa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 (EFT L 346 af 17.12.1997, s. 78).</w:t>
      </w:r>
    </w:p>
    <w:p>
      <w:pPr>
        <w:pStyle w:val="FootnoteText"/>
        <w:ind w:firstLine="0"/>
      </w:pPr>
      <w:r>
        <w:t>Rådets afgørelse 2000/125/EF af 31. januar 2000 om indgåelse på Det Europæiske Fællesskabs vegne af aftalen om etablering af globale tekniske forskrifter for hjulkøretøjer samt udstyr og dele, der kan monteres og/eller anvendes på hjulkøretøjer ("parallelaftalen") (EFT L 35 af 10.2.2000, s. 12).</w:t>
      </w:r>
    </w:p>
  </w:footnote>
  <w:footnote w:id="2">
    <w:p>
      <w:pPr>
        <w:pStyle w:val="FootnoteText"/>
      </w:pPr>
      <w:r>
        <w:rPr>
          <w:rStyle w:val="FootnoteReference"/>
        </w:rPr>
        <w:footnoteRef/>
      </w:r>
      <w:r>
        <w:tab/>
        <w:t>Europa-Parlamentets og Rådets forordning (EU) 2018/858 af 30. maj 2018 om godkendelse og markedsovervågning af motorkøretøjer og påhængskøretøjer dertil samt af systemer, komponenter og separate tekniske enheder til sådanne køretøjer, om ændring af forordning (EF) nr. 715/2007 og (EF) nr. 595/2009 og om ophævelse af direktiv 2007/46/EF (EUT L 151 af 14.6.2018, s. 1).</w:t>
      </w:r>
    </w:p>
  </w:footnote>
  <w:footnote w:id="3">
    <w:p>
      <w:pPr>
        <w:pStyle w:val="FootnoteText"/>
      </w:pPr>
      <w:r>
        <w:rPr>
          <w:rStyle w:val="FootnoteReference"/>
        </w:rPr>
        <w:footnoteRef/>
      </w:r>
      <w:r>
        <w:tab/>
        <w:t xml:space="preserve">Domstolens dom af 7. oktober 2014 i sag C-399/12, Tyskland mod Rådet, ECLI:EU:C:2014:2258, præmis 61 til 64.  </w:t>
      </w:r>
    </w:p>
  </w:footnote>
  <w:footnote w:id="4">
    <w:p>
      <w:pPr>
        <w:pStyle w:val="FootnoteText"/>
      </w:pPr>
      <w:r>
        <w:rPr>
          <w:rStyle w:val="FootnoteReference"/>
        </w:rPr>
        <w:footnoteRef/>
      </w:r>
      <w:r>
        <w:tab/>
        <w:t>Rådets afgørelse 97/836/EF af 27. november 1997 om Det Europæiske Fællesskabs tiltrædelse af overenskomsten under FN's Økonomiske Kommission for Europa om indførelse af ensartede tekniske forskrifter for hjulkøretøjer samt udstyr og dele, som kan monteres og/eller benyttes på hjulkøretøjer, samt vilkårene for gensidig anerkendelse af godkendelser, der er meddelt på grundlag af sådanne forskrifter ("Overenskomst af 1958 som revideret") (EFT L 346 af 17.12.1997, s. 78).</w:t>
      </w:r>
    </w:p>
  </w:footnote>
  <w:footnote w:id="5">
    <w:p>
      <w:pPr>
        <w:pStyle w:val="FootnoteText"/>
      </w:pPr>
      <w:r>
        <w:rPr>
          <w:rStyle w:val="FootnoteReference"/>
        </w:rPr>
        <w:footnoteRef/>
      </w:r>
      <w:r>
        <w:tab/>
        <w:t>Rådets afgørelse 2000/125/EF af 31. januar 2000 om indgåelse på Det Europæiske Fællesskabs vegne af aftalen om etablering af globale tekniske forskrifter for hjulkøretøjer samt udstyr og dele, der kan monteres og/eller anvendes på hjulkøretøjer ("parallelaftalen") (EFT L 35 af 10.2.2000, s. 12).</w:t>
      </w:r>
    </w:p>
  </w:footnote>
  <w:footnote w:id="6">
    <w:p>
      <w:pPr>
        <w:pStyle w:val="FootnoteText"/>
      </w:pPr>
      <w:r>
        <w:rPr>
          <w:rStyle w:val="FootnoteReference"/>
        </w:rPr>
        <w:footnoteRef/>
      </w:r>
      <w:r>
        <w:tab/>
        <w:t>Europa-Parlamentets og Rådets forordning (EU) 2018/858 af 30. maj 2018 om godkendelse og markedsovervågning af motorkøretøjer og påhængskøretøjer dertil samt af systemer, komponenter og separate tekniske enheder til sådanne køretøjer, om ændring af forordning (EF) nr. 715/2007 og (EF) nr. 595/2009 og om ophævelse af direktiv 2007/46/EF (EUT L 151 af 14.6.2018, s. 1).</w:t>
      </w:r>
    </w:p>
    <w:p>
      <w:pPr>
        <w:pStyle w:val="FootnoteText"/>
      </w:pPr>
    </w:p>
  </w:footnote>
  <w:footnote w:id="7">
    <w:p>
      <w:pPr>
        <w:pStyle w:val="FootnoteText"/>
        <w:ind w:left="142" w:hanging="142"/>
      </w:pPr>
      <w:r>
        <w:rPr>
          <w:rStyle w:val="FootnoteReference"/>
        </w:rPr>
        <w:footnoteRef/>
      </w:r>
      <w:r>
        <w:tab/>
        <w:t>Rådets afgørelse (EU) 2020/848 af 16. juni 2020 om den holdning, der skal indtages på Den Europæiske Unions vegne i Verdensforummet for Harmonisering af Køretøjsforskrifter under De Forenede Nationers Økonomiske Kommission for Europa for så vidt angår forslag til ændring af FN-regulativ nr. 13, 14, 16, 22, 30, 41, 78, 79, 83, 94, 95, 101, 108, 109, 117, 129, 137, 138, 140 og 152, forslag til ændring af global teknisk forskrift nr. 3, 6, 7, 16 og 19, forslag til ændring af den konsoliderede resolution R.E.3 og forslag til fem nye FN-regulativer om sikkerhed, emission og automatisering vedrørende motorkøretøjer.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D64D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BAF3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E0859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0680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EE7C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9EE45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E0D214"/>
    <w:lvl w:ilvl="0">
      <w:start w:val="1"/>
      <w:numFmt w:val="decimal"/>
      <w:pStyle w:val="ListNumber"/>
      <w:lvlText w:val="%1."/>
      <w:lvlJc w:val="left"/>
      <w:pPr>
        <w:tabs>
          <w:tab w:val="num" w:pos="360"/>
        </w:tabs>
        <w:ind w:left="360" w:hanging="360"/>
      </w:pPr>
    </w:lvl>
  </w:abstractNum>
  <w:abstractNum w:abstractNumId="7">
    <w:nsid w:val="FFFFFF89"/>
    <w:multiLevelType w:val="singleLevel"/>
    <w:tmpl w:val="12A6B1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3 10:48: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1"/>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577CF3B-8A20-492D-92B4-1F2F82EE095D"/>
    <w:docVar w:name="LW_COVERPAGE_TYPE" w:val="1"/>
    <w:docVar w:name="LW_CROSSREFERENCE" w:val="&lt;UNUSED&gt;"/>
    <w:docVar w:name="LW_DocType" w:val="COM"/>
    <w:docVar w:name="LW_EMISSION" w:val="14.10.2020"/>
    <w:docVar w:name="LW_EMISSION_ISODATE" w:val="2020-10-14"/>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95"/>
    <w:docVar w:name="LW_REF.II.NEW.CP_YEAR" w:val="2020"/>
    <w:docVar w:name="LW_REF.INST.NEW" w:val="COM"/>
    <w:docVar w:name="LW_REF.INST.NEW_ADOPTED" w:val="final"/>
    <w:docVar w:name="LW_REF.INST.NEW_TEXT" w:val="(2020) 6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lt;FMT:Textcolor=000000,TextColor&gt;Forslag til&lt;/FMT&gt;"/>
    <w:docVar w:name="LW_SUPERTITRE" w:val="&lt;UNUSED&gt;"/>
    <w:docVar w:name="LW_TITRE.OBJ.CP" w:val="om den holdning, der skal indtages på Den Europæiske Unions vegne i Verdensforummet for Harmonisering af Køretøjsforskrifter under De Forenede Nationers Økonomiske Kommission for Europa for så vidt angår forslag til ændring af FN-regulativ nr. 0, 13, 16, 17, 44, 55, 83, 93, 94, 95, 100, 115, 137, 144, 151, 152 og 153, forslag til ændring af global teknisk forskrift nr. 7, 15 og 18, forslag til ændring af den fælles resolution M.R.3, forslag til to nye FN-regulativer om bakkørsel og systemer til detektering ved start af køretøjet og forslag til en ny global teknisk forskrift om bestemmelse af elektriske køretøjers effekt"/>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9</Pages>
  <Words>2768</Words>
  <Characters>16531</Characters>
  <Application>Microsoft Office Word</Application>
  <DocSecurity>0</DocSecurity>
  <Lines>285</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2020-10-08T11:42:00Z</dcterms:created>
  <dcterms:modified xsi:type="dcterms:W3CDTF">2020-10-13T08:48:00Z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