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3BDBDA5-58DC-4784-BA27-7FE1F8F9AE50" style="width:449.65pt;height:492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rPr>
          <w:noProof/>
        </w:rPr>
      </w:pP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1350"/>
        <w:gridCol w:w="3904"/>
        <w:gridCol w:w="3942"/>
      </w:tblGrid>
      <w:tr>
        <w:trPr>
          <w:trHeight w:val="63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Regulamento n.º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Ponto da ordem de trabalhos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Referência do documento</w:t>
            </w:r>
            <w:r>
              <w:rPr>
                <w:rStyle w:val="FootnoteReference"/>
                <w:rFonts w:eastAsia="Times New Roman"/>
                <w:b/>
                <w:bCs/>
                <w:noProof/>
                <w:sz w:val="20"/>
                <w:szCs w:val="20"/>
                <w:lang w:eastAsia="en-GB"/>
              </w:rPr>
              <w:footnoteReference w:id="1"/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série 03 de alterações do Regulamento n.º 0 da ONU (IWVTA) (ECE/TRANS/WP.29/1153, ponto 32, com base no WP.29-181-03)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ECE/TRANS/WP.29/2020/101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Proposta de suplemento 17 à série 11 de alterações do Regulamento n.º 13 da ONU (travagem de veículos pesados) (ECE/TRANS/WP.29/GRVA/5, ponto 67, baseado no ECE/TRANS/WP.29/GRVA/2020/13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ECE/TRANS/WP.29/2020/119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suplemento 6 à série 07 de alterações do Regulamento n.º 16 da ONU (cintos de segurança, ISOFIX e i-Size) (ECE/TRANS/WP.29/GRSP/67, ponto 9 e anexo III, baseado no ECE/TRANS/WP.29/GRSP/2020/2, alterado pelo GRSP-67-35).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ECE/TRANS/WP.29/2020/112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suplemento 2 à série 08 de alterações do Regulamento n.º 16 da ONU (cintos de segurança, ISOFIX e i-Size) (ECE/TRANS/WP.29/GRSP/67, ponto 9 e anexo III, baseado no ECE/TRANS/WP.29/GRSP/2020/2, alterado pelo GRSP-67-35).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ECE/TRANS/WP.29/2020/113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série 10 de alterações do Regulamento n.º 17 da ONU (resistência dos bancos, suas fixações e apoios de cabeça) (ECE/TRANS/WP.29/GRSP/67, ponto 12 e anexo IV, baseado no ECE/TRANS/WP.29/GRSP/2020/8).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ECE/TRANS/WP.29/2020/106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suplemento 18 à série 04 de alterações do Regulamento n.º 44 da ONU (sistemas de retenção para crianças) (ECE/TRANS/WP.29/GRSP/67, ponto 33 e anexo V, baseado no GRSP-67-14 e no GRSP-6731).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ECE/TRANS/WP.29/2020/111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Proposta de suplemento 1 à série 02 de alterações do Regulamento n.º 55 da ONU (engates mecânicos) (ECE/TRANS/WP.29/GRSG/97, ponto XX, baseado no ECE/TRANS/WP.29/GRSG/2020/8, alterado pelo GRSG-118-35).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ECE/TRANS/WP.29/2020/103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suplemento 9 à série 01 de alterações do Regulamento n.º 55 da ONU (engates mecânicos)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(ECE/TRANS/WP.29/GRSG/97, baseado no ECE/TRANS/WP.29/GRSG/2020/8)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hyperlink r:id="rId16" w:tgtFrame="_blank" w:tooltip="Abre ligação interna na janela atual" w:history="1">
              <w:r>
                <w:rPr>
                  <w:noProof/>
                  <w:sz w:val="20"/>
                  <w:szCs w:val="20"/>
                </w:rPr>
                <w:t>ECE/TRANS/WP.29/2020/132</w:t>
              </w:r>
            </w:hyperlink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suplemento 13 à série 05 de alterações do Regulamento n.º 83 da ONU (emissões dos veículos M1 e N1) (ECE/TRANS/WP.29/GRPE/81, ponto 8, baseado no ECE/TRANS/WP.29/GRPE/2020/10 e GRPE-81-21, alterado pelo anexo IV)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ECE/TRANS/WP.29/2020/115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suplemento 15 à série 06 de alterações do Regulamento n.º 83 da ONU (emissões dos veículos M1 e N1) (ECE/TRANS/WP.29/GRPE/81, ponto 8, baseado no ECE/TRANS/WP.29/GRPE/2020/10 e no GRPE-81-21, alterado pelo anexo IV)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ECE/TRANS/WP.29/2020/116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suplemento 12 à série 07 de alterações do Regulamento n.º 83 da ONU (emissões dos veículos M1 e N1) (ECE/TRANS/WP.29/GRPE/81, ponto 8, baseado no ECE/TRANS/WP.29/GRPE/2020/10 e GRPE-81-21, alterado pelo anexo IV)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ECE/TRANS/WP.29/2020/117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suplemento 1 do Regulamento n.º 93 da ONU (dispositivos de proteção à frente contra o encaixe) (ECE/TRANS/WP.29/GRSG/97, ponto XX)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ECE/TRANS/WP.29/2020/83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série 04 de alterações do Regulamento n.º 94 da ONU (proteção contra a colisão frontal) (ECE/TRANS/WP.29/GRSP/67, ponto 17 e anexo VI, baseado no ECE/TRANS/WP.29/GRSP/2020/4, alterado pelo GRSP-67-20-Rev.1).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ECE/TRANS/WP.29/2020/107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série 05 de alterações do Regulamento n.º 95 da ONU (proteção contra a colisão lateral) (ECE/TRANS/WP.29/GRSP/67, ponto 18, baseado no ECE/TRANS/WP.29/GRSP/2020/5, alterado pelo GRSP-67-21-Rev.1).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ECE/TRANS/WP.29/2020/108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série 03 de alterações do Regulamento n.º 100 da ONU (veículos movidos a energia elétrica) (ECE/TRANS/WP.29/GRSP/67, ponto 19, baseado no ECE/TRANS/WP.29/GRSP/2020/6, alterado pelo GRSP-67-22-Rev.1).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ECE/TRANS/WP.29/2020/109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suplemento 9 ao Regulamento n.º 115 da ONU (sistemas para GPL e GNC a retromontar) (ECE/TRANS/WP.29/GRPE/81, ponto 28, baseado no ECE/TRANS/WP.29/GRPE/2020/11 e GRPE-81-37, alterado pelo anexo VI)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ECE/TRANS/WP.29/2020/118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série 02 de alterações do Regulamento n.º 137 da ONU (colisão frontal, com destaque para os sistemas de retenção) (ECE/TRANS/WP.29/GRSP/67, ponto 25 e anexo IX, baseado no ECE/TRANS/WP.29/GRSP/2020/7, alterado pelo GRSP-67-18-Rev.1).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ECE/TRANS/WP.29/2020/110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Proposta de suplemento 1 à série 01 de alterações do Regulamento n.º 144 da ONU (sistema de chamadas de emergência em caso de acidente) (ECE/TRANS/WP.29/GRSG/97, ponto XX, baseado no ECE/TRANS/WP.29/GRSG/2020/13 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ECE/TRANS/WP.29/2020/104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Proposta de suplemento 2 do Regulamento n.º 151 da ONU (Sistema de informação sobre o ângulo morto) (ECE/TRANS/WP.29/GRSG/97, ponto XX, baseado no ECE/TRANS/WP.29/GRSG/2020/7, alterado pelo GRSG-118-09)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ECE/TRANS/WP.29/2020/105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suplemento 1 à série 01 de alterações do Regulamento n.º 152 da ONU (sistemas avançados de travagem de emergência para veículos M1 e N1)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ECE/TRANS/WP.29/2020/131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suplemento 1 do Regulamento n.º [153] da ONU (integridade do sistema de combustível e segurança do grupo motopropulsor elétrico em caso de colisão traseira) (ECE/TRANS/WP.29/GRSP/67, ponto 35 e anexo X, baseado no GRSP-67-19-Rev.1).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ECE/TRANS/WP.29/2020/114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Novo regulamento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rFonts w:eastAsiaTheme="minorHAnsi"/>
                <w:noProof/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t xml:space="preserve">Proposta de novo regulamento da ONU relativo à homologação de dispositivos para o movimento em marcha-atrás e veículos a motor no que respeita à sensibilização do condutor para utentes vulneráveis da estrada atrás do veículo (Movimento em marcha-atrás) (ECE/TRANS/WP.29/GRSG/97, ponto XX, baseado no ECE/TRANS/WP.29/GRSG/2020/4, alterado pelo GRSG-118-05)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ECE/TRANS/WP.29/2020/121</w:t>
            </w:r>
          </w:p>
        </w:tc>
      </w:tr>
      <w:tr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Novo regulamento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rFonts w:eastAsiaTheme="minorHAnsi"/>
                <w:noProof/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t xml:space="preserve">Proposta de um novo regulamento da ONU sobre a homologação de veículos a motor no que respeita ao sistema de informação no arranque para deteção de peões e ciclistas (Sistema de informação no arranque) (ECE/TRANS/WP.29/GRSG/97, ponto XX, baseado no ECE/TRANS/WP.29/GRSG/2020/5, alterado pelo GRSG-118-06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ECE/TRANS/WP.29/2020/122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  <w:lang w:eastAsia="ja-JP"/>
        </w:rPr>
      </w:pP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960"/>
        <w:gridCol w:w="3960"/>
      </w:tblGrid>
      <w:tr>
        <w:trPr>
          <w:trHeight w:val="465"/>
        </w:trPr>
        <w:tc>
          <w:tcPr>
            <w:tcW w:w="1215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RTG n.º</w:t>
            </w:r>
          </w:p>
        </w:tc>
        <w:tc>
          <w:tcPr>
            <w:tcW w:w="3960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Ponto da ordem de trabalhos</w:t>
            </w:r>
          </w:p>
        </w:tc>
        <w:tc>
          <w:tcPr>
            <w:tcW w:w="3960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Referência do documento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Proposta de alteração 1 do RTG n.º 7 da ONU (apoios de cabeça) 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ECE/TRANS/WP.29/2020/85</w:t>
            </w:r>
          </w:p>
          <w:p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ECE/TRANS/WP.29/2020/86</w:t>
            </w:r>
          </w:p>
          <w:p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ECE/TRANS/WP.29/AC.3/25/Rev.1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alteração 6 do RTG n.º 15 da ONU (WLTP)</w:t>
            </w: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ECE/TRANS/WP.29/2020/127 </w:t>
            </w: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ECE/TRANS/WP.29/2020/128 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ECE/TRANS/WP.29/AC.3/57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Proposta de alteração 1 do RTG n.º 18 da ONU [sistemas de diagnóstico a bordo (OBD) para os veículos da categoria L] </w:t>
            </w: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ECE/TRANS/WP.29/2020/129 </w:t>
            </w: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ECE/TRANS/WP.29/2020/130 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ECE/TRANS/WP.29/AC.3/58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Novo regulamen-to técnico global</w:t>
            </w: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Proposta de um novo RTG da ONU relativo à determinação da potência de veículos eletrificados (DEVP) </w:t>
            </w: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ECE/TRANS/WP.29/2020/125 </w:t>
            </w: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ECE/TRANS/WP.29/2020/126 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ECE/TRANS/WP.29/AC.3/56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 xml:space="preserve"> </w:t>
      </w: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960"/>
        <w:gridCol w:w="3960"/>
      </w:tblGrid>
      <w:tr>
        <w:trPr>
          <w:trHeight w:val="465"/>
        </w:trPr>
        <w:tc>
          <w:tcPr>
            <w:tcW w:w="1215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Resolução n.º</w:t>
            </w:r>
          </w:p>
        </w:tc>
        <w:tc>
          <w:tcPr>
            <w:tcW w:w="3960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Ponto da ordem de trabalhos</w:t>
            </w:r>
          </w:p>
        </w:tc>
        <w:tc>
          <w:tcPr>
            <w:tcW w:w="3960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Referência do documento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M.R.3</w:t>
            </w: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Proposta de alteração 1 da Resolução Mútua n.º 3 relativa à qualidade do ar no interior dos veículos (VIAQ) (ECE/TRANS/WP.29/GRPE/80, ponto [59], baseado no ECE/TRANS/WP.29/GRPE/2020/16)</w:t>
            </w:r>
          </w:p>
        </w:tc>
        <w:tc>
          <w:tcPr>
            <w:tcW w:w="3960" w:type="dxa"/>
            <w:shd w:val="clear" w:color="auto" w:fill="auto"/>
          </w:tcPr>
          <w:p>
            <w:pPr>
              <w:pStyle w:val="SingleTxtG"/>
              <w:spacing w:after="0"/>
              <w:ind w:left="0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ECE/TRANS/WP.29/2020/124</w:t>
            </w:r>
          </w:p>
        </w:tc>
      </w:tr>
    </w:tbl>
    <w:p>
      <w:pPr>
        <w:rPr>
          <w:noProof/>
          <w:sz w:val="20"/>
          <w:szCs w:val="20"/>
        </w:rPr>
      </w:pP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960"/>
        <w:gridCol w:w="3960"/>
      </w:tblGrid>
      <w:tr>
        <w:trPr>
          <w:trHeight w:val="465"/>
        </w:trPr>
        <w:tc>
          <w:tcPr>
            <w:tcW w:w="1215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Diversos</w:t>
            </w:r>
          </w:p>
        </w:tc>
        <w:tc>
          <w:tcPr>
            <w:tcW w:w="3960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Ponto da ordem de trabalhos</w:t>
            </w:r>
          </w:p>
        </w:tc>
        <w:tc>
          <w:tcPr>
            <w:tcW w:w="3960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Referência do documento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Autorização para elaborar alterações de um RTG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Pedido de autorização para elaborar alterações do RTG n.º 8 da ONU (ESC)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ECE/TRANS/WP.29/2020/99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Autorização para elaborar um RTG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Pedido de autorização para elaborar um novo RTG da ONU sobre a durabilidade das baterias a bordo dos veículos (ECE/TRANS/WP.29/GRPE/80, ponto 59, baseado no GRPE-80-41, alterado pelo anexo X) 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ECE/TRANS/WP.29/2020/96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Documento de interpreta-ção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documento de interpretação do Regulamento n.º 155 da ONU (cibersegurança e sistema de gestão da cibersegurança) baseado no GRVA-07-04-Rev.1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WP.29-182-05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Documento de interpreta-ção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documento de interpretação do Regulamento n.º 156 da ONU (atualizações do software e sistema de gestão das atualizações do software) baseado no ECE/TRANS/WP.29/GRVA/2020/29, alterado pelo GRVA-07-50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WP.29-182-06</w:t>
            </w:r>
          </w:p>
        </w:tc>
      </w:tr>
      <w:tr>
        <w:trPr>
          <w:trHeight w:val="600"/>
        </w:trPr>
        <w:tc>
          <w:tcPr>
            <w:tcW w:w="1215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Orientação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de orientação sobre a utilização da base de dados DETA, nos termos do Regulamento n.º 155 da ONU (CS e CSMS) baseado no GRVA-07-25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WP.29-182-07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Todos os documentos referidos no quadro podem ser consultados no seguinte endereço: </w:t>
      </w:r>
    </w:p>
    <w:p>
      <w:pPr>
        <w:pStyle w:val="FootnoteText"/>
        <w:rPr>
          <w:sz w:val="18"/>
        </w:rPr>
      </w:pPr>
      <w:hyperlink r:id="rId1" w:history="1">
        <w:r>
          <w:rPr>
            <w:rStyle w:val="Hyperlink"/>
            <w:sz w:val="18"/>
          </w:rPr>
          <w:t>http://www.unece.org/trans/main/wp29/wp29wgs/wp29gen/gen2020.html</w:t>
        </w:r>
      </w:hyperlink>
    </w:p>
    <w:p>
      <w:pPr>
        <w:pStyle w:val="Footnote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942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83C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4D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2B037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B94DC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6168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3A6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40C6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13"/>
  </w:num>
  <w:num w:numId="15">
    <w:abstractNumId w:val="15"/>
  </w:num>
  <w:num w:numId="16">
    <w:abstractNumId w:val="11"/>
  </w:num>
  <w:num w:numId="17">
    <w:abstractNumId w:val="21"/>
  </w:num>
  <w:num w:numId="18">
    <w:abstractNumId w:val="10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  <w:num w:numId="23">
    <w:abstractNumId w:val="17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10-13 10:47:4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0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3BDBDA5-58DC-4784-BA27-7FE1F8F9AE50"/>
    <w:docVar w:name="LW_COVERPAGE_TYPE" w:val="1"/>
    <w:docVar w:name="LW_CROSSREFERENCE" w:val="&lt;UNUSED&gt;"/>
    <w:docVar w:name="LW_DocType" w:val="ANNEX"/>
    <w:docVar w:name="LW_EMISSION" w:val="14.10.2020"/>
    <w:docVar w:name="LW_EMISSION_ISODATE" w:val="2020-10-14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posição a tomar, em nome da União Europeia, no Fórum Mundial para a Harmonização das Regulamentações aplicáveis a Veículos da Comissão Económica para a Europa das Nações Unidas no que diz respeito às propostas de alteração dos Regulamentos n.&lt;FMT:Superscript&gt;os&lt;/FMT&gt; 0, 13, 16, 17, 44, 55, 83, 93, 94, 95, 100, 115, 137, 144, 151, 152 e 153 da ONU, às propostas de alterações dos Regulamentos Técnicos Globais n.&lt;FMT:Superscript&gt;os&lt;/FMT&gt; 7, 15 e 18, à proposta de alterações da Resolução Mútua M.R.3, às propostas de dois novos regulamentos da ONU em matéria de movimento em marcha-atrás e sistemas de informação no arranque, bem como à proposta de um novo regulamento técnico global sobre a determinação da potência dos veículos elétricos"/>
    <w:docVar w:name="LW_OBJETACTEPRINCIPAL.CP" w:val="relativa à posição a tomar, em nome da União Europeia, no Fórum Mundial para a Harmonização das Regulamentações aplicáveis a Veículos da Comissão Económica para a Europa das Nações Unidas no que diz respeito às propostas de alteração dos Regulamentos n.&lt;FMT:Superscript&gt;os&lt;/FMT&gt; 0, 13, 16, 17, 44, 55, 83, 93, 94, 95, 100, 115, 137, 144, 151, 152 e 153 da ONU, às propostas de alterações dos Regulamentos Técnicos Globais n.&lt;FMT:Superscript&gt;os&lt;/FMT&gt; 7, 15 e 18, à proposta de alterações da Resolução Mútua M.R.3, às propostas de dois novos regulamentos da ONU em matéria de movimento em marcha-atrás e sistemas de informação no arranque, bem como à proposta de um novo regulamento técnico global sobre a determinação da potência dos veículos elétricos"/>
    <w:docVar w:name="LW_PART_NBR" w:val="1"/>
    <w:docVar w:name="LW_PART_NBR_TOTAL" w:val="1"/>
    <w:docVar w:name="LW_REF.INST.NEW" w:val="COM"/>
    <w:docVar w:name="LW_REF.INST.NEW_ADOPTED" w:val="final"/>
    <w:docVar w:name="LW_REF.INST.NEW_TEXT" w:val="(2020) 6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_x000b_"/>
    <w:docVar w:name="LW_TYPEACTEPRINCIPAL.CP" w:val="Proposta de Decisão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pt-P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pt-P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undocs.org/ECE/TRANS/WP.29/2020/1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gen20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BD1B-EC39-4A88-8525-C775FBE0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6</Pages>
  <Words>1053</Words>
  <Characters>6920</Characters>
  <Application>Microsoft Office Word</Application>
  <DocSecurity>0</DocSecurity>
  <Lines>329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BRASSART Odile (GROW)</dc:creator>
  <cp:lastModifiedBy>WES PDFC Administrator</cp:lastModifiedBy>
  <cp:revision>9</cp:revision>
  <cp:lastPrinted>2019-09-12T14:28:00Z</cp:lastPrinted>
  <dcterms:created xsi:type="dcterms:W3CDTF">2020-10-08T14:12:00Z</dcterms:created>
  <dcterms:modified xsi:type="dcterms:W3CDTF">2020-10-13T08:47:00Z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