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9FB3CD2-C9B9-4793-9A68-95CC009C89AE" style="width:450.6pt;height:465.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rStyle w:val="Marker"/>
          <w:noProof/>
        </w:rPr>
      </w:pPr>
      <w:bookmarkStart w:id="0" w:name="_GoBack"/>
      <w:bookmarkEnd w:id="0"/>
      <w:r>
        <w:rPr>
          <w:noProof/>
        </w:rPr>
        <w:lastRenderedPageBreak/>
        <w:t>BILAGA</w:t>
      </w:r>
    </w:p>
    <w:p>
      <w:pPr>
        <w:rPr>
          <w:noProof/>
        </w:rPr>
      </w:pPr>
    </w:p>
    <w:tbl>
      <w:tblPr>
        <w:tblW w:w="9196" w:type="dxa"/>
        <w:tblInd w:w="93" w:type="dxa"/>
        <w:tblLook w:val="04A0" w:firstRow="1" w:lastRow="0" w:firstColumn="1" w:lastColumn="0" w:noHBand="0" w:noVBand="1"/>
      </w:tblPr>
      <w:tblGrid>
        <w:gridCol w:w="1205"/>
        <w:gridCol w:w="3951"/>
        <w:gridCol w:w="4040"/>
      </w:tblGrid>
      <w:tr>
        <w:trPr>
          <w:trHeight w:val="630"/>
        </w:trPr>
        <w:tc>
          <w:tcPr>
            <w:tcW w:w="1205"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Föreskrift nr</w:t>
            </w:r>
          </w:p>
        </w:tc>
        <w:tc>
          <w:tcPr>
            <w:tcW w:w="3951"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Punkt på dagordningen</w:t>
            </w:r>
          </w:p>
        </w:tc>
        <w:tc>
          <w:tcPr>
            <w:tcW w:w="404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Dokumenthänvisning</w:t>
            </w:r>
            <w:r>
              <w:rPr>
                <w:rStyle w:val="FootnoteReference"/>
                <w:rFonts w:eastAsia="Times New Roman"/>
                <w:b/>
                <w:bCs/>
                <w:noProof/>
                <w:sz w:val="20"/>
                <w:szCs w:val="20"/>
                <w:lang w:eastAsia="en-GB"/>
              </w:rPr>
              <w:footnoteReference w:id="1"/>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0</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ändringsserie 03 till FN-föreskrift nr 0 (IWVTA) (ECE/TRANS/WP.29/1153, punkt 32, baserat på WP.29-181-03)</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ECE/TRANS/WP.29/2020/101</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 xml:space="preserve">Förslag till supplement 17 till ändringsserie 11 till FN-föreskrift nr 13 (bromsar till tunga fordon) (ECE/TRANS/WP.29/GRVA/5, punkt 67, baserat på ECE/TRANS/WP.29/GRVA/2020/13)  </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ECE/TRANS/WP.29/2020/119</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supplement 6 till ändringsserie 07 till FN-föreskrift nr 16 (säkerhetsbälten, Isofix- och i-Size-fasthållningsanordningar) (ECE/TRANS/WP.29/GRSP/67, punkt 9 och bilaga III, baserat på ECE/TRANS/WP.29/GRSP/2020/2 i dess ändrade lydelse enligt GRSP-67-35)</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ECE/TRANS/WP.29/2020/112</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16</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supplement 2 till ändringsserie 08 till FN-föreskrift nr 16 (säkerhetsbälten, Isofix- och i-Size-fasthållningsanordningar) (ECE/TRANS/WP.29/GRSP/67, punkt 9 och bilaga III, baserat på ECE/TRANS/WP.29/GRSP/2020/2 i dess ändrade lydelse enligt GRSP-67-35)</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ECE/TRANS/WP.29/2020/113</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ändringsserie 10 till FN-föreskrift nr 17 (hållfasthet hos säten, deras fästanordningar och nackstöd) (ECE/TRANS/WP.29/GRSP/67, punkt 12 och bilaga IV, baserat på ECE/TRANS/WP.29/GRSP/2020/8)</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ECE/TRANS/WP.29/2020/106</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44</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supplement 18 till ändringsserie 04 till FN-föreskrift nr 44 (fasthållningsanordningar för barn) (ECE/TRANS/WP.29/GRVA/67, punkt 33 och bilaga V, baserat på GRSP-67-14 och GRSP-6731)</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ECE/TRANS/WP.29/2020/111</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55</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 xml:space="preserve">Förslag till supplement 1 till ändringsserie 02 till FN-föreskrift nr 55 (mekaniska kopplingar) (ECE/TRANS/WP.29/GRSG/97, punkt XX, baserat på ECE/TRANS/WP.29/GRSG/2020/8 i dess ändrade lydelse enligt GRSG-118-35)  </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ECE/TRANS/WP.29/2020/103</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55</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supplement 9 till ändringsserie 01 till FN-föreskrift nr 55 (mekaniska kopplingar)</w:t>
            </w:r>
          </w:p>
          <w:p>
            <w:pPr>
              <w:rPr>
                <w:noProof/>
                <w:sz w:val="20"/>
                <w:szCs w:val="20"/>
              </w:rPr>
            </w:pPr>
            <w:r>
              <w:rPr>
                <w:noProof/>
                <w:sz w:val="20"/>
                <w:szCs w:val="20"/>
              </w:rPr>
              <w:t>(ECE/TRANS/WP.29/GRSG/97), baserat på ECE/TRANS/WP.29/GRSG/2020/8)</w:t>
            </w:r>
          </w:p>
          <w:p>
            <w:pPr>
              <w:rPr>
                <w:noProof/>
                <w:sz w:val="20"/>
                <w:szCs w:val="20"/>
              </w:rPr>
            </w:pPr>
          </w:p>
        </w:tc>
        <w:tc>
          <w:tcPr>
            <w:tcW w:w="4040" w:type="dxa"/>
            <w:tcBorders>
              <w:top w:val="nil"/>
              <w:left w:val="nil"/>
              <w:bottom w:val="single" w:sz="4" w:space="0" w:color="auto"/>
              <w:right w:val="single" w:sz="4" w:space="0" w:color="auto"/>
            </w:tcBorders>
            <w:shd w:val="clear" w:color="auto" w:fill="auto"/>
          </w:tcPr>
          <w:p>
            <w:pPr>
              <w:rPr>
                <w:noProof/>
                <w:sz w:val="20"/>
                <w:szCs w:val="20"/>
              </w:rPr>
            </w:pPr>
            <w:hyperlink r:id="rId16" w:tgtFrame="_blank" w:tooltip="Opens internal link in current window" w:history="1">
              <w:r>
                <w:rPr>
                  <w:noProof/>
                  <w:sz w:val="20"/>
                  <w:szCs w:val="20"/>
                </w:rPr>
                <w:t>ECE/TRANS/WP.29/2020/132</w:t>
              </w:r>
            </w:hyperlink>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83</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supplement 13 till ändringsserie 05 till FN-föreskrift nr 83 (utsläpp från fordon av kategorierna M1 och N1) (ECE/TRANS/WP.29/GRSP/81, punkt 8, baserat på ECE/TRANS/WP.29/GRSP/2020/10 och GRPE-81-21 i dess ändrade lydelse enligt bilaga IV)</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ECE/TRANS/WP.29/2020/115</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83</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supplement 15 till ändringsserie 06 till FN-föreskrift nr 83 (utsläpp från fordon av kategorierna M1 och N1) (ECE/TRANS/WP.29/GRSP/81, punkt 8, baserat på ECE/TRANS/WP.29/GRSP/2020/10 och GRPE-81-21 i dess ändrade lydelse enligt bilaga IV)</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ECE/TRANS/WP.29/2020/116</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83</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supplement 12 till ändringsserie 07 till FN-föreskrift nr 83 (utsläpp från fordon av kategorierna M1 och N1) (ECE/TRANS/WP.29/GRSP/81, punkt 8, baserat på ECE/TRANS/WP.29/GRSP/2020/10 och GRPE-81-21 i dess ändrade lydelse enligt bilaga IV)</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ECE/TRANS/WP.29/2020/117</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93</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supplement 1 till FN-föreskrift nr 93 (anordningar för främre underkörningsskydd) (ECE/TRANS/WP.29/GRSG/97, punkt XX)</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ECE/TRANS/WP.29/2020/83</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94</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ändringsserie 04 till FN-föreskrift nr 94 (skydd vid frontalkollision) (ECE/TRANS/WP.29/GRSP/67, punkt 17 och bilaga VI, baserat på ECE/TRANS/WP.29/GRSP/2020/4 i dess ändrade lydelse enligt GRSP-67-20-Rev.1)</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ECE/TRANS/WP.29/2020/107</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95</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ändringsserie 05 till FN-föreskrift nr 95 (skydd vid sidokollision) (ECE/TRANS/WP.29/GRSP/67, punkt 18, baserat på ECE/TRANS/WP.29/GRSP/2020/5 i dess ändrade lydelse enligt GRSP-67-21-Rev.1)</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ECE/TRANS/WP.29/2020/108</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100</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ändringsserie 03 till FN-föreskrift nr 100 (fordon med elektrisk framdrivning) (ECE/TRANS/WP.29/GRSP/67, punkt 19, baserat på ECE/TRANS/WP.29/GRSP/2020/6 i dess ändrade lydelse enligt GRSP-67-22-Rev.1)</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ECE/TRANS/WP.29/2020/109</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115</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supplement 9 till FN-föreskrift nr 115 (LPG- och CNG-utrustning för eftermontering) (ECE/TRANS/WP.29/GRSP/81, punkt 28, baserat på ECE/TRANS/WP.29/GRSP/2020/11 och GRPE-81-37 i dess ändrade lydelse enligt bilaga VI)</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ECE/TRANS/WP.29/2020/118</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137</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ändringsserie 02 till FN-föreskrift nr 137 (frontalkollision med inriktning på fasthållningsanordningar) (ECE/TRANS/WP.29/GRSP/67, punkt 25 och bilaga IX, baserat på ECE/TRANS/WP.29/GRSP/2020/7 i dess ändrade lydelse enligt GRSP-67-18-Rev.1)</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ECE/TRANS/WP.29/2020/110</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144</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 xml:space="preserve">Förslag till supplement 1 till ändringsserie 01 till FN-föreskrift nr 144 (system för nödsamtal vid olyckor) (ECE/TRANS/WP.29/GRVA/97, punkt XX, baserat på ECE/TRANS/WP.29/GRVA/2020/13)   </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ECE/TRANS/WP.29/2020/104</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151</w:t>
            </w:r>
          </w:p>
        </w:tc>
        <w:tc>
          <w:tcPr>
            <w:tcW w:w="3951"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 xml:space="preserve">Förslag till supplement 2 till FN-föreskrift nr 151 (informationssystem för döda vinklar) (ECE/TRANS/WP.29/GRSP/97, punkt XX, baserat på ECE/TRANS/WP.29/GRSP/2020/7 i dess ändrade lydelse enligt GRSG-118-09)  </w:t>
            </w:r>
          </w:p>
        </w:tc>
        <w:tc>
          <w:tcPr>
            <w:tcW w:w="4040" w:type="dxa"/>
            <w:tcBorders>
              <w:top w:val="nil"/>
              <w:left w:val="nil"/>
              <w:bottom w:val="single" w:sz="4" w:space="0" w:color="auto"/>
              <w:right w:val="single" w:sz="4" w:space="0" w:color="auto"/>
            </w:tcBorders>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ECE/TRANS/WP.29/2020/105</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152</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supplement 1 till ändringsserie 01 till FN-föreskrift nr 152 (avancerade nödbromssystem för fordon av kategorierna M1 och N1)</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ECE/TRANS/WP.29/2020/131</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153</w:t>
            </w:r>
          </w:p>
        </w:tc>
        <w:tc>
          <w:tcPr>
            <w:tcW w:w="3951"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Förslag till supplement 1 till FN-föreskrift nr 153 (bränslesystemets integritet och det elektriska framdrivningssystemets säkerhet vid påkörning bakifrån) (ECE/TRANS/WP.29/GRSP/67, punkt 35 och bilaga X, baserat på GRSP-67-19-Rev.1)</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ECE/TRANS/WP.29/2020/114</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Ny föreskrift</w:t>
            </w:r>
          </w:p>
        </w:tc>
        <w:tc>
          <w:tcPr>
            <w:tcW w:w="3951" w:type="dxa"/>
            <w:tcBorders>
              <w:top w:val="nil"/>
              <w:left w:val="nil"/>
              <w:bottom w:val="single" w:sz="4" w:space="0" w:color="auto"/>
              <w:right w:val="single" w:sz="4" w:space="0" w:color="auto"/>
            </w:tcBorders>
            <w:shd w:val="clear" w:color="auto" w:fill="auto"/>
          </w:tcPr>
          <w:p>
            <w:pPr>
              <w:pStyle w:val="Default"/>
              <w:rPr>
                <w:rFonts w:eastAsiaTheme="minorHAnsi"/>
                <w:noProof/>
                <w:color w:val="auto"/>
                <w:sz w:val="20"/>
                <w:szCs w:val="20"/>
              </w:rPr>
            </w:pPr>
            <w:r>
              <w:rPr>
                <w:noProof/>
                <w:color w:val="auto"/>
                <w:sz w:val="20"/>
                <w:szCs w:val="20"/>
              </w:rPr>
              <w:t xml:space="preserve">Förslag till en ny FN-föreskrift om godkännande av anordningar för backning och motorfordon med avseende på förarens medvetenhet om oskyddade trafikanter bakom fordonet (backning) (ECE/TRANS/WP.29/GRSG/97, punkt XX, baserat på ECE/TRANS/WP.29/GRSG/2020/4 i dess ändrade lydelse enligt GRSG-118-05)  </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ECE/TRANS/WP.29/2020/121</w:t>
            </w:r>
          </w:p>
        </w:tc>
      </w:tr>
      <w:tr>
        <w:trPr>
          <w:trHeight w:val="510"/>
        </w:trPr>
        <w:tc>
          <w:tcPr>
            <w:tcW w:w="1205"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Ny föreskrift</w:t>
            </w:r>
          </w:p>
        </w:tc>
        <w:tc>
          <w:tcPr>
            <w:tcW w:w="3951" w:type="dxa"/>
            <w:tcBorders>
              <w:top w:val="nil"/>
              <w:left w:val="nil"/>
              <w:bottom w:val="single" w:sz="4" w:space="0" w:color="auto"/>
              <w:right w:val="single" w:sz="4" w:space="0" w:color="auto"/>
            </w:tcBorders>
            <w:shd w:val="clear" w:color="auto" w:fill="auto"/>
          </w:tcPr>
          <w:p>
            <w:pPr>
              <w:pStyle w:val="Default"/>
              <w:rPr>
                <w:rFonts w:eastAsiaTheme="minorHAnsi"/>
                <w:noProof/>
                <w:color w:val="auto"/>
                <w:sz w:val="20"/>
                <w:szCs w:val="20"/>
              </w:rPr>
            </w:pPr>
            <w:r>
              <w:rPr>
                <w:noProof/>
                <w:color w:val="auto"/>
                <w:sz w:val="20"/>
                <w:szCs w:val="20"/>
              </w:rPr>
              <w:t xml:space="preserve">Förslag till en ny FN-föreskrift om godkännande av motorfordon med avseende på system för detektion av fotgängare och cyklister vid start (system för detektion vid start) (ECE/TRANS/WP.29/GRSG/97, punkt XX, baserat på ECE/TRANS/WP.29/GRSG/2020/5 i dess ändrade lydelse enligt GRSG-118-06)  </w:t>
            </w:r>
          </w:p>
        </w:tc>
        <w:tc>
          <w:tcPr>
            <w:tcW w:w="404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ECE/TRANS/WP.29/2020/122</w:t>
            </w:r>
          </w:p>
        </w:tc>
      </w:tr>
    </w:tbl>
    <w:p>
      <w:pPr>
        <w:pStyle w:val="Default"/>
        <w:rPr>
          <w:rFonts w:eastAsia="MS Mincho"/>
          <w:noProof/>
          <w:color w:val="auto"/>
          <w:sz w:val="20"/>
          <w:szCs w:val="20"/>
          <w:lang w:eastAsia="ja-JP"/>
        </w:rPr>
      </w:pPr>
    </w:p>
    <w:tbl>
      <w:tblPr>
        <w:tblW w:w="9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3960"/>
        <w:gridCol w:w="3960"/>
      </w:tblGrid>
      <w:tr>
        <w:trPr>
          <w:trHeight w:val="465"/>
        </w:trPr>
        <w:tc>
          <w:tcPr>
            <w:tcW w:w="1215" w:type="dxa"/>
            <w:shd w:val="clear" w:color="auto" w:fill="auto"/>
            <w:hideMark/>
          </w:tcPr>
          <w:p>
            <w:pPr>
              <w:spacing w:before="0" w:after="0"/>
              <w:jc w:val="left"/>
              <w:rPr>
                <w:rFonts w:eastAsia="Times New Roman"/>
                <w:b/>
                <w:bCs/>
                <w:noProof/>
                <w:sz w:val="20"/>
                <w:szCs w:val="20"/>
              </w:rPr>
            </w:pPr>
            <w:r>
              <w:rPr>
                <w:b/>
                <w:bCs/>
                <w:noProof/>
                <w:sz w:val="20"/>
                <w:szCs w:val="20"/>
              </w:rPr>
              <w:t>Globala tekniska föreskrifter nr</w:t>
            </w:r>
          </w:p>
        </w:tc>
        <w:tc>
          <w:tcPr>
            <w:tcW w:w="3960" w:type="dxa"/>
            <w:shd w:val="clear" w:color="auto" w:fill="auto"/>
            <w:hideMark/>
          </w:tcPr>
          <w:p>
            <w:pPr>
              <w:spacing w:before="0" w:after="0"/>
              <w:jc w:val="left"/>
              <w:rPr>
                <w:rFonts w:eastAsia="Times New Roman"/>
                <w:b/>
                <w:bCs/>
                <w:noProof/>
                <w:sz w:val="20"/>
                <w:szCs w:val="20"/>
              </w:rPr>
            </w:pPr>
            <w:r>
              <w:rPr>
                <w:b/>
                <w:bCs/>
                <w:noProof/>
                <w:sz w:val="20"/>
                <w:szCs w:val="20"/>
              </w:rPr>
              <w:t>Punkt på dagordningen</w:t>
            </w:r>
          </w:p>
        </w:tc>
        <w:tc>
          <w:tcPr>
            <w:tcW w:w="3960" w:type="dxa"/>
            <w:shd w:val="clear" w:color="auto" w:fill="auto"/>
            <w:hideMark/>
          </w:tcPr>
          <w:p>
            <w:pPr>
              <w:spacing w:before="0" w:after="0"/>
              <w:jc w:val="left"/>
              <w:rPr>
                <w:rFonts w:eastAsia="Times New Roman"/>
                <w:b/>
                <w:bCs/>
                <w:noProof/>
                <w:sz w:val="20"/>
                <w:szCs w:val="20"/>
              </w:rPr>
            </w:pPr>
            <w:r>
              <w:rPr>
                <w:b/>
                <w:bCs/>
                <w:noProof/>
                <w:sz w:val="20"/>
                <w:szCs w:val="20"/>
              </w:rPr>
              <w:t>Dokumenthänvisning</w:t>
            </w:r>
          </w:p>
        </w:tc>
      </w:tr>
      <w:tr>
        <w:trPr>
          <w:trHeight w:val="600"/>
        </w:trPr>
        <w:tc>
          <w:tcPr>
            <w:tcW w:w="1215" w:type="dxa"/>
            <w:shd w:val="clear" w:color="auto" w:fill="auto"/>
          </w:tcPr>
          <w:p>
            <w:pPr>
              <w:rPr>
                <w:noProof/>
                <w:sz w:val="20"/>
                <w:szCs w:val="20"/>
              </w:rPr>
            </w:pPr>
            <w:r>
              <w:rPr>
                <w:noProof/>
                <w:sz w:val="20"/>
                <w:szCs w:val="20"/>
              </w:rPr>
              <w:t>7</w:t>
            </w:r>
          </w:p>
        </w:tc>
        <w:tc>
          <w:tcPr>
            <w:tcW w:w="3960" w:type="dxa"/>
            <w:shd w:val="clear" w:color="auto" w:fill="auto"/>
          </w:tcPr>
          <w:p>
            <w:pPr>
              <w:pStyle w:val="SingleTxtG"/>
              <w:ind w:left="0" w:right="238" w:hanging="6"/>
              <w:jc w:val="left"/>
              <w:rPr>
                <w:rFonts w:ascii="Times New Roman" w:hAnsi="Times New Roman" w:cs="Times New Roman"/>
                <w:noProof/>
                <w:sz w:val="20"/>
                <w:szCs w:val="20"/>
              </w:rPr>
            </w:pPr>
            <w:r>
              <w:rPr>
                <w:rFonts w:ascii="Times New Roman" w:hAnsi="Times New Roman"/>
                <w:noProof/>
                <w:sz w:val="20"/>
                <w:szCs w:val="20"/>
              </w:rPr>
              <w:t xml:space="preserve">Förslag till ändring 1 av FN:s globala tekniska föreskrift nr 7 (nackstöd) </w:t>
            </w:r>
          </w:p>
          <w:p>
            <w:pPr>
              <w:rPr>
                <w:noProof/>
                <w:sz w:val="20"/>
                <w:szCs w:val="20"/>
              </w:rPr>
            </w:pPr>
          </w:p>
        </w:tc>
        <w:tc>
          <w:tcPr>
            <w:tcW w:w="3960" w:type="dxa"/>
            <w:shd w:val="clear" w:color="auto" w:fill="auto"/>
          </w:tcPr>
          <w:p>
            <w:pPr>
              <w:rPr>
                <w:noProof/>
                <w:sz w:val="20"/>
                <w:szCs w:val="20"/>
                <w:lang w:val="en-US"/>
              </w:rPr>
            </w:pPr>
            <w:r>
              <w:rPr>
                <w:noProof/>
                <w:sz w:val="20"/>
                <w:szCs w:val="20"/>
                <w:lang w:val="en-US"/>
              </w:rPr>
              <w:t>ECE/TRANS/WP.29/2020/85</w:t>
            </w:r>
          </w:p>
          <w:p>
            <w:pPr>
              <w:rPr>
                <w:noProof/>
                <w:sz w:val="20"/>
                <w:szCs w:val="20"/>
                <w:lang w:val="en-US"/>
              </w:rPr>
            </w:pPr>
            <w:r>
              <w:rPr>
                <w:noProof/>
                <w:sz w:val="20"/>
                <w:szCs w:val="20"/>
                <w:lang w:val="en-US"/>
              </w:rPr>
              <w:t>ECE/TRANS/WP.29/2020/86</w:t>
            </w:r>
          </w:p>
          <w:p>
            <w:pPr>
              <w:rPr>
                <w:noProof/>
                <w:sz w:val="20"/>
                <w:szCs w:val="20"/>
                <w:lang w:val="en-US"/>
              </w:rPr>
            </w:pPr>
            <w:r>
              <w:rPr>
                <w:noProof/>
                <w:sz w:val="20"/>
                <w:szCs w:val="20"/>
                <w:lang w:val="en-US"/>
              </w:rPr>
              <w:t>ECE/TRANS/WP.29/AC.3/25/Rev.1</w:t>
            </w:r>
          </w:p>
        </w:tc>
      </w:tr>
      <w:tr>
        <w:trPr>
          <w:trHeight w:val="600"/>
        </w:trPr>
        <w:tc>
          <w:tcPr>
            <w:tcW w:w="1215" w:type="dxa"/>
            <w:shd w:val="clear" w:color="auto" w:fill="auto"/>
          </w:tcPr>
          <w:p>
            <w:pPr>
              <w:rPr>
                <w:noProof/>
                <w:sz w:val="20"/>
                <w:szCs w:val="20"/>
              </w:rPr>
            </w:pPr>
            <w:r>
              <w:rPr>
                <w:noProof/>
                <w:sz w:val="20"/>
                <w:szCs w:val="20"/>
              </w:rPr>
              <w:t>15</w:t>
            </w:r>
          </w:p>
        </w:tc>
        <w:tc>
          <w:tcPr>
            <w:tcW w:w="3960" w:type="dxa"/>
            <w:shd w:val="clear" w:color="auto" w:fill="auto"/>
          </w:tcPr>
          <w:p>
            <w:pPr>
              <w:pStyle w:val="SingleTxtG"/>
              <w:ind w:left="0" w:right="238" w:hanging="6"/>
              <w:jc w:val="left"/>
              <w:rPr>
                <w:rFonts w:ascii="Times New Roman" w:hAnsi="Times New Roman" w:cs="Times New Roman"/>
                <w:noProof/>
                <w:sz w:val="20"/>
                <w:szCs w:val="20"/>
              </w:rPr>
            </w:pPr>
            <w:r>
              <w:rPr>
                <w:rFonts w:ascii="Times New Roman" w:hAnsi="Times New Roman"/>
                <w:noProof/>
                <w:sz w:val="20"/>
                <w:szCs w:val="20"/>
              </w:rPr>
              <w:t>Förslag till ändring 6 av FN:s globala tekniska föreskrift nr 15 (WLTP)</w:t>
            </w:r>
          </w:p>
          <w:p>
            <w:pPr>
              <w:pStyle w:val="SingleTxtG"/>
              <w:ind w:left="0" w:right="238" w:hanging="6"/>
              <w:jc w:val="left"/>
              <w:rPr>
                <w:rFonts w:ascii="Times New Roman" w:hAnsi="Times New Roman" w:cs="Times New Roman"/>
                <w:noProof/>
                <w:sz w:val="20"/>
                <w:szCs w:val="20"/>
              </w:rPr>
            </w:pPr>
          </w:p>
        </w:tc>
        <w:tc>
          <w:tcPr>
            <w:tcW w:w="3960" w:type="dxa"/>
            <w:shd w:val="clear" w:color="auto" w:fill="auto"/>
          </w:tcPr>
          <w:p>
            <w:pPr>
              <w:pStyle w:val="SingleTxtG"/>
              <w:ind w:left="0" w:right="238" w:hanging="6"/>
              <w:jc w:val="left"/>
              <w:rPr>
                <w:rFonts w:ascii="Times New Roman" w:hAnsi="Times New Roman" w:cs="Times New Roman"/>
                <w:noProof/>
                <w:sz w:val="20"/>
                <w:szCs w:val="20"/>
                <w:lang w:val="en-US"/>
              </w:rPr>
            </w:pPr>
            <w:r>
              <w:rPr>
                <w:rFonts w:ascii="Times New Roman" w:hAnsi="Times New Roman"/>
                <w:noProof/>
                <w:sz w:val="20"/>
                <w:szCs w:val="20"/>
                <w:lang w:val="en-US"/>
              </w:rPr>
              <w:t xml:space="preserve">ECE/TRANS/WP.29/2020/127 </w:t>
            </w:r>
          </w:p>
          <w:p>
            <w:pPr>
              <w:pStyle w:val="SingleTxtG"/>
              <w:ind w:left="0" w:right="238" w:hanging="6"/>
              <w:jc w:val="left"/>
              <w:rPr>
                <w:rFonts w:ascii="Times New Roman" w:hAnsi="Times New Roman" w:cs="Times New Roman"/>
                <w:noProof/>
                <w:sz w:val="20"/>
                <w:szCs w:val="20"/>
                <w:lang w:val="en-US"/>
              </w:rPr>
            </w:pPr>
            <w:r>
              <w:rPr>
                <w:rFonts w:ascii="Times New Roman" w:hAnsi="Times New Roman"/>
                <w:noProof/>
                <w:sz w:val="20"/>
                <w:szCs w:val="20"/>
                <w:lang w:val="en-US"/>
              </w:rPr>
              <w:t xml:space="preserve">ECE/TRANS/WP.29/2020/128 </w:t>
            </w:r>
          </w:p>
          <w:p>
            <w:pPr>
              <w:rPr>
                <w:noProof/>
                <w:sz w:val="20"/>
                <w:szCs w:val="20"/>
              </w:rPr>
            </w:pPr>
            <w:r>
              <w:rPr>
                <w:noProof/>
                <w:sz w:val="20"/>
                <w:szCs w:val="20"/>
              </w:rPr>
              <w:t>ECE/TRANS/WP.29/AC.3/57</w:t>
            </w:r>
          </w:p>
        </w:tc>
      </w:tr>
      <w:tr>
        <w:trPr>
          <w:trHeight w:val="600"/>
        </w:trPr>
        <w:tc>
          <w:tcPr>
            <w:tcW w:w="1215" w:type="dxa"/>
            <w:shd w:val="clear" w:color="auto" w:fill="auto"/>
          </w:tcPr>
          <w:p>
            <w:pPr>
              <w:rPr>
                <w:noProof/>
                <w:sz w:val="20"/>
                <w:szCs w:val="20"/>
              </w:rPr>
            </w:pPr>
            <w:r>
              <w:rPr>
                <w:noProof/>
                <w:sz w:val="20"/>
                <w:szCs w:val="20"/>
              </w:rPr>
              <w:t>18</w:t>
            </w:r>
          </w:p>
        </w:tc>
        <w:tc>
          <w:tcPr>
            <w:tcW w:w="3960" w:type="dxa"/>
            <w:shd w:val="clear" w:color="auto" w:fill="auto"/>
          </w:tcPr>
          <w:p>
            <w:pPr>
              <w:pStyle w:val="SingleTxtG"/>
              <w:ind w:left="0" w:right="238" w:hanging="6"/>
              <w:jc w:val="left"/>
              <w:rPr>
                <w:rFonts w:ascii="Times New Roman" w:hAnsi="Times New Roman" w:cs="Times New Roman"/>
                <w:noProof/>
                <w:sz w:val="20"/>
                <w:szCs w:val="20"/>
              </w:rPr>
            </w:pPr>
            <w:r>
              <w:rPr>
                <w:rFonts w:ascii="Times New Roman" w:hAnsi="Times New Roman"/>
                <w:noProof/>
                <w:sz w:val="20"/>
                <w:szCs w:val="20"/>
              </w:rPr>
              <w:t xml:space="preserve">Förslag till ändring 1 av FN:s globala tekniska föreskrift nr 18 (omborddiagnossystem (OBD) för fordon av kategori L) </w:t>
            </w:r>
          </w:p>
          <w:p>
            <w:pPr>
              <w:pStyle w:val="SingleTxtG"/>
              <w:ind w:left="0" w:right="238" w:hanging="6"/>
              <w:jc w:val="left"/>
              <w:rPr>
                <w:rFonts w:ascii="Times New Roman" w:hAnsi="Times New Roman" w:cs="Times New Roman"/>
                <w:noProof/>
                <w:sz w:val="20"/>
                <w:szCs w:val="20"/>
              </w:rPr>
            </w:pPr>
          </w:p>
        </w:tc>
        <w:tc>
          <w:tcPr>
            <w:tcW w:w="3960" w:type="dxa"/>
            <w:shd w:val="clear" w:color="auto" w:fill="auto"/>
          </w:tcPr>
          <w:p>
            <w:pPr>
              <w:pStyle w:val="SingleTxtG"/>
              <w:ind w:left="0" w:right="238" w:hanging="6"/>
              <w:jc w:val="left"/>
              <w:rPr>
                <w:rFonts w:ascii="Times New Roman" w:hAnsi="Times New Roman" w:cs="Times New Roman"/>
                <w:noProof/>
                <w:sz w:val="20"/>
                <w:szCs w:val="20"/>
                <w:lang w:val="en-US"/>
              </w:rPr>
            </w:pPr>
            <w:r>
              <w:rPr>
                <w:rFonts w:ascii="Times New Roman" w:hAnsi="Times New Roman"/>
                <w:noProof/>
                <w:sz w:val="20"/>
                <w:szCs w:val="20"/>
                <w:lang w:val="en-US"/>
              </w:rPr>
              <w:t xml:space="preserve">ECE/TRANS/WP.29/2020/129 </w:t>
            </w:r>
          </w:p>
          <w:p>
            <w:pPr>
              <w:pStyle w:val="SingleTxtG"/>
              <w:ind w:left="0" w:right="238" w:hanging="6"/>
              <w:jc w:val="left"/>
              <w:rPr>
                <w:rFonts w:ascii="Times New Roman" w:hAnsi="Times New Roman" w:cs="Times New Roman"/>
                <w:noProof/>
                <w:sz w:val="20"/>
                <w:szCs w:val="20"/>
                <w:lang w:val="en-US"/>
              </w:rPr>
            </w:pPr>
            <w:r>
              <w:rPr>
                <w:rFonts w:ascii="Times New Roman" w:hAnsi="Times New Roman"/>
                <w:noProof/>
                <w:sz w:val="20"/>
                <w:szCs w:val="20"/>
                <w:lang w:val="en-US"/>
              </w:rPr>
              <w:t xml:space="preserve">ECE/TRANS/WP.29/2020/130 </w:t>
            </w:r>
          </w:p>
          <w:p>
            <w:pPr>
              <w:rPr>
                <w:noProof/>
                <w:sz w:val="20"/>
                <w:szCs w:val="20"/>
              </w:rPr>
            </w:pPr>
            <w:r>
              <w:rPr>
                <w:noProof/>
                <w:sz w:val="20"/>
                <w:szCs w:val="20"/>
              </w:rPr>
              <w:t>ECE/TRANS/WP.29/AC.3/58</w:t>
            </w:r>
          </w:p>
        </w:tc>
      </w:tr>
      <w:tr>
        <w:trPr>
          <w:trHeight w:val="600"/>
        </w:trPr>
        <w:tc>
          <w:tcPr>
            <w:tcW w:w="1215" w:type="dxa"/>
            <w:shd w:val="clear" w:color="auto" w:fill="auto"/>
          </w:tcPr>
          <w:p>
            <w:pPr>
              <w:rPr>
                <w:noProof/>
                <w:sz w:val="20"/>
                <w:szCs w:val="20"/>
              </w:rPr>
            </w:pPr>
            <w:r>
              <w:rPr>
                <w:noProof/>
                <w:sz w:val="20"/>
                <w:szCs w:val="20"/>
              </w:rPr>
              <w:t>Ny global teknisk föreskrift</w:t>
            </w:r>
          </w:p>
        </w:tc>
        <w:tc>
          <w:tcPr>
            <w:tcW w:w="3960" w:type="dxa"/>
            <w:shd w:val="clear" w:color="auto" w:fill="auto"/>
          </w:tcPr>
          <w:p>
            <w:pPr>
              <w:pStyle w:val="SingleTxtG"/>
              <w:ind w:left="0" w:right="238" w:hanging="6"/>
              <w:jc w:val="left"/>
              <w:rPr>
                <w:rFonts w:ascii="Times New Roman" w:hAnsi="Times New Roman" w:cs="Times New Roman"/>
                <w:noProof/>
                <w:sz w:val="20"/>
                <w:szCs w:val="20"/>
              </w:rPr>
            </w:pPr>
            <w:r>
              <w:rPr>
                <w:rFonts w:ascii="Times New Roman" w:hAnsi="Times New Roman"/>
                <w:noProof/>
                <w:sz w:val="20"/>
                <w:szCs w:val="20"/>
              </w:rPr>
              <w:t xml:space="preserve">Förslag till en ny global teknisk föreskrift om bestämning av elfordonseffekt (DEVP) </w:t>
            </w:r>
          </w:p>
          <w:p>
            <w:pPr>
              <w:pStyle w:val="SingleTxtG"/>
              <w:ind w:left="0" w:right="238" w:hanging="6"/>
              <w:jc w:val="left"/>
              <w:rPr>
                <w:rFonts w:ascii="Times New Roman" w:hAnsi="Times New Roman" w:cs="Times New Roman"/>
                <w:noProof/>
                <w:sz w:val="20"/>
                <w:szCs w:val="20"/>
              </w:rPr>
            </w:pPr>
          </w:p>
        </w:tc>
        <w:tc>
          <w:tcPr>
            <w:tcW w:w="3960" w:type="dxa"/>
            <w:shd w:val="clear" w:color="auto" w:fill="auto"/>
          </w:tcPr>
          <w:p>
            <w:pPr>
              <w:pStyle w:val="SingleTxtG"/>
              <w:ind w:left="0" w:right="238" w:hanging="6"/>
              <w:jc w:val="left"/>
              <w:rPr>
                <w:rFonts w:ascii="Times New Roman" w:hAnsi="Times New Roman" w:cs="Times New Roman"/>
                <w:noProof/>
                <w:sz w:val="20"/>
                <w:szCs w:val="20"/>
                <w:lang w:val="en-US"/>
              </w:rPr>
            </w:pPr>
            <w:r>
              <w:rPr>
                <w:rFonts w:ascii="Times New Roman" w:hAnsi="Times New Roman"/>
                <w:noProof/>
                <w:sz w:val="20"/>
                <w:szCs w:val="20"/>
                <w:lang w:val="en-US"/>
              </w:rPr>
              <w:t xml:space="preserve">ECE/TRANS/WP.29/2020/125 </w:t>
            </w:r>
          </w:p>
          <w:p>
            <w:pPr>
              <w:pStyle w:val="SingleTxtG"/>
              <w:ind w:left="0" w:right="238" w:hanging="6"/>
              <w:jc w:val="left"/>
              <w:rPr>
                <w:rFonts w:ascii="Times New Roman" w:hAnsi="Times New Roman" w:cs="Times New Roman"/>
                <w:noProof/>
                <w:sz w:val="20"/>
                <w:szCs w:val="20"/>
                <w:lang w:val="en-US"/>
              </w:rPr>
            </w:pPr>
            <w:r>
              <w:rPr>
                <w:rFonts w:ascii="Times New Roman" w:hAnsi="Times New Roman"/>
                <w:noProof/>
                <w:sz w:val="20"/>
                <w:szCs w:val="20"/>
                <w:lang w:val="en-US"/>
              </w:rPr>
              <w:t xml:space="preserve">ECE/TRANS/WP.29/2020/126 </w:t>
            </w:r>
          </w:p>
          <w:p>
            <w:pPr>
              <w:rPr>
                <w:noProof/>
                <w:sz w:val="20"/>
                <w:szCs w:val="20"/>
              </w:rPr>
            </w:pPr>
            <w:r>
              <w:rPr>
                <w:noProof/>
                <w:sz w:val="20"/>
                <w:szCs w:val="20"/>
              </w:rPr>
              <w:t>ECE/TRANS/WP.29/AC.3/56</w:t>
            </w:r>
          </w:p>
        </w:tc>
      </w:tr>
    </w:tbl>
    <w:p>
      <w:pPr>
        <w:pStyle w:val="Default"/>
        <w:rPr>
          <w:rFonts w:eastAsia="MS Mincho"/>
          <w:noProof/>
          <w:color w:val="auto"/>
          <w:sz w:val="20"/>
          <w:szCs w:val="20"/>
        </w:rPr>
      </w:pPr>
      <w:r>
        <w:rPr>
          <w:noProof/>
          <w:color w:val="auto"/>
          <w:sz w:val="20"/>
          <w:szCs w:val="20"/>
        </w:rPr>
        <w:t xml:space="preserve"> </w:t>
      </w:r>
    </w:p>
    <w:tbl>
      <w:tblPr>
        <w:tblW w:w="9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3960"/>
        <w:gridCol w:w="3960"/>
      </w:tblGrid>
      <w:tr>
        <w:trPr>
          <w:trHeight w:val="465"/>
        </w:trPr>
        <w:tc>
          <w:tcPr>
            <w:tcW w:w="1215" w:type="dxa"/>
            <w:shd w:val="clear" w:color="auto" w:fill="auto"/>
            <w:hideMark/>
          </w:tcPr>
          <w:p>
            <w:pPr>
              <w:spacing w:before="0" w:after="0"/>
              <w:jc w:val="left"/>
              <w:rPr>
                <w:rFonts w:eastAsia="Times New Roman"/>
                <w:b/>
                <w:bCs/>
                <w:noProof/>
                <w:sz w:val="20"/>
                <w:szCs w:val="20"/>
              </w:rPr>
            </w:pPr>
            <w:r>
              <w:rPr>
                <w:b/>
                <w:bCs/>
                <w:noProof/>
                <w:sz w:val="20"/>
                <w:szCs w:val="20"/>
              </w:rPr>
              <w:t>Resolution nr</w:t>
            </w:r>
          </w:p>
        </w:tc>
        <w:tc>
          <w:tcPr>
            <w:tcW w:w="3960" w:type="dxa"/>
            <w:shd w:val="clear" w:color="auto" w:fill="auto"/>
            <w:hideMark/>
          </w:tcPr>
          <w:p>
            <w:pPr>
              <w:spacing w:before="0" w:after="0"/>
              <w:jc w:val="left"/>
              <w:rPr>
                <w:rFonts w:eastAsia="Times New Roman"/>
                <w:b/>
                <w:bCs/>
                <w:noProof/>
                <w:sz w:val="20"/>
                <w:szCs w:val="20"/>
              </w:rPr>
            </w:pPr>
            <w:r>
              <w:rPr>
                <w:b/>
                <w:bCs/>
                <w:noProof/>
                <w:sz w:val="20"/>
                <w:szCs w:val="20"/>
              </w:rPr>
              <w:t>Punkt på dagordningen</w:t>
            </w:r>
          </w:p>
        </w:tc>
        <w:tc>
          <w:tcPr>
            <w:tcW w:w="3960" w:type="dxa"/>
            <w:shd w:val="clear" w:color="auto" w:fill="auto"/>
            <w:hideMark/>
          </w:tcPr>
          <w:p>
            <w:pPr>
              <w:spacing w:before="0" w:after="0"/>
              <w:jc w:val="left"/>
              <w:rPr>
                <w:rFonts w:eastAsia="Times New Roman"/>
                <w:b/>
                <w:bCs/>
                <w:noProof/>
                <w:sz w:val="20"/>
                <w:szCs w:val="20"/>
              </w:rPr>
            </w:pPr>
            <w:r>
              <w:rPr>
                <w:b/>
                <w:bCs/>
                <w:noProof/>
                <w:sz w:val="20"/>
                <w:szCs w:val="20"/>
              </w:rPr>
              <w:t>Dokumenthänvisning</w:t>
            </w:r>
          </w:p>
        </w:tc>
      </w:tr>
      <w:tr>
        <w:trPr>
          <w:trHeight w:val="600"/>
        </w:trPr>
        <w:tc>
          <w:tcPr>
            <w:tcW w:w="1215" w:type="dxa"/>
            <w:shd w:val="clear" w:color="auto" w:fill="auto"/>
          </w:tcPr>
          <w:p>
            <w:pPr>
              <w:rPr>
                <w:noProof/>
                <w:sz w:val="20"/>
                <w:szCs w:val="20"/>
              </w:rPr>
            </w:pPr>
            <w:r>
              <w:rPr>
                <w:noProof/>
                <w:sz w:val="20"/>
                <w:szCs w:val="20"/>
              </w:rPr>
              <w:t>M.R.3</w:t>
            </w:r>
          </w:p>
        </w:tc>
        <w:tc>
          <w:tcPr>
            <w:tcW w:w="3960" w:type="dxa"/>
            <w:shd w:val="clear" w:color="auto" w:fill="auto"/>
          </w:tcPr>
          <w:p>
            <w:pPr>
              <w:pStyle w:val="SingleTxtG"/>
              <w:spacing w:after="0"/>
              <w:ind w:left="0" w:right="141"/>
              <w:rPr>
                <w:rFonts w:ascii="Times New Roman" w:hAnsi="Times New Roman" w:cs="Times New Roman"/>
                <w:noProof/>
                <w:sz w:val="20"/>
                <w:szCs w:val="20"/>
              </w:rPr>
            </w:pPr>
            <w:r>
              <w:rPr>
                <w:rFonts w:ascii="Times New Roman" w:hAnsi="Times New Roman"/>
                <w:noProof/>
                <w:sz w:val="20"/>
                <w:szCs w:val="20"/>
              </w:rPr>
              <w:t>Förslag till ändring 1 av ömsesidig resolution nr 3 om luftkvaliteten inuti fordon (VIAQ) (ECE/TRANS/WP.29/GRSP/80, punkt 59, baserat på ECE/TRANS/WP.29/GRSP/2020/16)</w:t>
            </w:r>
          </w:p>
        </w:tc>
        <w:tc>
          <w:tcPr>
            <w:tcW w:w="3960" w:type="dxa"/>
            <w:shd w:val="clear" w:color="auto" w:fill="auto"/>
          </w:tcPr>
          <w:p>
            <w:pPr>
              <w:pStyle w:val="SingleTxtG"/>
              <w:spacing w:after="0"/>
              <w:ind w:left="0" w:right="141"/>
              <w:rPr>
                <w:rFonts w:ascii="Times New Roman" w:hAnsi="Times New Roman" w:cs="Times New Roman"/>
                <w:noProof/>
                <w:sz w:val="20"/>
                <w:szCs w:val="20"/>
              </w:rPr>
            </w:pPr>
          </w:p>
          <w:p>
            <w:pPr>
              <w:rPr>
                <w:noProof/>
                <w:sz w:val="20"/>
                <w:szCs w:val="20"/>
              </w:rPr>
            </w:pPr>
            <w:r>
              <w:rPr>
                <w:noProof/>
                <w:sz w:val="20"/>
                <w:szCs w:val="20"/>
              </w:rPr>
              <w:t>ECE/TRANS/WP.29/2020/124</w:t>
            </w:r>
          </w:p>
        </w:tc>
      </w:tr>
    </w:tbl>
    <w:p>
      <w:pPr>
        <w:rPr>
          <w:noProof/>
          <w:sz w:val="20"/>
          <w:szCs w:val="20"/>
        </w:rPr>
      </w:pPr>
    </w:p>
    <w:tbl>
      <w:tblPr>
        <w:tblW w:w="9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3960"/>
        <w:gridCol w:w="3960"/>
      </w:tblGrid>
      <w:tr>
        <w:trPr>
          <w:trHeight w:val="465"/>
        </w:trPr>
        <w:tc>
          <w:tcPr>
            <w:tcW w:w="1215" w:type="dxa"/>
            <w:shd w:val="clear" w:color="auto" w:fill="auto"/>
            <w:hideMark/>
          </w:tcPr>
          <w:p>
            <w:pPr>
              <w:spacing w:before="0" w:after="0"/>
              <w:jc w:val="left"/>
              <w:rPr>
                <w:rFonts w:eastAsia="Times New Roman"/>
                <w:b/>
                <w:bCs/>
                <w:noProof/>
                <w:sz w:val="20"/>
                <w:szCs w:val="20"/>
              </w:rPr>
            </w:pPr>
            <w:r>
              <w:rPr>
                <w:b/>
                <w:bCs/>
                <w:noProof/>
                <w:sz w:val="20"/>
                <w:szCs w:val="20"/>
              </w:rPr>
              <w:t>Övrigt</w:t>
            </w:r>
          </w:p>
        </w:tc>
        <w:tc>
          <w:tcPr>
            <w:tcW w:w="3960" w:type="dxa"/>
            <w:shd w:val="clear" w:color="auto" w:fill="auto"/>
            <w:hideMark/>
          </w:tcPr>
          <w:p>
            <w:pPr>
              <w:spacing w:before="0" w:after="0"/>
              <w:jc w:val="left"/>
              <w:rPr>
                <w:rFonts w:eastAsia="Times New Roman"/>
                <w:b/>
                <w:bCs/>
                <w:noProof/>
                <w:sz w:val="20"/>
                <w:szCs w:val="20"/>
              </w:rPr>
            </w:pPr>
            <w:r>
              <w:rPr>
                <w:b/>
                <w:bCs/>
                <w:noProof/>
                <w:sz w:val="20"/>
                <w:szCs w:val="20"/>
              </w:rPr>
              <w:t>Punkt på dagordningen</w:t>
            </w:r>
          </w:p>
        </w:tc>
        <w:tc>
          <w:tcPr>
            <w:tcW w:w="3960" w:type="dxa"/>
            <w:shd w:val="clear" w:color="auto" w:fill="auto"/>
            <w:hideMark/>
          </w:tcPr>
          <w:p>
            <w:pPr>
              <w:spacing w:before="0" w:after="0"/>
              <w:jc w:val="left"/>
              <w:rPr>
                <w:rFonts w:eastAsia="Times New Roman"/>
                <w:b/>
                <w:bCs/>
                <w:noProof/>
                <w:sz w:val="20"/>
                <w:szCs w:val="20"/>
              </w:rPr>
            </w:pPr>
            <w:r>
              <w:rPr>
                <w:b/>
                <w:bCs/>
                <w:noProof/>
                <w:sz w:val="20"/>
                <w:szCs w:val="20"/>
              </w:rPr>
              <w:t>Dokumenthänvisning</w:t>
            </w:r>
          </w:p>
        </w:tc>
      </w:tr>
      <w:tr>
        <w:trPr>
          <w:trHeight w:val="600"/>
        </w:trPr>
        <w:tc>
          <w:tcPr>
            <w:tcW w:w="1215" w:type="dxa"/>
            <w:shd w:val="clear" w:color="auto" w:fill="auto"/>
          </w:tcPr>
          <w:p>
            <w:pPr>
              <w:rPr>
                <w:noProof/>
                <w:sz w:val="20"/>
                <w:szCs w:val="20"/>
              </w:rPr>
            </w:pPr>
            <w:r>
              <w:rPr>
                <w:noProof/>
                <w:sz w:val="20"/>
                <w:szCs w:val="20"/>
              </w:rPr>
              <w:t>Godkännande om utarbetande av ändringar av en global teknisk föreskrift</w:t>
            </w:r>
          </w:p>
        </w:tc>
        <w:tc>
          <w:tcPr>
            <w:tcW w:w="3960" w:type="dxa"/>
            <w:shd w:val="clear" w:color="auto" w:fill="auto"/>
          </w:tcPr>
          <w:p>
            <w:pPr>
              <w:rPr>
                <w:noProof/>
                <w:sz w:val="20"/>
                <w:szCs w:val="20"/>
              </w:rPr>
            </w:pPr>
            <w:r>
              <w:rPr>
                <w:noProof/>
                <w:sz w:val="20"/>
                <w:szCs w:val="20"/>
              </w:rPr>
              <w:t>Begäran om godkännande om utarbetande av ändringar av FN:s globala tekniska föreskrift nr 8 (elektronisk stabilitetskontroll (ESC))</w:t>
            </w:r>
          </w:p>
        </w:tc>
        <w:tc>
          <w:tcPr>
            <w:tcW w:w="3960" w:type="dxa"/>
            <w:shd w:val="clear" w:color="auto" w:fill="auto"/>
          </w:tcPr>
          <w:p>
            <w:pPr>
              <w:rPr>
                <w:noProof/>
                <w:sz w:val="20"/>
                <w:szCs w:val="20"/>
              </w:rPr>
            </w:pPr>
            <w:r>
              <w:rPr>
                <w:noProof/>
                <w:sz w:val="20"/>
                <w:szCs w:val="20"/>
              </w:rPr>
              <w:t>ECE/TRANS/WP.29/2020/99</w:t>
            </w:r>
          </w:p>
          <w:p>
            <w:pPr>
              <w:rPr>
                <w:noProof/>
                <w:sz w:val="20"/>
                <w:szCs w:val="20"/>
              </w:rPr>
            </w:pPr>
          </w:p>
        </w:tc>
      </w:tr>
      <w:tr>
        <w:trPr>
          <w:trHeight w:val="600"/>
        </w:trPr>
        <w:tc>
          <w:tcPr>
            <w:tcW w:w="1215" w:type="dxa"/>
            <w:shd w:val="clear" w:color="auto" w:fill="auto"/>
          </w:tcPr>
          <w:p>
            <w:pPr>
              <w:rPr>
                <w:noProof/>
                <w:sz w:val="20"/>
                <w:szCs w:val="20"/>
              </w:rPr>
            </w:pPr>
            <w:r>
              <w:rPr>
                <w:noProof/>
                <w:sz w:val="20"/>
                <w:szCs w:val="20"/>
              </w:rPr>
              <w:t>Godkännande om utarbetande av en global teknisk föreskrift</w:t>
            </w:r>
          </w:p>
        </w:tc>
        <w:tc>
          <w:tcPr>
            <w:tcW w:w="3960" w:type="dxa"/>
            <w:shd w:val="clear" w:color="auto" w:fill="auto"/>
          </w:tcPr>
          <w:p>
            <w:pPr>
              <w:rPr>
                <w:noProof/>
                <w:sz w:val="20"/>
                <w:szCs w:val="20"/>
              </w:rPr>
            </w:pPr>
            <w:r>
              <w:rPr>
                <w:noProof/>
                <w:sz w:val="20"/>
                <w:szCs w:val="20"/>
              </w:rPr>
              <w:t xml:space="preserve">Begäran om godkännande om utarbetande av en ny global teknisk föreskrift om batteritiden i fordon (ECE/TRANS/WP.29/GRPE/80, punkt. 59, baserat på GRPE-80-41 i dess ändrade lydelse enligt bilaga X) </w:t>
            </w:r>
          </w:p>
        </w:tc>
        <w:tc>
          <w:tcPr>
            <w:tcW w:w="3960" w:type="dxa"/>
            <w:shd w:val="clear" w:color="auto" w:fill="auto"/>
          </w:tcPr>
          <w:p>
            <w:pPr>
              <w:rPr>
                <w:noProof/>
                <w:sz w:val="20"/>
                <w:szCs w:val="20"/>
              </w:rPr>
            </w:pPr>
            <w:r>
              <w:rPr>
                <w:noProof/>
                <w:sz w:val="20"/>
                <w:szCs w:val="20"/>
              </w:rPr>
              <w:t>ECE/TRANS/WP.29/2020/96</w:t>
            </w:r>
          </w:p>
          <w:p>
            <w:pPr>
              <w:rPr>
                <w:noProof/>
                <w:sz w:val="20"/>
                <w:szCs w:val="20"/>
              </w:rPr>
            </w:pPr>
          </w:p>
        </w:tc>
      </w:tr>
      <w:tr>
        <w:trPr>
          <w:trHeight w:val="600"/>
        </w:trPr>
        <w:tc>
          <w:tcPr>
            <w:tcW w:w="1215" w:type="dxa"/>
            <w:shd w:val="clear" w:color="auto" w:fill="auto"/>
          </w:tcPr>
          <w:p>
            <w:pPr>
              <w:rPr>
                <w:noProof/>
                <w:sz w:val="20"/>
                <w:szCs w:val="20"/>
              </w:rPr>
            </w:pPr>
            <w:r>
              <w:rPr>
                <w:noProof/>
                <w:sz w:val="20"/>
                <w:szCs w:val="20"/>
              </w:rPr>
              <w:t>Tolkningsdokument</w:t>
            </w:r>
          </w:p>
        </w:tc>
        <w:tc>
          <w:tcPr>
            <w:tcW w:w="3960" w:type="dxa"/>
            <w:shd w:val="clear" w:color="auto" w:fill="auto"/>
          </w:tcPr>
          <w:p>
            <w:pPr>
              <w:rPr>
                <w:noProof/>
                <w:sz w:val="20"/>
                <w:szCs w:val="20"/>
              </w:rPr>
            </w:pPr>
            <w:r>
              <w:rPr>
                <w:noProof/>
                <w:sz w:val="20"/>
                <w:szCs w:val="20"/>
              </w:rPr>
              <w:t>Förslag till tolkningsdokument för FN-föreskrift nr 155 (it-säkerhet och system för hantering av it-säkerhet) baserat på GRVA-07-04-Rev.1</w:t>
            </w:r>
          </w:p>
          <w:p>
            <w:pPr>
              <w:rPr>
                <w:noProof/>
                <w:sz w:val="20"/>
                <w:szCs w:val="20"/>
              </w:rPr>
            </w:pPr>
          </w:p>
        </w:tc>
        <w:tc>
          <w:tcPr>
            <w:tcW w:w="3960" w:type="dxa"/>
            <w:shd w:val="clear" w:color="auto" w:fill="auto"/>
          </w:tcPr>
          <w:p>
            <w:pPr>
              <w:rPr>
                <w:noProof/>
                <w:sz w:val="20"/>
                <w:szCs w:val="20"/>
              </w:rPr>
            </w:pPr>
            <w:r>
              <w:rPr>
                <w:noProof/>
                <w:sz w:val="20"/>
                <w:szCs w:val="20"/>
              </w:rPr>
              <w:t>WP.29-182-05</w:t>
            </w:r>
          </w:p>
        </w:tc>
      </w:tr>
      <w:tr>
        <w:trPr>
          <w:trHeight w:val="600"/>
        </w:trPr>
        <w:tc>
          <w:tcPr>
            <w:tcW w:w="1215" w:type="dxa"/>
            <w:shd w:val="clear" w:color="auto" w:fill="auto"/>
          </w:tcPr>
          <w:p>
            <w:pPr>
              <w:rPr>
                <w:noProof/>
                <w:sz w:val="20"/>
                <w:szCs w:val="20"/>
              </w:rPr>
            </w:pPr>
            <w:r>
              <w:rPr>
                <w:noProof/>
                <w:sz w:val="20"/>
                <w:szCs w:val="20"/>
              </w:rPr>
              <w:t>Tolkningsdokument</w:t>
            </w:r>
          </w:p>
        </w:tc>
        <w:tc>
          <w:tcPr>
            <w:tcW w:w="3960" w:type="dxa"/>
            <w:shd w:val="clear" w:color="auto" w:fill="auto"/>
          </w:tcPr>
          <w:p>
            <w:pPr>
              <w:rPr>
                <w:noProof/>
                <w:sz w:val="20"/>
                <w:szCs w:val="20"/>
              </w:rPr>
            </w:pPr>
            <w:r>
              <w:rPr>
                <w:noProof/>
                <w:sz w:val="20"/>
                <w:szCs w:val="20"/>
              </w:rPr>
              <w:t>Förslag till tolkningsdokument för FN-föreskrift nr 156 (programvaruuppdateringar och system för hantering av programvaruuppdateringar) baserat på ECE/TRANS/WP.29/GRVA/2020/29 i dess ändra lydelse enligt GRVA-07-50</w:t>
            </w:r>
          </w:p>
        </w:tc>
        <w:tc>
          <w:tcPr>
            <w:tcW w:w="3960" w:type="dxa"/>
            <w:shd w:val="clear" w:color="auto" w:fill="auto"/>
          </w:tcPr>
          <w:p>
            <w:pPr>
              <w:rPr>
                <w:noProof/>
                <w:sz w:val="20"/>
                <w:szCs w:val="20"/>
              </w:rPr>
            </w:pPr>
            <w:r>
              <w:rPr>
                <w:noProof/>
                <w:sz w:val="20"/>
                <w:szCs w:val="20"/>
              </w:rPr>
              <w:t>WP.29-182-06</w:t>
            </w:r>
          </w:p>
        </w:tc>
      </w:tr>
      <w:tr>
        <w:trPr>
          <w:trHeight w:val="600"/>
        </w:trPr>
        <w:tc>
          <w:tcPr>
            <w:tcW w:w="1215" w:type="dxa"/>
            <w:shd w:val="clear" w:color="auto" w:fill="auto"/>
          </w:tcPr>
          <w:p>
            <w:pPr>
              <w:rPr>
                <w:noProof/>
                <w:sz w:val="20"/>
                <w:szCs w:val="20"/>
              </w:rPr>
            </w:pPr>
            <w:r>
              <w:rPr>
                <w:noProof/>
                <w:sz w:val="20"/>
                <w:szCs w:val="20"/>
              </w:rPr>
              <w:t>Riktlinje</w:t>
            </w:r>
          </w:p>
        </w:tc>
        <w:tc>
          <w:tcPr>
            <w:tcW w:w="3960" w:type="dxa"/>
            <w:shd w:val="clear" w:color="auto" w:fill="auto"/>
          </w:tcPr>
          <w:p>
            <w:pPr>
              <w:rPr>
                <w:noProof/>
                <w:sz w:val="20"/>
                <w:szCs w:val="20"/>
              </w:rPr>
            </w:pPr>
            <w:r>
              <w:rPr>
                <w:noProof/>
                <w:sz w:val="20"/>
                <w:szCs w:val="20"/>
              </w:rPr>
              <w:t>Förslag till riktlinje för användningen av Deta enligt FN-föreskrift nr 155 (it-säkerhet och system för hantering av it-säkerhet), baserat på GRVA-07-25</w:t>
            </w:r>
          </w:p>
        </w:tc>
        <w:tc>
          <w:tcPr>
            <w:tcW w:w="3960" w:type="dxa"/>
            <w:shd w:val="clear" w:color="auto" w:fill="auto"/>
          </w:tcPr>
          <w:p>
            <w:pPr>
              <w:rPr>
                <w:noProof/>
                <w:sz w:val="20"/>
                <w:szCs w:val="20"/>
              </w:rPr>
            </w:pPr>
            <w:r>
              <w:rPr>
                <w:noProof/>
                <w:sz w:val="20"/>
                <w:szCs w:val="20"/>
              </w:rPr>
              <w:t>WP.29-182-07</w:t>
            </w:r>
          </w:p>
        </w:tc>
      </w:tr>
    </w:tbl>
    <w:p>
      <w:pPr>
        <w:rPr>
          <w:noProof/>
        </w:rPr>
      </w:pPr>
    </w:p>
    <w:p>
      <w:pPr>
        <w:rPr>
          <w:noProof/>
        </w:rPr>
      </w:pPr>
    </w:p>
    <w:p>
      <w:pPr>
        <w:rPr>
          <w:noProof/>
        </w:rPr>
      </w:pPr>
    </w:p>
    <w:sectPr>
      <w:footerReference w:type="default" r:id="rId17"/>
      <w:footerReference w:type="first" r:id="rId18"/>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Alla dokument som det hänvisas till i tabellen finns tillgängliga på </w:t>
      </w:r>
    </w:p>
    <w:p>
      <w:pPr>
        <w:pStyle w:val="FootnoteText"/>
        <w:rPr>
          <w:sz w:val="18"/>
        </w:rPr>
      </w:pPr>
      <w:hyperlink r:id="rId1" w:history="1">
        <w:r>
          <w:rPr>
            <w:rStyle w:val="Hyperlink"/>
            <w:sz w:val="18"/>
          </w:rPr>
          <w:t>http://www.unece.org/trans/main/wp29/wp29wgs/wp29gen/gen2020.html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20"/>
  </w:num>
  <w:num w:numId="12">
    <w:abstractNumId w:val="14"/>
  </w:num>
  <w:num w:numId="13">
    <w:abstractNumId w:val="22"/>
  </w:num>
  <w:num w:numId="14">
    <w:abstractNumId w:val="13"/>
  </w:num>
  <w:num w:numId="15">
    <w:abstractNumId w:val="15"/>
  </w:num>
  <w:num w:numId="16">
    <w:abstractNumId w:val="11"/>
  </w:num>
  <w:num w:numId="17">
    <w:abstractNumId w:val="21"/>
  </w:num>
  <w:num w:numId="18">
    <w:abstractNumId w:val="10"/>
  </w:num>
  <w:num w:numId="19">
    <w:abstractNumId w:val="16"/>
  </w:num>
  <w:num w:numId="20">
    <w:abstractNumId w:val="18"/>
  </w:num>
  <w:num w:numId="21">
    <w:abstractNumId w:val="19"/>
  </w:num>
  <w:num w:numId="22">
    <w:abstractNumId w:val="12"/>
  </w:num>
  <w:num w:numId="23">
    <w:abstractNumId w:val="17"/>
  </w:num>
  <w:num w:numId="24">
    <w:abstractNumId w:val="23"/>
  </w:num>
  <w:num w:numId="25">
    <w:abstractNumId w:val="20"/>
  </w:num>
  <w:num w:numId="26">
    <w:abstractNumId w:val="14"/>
  </w:num>
  <w:num w:numId="27">
    <w:abstractNumId w:val="22"/>
  </w:num>
  <w:num w:numId="28">
    <w:abstractNumId w:val="13"/>
  </w:num>
  <w:num w:numId="29">
    <w:abstractNumId w:val="15"/>
  </w:num>
  <w:num w:numId="30">
    <w:abstractNumId w:val="11"/>
  </w:num>
  <w:num w:numId="31">
    <w:abstractNumId w:val="21"/>
  </w:num>
  <w:num w:numId="32">
    <w:abstractNumId w:val="10"/>
  </w:num>
  <w:num w:numId="33">
    <w:abstractNumId w:val="16"/>
  </w:num>
  <w:num w:numId="34">
    <w:abstractNumId w:val="18"/>
  </w:num>
  <w:num w:numId="35">
    <w:abstractNumId w:val="19"/>
  </w:num>
  <w:num w:numId="36">
    <w:abstractNumId w:val="12"/>
  </w:num>
  <w:num w:numId="37">
    <w:abstractNumId w:val="17"/>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0-13 10:48: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ACCOMPAGNANT" w:val="till"/>
    <w:docVar w:name="LW_ACCOMPAGNANT.CP" w:val="till"/>
    <w:docVar w:name="LW_ANNEX_NBR_FIRST" w:val="1"/>
    <w:docVar w:name="LW_ANNEX_NBR_LAST" w:val="1"/>
    <w:docVar w:name="LW_ANNEX_UNIQUE" w:val="1"/>
    <w:docVar w:name="LW_CORRIGENDUM" w:val="&lt;UNUSED&gt;"/>
    <w:docVar w:name="LW_COVERPAGE_EXISTS" w:val="True"/>
    <w:docVar w:name="LW_COVERPAGE_GUID" w:val="B9FB3CD2-C9B9-4793-9A68-95CC009C89AE"/>
    <w:docVar w:name="LW_COVERPAGE_TYPE" w:val="1"/>
    <w:docVar w:name="LW_CROSSREFERENCE" w:val="&lt;UNUSED&gt;"/>
    <w:docVar w:name="LW_DocType" w:val="ANNEX"/>
    <w:docVar w:name="LW_EMISSION" w:val="14.10.2020"/>
    <w:docVar w:name="LW_EMISSION_ISODATE" w:val="2020-10-14"/>
    <w:docVar w:name="LW_EMISSION_LOCATION" w:val="BRX"/>
    <w:docVar w:name="LW_EMISSION_PREFIX" w:val="Bryssel den "/>
    <w:docVar w:name="LW_EMISSION_SUFFIX" w:val=" "/>
    <w:docVar w:name="LW_ID_DOCSTRUCTURE" w:val="COM/ANNEX"/>
    <w:docVar w:name="LW_ID_DOCTYPE" w:val="SG-017"/>
    <w:docVar w:name="LW_LANGUE" w:val="SV"/>
    <w:docVar w:name="LW_LEVEL_OF_SENSITIVITY" w:val="Standard treatment"/>
    <w:docVar w:name="LW_NOM.INST" w:val="EUROPEISKA KOMMISSIONEN"/>
    <w:docVar w:name="LW_NOM.INST_JOINTDOC" w:val="&lt;EMPTY&gt;"/>
    <w:docVar w:name="LW_OBJETACTEPRINCIPAL" w:val="&lt;FMT:Bold&gt;om den ståndpunkt som ska intas på Europeiska unionens vägnar i världsforumet för harmonisering av fordonsföreskrifter inom Förenta nationernas ekonomiska kommission för Europa vad gäller förslagen till ändringar av FN-föreskrifterna nr 0, 13, 16, 17, 44, 55, 83, 93, 94, 95, 100, 115, 137, 144, 151, 152 och 153, vad gäller förslagen till ändringar av de globala tekniska föreskrifterna nr 7, 15 och 18, vad gäller förslaget till ändringar av den ömsesidiga resolutionen (M.R.3), vad gäller förslagen till två nya FN-föreskrifter om backning och system för detektion vid start samt vad gäller förslaget till en nya global teknisk föreskrift om elfordonseffekt&lt;/FMT&gt;"/>
    <w:docVar w:name="LW_OBJETACTEPRINCIPAL.CP" w:val="&lt;FMT:Bold&gt;om den ståndpunkt som ska intas på Europeiska unionens vägnar i världsforumet för harmonisering av fordonsföreskrifter inom Förenta nationernas ekonomiska kommission för Europa vad gäller förslagen till ändringar av FN-föreskrifterna nr 0, 13, 16, 17, 44, 55, 83, 93, 94, 95, 100, 115, 137, 144, 151, 152 och 153, vad gäller förslagen till ändringar av de globala tekniska föreskrifterna nr 7, 15 och 18, vad gäller förslaget till ändringar av den ömsesidiga resolutionen (M.R.3), vad gäller förslagen till två nya FN-föreskrifter om backning och system för detektion vid start samt vad gäller förslaget till en nya global teknisk föreskrift om elfordonseffekt&lt;/FMT&gt;"/>
    <w:docVar w:name="LW_PART_NBR" w:val="1"/>
    <w:docVar w:name="LW_PART_NBR_TOTAL" w:val="1"/>
    <w:docVar w:name="LW_REF.INST.NEW" w:val="COM"/>
    <w:docVar w:name="LW_REF.INST.NEW_ADOPTED" w:val="final"/>
    <w:docVar w:name="LW_REF.INST.NEW_TEXT" w:val="(2020) 6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A"/>
    <w:docVar w:name="LW_TYPE.DOC.CP" w:val="BILAGA"/>
    <w:docVar w:name="LW_TYPEACTEPRINCIPAL" w:val="förslag till rådets beslut"/>
    <w:docVar w:name="LW_TYPEACTEPRINCIPAL.CP" w:val="förslag till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sv-SE"/>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customStyle="1" w:styleId="H4G">
    <w:name w:val="_ H_4_G"/>
    <w:basedOn w:val="Normal"/>
    <w:next w:val="Normal"/>
    <w:pPr>
      <w:keepNext/>
      <w:keepLines/>
      <w:tabs>
        <w:tab w:val="right" w:pos="851"/>
      </w:tabs>
      <w:suppressAutoHyphens/>
      <w:spacing w:before="240" w:line="240" w:lineRule="exact"/>
      <w:ind w:left="1134" w:right="1134" w:hanging="1134"/>
      <w:jc w:val="left"/>
    </w:pPr>
    <w:rPr>
      <w:rFonts w:eastAsia="Times New Roman"/>
      <w:i/>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Subt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sv-SE"/>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table" w:styleId="TableSubtle1">
    <w:name w:val="Table Subtle 1"/>
    <w:basedOn w:val="TableNormal"/>
    <w:semiHidden/>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pPr>
      <w:numPr>
        <w:numId w:val="10"/>
      </w:numPr>
    </w:pPr>
  </w:style>
  <w:style w:type="paragraph" w:customStyle="1" w:styleId="H4G">
    <w:name w:val="_ H_4_G"/>
    <w:basedOn w:val="Normal"/>
    <w:next w:val="Normal"/>
    <w:pPr>
      <w:keepNext/>
      <w:keepLines/>
      <w:tabs>
        <w:tab w:val="right" w:pos="851"/>
      </w:tabs>
      <w:suppressAutoHyphens/>
      <w:spacing w:before="240" w:line="240" w:lineRule="exact"/>
      <w:ind w:left="1134" w:right="1134" w:hanging="1134"/>
      <w:jc w:val="left"/>
    </w:pPr>
    <w:rPr>
      <w:rFonts w:eastAsia="Times New Roman"/>
      <w:i/>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111828688">
      <w:bodyDiv w:val="1"/>
      <w:marLeft w:val="0"/>
      <w:marRight w:val="0"/>
      <w:marTop w:val="0"/>
      <w:marBottom w:val="0"/>
      <w:divBdr>
        <w:top w:val="none" w:sz="0" w:space="0" w:color="auto"/>
        <w:left w:val="none" w:sz="0" w:space="0" w:color="auto"/>
        <w:bottom w:val="none" w:sz="0" w:space="0" w:color="auto"/>
        <w:right w:val="none" w:sz="0" w:space="0" w:color="auto"/>
      </w:divBdr>
    </w:div>
    <w:div w:id="138503308">
      <w:bodyDiv w:val="1"/>
      <w:marLeft w:val="0"/>
      <w:marRight w:val="0"/>
      <w:marTop w:val="0"/>
      <w:marBottom w:val="0"/>
      <w:divBdr>
        <w:top w:val="none" w:sz="0" w:space="0" w:color="auto"/>
        <w:left w:val="none" w:sz="0" w:space="0" w:color="auto"/>
        <w:bottom w:val="none" w:sz="0" w:space="0" w:color="auto"/>
        <w:right w:val="none" w:sz="0" w:space="0" w:color="auto"/>
      </w:divBdr>
    </w:div>
    <w:div w:id="142505270">
      <w:bodyDiv w:val="1"/>
      <w:marLeft w:val="0"/>
      <w:marRight w:val="0"/>
      <w:marTop w:val="0"/>
      <w:marBottom w:val="0"/>
      <w:divBdr>
        <w:top w:val="none" w:sz="0" w:space="0" w:color="auto"/>
        <w:left w:val="none" w:sz="0" w:space="0" w:color="auto"/>
        <w:bottom w:val="none" w:sz="0" w:space="0" w:color="auto"/>
        <w:right w:val="none" w:sz="0" w:space="0" w:color="auto"/>
      </w:divBdr>
    </w:div>
    <w:div w:id="170341956">
      <w:bodyDiv w:val="1"/>
      <w:marLeft w:val="0"/>
      <w:marRight w:val="0"/>
      <w:marTop w:val="0"/>
      <w:marBottom w:val="0"/>
      <w:divBdr>
        <w:top w:val="none" w:sz="0" w:space="0" w:color="auto"/>
        <w:left w:val="none" w:sz="0" w:space="0" w:color="auto"/>
        <w:bottom w:val="none" w:sz="0" w:space="0" w:color="auto"/>
        <w:right w:val="none" w:sz="0" w:space="0" w:color="auto"/>
      </w:divBdr>
    </w:div>
    <w:div w:id="184170899">
      <w:bodyDiv w:val="1"/>
      <w:marLeft w:val="0"/>
      <w:marRight w:val="0"/>
      <w:marTop w:val="0"/>
      <w:marBottom w:val="0"/>
      <w:divBdr>
        <w:top w:val="none" w:sz="0" w:space="0" w:color="auto"/>
        <w:left w:val="none" w:sz="0" w:space="0" w:color="auto"/>
        <w:bottom w:val="none" w:sz="0" w:space="0" w:color="auto"/>
        <w:right w:val="none" w:sz="0" w:space="0" w:color="auto"/>
      </w:divBdr>
    </w:div>
    <w:div w:id="201290352">
      <w:bodyDiv w:val="1"/>
      <w:marLeft w:val="0"/>
      <w:marRight w:val="0"/>
      <w:marTop w:val="0"/>
      <w:marBottom w:val="0"/>
      <w:divBdr>
        <w:top w:val="none" w:sz="0" w:space="0" w:color="auto"/>
        <w:left w:val="none" w:sz="0" w:space="0" w:color="auto"/>
        <w:bottom w:val="none" w:sz="0" w:space="0" w:color="auto"/>
        <w:right w:val="none" w:sz="0" w:space="0" w:color="auto"/>
      </w:divBdr>
    </w:div>
    <w:div w:id="238174989">
      <w:bodyDiv w:val="1"/>
      <w:marLeft w:val="0"/>
      <w:marRight w:val="0"/>
      <w:marTop w:val="0"/>
      <w:marBottom w:val="0"/>
      <w:divBdr>
        <w:top w:val="none" w:sz="0" w:space="0" w:color="auto"/>
        <w:left w:val="none" w:sz="0" w:space="0" w:color="auto"/>
        <w:bottom w:val="none" w:sz="0" w:space="0" w:color="auto"/>
        <w:right w:val="none" w:sz="0" w:space="0" w:color="auto"/>
      </w:divBdr>
    </w:div>
    <w:div w:id="343676691">
      <w:bodyDiv w:val="1"/>
      <w:marLeft w:val="0"/>
      <w:marRight w:val="0"/>
      <w:marTop w:val="0"/>
      <w:marBottom w:val="0"/>
      <w:divBdr>
        <w:top w:val="none" w:sz="0" w:space="0" w:color="auto"/>
        <w:left w:val="none" w:sz="0" w:space="0" w:color="auto"/>
        <w:bottom w:val="none" w:sz="0" w:space="0" w:color="auto"/>
        <w:right w:val="none" w:sz="0" w:space="0" w:color="auto"/>
      </w:divBdr>
    </w:div>
    <w:div w:id="374044499">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504365913">
      <w:bodyDiv w:val="1"/>
      <w:marLeft w:val="0"/>
      <w:marRight w:val="0"/>
      <w:marTop w:val="0"/>
      <w:marBottom w:val="0"/>
      <w:divBdr>
        <w:top w:val="none" w:sz="0" w:space="0" w:color="auto"/>
        <w:left w:val="none" w:sz="0" w:space="0" w:color="auto"/>
        <w:bottom w:val="none" w:sz="0" w:space="0" w:color="auto"/>
        <w:right w:val="none" w:sz="0" w:space="0" w:color="auto"/>
      </w:divBdr>
    </w:div>
    <w:div w:id="516386169">
      <w:bodyDiv w:val="1"/>
      <w:marLeft w:val="0"/>
      <w:marRight w:val="0"/>
      <w:marTop w:val="0"/>
      <w:marBottom w:val="0"/>
      <w:divBdr>
        <w:top w:val="none" w:sz="0" w:space="0" w:color="auto"/>
        <w:left w:val="none" w:sz="0" w:space="0" w:color="auto"/>
        <w:bottom w:val="none" w:sz="0" w:space="0" w:color="auto"/>
        <w:right w:val="none" w:sz="0" w:space="0" w:color="auto"/>
      </w:divBdr>
    </w:div>
    <w:div w:id="546719095">
      <w:bodyDiv w:val="1"/>
      <w:marLeft w:val="0"/>
      <w:marRight w:val="0"/>
      <w:marTop w:val="0"/>
      <w:marBottom w:val="0"/>
      <w:divBdr>
        <w:top w:val="none" w:sz="0" w:space="0" w:color="auto"/>
        <w:left w:val="none" w:sz="0" w:space="0" w:color="auto"/>
        <w:bottom w:val="none" w:sz="0" w:space="0" w:color="auto"/>
        <w:right w:val="none" w:sz="0" w:space="0" w:color="auto"/>
      </w:divBdr>
    </w:div>
    <w:div w:id="573007855">
      <w:bodyDiv w:val="1"/>
      <w:marLeft w:val="0"/>
      <w:marRight w:val="0"/>
      <w:marTop w:val="0"/>
      <w:marBottom w:val="0"/>
      <w:divBdr>
        <w:top w:val="none" w:sz="0" w:space="0" w:color="auto"/>
        <w:left w:val="none" w:sz="0" w:space="0" w:color="auto"/>
        <w:bottom w:val="none" w:sz="0" w:space="0" w:color="auto"/>
        <w:right w:val="none" w:sz="0" w:space="0" w:color="auto"/>
      </w:divBdr>
    </w:div>
    <w:div w:id="640967684">
      <w:bodyDiv w:val="1"/>
      <w:marLeft w:val="0"/>
      <w:marRight w:val="0"/>
      <w:marTop w:val="0"/>
      <w:marBottom w:val="0"/>
      <w:divBdr>
        <w:top w:val="none" w:sz="0" w:space="0" w:color="auto"/>
        <w:left w:val="none" w:sz="0" w:space="0" w:color="auto"/>
        <w:bottom w:val="none" w:sz="0" w:space="0" w:color="auto"/>
        <w:right w:val="none" w:sz="0" w:space="0" w:color="auto"/>
      </w:divBdr>
    </w:div>
    <w:div w:id="681979674">
      <w:bodyDiv w:val="1"/>
      <w:marLeft w:val="0"/>
      <w:marRight w:val="0"/>
      <w:marTop w:val="0"/>
      <w:marBottom w:val="0"/>
      <w:divBdr>
        <w:top w:val="none" w:sz="0" w:space="0" w:color="auto"/>
        <w:left w:val="none" w:sz="0" w:space="0" w:color="auto"/>
        <w:bottom w:val="none" w:sz="0" w:space="0" w:color="auto"/>
        <w:right w:val="none" w:sz="0" w:space="0" w:color="auto"/>
      </w:divBdr>
    </w:div>
    <w:div w:id="684404924">
      <w:bodyDiv w:val="1"/>
      <w:marLeft w:val="0"/>
      <w:marRight w:val="0"/>
      <w:marTop w:val="0"/>
      <w:marBottom w:val="0"/>
      <w:divBdr>
        <w:top w:val="none" w:sz="0" w:space="0" w:color="auto"/>
        <w:left w:val="none" w:sz="0" w:space="0" w:color="auto"/>
        <w:bottom w:val="none" w:sz="0" w:space="0" w:color="auto"/>
        <w:right w:val="none" w:sz="0" w:space="0" w:color="auto"/>
      </w:divBdr>
    </w:div>
    <w:div w:id="855772137">
      <w:bodyDiv w:val="1"/>
      <w:marLeft w:val="0"/>
      <w:marRight w:val="0"/>
      <w:marTop w:val="0"/>
      <w:marBottom w:val="0"/>
      <w:divBdr>
        <w:top w:val="none" w:sz="0" w:space="0" w:color="auto"/>
        <w:left w:val="none" w:sz="0" w:space="0" w:color="auto"/>
        <w:bottom w:val="none" w:sz="0" w:space="0" w:color="auto"/>
        <w:right w:val="none" w:sz="0" w:space="0" w:color="auto"/>
      </w:divBdr>
    </w:div>
    <w:div w:id="901910588">
      <w:bodyDiv w:val="1"/>
      <w:marLeft w:val="0"/>
      <w:marRight w:val="0"/>
      <w:marTop w:val="0"/>
      <w:marBottom w:val="0"/>
      <w:divBdr>
        <w:top w:val="none" w:sz="0" w:space="0" w:color="auto"/>
        <w:left w:val="none" w:sz="0" w:space="0" w:color="auto"/>
        <w:bottom w:val="none" w:sz="0" w:space="0" w:color="auto"/>
        <w:right w:val="none" w:sz="0" w:space="0" w:color="auto"/>
      </w:divBdr>
    </w:div>
    <w:div w:id="969825675">
      <w:bodyDiv w:val="1"/>
      <w:marLeft w:val="0"/>
      <w:marRight w:val="0"/>
      <w:marTop w:val="0"/>
      <w:marBottom w:val="0"/>
      <w:divBdr>
        <w:top w:val="none" w:sz="0" w:space="0" w:color="auto"/>
        <w:left w:val="none" w:sz="0" w:space="0" w:color="auto"/>
        <w:bottom w:val="none" w:sz="0" w:space="0" w:color="auto"/>
        <w:right w:val="none" w:sz="0" w:space="0" w:color="auto"/>
      </w:divBdr>
    </w:div>
    <w:div w:id="990865892">
      <w:bodyDiv w:val="1"/>
      <w:marLeft w:val="0"/>
      <w:marRight w:val="0"/>
      <w:marTop w:val="0"/>
      <w:marBottom w:val="0"/>
      <w:divBdr>
        <w:top w:val="none" w:sz="0" w:space="0" w:color="auto"/>
        <w:left w:val="none" w:sz="0" w:space="0" w:color="auto"/>
        <w:bottom w:val="none" w:sz="0" w:space="0" w:color="auto"/>
        <w:right w:val="none" w:sz="0" w:space="0" w:color="auto"/>
      </w:divBdr>
    </w:div>
    <w:div w:id="991299113">
      <w:bodyDiv w:val="1"/>
      <w:marLeft w:val="0"/>
      <w:marRight w:val="0"/>
      <w:marTop w:val="0"/>
      <w:marBottom w:val="0"/>
      <w:divBdr>
        <w:top w:val="none" w:sz="0" w:space="0" w:color="auto"/>
        <w:left w:val="none" w:sz="0" w:space="0" w:color="auto"/>
        <w:bottom w:val="none" w:sz="0" w:space="0" w:color="auto"/>
        <w:right w:val="none" w:sz="0" w:space="0" w:color="auto"/>
      </w:divBdr>
    </w:div>
    <w:div w:id="1080249696">
      <w:bodyDiv w:val="1"/>
      <w:marLeft w:val="0"/>
      <w:marRight w:val="0"/>
      <w:marTop w:val="0"/>
      <w:marBottom w:val="0"/>
      <w:divBdr>
        <w:top w:val="none" w:sz="0" w:space="0" w:color="auto"/>
        <w:left w:val="none" w:sz="0" w:space="0" w:color="auto"/>
        <w:bottom w:val="none" w:sz="0" w:space="0" w:color="auto"/>
        <w:right w:val="none" w:sz="0" w:space="0" w:color="auto"/>
      </w:divBdr>
    </w:div>
    <w:div w:id="1092051145">
      <w:bodyDiv w:val="1"/>
      <w:marLeft w:val="0"/>
      <w:marRight w:val="0"/>
      <w:marTop w:val="0"/>
      <w:marBottom w:val="0"/>
      <w:divBdr>
        <w:top w:val="none" w:sz="0" w:space="0" w:color="auto"/>
        <w:left w:val="none" w:sz="0" w:space="0" w:color="auto"/>
        <w:bottom w:val="none" w:sz="0" w:space="0" w:color="auto"/>
        <w:right w:val="none" w:sz="0" w:space="0" w:color="auto"/>
      </w:divBdr>
    </w:div>
    <w:div w:id="1156922010">
      <w:bodyDiv w:val="1"/>
      <w:marLeft w:val="0"/>
      <w:marRight w:val="0"/>
      <w:marTop w:val="0"/>
      <w:marBottom w:val="0"/>
      <w:divBdr>
        <w:top w:val="none" w:sz="0" w:space="0" w:color="auto"/>
        <w:left w:val="none" w:sz="0" w:space="0" w:color="auto"/>
        <w:bottom w:val="none" w:sz="0" w:space="0" w:color="auto"/>
        <w:right w:val="none" w:sz="0" w:space="0" w:color="auto"/>
      </w:divBdr>
    </w:div>
    <w:div w:id="1269195738">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337735261">
      <w:bodyDiv w:val="1"/>
      <w:marLeft w:val="0"/>
      <w:marRight w:val="0"/>
      <w:marTop w:val="0"/>
      <w:marBottom w:val="0"/>
      <w:divBdr>
        <w:top w:val="none" w:sz="0" w:space="0" w:color="auto"/>
        <w:left w:val="none" w:sz="0" w:space="0" w:color="auto"/>
        <w:bottom w:val="none" w:sz="0" w:space="0" w:color="auto"/>
        <w:right w:val="none" w:sz="0" w:space="0" w:color="auto"/>
      </w:divBdr>
    </w:div>
    <w:div w:id="1350335239">
      <w:bodyDiv w:val="1"/>
      <w:marLeft w:val="0"/>
      <w:marRight w:val="0"/>
      <w:marTop w:val="0"/>
      <w:marBottom w:val="0"/>
      <w:divBdr>
        <w:top w:val="none" w:sz="0" w:space="0" w:color="auto"/>
        <w:left w:val="none" w:sz="0" w:space="0" w:color="auto"/>
        <w:bottom w:val="none" w:sz="0" w:space="0" w:color="auto"/>
        <w:right w:val="none" w:sz="0" w:space="0" w:color="auto"/>
      </w:divBdr>
    </w:div>
    <w:div w:id="1356351216">
      <w:bodyDiv w:val="1"/>
      <w:marLeft w:val="0"/>
      <w:marRight w:val="0"/>
      <w:marTop w:val="0"/>
      <w:marBottom w:val="0"/>
      <w:divBdr>
        <w:top w:val="none" w:sz="0" w:space="0" w:color="auto"/>
        <w:left w:val="none" w:sz="0" w:space="0" w:color="auto"/>
        <w:bottom w:val="none" w:sz="0" w:space="0" w:color="auto"/>
        <w:right w:val="none" w:sz="0" w:space="0" w:color="auto"/>
      </w:divBdr>
    </w:div>
    <w:div w:id="1367486472">
      <w:bodyDiv w:val="1"/>
      <w:marLeft w:val="0"/>
      <w:marRight w:val="0"/>
      <w:marTop w:val="0"/>
      <w:marBottom w:val="0"/>
      <w:divBdr>
        <w:top w:val="none" w:sz="0" w:space="0" w:color="auto"/>
        <w:left w:val="none" w:sz="0" w:space="0" w:color="auto"/>
        <w:bottom w:val="none" w:sz="0" w:space="0" w:color="auto"/>
        <w:right w:val="none" w:sz="0" w:space="0" w:color="auto"/>
      </w:divBdr>
    </w:div>
    <w:div w:id="1390415999">
      <w:bodyDiv w:val="1"/>
      <w:marLeft w:val="0"/>
      <w:marRight w:val="0"/>
      <w:marTop w:val="0"/>
      <w:marBottom w:val="0"/>
      <w:divBdr>
        <w:top w:val="none" w:sz="0" w:space="0" w:color="auto"/>
        <w:left w:val="none" w:sz="0" w:space="0" w:color="auto"/>
        <w:bottom w:val="none" w:sz="0" w:space="0" w:color="auto"/>
        <w:right w:val="none" w:sz="0" w:space="0" w:color="auto"/>
      </w:divBdr>
    </w:div>
    <w:div w:id="1407339107">
      <w:bodyDiv w:val="1"/>
      <w:marLeft w:val="0"/>
      <w:marRight w:val="0"/>
      <w:marTop w:val="0"/>
      <w:marBottom w:val="0"/>
      <w:divBdr>
        <w:top w:val="none" w:sz="0" w:space="0" w:color="auto"/>
        <w:left w:val="none" w:sz="0" w:space="0" w:color="auto"/>
        <w:bottom w:val="none" w:sz="0" w:space="0" w:color="auto"/>
        <w:right w:val="none" w:sz="0" w:space="0" w:color="auto"/>
      </w:divBdr>
    </w:div>
    <w:div w:id="1423061380">
      <w:bodyDiv w:val="1"/>
      <w:marLeft w:val="0"/>
      <w:marRight w:val="0"/>
      <w:marTop w:val="0"/>
      <w:marBottom w:val="0"/>
      <w:divBdr>
        <w:top w:val="none" w:sz="0" w:space="0" w:color="auto"/>
        <w:left w:val="none" w:sz="0" w:space="0" w:color="auto"/>
        <w:bottom w:val="none" w:sz="0" w:space="0" w:color="auto"/>
        <w:right w:val="none" w:sz="0" w:space="0" w:color="auto"/>
      </w:divBdr>
    </w:div>
    <w:div w:id="1425153666">
      <w:bodyDiv w:val="1"/>
      <w:marLeft w:val="0"/>
      <w:marRight w:val="0"/>
      <w:marTop w:val="0"/>
      <w:marBottom w:val="0"/>
      <w:divBdr>
        <w:top w:val="none" w:sz="0" w:space="0" w:color="auto"/>
        <w:left w:val="none" w:sz="0" w:space="0" w:color="auto"/>
        <w:bottom w:val="none" w:sz="0" w:space="0" w:color="auto"/>
        <w:right w:val="none" w:sz="0" w:space="0" w:color="auto"/>
      </w:divBdr>
    </w:div>
    <w:div w:id="1434470401">
      <w:bodyDiv w:val="1"/>
      <w:marLeft w:val="0"/>
      <w:marRight w:val="0"/>
      <w:marTop w:val="0"/>
      <w:marBottom w:val="0"/>
      <w:divBdr>
        <w:top w:val="none" w:sz="0" w:space="0" w:color="auto"/>
        <w:left w:val="none" w:sz="0" w:space="0" w:color="auto"/>
        <w:bottom w:val="none" w:sz="0" w:space="0" w:color="auto"/>
        <w:right w:val="none" w:sz="0" w:space="0" w:color="auto"/>
      </w:divBdr>
    </w:div>
    <w:div w:id="1503550542">
      <w:bodyDiv w:val="1"/>
      <w:marLeft w:val="0"/>
      <w:marRight w:val="0"/>
      <w:marTop w:val="0"/>
      <w:marBottom w:val="0"/>
      <w:divBdr>
        <w:top w:val="none" w:sz="0" w:space="0" w:color="auto"/>
        <w:left w:val="none" w:sz="0" w:space="0" w:color="auto"/>
        <w:bottom w:val="none" w:sz="0" w:space="0" w:color="auto"/>
        <w:right w:val="none" w:sz="0" w:space="0" w:color="auto"/>
      </w:divBdr>
    </w:div>
    <w:div w:id="1548376118">
      <w:bodyDiv w:val="1"/>
      <w:marLeft w:val="0"/>
      <w:marRight w:val="0"/>
      <w:marTop w:val="0"/>
      <w:marBottom w:val="0"/>
      <w:divBdr>
        <w:top w:val="none" w:sz="0" w:space="0" w:color="auto"/>
        <w:left w:val="none" w:sz="0" w:space="0" w:color="auto"/>
        <w:bottom w:val="none" w:sz="0" w:space="0" w:color="auto"/>
        <w:right w:val="none" w:sz="0" w:space="0" w:color="auto"/>
      </w:divBdr>
    </w:div>
    <w:div w:id="1553955549">
      <w:bodyDiv w:val="1"/>
      <w:marLeft w:val="0"/>
      <w:marRight w:val="0"/>
      <w:marTop w:val="0"/>
      <w:marBottom w:val="0"/>
      <w:divBdr>
        <w:top w:val="none" w:sz="0" w:space="0" w:color="auto"/>
        <w:left w:val="none" w:sz="0" w:space="0" w:color="auto"/>
        <w:bottom w:val="none" w:sz="0" w:space="0" w:color="auto"/>
        <w:right w:val="none" w:sz="0" w:space="0" w:color="auto"/>
      </w:divBdr>
    </w:div>
    <w:div w:id="1559239628">
      <w:bodyDiv w:val="1"/>
      <w:marLeft w:val="0"/>
      <w:marRight w:val="0"/>
      <w:marTop w:val="0"/>
      <w:marBottom w:val="0"/>
      <w:divBdr>
        <w:top w:val="none" w:sz="0" w:space="0" w:color="auto"/>
        <w:left w:val="none" w:sz="0" w:space="0" w:color="auto"/>
        <w:bottom w:val="none" w:sz="0" w:space="0" w:color="auto"/>
        <w:right w:val="none" w:sz="0" w:space="0" w:color="auto"/>
      </w:divBdr>
    </w:div>
    <w:div w:id="1560674708">
      <w:bodyDiv w:val="1"/>
      <w:marLeft w:val="0"/>
      <w:marRight w:val="0"/>
      <w:marTop w:val="0"/>
      <w:marBottom w:val="0"/>
      <w:divBdr>
        <w:top w:val="none" w:sz="0" w:space="0" w:color="auto"/>
        <w:left w:val="none" w:sz="0" w:space="0" w:color="auto"/>
        <w:bottom w:val="none" w:sz="0" w:space="0" w:color="auto"/>
        <w:right w:val="none" w:sz="0" w:space="0" w:color="auto"/>
      </w:divBdr>
    </w:div>
    <w:div w:id="1593859332">
      <w:bodyDiv w:val="1"/>
      <w:marLeft w:val="0"/>
      <w:marRight w:val="0"/>
      <w:marTop w:val="0"/>
      <w:marBottom w:val="0"/>
      <w:divBdr>
        <w:top w:val="none" w:sz="0" w:space="0" w:color="auto"/>
        <w:left w:val="none" w:sz="0" w:space="0" w:color="auto"/>
        <w:bottom w:val="none" w:sz="0" w:space="0" w:color="auto"/>
        <w:right w:val="none" w:sz="0" w:space="0" w:color="auto"/>
      </w:divBdr>
    </w:div>
    <w:div w:id="1661033355">
      <w:bodyDiv w:val="1"/>
      <w:marLeft w:val="0"/>
      <w:marRight w:val="0"/>
      <w:marTop w:val="0"/>
      <w:marBottom w:val="0"/>
      <w:divBdr>
        <w:top w:val="none" w:sz="0" w:space="0" w:color="auto"/>
        <w:left w:val="none" w:sz="0" w:space="0" w:color="auto"/>
        <w:bottom w:val="none" w:sz="0" w:space="0" w:color="auto"/>
        <w:right w:val="none" w:sz="0" w:space="0" w:color="auto"/>
      </w:divBdr>
    </w:div>
    <w:div w:id="1677878466">
      <w:bodyDiv w:val="1"/>
      <w:marLeft w:val="0"/>
      <w:marRight w:val="0"/>
      <w:marTop w:val="0"/>
      <w:marBottom w:val="0"/>
      <w:divBdr>
        <w:top w:val="none" w:sz="0" w:space="0" w:color="auto"/>
        <w:left w:val="none" w:sz="0" w:space="0" w:color="auto"/>
        <w:bottom w:val="none" w:sz="0" w:space="0" w:color="auto"/>
        <w:right w:val="none" w:sz="0" w:space="0" w:color="auto"/>
      </w:divBdr>
    </w:div>
    <w:div w:id="1678540575">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 w:id="1891109127">
      <w:bodyDiv w:val="1"/>
      <w:marLeft w:val="0"/>
      <w:marRight w:val="0"/>
      <w:marTop w:val="0"/>
      <w:marBottom w:val="0"/>
      <w:divBdr>
        <w:top w:val="none" w:sz="0" w:space="0" w:color="auto"/>
        <w:left w:val="none" w:sz="0" w:space="0" w:color="auto"/>
        <w:bottom w:val="none" w:sz="0" w:space="0" w:color="auto"/>
        <w:right w:val="none" w:sz="0" w:space="0" w:color="auto"/>
      </w:divBdr>
    </w:div>
    <w:div w:id="1971090968">
      <w:bodyDiv w:val="1"/>
      <w:marLeft w:val="0"/>
      <w:marRight w:val="0"/>
      <w:marTop w:val="0"/>
      <w:marBottom w:val="0"/>
      <w:divBdr>
        <w:top w:val="none" w:sz="0" w:space="0" w:color="auto"/>
        <w:left w:val="none" w:sz="0" w:space="0" w:color="auto"/>
        <w:bottom w:val="none" w:sz="0" w:space="0" w:color="auto"/>
        <w:right w:val="none" w:sz="0" w:space="0" w:color="auto"/>
      </w:divBdr>
    </w:div>
    <w:div w:id="20583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ndocs.org/ECE/TRANS/WP.29/2020/1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350C-ACF6-46AA-A0CC-CE0BF3F9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924</Words>
  <Characters>7144</Characters>
  <Application>Microsoft Office Word</Application>
  <DocSecurity>0</DocSecurity>
  <Lines>324</Lines>
  <Paragraphs>139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BRASSART Odile (GROW)</dc:creator>
  <cp:lastModifiedBy>DIGIT/C6</cp:lastModifiedBy>
  <cp:revision>9</cp:revision>
  <cp:lastPrinted>2019-09-12T14:28:00Z</cp:lastPrinted>
  <dcterms:created xsi:type="dcterms:W3CDTF">2020-10-08T13:25:00Z</dcterms:created>
  <dcterms:modified xsi:type="dcterms:W3CDTF">2020-10-13T08:48:00Z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