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77A0023-8108-47A6-8B27-34233941343F" style="width:450.8pt;height:349.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before="0" w:after="360"/>
        <w:rPr>
          <w:noProof/>
          <w:szCs w:val="24"/>
        </w:rPr>
      </w:pPr>
      <w:bookmarkStart w:id="1" w:name="_GoBack"/>
      <w:bookmarkEnd w:id="1"/>
      <w:r>
        <w:rPr>
          <w:noProof/>
        </w:rPr>
        <w:lastRenderedPageBreak/>
        <w:t>1.</w:t>
      </w:r>
      <w:r>
        <w:rPr>
          <w:noProof/>
        </w:rPr>
        <w:tab/>
        <w:t>A VIA PARA A OBTENÇÃO DE VACINAS SEGURAS CONTRA A COVID-19</w:t>
      </w:r>
    </w:p>
    <w:p>
      <w:pPr>
        <w:jc w:val="both"/>
        <w:rPr>
          <w:rFonts w:ascii="Times New Roman" w:hAnsi="Times New Roman" w:cs="Times New Roman"/>
          <w:b/>
          <w:noProof/>
          <w:sz w:val="24"/>
          <w:szCs w:val="24"/>
        </w:rPr>
      </w:pPr>
      <w:r>
        <w:rPr>
          <w:rFonts w:ascii="Times New Roman" w:hAnsi="Times New Roman"/>
          <w:noProof/>
          <w:sz w:val="24"/>
          <w:szCs w:val="24"/>
        </w:rPr>
        <w:t xml:space="preserve">A crise do coronavírus transformou radicalmente a forma como vivemos, como interagimos uns com os outros, como utilizamos os espaços públicos e como trabalhamos. A nossa vida foi afetada em todos os aspetos. A </w:t>
      </w:r>
      <w:r>
        <w:rPr>
          <w:rFonts w:ascii="Times New Roman" w:hAnsi="Times New Roman"/>
          <w:b/>
          <w:noProof/>
          <w:sz w:val="24"/>
          <w:szCs w:val="24"/>
        </w:rPr>
        <w:t>Europa registou enormes progressos no sentido da superação da pandemia de coronavírus</w:t>
      </w:r>
      <w:r>
        <w:rPr>
          <w:rFonts w:ascii="Times New Roman" w:hAnsi="Times New Roman"/>
          <w:noProof/>
          <w:sz w:val="24"/>
          <w:szCs w:val="24"/>
        </w:rPr>
        <w:t>, da salvaguarda do mercado interno e da oferta de soluções transfronteiriças.</w:t>
      </w:r>
    </w:p>
    <w:p>
      <w:pPr>
        <w:jc w:val="both"/>
        <w:rPr>
          <w:rFonts w:ascii="Times New Roman" w:hAnsi="Times New Roman" w:cs="Times New Roman"/>
          <w:noProof/>
          <w:sz w:val="24"/>
          <w:szCs w:val="24"/>
        </w:rPr>
      </w:pPr>
      <w:r>
        <w:rPr>
          <w:rFonts w:ascii="Times New Roman" w:hAnsi="Times New Roman"/>
          <w:b/>
          <w:noProof/>
          <w:sz w:val="24"/>
          <w:szCs w:val="24"/>
        </w:rPr>
        <w:t>Mas este não é o momento para baixar a guarda.</w:t>
      </w:r>
      <w:r>
        <w:rPr>
          <w:rFonts w:ascii="Times New Roman" w:hAnsi="Times New Roman"/>
          <w:noProof/>
          <w:sz w:val="24"/>
          <w:szCs w:val="24"/>
        </w:rPr>
        <w:t xml:space="preserve"> </w:t>
      </w:r>
      <w:r>
        <w:rPr>
          <w:rFonts w:ascii="Times New Roman" w:hAnsi="Times New Roman"/>
          <w:noProof/>
          <w:sz w:val="24"/>
        </w:rPr>
        <w:t>Após um período com taxas de transmissão mais baixas, durante o qual os países puderam começar a levantar as medidas de saúde pública postas em prática, as taxas de infeção têm vindo a aumentar em toda a UE desde agosto</w:t>
      </w:r>
      <w:r>
        <w:rPr>
          <w:rStyle w:val="FootnoteReference"/>
          <w:rFonts w:ascii="Times New Roman" w:hAnsi="Times New Roman" w:cs="Times New Roman"/>
          <w:noProof/>
          <w:sz w:val="24"/>
          <w:szCs w:val="24"/>
        </w:rPr>
        <w:footnoteReference w:id="2"/>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Embora a subida do número de casos estivesse inicialmente correlacionada com o aumento das taxas de testagem nos países e com a transmissão entre os jovens sem sintomas ou com sintomas ligeiros, </w:t>
      </w:r>
      <w:r>
        <w:rPr>
          <w:rFonts w:ascii="Times New Roman" w:hAnsi="Times New Roman"/>
          <w:b/>
          <w:noProof/>
          <w:sz w:val="24"/>
        </w:rPr>
        <w:t>na maioria dos países da UE observa-se agora um aumento preocupante da taxa de infeções</w:t>
      </w:r>
      <w:r>
        <w:rPr>
          <w:rFonts w:ascii="Times New Roman" w:hAnsi="Times New Roman"/>
          <w:noProof/>
          <w:sz w:val="24"/>
        </w:rPr>
        <w:t xml:space="preserve"> em toda a população, bem como um crescimento das hospitalizações, dos casos graves e das vítimas mortais.</w:t>
      </w:r>
      <w:r>
        <w:rPr>
          <w:rFonts w:ascii="Times New Roman" w:hAnsi="Times New Roman"/>
          <w:noProof/>
          <w:sz w:val="24"/>
          <w:szCs w:val="24"/>
        </w:rPr>
        <w:t xml:space="preserve"> À medida que o número de casos de COVID-19 aumenta acentuadamente em partes da Europa, em grande medida entre os adultos jovens, as autoridades de saúde de muitos Estados-Membros têm apelado a todos os cidadãos, e especialmente aos </w:t>
      </w:r>
      <w:r>
        <w:rPr>
          <w:rFonts w:ascii="Times New Roman" w:hAnsi="Times New Roman"/>
          <w:b/>
          <w:noProof/>
          <w:sz w:val="24"/>
          <w:szCs w:val="24"/>
        </w:rPr>
        <w:t>jovens, para que façam mais para travar a propagação do vírus</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No dia 11 de outubro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tinham sido comunicados mais de quatro milhões de casos de COVID-19 na UE/EEE e no Reino Unido. Além disso, quase todos os países desta zona estão a registar níveis elevados ou aumentos sustentados das suas taxas de notificação de casos de COVID-19 em períodos de 14 dias. Mais de metade dos países registam níveis elevados ou um aumento sustentado entre as pessoas com mais de 65 anos de idade, e as taxas de ocupação dos hospitais e das unidades de cuidados intensivos e/ou de novos internamentos devido à COVID-19 são elevadas ou estão a aumentar em metade dos países. A taxa de mortalidade em 14 dias está a aumentar há mais de duas semanas, tendo quase metade dos países registado níveis elevados ou aumentos sustentados.</w:t>
      </w:r>
    </w:p>
    <w:p>
      <w:pPr>
        <w:jc w:val="both"/>
        <w:rPr>
          <w:rFonts w:ascii="Times New Roman" w:hAnsi="Times New Roman" w:cs="Times New Roman"/>
          <w:noProof/>
          <w:sz w:val="24"/>
          <w:szCs w:val="24"/>
        </w:rPr>
      </w:pPr>
      <w:r>
        <w:rPr>
          <w:rFonts w:ascii="Times New Roman" w:hAnsi="Times New Roman"/>
          <w:noProof/>
          <w:sz w:val="24"/>
        </w:rPr>
        <w:t xml:space="preserve">Embora as </w:t>
      </w:r>
      <w:r>
        <w:rPr>
          <w:rFonts w:ascii="Times New Roman" w:hAnsi="Times New Roman"/>
          <w:b/>
          <w:noProof/>
          <w:sz w:val="24"/>
        </w:rPr>
        <w:t>intervenções não farmacêuticas</w:t>
      </w:r>
      <w:r>
        <w:rPr>
          <w:rStyle w:val="FootnoteReference"/>
          <w:rFonts w:ascii="Times New Roman" w:hAnsi="Times New Roman"/>
          <w:b/>
          <w:noProof/>
          <w:sz w:val="24"/>
        </w:rPr>
        <w:footnoteReference w:id="4"/>
      </w:r>
      <w:r>
        <w:rPr>
          <w:rFonts w:ascii="Times New Roman" w:hAnsi="Times New Roman"/>
          <w:b/>
          <w:noProof/>
          <w:sz w:val="24"/>
        </w:rPr>
        <w:t xml:space="preserve"> sejam cruciais para abrandar a propagação do coronavírus</w:t>
      </w:r>
      <w:r>
        <w:rPr>
          <w:rFonts w:ascii="Times New Roman" w:hAnsi="Times New Roman"/>
          <w:noProof/>
          <w:sz w:val="24"/>
        </w:rPr>
        <w:t>, não permitem controlá-la de forma sustentável.</w:t>
      </w:r>
      <w:r>
        <w:rPr>
          <w:rFonts w:ascii="Times New Roman" w:hAnsi="Times New Roman"/>
          <w:noProof/>
          <w:sz w:val="24"/>
          <w:szCs w:val="24"/>
        </w:rPr>
        <w:t xml:space="preserve"> Os limites práticos de tais medidas ficaram demonstrados, visto que os cidadãos sentem agora uma «fadiga» da pandemia e estão cansados de tomar as medidas de precaução necessárias, incluindo o distanciamento físico e a redução das interações sociais. </w:t>
      </w:r>
      <w:r>
        <w:rPr>
          <w:rFonts w:ascii="Times New Roman" w:hAnsi="Times New Roman"/>
          <w:noProof/>
          <w:sz w:val="24"/>
        </w:rPr>
        <w:t>Mesmo assim, estas medidas excecionais salvaram vidas humanas e continuam a ser necessárias.</w:t>
      </w:r>
      <w:r>
        <w:rPr>
          <w:rFonts w:ascii="Times New Roman" w:hAnsi="Times New Roman"/>
          <w:noProof/>
          <w:sz w:val="24"/>
          <w:szCs w:val="24"/>
        </w:rPr>
        <w:t xml:space="preserve"> </w:t>
      </w:r>
      <w:r>
        <w:rPr>
          <w:rFonts w:ascii="Times New Roman" w:hAnsi="Times New Roman"/>
          <w:noProof/>
          <w:sz w:val="24"/>
        </w:rPr>
        <w:t>Como o sublinhou a presidente Ursula von der Leyen no seu discurso sobre o estado da União de 2020</w:t>
      </w:r>
      <w:r>
        <w:rPr>
          <w:rStyle w:val="FootnoteReference"/>
          <w:rFonts w:ascii="Times New Roman" w:hAnsi="Times New Roman" w:cs="Times New Roman"/>
          <w:noProof/>
          <w:sz w:val="24"/>
        </w:rPr>
        <w:footnoteReference w:id="5"/>
      </w:r>
      <w:r>
        <w:rPr>
          <w:rFonts w:ascii="Times New Roman" w:hAnsi="Times New Roman"/>
          <w:noProof/>
          <w:sz w:val="24"/>
        </w:rPr>
        <w:t xml:space="preserve">, </w:t>
      </w:r>
      <w:r>
        <w:rPr>
          <w:rFonts w:ascii="Times New Roman" w:hAnsi="Times New Roman"/>
          <w:b/>
          <w:noProof/>
          <w:sz w:val="24"/>
        </w:rPr>
        <w:t>a Europa tem de continuar a lidar com a pandemia de COVID-19 com extremo cuidado, responsabilidade e unidade</w:t>
      </w:r>
      <w:r>
        <w:rPr>
          <w:rFonts w:ascii="Times New Roman" w:hAnsi="Times New Roman"/>
          <w:noProof/>
          <w:sz w:val="24"/>
        </w:rPr>
        <w:t xml:space="preserve"> e deve utilizar os ensinamentos obtidos para reforçar as capacidades da UE em termos de preparação para situações de crise e de gestão das ameaças transfronteiriças para a saúde.</w:t>
      </w:r>
    </w:p>
    <w:p>
      <w:pPr>
        <w:jc w:val="both"/>
        <w:rPr>
          <w:rFonts w:ascii="Times New Roman" w:hAnsi="Times New Roman" w:cs="Times New Roman"/>
          <w:noProof/>
          <w:sz w:val="24"/>
          <w:szCs w:val="24"/>
        </w:rPr>
      </w:pPr>
      <w:r>
        <w:rPr>
          <w:rFonts w:ascii="Times New Roman" w:hAnsi="Times New Roman"/>
          <w:noProof/>
          <w:sz w:val="24"/>
          <w:szCs w:val="24"/>
        </w:rPr>
        <w:t>O desenvolvimento e a rápida disponibilização a nível mundial de vacinas seguras e eficazes contra a COVID-19 continuam a ser elementos essenciais para a gestão da crise de saúde pública e para a sua resolução</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
          <w:noProof/>
          <w:sz w:val="24"/>
          <w:szCs w:val="24"/>
        </w:rPr>
        <w:t>A vacinação, assim que estiver disponível uma vacina segura e eficaz, desempenhará um papel central no salvamento de vidas</w:t>
      </w:r>
      <w:r>
        <w:rPr>
          <w:rFonts w:ascii="Times New Roman" w:hAnsi="Times New Roman"/>
          <w:noProof/>
          <w:sz w:val="24"/>
          <w:szCs w:val="24"/>
        </w:rPr>
        <w:t xml:space="preserve">, na contenção da pandemia, na proteção dos sistemas de saúde e no restabelecimento da nossa economia. Embora o desenvolvimento de uma vacina seja altamente complexo e demore geralmente cerca de 10 anos, estão a ser envidados esforços para o conseguir num prazo de 12 a 18 meses, se não mais cedo, sem comprometer a segurança, a qualidade ou a eficácia. </w:t>
      </w:r>
      <w:r>
        <w:rPr>
          <w:rFonts w:ascii="Times New Roman" w:hAnsi="Times New Roman"/>
          <w:b/>
          <w:noProof/>
          <w:sz w:val="24"/>
        </w:rPr>
        <w:t>Garantir que é disponibilizada uma vacina segura a todos os europeus continua a ser uma das principais prioridades da Comissão Europeia.</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rPr>
        <w:t>À medida que a Europa aprende a viver com a pandemia, é fundamental que os Estados-Membros sigam uma estratégia comum para a disponibilização das vacinas</w:t>
      </w:r>
      <w:r>
        <w:rPr>
          <w:rFonts w:ascii="Times New Roman" w:hAnsi="Times New Roman"/>
          <w:noProof/>
          <w:sz w:val="24"/>
        </w:rPr>
        <w:t xml:space="preserve"> e que apliquem medidas não farmacêuticas, proporcionadas e assentes em evidências científicas, para limitar as taxas de infeção a níveis que possam ser geridos.</w:t>
      </w:r>
      <w:r>
        <w:rPr>
          <w:rFonts w:ascii="Times New Roman" w:hAnsi="Times New Roman"/>
          <w:noProof/>
          <w:sz w:val="24"/>
          <w:szCs w:val="24"/>
        </w:rPr>
        <w:t xml:space="preserve"> Ambas as vias devem ser adaptadas às necessidades locais e regionais. Ao mesmo tempo, é necessária uma coordenação a nível da UE para harmonizar os nossos esforços, garantir e demonstrar solidariedade e assegurar da melhor forma o pleno funcionamento do mercado interno, uma boa gestão da saúde pública no que respeita à COVID-19 e não só, bem como a proteção de todos os cidadãos da UE independentemente do local onde vivem. </w:t>
      </w:r>
      <w:r>
        <w:rPr>
          <w:rFonts w:ascii="Times New Roman" w:hAnsi="Times New Roman"/>
          <w:noProof/>
          <w:sz w:val="24"/>
        </w:rPr>
        <w:t>Na reunião extraordinária do Conselho Europeu de 2 de outubro, os Estados-Membros instaram o Conselho e a Comissão Europeia a intensificarem o esforço global de coordenação e o trabalho no domínio do desenvolvimento e distribuição de vacinas a nível da UE</w:t>
      </w:r>
      <w:r>
        <w:rPr>
          <w:rStyle w:val="FootnoteReference"/>
          <w:rFonts w:ascii="Times New Roman" w:hAnsi="Times New Roman" w:cs="Times New Roman"/>
          <w:noProof/>
          <w:sz w:val="24"/>
        </w:rPr>
        <w:footnoteReference w:id="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A fim de apoiar a Europa na preparação para outros potenciais surtos de COVID-19 e na contenção desses surtos, bem como para salvar vidas, salvaguardar meios de subsistência e colmatar o período até que esteja disponível uma vacina segura e eficaz para utilização generalizada, a Comissão adotou, em julho, uma comunicação sobre a preparação da UE a curto prazo no domínio da saúde</w:t>
      </w:r>
      <w:r>
        <w:rPr>
          <w:rStyle w:val="FootnoteReference"/>
          <w:rFonts w:ascii="Times New Roman" w:hAnsi="Times New Roman" w:cs="Times New Roman"/>
          <w:noProof/>
          <w:sz w:val="24"/>
        </w:rPr>
        <w:footnoteReference w:id="8"/>
      </w:r>
      <w:r>
        <w:rPr>
          <w:rFonts w:ascii="Times New Roman" w:hAnsi="Times New Roman"/>
          <w:noProof/>
          <w:sz w:val="24"/>
        </w:rPr>
        <w:t>.</w:t>
      </w:r>
      <w:r>
        <w:rPr>
          <w:rFonts w:ascii="Times New Roman" w:hAnsi="Times New Roman"/>
          <w:noProof/>
          <w:sz w:val="24"/>
          <w:szCs w:val="24"/>
        </w:rPr>
        <w:t xml:space="preserve"> Esta comunicação define medidas fundamentais em seis domínios específicos. A aplicação efetiva destas medidas exige uma coordenação e um intercâmbio de informações eficaz entre os Estados-Membros. Uma das principais ações necessárias para que a Europa supere a pandemia de coronavírus é a aceleração do desenvolvimento, fabrico e disponibilização de vacinas contra a COVID-19. </w:t>
      </w:r>
      <w:r>
        <w:rPr>
          <w:rFonts w:ascii="Times New Roman" w:hAnsi="Times New Roman"/>
          <w:b/>
          <w:noProof/>
          <w:sz w:val="24"/>
        </w:rPr>
        <w:t>A estratégia da UE para as vacinas contra a COVID-19</w:t>
      </w:r>
      <w:r>
        <w:rPr>
          <w:rStyle w:val="FootnoteReference"/>
          <w:rFonts w:ascii="Times New Roman" w:hAnsi="Times New Roman" w:cs="Times New Roman"/>
          <w:noProof/>
          <w:sz w:val="24"/>
        </w:rPr>
        <w:footnoteReference w:id="9"/>
      </w:r>
      <w:r>
        <w:rPr>
          <w:rFonts w:ascii="Times New Roman" w:hAnsi="Times New Roman"/>
          <w:b/>
          <w:noProof/>
          <w:sz w:val="24"/>
        </w:rPr>
        <w:t>, publicada em junho, traça o caminho a seguir.</w:t>
      </w:r>
      <w:r>
        <w:rPr>
          <w:rFonts w:ascii="Times New Roman" w:hAnsi="Times New Roman"/>
          <w:noProof/>
          <w:sz w:val="24"/>
          <w:szCs w:val="24"/>
        </w:rPr>
        <w:t xml:space="preserve"> As recomendações desta estratégia continuam a ser pertinentes e todos os Estados-Membros são encorajados a segui-las.</w:t>
      </w:r>
    </w:p>
    <w:p>
      <w:pPr>
        <w:jc w:val="both"/>
        <w:rPr>
          <w:rFonts w:ascii="Times New Roman" w:hAnsi="Times New Roman" w:cs="Times New Roman"/>
          <w:noProof/>
          <w:sz w:val="24"/>
          <w:szCs w:val="24"/>
        </w:rPr>
      </w:pPr>
      <w:r>
        <w:rPr>
          <w:rFonts w:ascii="Times New Roman" w:hAnsi="Times New Roman"/>
          <w:noProof/>
          <w:sz w:val="24"/>
          <w:szCs w:val="24"/>
        </w:rPr>
        <w:t>A estratégia propôs uma forma de conceder pré-financiamento aos produtores de vacinas, a fim de acelerar o desenvolvimento e o fabrico de vacinas experimentais promissoras e garantir que os Estados-Membros têm acesso a essas vacinas nas melhores condições possíveis. Neste espírito, a Comissão celebrou acordos com vários produtores de vacinas em nome dos Estados-Membros, adquirindo e/ou reservando o direito de adquirir doses de vacinas ao abrigo de acordos prévios de aquisição</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r>
        <w:rPr>
          <w:rFonts w:ascii="Times New Roman" w:hAnsi="Times New Roman"/>
          <w:noProof/>
          <w:sz w:val="24"/>
        </w:rPr>
        <w:t xml:space="preserve">À data de publicação, </w:t>
      </w:r>
      <w:r>
        <w:rPr>
          <w:rFonts w:ascii="Times New Roman" w:hAnsi="Times New Roman"/>
          <w:b/>
          <w:noProof/>
          <w:sz w:val="24"/>
        </w:rPr>
        <w:t>foram já celebrados três contratos</w:t>
      </w:r>
      <w:r>
        <w:rPr>
          <w:rStyle w:val="FootnoteReference"/>
          <w:rFonts w:ascii="Times New Roman" w:hAnsi="Times New Roman"/>
          <w:b/>
          <w:noProof/>
          <w:sz w:val="24"/>
        </w:rPr>
        <w:footnoteReference w:id="11"/>
      </w:r>
      <w:r>
        <w:rPr>
          <w:rFonts w:ascii="Times New Roman" w:hAnsi="Times New Roman"/>
          <w:noProof/>
          <w:sz w:val="24"/>
        </w:rPr>
        <w:t xml:space="preserve">, nomeadamente com a AstraZeneca, a Sanofi-GSK e a Johnson&amp;Johnson, </w:t>
      </w:r>
      <w:r>
        <w:rPr>
          <w:rFonts w:ascii="Times New Roman" w:hAnsi="Times New Roman"/>
          <w:b/>
          <w:noProof/>
          <w:sz w:val="24"/>
        </w:rPr>
        <w:t>que permitem comprar vacinas uma vez comprovada a sua segurança e eficácia</w:t>
      </w:r>
      <w:r>
        <w:rPr>
          <w:rFonts w:ascii="Times New Roman" w:hAnsi="Times New Roman"/>
          <w:noProof/>
          <w:sz w:val="24"/>
        </w:rPr>
        <w:t>.</w:t>
      </w:r>
      <w:r>
        <w:rPr>
          <w:rFonts w:ascii="Times New Roman" w:hAnsi="Times New Roman"/>
          <w:noProof/>
          <w:sz w:val="24"/>
          <w:szCs w:val="24"/>
        </w:rPr>
        <w:t xml:space="preserve"> Em outubro de 2020, a Comissão continua a debater acordos semelhantes com outros fabricantes de vacinas (CureVac, Moderna e BioNTech/Pfizer) com os quais concluiu conversações exploratórias. Os três contratos aprovados com produtores de vacinas incluem disposições que permitem aos Estados-Membros doar ou revender doses de vacinas a países terceiros, num esforço de solidariedade a nível mundial. </w:t>
      </w:r>
    </w:p>
    <w:p>
      <w:pPr>
        <w:jc w:val="both"/>
        <w:rPr>
          <w:rFonts w:ascii="Times New Roman" w:hAnsi="Times New Roman" w:cs="Times New Roman"/>
          <w:noProof/>
          <w:sz w:val="24"/>
          <w:szCs w:val="24"/>
        </w:rPr>
      </w:pPr>
      <w:r>
        <w:rPr>
          <w:rFonts w:ascii="Times New Roman" w:hAnsi="Times New Roman"/>
          <w:noProof/>
          <w:sz w:val="24"/>
          <w:szCs w:val="24"/>
        </w:rPr>
        <w:t>A Comissão garantiu, até agora, o acesso a potenciais vacinas contra a COVID-19:</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AstraZeneca</w:t>
      </w:r>
      <w:r>
        <w:rPr>
          <w:rFonts w:ascii="Times New Roman" w:hAnsi="Times New Roman"/>
          <w:noProof/>
          <w:sz w:val="24"/>
          <w:szCs w:val="24"/>
        </w:rPr>
        <w:t xml:space="preserve">: 300 milhões de doses. </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Sanofi-GSK</w:t>
      </w:r>
      <w:r>
        <w:rPr>
          <w:rFonts w:ascii="Times New Roman" w:hAnsi="Times New Roman"/>
          <w:noProof/>
          <w:sz w:val="24"/>
          <w:szCs w:val="24"/>
        </w:rPr>
        <w:t>: uma opção de compra para 300 milhões de doses.</w:t>
      </w:r>
    </w:p>
    <w:p>
      <w:pPr>
        <w:pStyle w:val="ListParagraph"/>
        <w:numPr>
          <w:ilvl w:val="0"/>
          <w:numId w:val="5"/>
        </w:numPr>
        <w:jc w:val="both"/>
        <w:rPr>
          <w:rFonts w:ascii="Times New Roman" w:hAnsi="Times New Roman" w:cs="Times New Roman"/>
          <w:noProof/>
          <w:sz w:val="24"/>
          <w:szCs w:val="24"/>
          <w:lang w:val="fr-BE"/>
        </w:rPr>
      </w:pPr>
      <w:r>
        <w:rPr>
          <w:rFonts w:ascii="Times New Roman" w:hAnsi="Times New Roman"/>
          <w:b/>
          <w:noProof/>
          <w:sz w:val="24"/>
          <w:szCs w:val="24"/>
          <w:lang w:val="fr-BE"/>
        </w:rPr>
        <w:t>Johnson &amp; Johnson</w:t>
      </w:r>
      <w:r>
        <w:rPr>
          <w:rFonts w:ascii="Times New Roman" w:hAnsi="Times New Roman"/>
          <w:noProof/>
          <w:sz w:val="24"/>
          <w:szCs w:val="24"/>
          <w:lang w:val="fr-BE"/>
        </w:rPr>
        <w:t>: 200 milhões de doses.</w:t>
      </w:r>
    </w:p>
    <w:p>
      <w:pPr>
        <w:jc w:val="both"/>
        <w:rPr>
          <w:rFonts w:ascii="Times New Roman" w:hAnsi="Times New Roman" w:cs="Times New Roman"/>
          <w:noProof/>
          <w:sz w:val="24"/>
          <w:szCs w:val="24"/>
        </w:rPr>
      </w:pPr>
      <w:r>
        <w:rPr>
          <w:rFonts w:ascii="Times New Roman" w:hAnsi="Times New Roman"/>
          <w:noProof/>
          <w:sz w:val="24"/>
          <w:szCs w:val="24"/>
        </w:rPr>
        <w:t xml:space="preserve">Atualmente, desconhece-se qual das potenciais vacinas, se é que alguma o conseguirá, poderá concluir com êxito o processo de desenvolvimento e autorização, cumprindo assim os critérios de eficácia e segurança para ser introduzida no mercado da UE. </w:t>
      </w:r>
      <w:r>
        <w:rPr>
          <w:rFonts w:ascii="Times New Roman" w:hAnsi="Times New Roman"/>
          <w:noProof/>
          <w:sz w:val="24"/>
        </w:rPr>
        <w:t xml:space="preserve">Para superar a crise, a Europa precisa de obter uma </w:t>
      </w:r>
      <w:r>
        <w:rPr>
          <w:rFonts w:ascii="Times New Roman" w:hAnsi="Times New Roman"/>
          <w:b/>
          <w:noProof/>
          <w:sz w:val="24"/>
        </w:rPr>
        <w:t>ampla carteira de vacinas experimentais</w:t>
      </w:r>
      <w:r>
        <w:rPr>
          <w:rFonts w:ascii="Times New Roman" w:hAnsi="Times New Roman"/>
          <w:noProof/>
          <w:sz w:val="24"/>
        </w:rPr>
        <w:t>, a fim de maximizar as possibilidades de rápido desenvolvimento, fabrico e disponibilização de uma vacina para todos os europeus.</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Essa carteira conterá </w:t>
      </w:r>
      <w:r>
        <w:rPr>
          <w:rFonts w:ascii="Times New Roman" w:hAnsi="Times New Roman"/>
          <w:b/>
          <w:noProof/>
          <w:sz w:val="24"/>
        </w:rPr>
        <w:t>vacinas com abordagens tecnológicas diferentes, de modo a assegurar as maiores hipóteses de encontrar uma vacina bem sucedida contra a COVID-19</w:t>
      </w:r>
      <w:r>
        <w:rPr>
          <w:rFonts w:ascii="Times New Roman" w:hAnsi="Times New Roman"/>
          <w:noProof/>
          <w:sz w:val="24"/>
        </w:rPr>
        <w:t>.</w:t>
      </w:r>
      <w:r>
        <w:rPr>
          <w:rFonts w:ascii="Times New Roman" w:hAnsi="Times New Roman"/>
          <w:noProof/>
          <w:sz w:val="24"/>
          <w:szCs w:val="24"/>
        </w:rPr>
        <w:t xml:space="preserve"> É importante que todos os Estados-Membros participem na totalidade da carteira. </w:t>
      </w:r>
      <w:r>
        <w:rPr>
          <w:rFonts w:ascii="Times New Roman" w:hAnsi="Times New Roman"/>
          <w:noProof/>
          <w:sz w:val="24"/>
        </w:rPr>
        <w:t xml:space="preserve">Os acordos prévios de aquisição contêm uma disposição sobre a distribuição equitativa das doses de vacinas entre os Estados-Membros, que assegurará que </w:t>
      </w:r>
      <w:r>
        <w:rPr>
          <w:rFonts w:ascii="Times New Roman" w:hAnsi="Times New Roman"/>
          <w:b/>
          <w:noProof/>
          <w:sz w:val="24"/>
        </w:rPr>
        <w:t>cada país recebe doses com base numa chave de repartição proporcional à população</w:t>
      </w:r>
      <w:r>
        <w:rPr>
          <w:rFonts w:ascii="Times New Roman" w:hAnsi="Times New Roman"/>
          <w:noProof/>
          <w:sz w:val="24"/>
        </w:rPr>
        <w:t>, salvo acordo em contrário entre os Estados-Membros participantes quando da execução dos contratos prévios de aquisição.</w:t>
      </w:r>
      <w:r>
        <w:rPr>
          <w:rFonts w:ascii="Times New Roman" w:hAnsi="Times New Roman"/>
          <w:noProof/>
          <w:sz w:val="24"/>
          <w:szCs w:val="24"/>
        </w:rPr>
        <w:t xml:space="preserve"> </w:t>
      </w:r>
      <w:r>
        <w:rPr>
          <w:rFonts w:ascii="Times New Roman" w:hAnsi="Times New Roman"/>
          <w:noProof/>
          <w:sz w:val="24"/>
        </w:rPr>
        <w:t>Uma carteira de vacinas mais alargada dará aos Estados-Membros as melhores possibilidades de beneficiar de vacinas eficazes e seguras nas quantidades necessárias e de forma atempada, mas tal exigirá financiamento adicional.</w:t>
      </w:r>
      <w:r>
        <w:rPr>
          <w:rFonts w:ascii="Times New Roman" w:hAnsi="Times New Roman"/>
          <w:noProof/>
          <w:sz w:val="24"/>
          <w:szCs w:val="24"/>
        </w:rPr>
        <w:t xml:space="preserve"> Por conseguinte, todos os Estados-Membros são convidados a complementar o orçamento do Instrumento de Apoio de Emergência. </w:t>
      </w:r>
    </w:p>
    <w:p>
      <w:pPr>
        <w:jc w:val="both"/>
        <w:rPr>
          <w:rFonts w:ascii="Times New Roman" w:hAnsi="Times New Roman" w:cs="Times New Roman"/>
          <w:noProof/>
          <w:sz w:val="24"/>
          <w:szCs w:val="24"/>
        </w:rPr>
      </w:pPr>
      <w:r>
        <w:rPr>
          <w:rFonts w:ascii="Times New Roman" w:hAnsi="Times New Roman"/>
          <w:noProof/>
          <w:sz w:val="24"/>
          <w:szCs w:val="24"/>
        </w:rPr>
        <w:t xml:space="preserve">A fim de preparar a União Europeia e os seus cidadãos para o momento em que estiver disponível uma vacina segura e eficaz, se tal momento chegar, a Comissão definiu os principais elementos que os Estados-Membros devem tomar em conta nas suas estratégias de vacinação contra a COVID-19, em conformidade com as competências definidas nos Tratados da UE. Estes elementos fundamentais a considerar ajudarão os Estados-Membros na identificação e no tratamento dos possíveis desafios e lacunas em matéria de disponibilização e de aceitação efetivas de uma vacina segura contra a COVID-19. A existência de estratégias de vacinação tecnicamente harmonizadas e acordadas a nível político deverá permitir uma elevada adesão às vacinas contra a COVID-19 na UE. </w:t>
      </w:r>
      <w:r>
        <w:rPr>
          <w:rFonts w:ascii="Times New Roman" w:hAnsi="Times New Roman"/>
          <w:noProof/>
          <w:sz w:val="24"/>
        </w:rPr>
        <w:t xml:space="preserve">Em especial, </w:t>
      </w:r>
      <w:r>
        <w:rPr>
          <w:rFonts w:ascii="Times New Roman" w:hAnsi="Times New Roman"/>
          <w:b/>
          <w:noProof/>
          <w:sz w:val="24"/>
        </w:rPr>
        <w:t>será fundamental assegurar uma comunicação abrangente, eficaz, coerente e transparente sobre as vacinas e a sua disponibilidade</w:t>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Além disso, a Comissão está a definir uma </w:t>
      </w:r>
      <w:r>
        <w:rPr>
          <w:rFonts w:ascii="Times New Roman" w:hAnsi="Times New Roman"/>
          <w:b/>
          <w:noProof/>
          <w:sz w:val="24"/>
          <w:szCs w:val="24"/>
        </w:rPr>
        <w:t>abordagem coordenada em matéria de distribuição de vacinas entre os Estados-Membros da UE</w:t>
      </w:r>
      <w:r>
        <w:rPr>
          <w:rFonts w:ascii="Times New Roman" w:hAnsi="Times New Roman"/>
          <w:noProof/>
          <w:sz w:val="24"/>
          <w:szCs w:val="24"/>
        </w:rPr>
        <w:t>. Uma metodologia de atribuição, acordada entre a Comissão e os Estados-Membros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garante que todos os Estados-Membros terão igual acesso às doses disponíveis com base na dimensão da sua população.</w:t>
      </w:r>
    </w:p>
    <w:p>
      <w:pPr>
        <w:jc w:val="both"/>
        <w:rPr>
          <w:rFonts w:ascii="Times New Roman" w:hAnsi="Times New Roman"/>
          <w:noProof/>
          <w:sz w:val="24"/>
        </w:rPr>
      </w:pPr>
      <w:r>
        <w:rPr>
          <w:rFonts w:ascii="Times New Roman" w:hAnsi="Times New Roman"/>
          <w:b/>
          <w:noProof/>
          <w:sz w:val="24"/>
        </w:rPr>
        <w:t>Todos os Estados-Membros terão acesso às vacinas contra a COVID-19 ao mesmo tempo</w:t>
      </w:r>
      <w:r>
        <w:rPr>
          <w:rFonts w:ascii="Times New Roman" w:hAnsi="Times New Roman"/>
          <w:noProof/>
          <w:sz w:val="24"/>
        </w:rPr>
        <w:t xml:space="preserve"> quando estas estiverem disponíveis e tiverem sido autorizadas a nível da UE.</w:t>
      </w:r>
      <w:r>
        <w:rPr>
          <w:rFonts w:ascii="Times New Roman" w:hAnsi="Times New Roman"/>
          <w:noProof/>
          <w:sz w:val="24"/>
          <w:szCs w:val="24"/>
        </w:rPr>
        <w:t xml:space="preserve"> O número total de doses de vacina será limitado durante as fases iniciais de disponibilização e antes de a produção poder ser intensificada. Entretanto, uma das principais ações a pôr em prática é a tomada de decisão sobre os grupos que devem ter acesso prioritário às vacinas.</w:t>
      </w:r>
    </w:p>
    <w:p>
      <w:pPr>
        <w:jc w:val="both"/>
        <w:rPr>
          <w:rFonts w:ascii="Times New Roman" w:hAnsi="Times New Roman" w:cs="Times New Roman"/>
          <w:noProof/>
          <w:sz w:val="24"/>
          <w:szCs w:val="24"/>
        </w:rPr>
      </w:pPr>
      <w:r>
        <w:rPr>
          <w:rFonts w:ascii="Times New Roman" w:hAnsi="Times New Roman"/>
          <w:noProof/>
          <w:sz w:val="24"/>
        </w:rPr>
        <w:t>Ao mesmo tempo que assegura a preparação da Europa, é</w:t>
      </w:r>
      <w:r>
        <w:rPr>
          <w:rFonts w:ascii="Times New Roman" w:hAnsi="Times New Roman"/>
          <w:b/>
          <w:noProof/>
          <w:sz w:val="24"/>
        </w:rPr>
        <w:t xml:space="preserve"> também uma prioridade da Comissão</w:t>
      </w:r>
      <w:r>
        <w:rPr>
          <w:rFonts w:ascii="Times New Roman" w:hAnsi="Times New Roman"/>
          <w:noProof/>
          <w:sz w:val="24"/>
        </w:rPr>
        <w:t xml:space="preserve"> apoiar o acesso equitativo a nível mundial a uma vacina segura e eficiente para todos e </w:t>
      </w:r>
      <w:r>
        <w:rPr>
          <w:rFonts w:ascii="Times New Roman" w:hAnsi="Times New Roman"/>
          <w:b/>
          <w:noProof/>
          <w:sz w:val="24"/>
        </w:rPr>
        <w:t>tornar a vacina um bem público mundial</w:t>
      </w:r>
      <w:r>
        <w:rPr>
          <w:rFonts w:ascii="Times New Roman" w:hAnsi="Times New Roman"/>
          <w:noProof/>
          <w:sz w:val="24"/>
        </w:rPr>
        <w:t>.</w:t>
      </w:r>
      <w:r>
        <w:rPr>
          <w:rFonts w:ascii="Times New Roman" w:hAnsi="Times New Roman"/>
          <w:noProof/>
          <w:sz w:val="24"/>
          <w:szCs w:val="24"/>
        </w:rPr>
        <w:t xml:space="preserve"> A estratégia da UE para as vacinas contra a COVID-19 é indissociável do empenhamento da UE na solidariedade mundial. A fim de colaborar com os parceiros internacionais tendo em vista o acesso equitativo a vacinas contra a COVID-19 universais e a preços acessíveis em qualquer lugar e para todos aqueles que delas necessitam, a Comissão confirmou, em 18 de setembro, a sua participação no mecanismo mundial COVAX, que visa acelerar o desenvolvimento, o fabrico e a disponibilização de vacinas contra a COVID-19 e garantir um acesso justo e equitativo às mesmas a nível mundial</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A Comissão, em colaboração com os seus Estados-Membros, o mecanismo COVAX, a GAVI e a Organização Mundial da Saúde, facilitará o acesso atempado às vacinas e a capacidade de as autorizar e disponibilizar de forma eficaz aos países parceiros em todo o mundo. A Comissão angariou também cerca de 16 mil milhões de euros, desde maio de 2020, no âmbito da Resposta Mundial ao Coronavírus, a ação mundial para o acesso universal a testes, tratamentos e vacinas contra o coronavírus e para a recuperação mundial. Até agora, contribuiu com 400 milhões de EUR especificamente para o mecanismo COVAX. Como parte da resposta da UE a nível mundial ao surto de coronavírus, a ponte aérea humanitária da UE pode ajudar a levar vacinas e outro equipamento médico às populações mais vulneráveis do mundo.</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2.</w:t>
      </w:r>
      <w:r>
        <w:rPr>
          <w:noProof/>
        </w:rPr>
        <w:tab/>
        <w:t xml:space="preserve">IMPORTÂNCIA DA SEGURANÇA E EFICÁCIA DAS VACINAS CONTRA A COVID-19 </w:t>
      </w:r>
    </w:p>
    <w:p>
      <w:pPr>
        <w:jc w:val="both"/>
        <w:rPr>
          <w:rFonts w:ascii="Times New Roman" w:hAnsi="Times New Roman" w:cs="Times New Roman"/>
          <w:noProof/>
          <w:sz w:val="24"/>
          <w:szCs w:val="24"/>
        </w:rPr>
      </w:pPr>
      <w:r>
        <w:rPr>
          <w:rFonts w:ascii="Times New Roman" w:hAnsi="Times New Roman"/>
          <w:noProof/>
          <w:sz w:val="24"/>
        </w:rPr>
        <w:t xml:space="preserve">Embora a urgência de uma vacina contra a COVID-19 esteja a aumentar dia após dia, e os peritos e </w:t>
      </w:r>
      <w:r>
        <w:rPr>
          <w:rFonts w:ascii="Times New Roman" w:hAnsi="Times New Roman"/>
          <w:b/>
          <w:noProof/>
          <w:sz w:val="24"/>
        </w:rPr>
        <w:t>cientistas em todo o mundo estejam a trabalhar em contrarrelógio para a obtenção de vacinas eficazes</w:t>
      </w:r>
      <w:r>
        <w:rPr>
          <w:rFonts w:ascii="Times New Roman" w:hAnsi="Times New Roman"/>
          <w:noProof/>
          <w:sz w:val="24"/>
        </w:rPr>
        <w:t xml:space="preserve">, as normas de qualidade, segurança e eficácia das vacinas não serão postas em causa. </w:t>
      </w:r>
      <w:r>
        <w:rPr>
          <w:rFonts w:ascii="Times New Roman" w:hAnsi="Times New Roman"/>
          <w:noProof/>
          <w:sz w:val="24"/>
          <w:szCs w:val="24"/>
        </w:rPr>
        <w:t xml:space="preserve">A segurança dos cidadãos é, e será sempre, a principal prioridade da Comissão Europeia. </w:t>
      </w:r>
      <w:r>
        <w:rPr>
          <w:rFonts w:ascii="Times New Roman" w:hAnsi="Times New Roman"/>
          <w:b/>
          <w:noProof/>
          <w:sz w:val="24"/>
        </w:rPr>
        <w:t>A segurança, a qualidade e a eficácia são requisitos fundamentais para que qualquer vacina ou medicamento possa ser introduzido no mercado na UE</w:t>
      </w:r>
      <w:r>
        <w:rPr>
          <w:rFonts w:ascii="Times New Roman" w:hAnsi="Times New Roman"/>
          <w:noProof/>
          <w:sz w:val="24"/>
        </w:rPr>
        <w:t>.</w:t>
      </w:r>
      <w:r>
        <w:rPr>
          <w:rFonts w:ascii="Times New Roman" w:hAnsi="Times New Roman"/>
          <w:noProof/>
          <w:sz w:val="24"/>
          <w:szCs w:val="24"/>
        </w:rPr>
        <w:t xml:space="preserve"> Os requisitos de segurança aplicáveis às vacinas da COVID-19 na UE são tão elevados como para qualquer outra vacina, e o contexto de urgência criado pela pandemia não irá alterar este facto.</w:t>
      </w:r>
    </w:p>
    <w:p>
      <w:pPr>
        <w:jc w:val="both"/>
        <w:rPr>
          <w:rFonts w:ascii="Times New Roman" w:hAnsi="Times New Roman" w:cs="Times New Roman"/>
          <w:noProof/>
          <w:sz w:val="24"/>
          <w:szCs w:val="24"/>
        </w:rPr>
      </w:pPr>
      <w:r>
        <w:rPr>
          <w:rFonts w:ascii="Times New Roman" w:hAnsi="Times New Roman"/>
          <w:noProof/>
          <w:sz w:val="24"/>
          <w:szCs w:val="24"/>
        </w:rPr>
        <w:t xml:space="preserve">Um dos principais pilares da estratégia da UE para as vacinas contra a COVID-19 aborda exatamente este ponto. O quadro regulamentar da UE, que define normas elevadas e requisitos rigorosos, prevê flexibilidades regulamentares para fazer face a situações de urgência. </w:t>
      </w:r>
      <w:r>
        <w:rPr>
          <w:rFonts w:ascii="Times New Roman" w:hAnsi="Times New Roman"/>
          <w:noProof/>
          <w:sz w:val="24"/>
        </w:rPr>
        <w:t xml:space="preserve">Deste modo, é possível </w:t>
      </w:r>
      <w:r>
        <w:rPr>
          <w:rFonts w:ascii="Times New Roman" w:hAnsi="Times New Roman"/>
          <w:b/>
          <w:noProof/>
          <w:sz w:val="24"/>
        </w:rPr>
        <w:t>acelerar o desenvolvimento, a autorização e a disponibilidade de vacinas, mantendo ao mesmo tempo as rigorosas normas em matéria de qualidade, segurança e eficácia das vacinas.</w:t>
      </w:r>
      <w:r>
        <w:rPr>
          <w:rFonts w:ascii="Times New Roman" w:hAnsi="Times New Roman"/>
          <w:noProof/>
          <w:sz w:val="24"/>
          <w:szCs w:val="24"/>
        </w:rPr>
        <w:t xml:space="preserve"> Este aspeto é fundamental na perspetiva da confiança dos cidadãos.</w:t>
      </w:r>
    </w:p>
    <w:p>
      <w:pPr>
        <w:jc w:val="both"/>
        <w:rPr>
          <w:rFonts w:ascii="Times New Roman" w:hAnsi="Times New Roman" w:cs="Times New Roman"/>
          <w:noProof/>
          <w:sz w:val="24"/>
          <w:szCs w:val="24"/>
        </w:rPr>
      </w:pPr>
      <w:r>
        <w:rPr>
          <w:rFonts w:ascii="Times New Roman" w:hAnsi="Times New Roman"/>
          <w:noProof/>
          <w:sz w:val="24"/>
          <w:szCs w:val="24"/>
        </w:rPr>
        <w:t xml:space="preserve">A segurança, a qualidade e a eficácia das vacinas são pedras angulares de qualquer processo de desenvolvimento e autorização de vacinas e os produtores de vacinas têm de apresentar documentação e dados exaustivos à Agência Europeia de Medicamentos através do procedimento de autorização de introdução no mercado da UE. </w:t>
      </w:r>
      <w:r>
        <w:rPr>
          <w:rFonts w:ascii="Times New Roman" w:hAnsi="Times New Roman"/>
          <w:noProof/>
          <w:sz w:val="24"/>
        </w:rPr>
        <w:t xml:space="preserve">Devem, nomeadamente, apresentar </w:t>
      </w:r>
      <w:r>
        <w:rPr>
          <w:rFonts w:ascii="Times New Roman" w:hAnsi="Times New Roman"/>
          <w:b/>
          <w:noProof/>
          <w:sz w:val="24"/>
        </w:rPr>
        <w:t>evidências científicas sólidas obtidas em ensaios clínicos</w:t>
      </w:r>
      <w:r>
        <w:rPr>
          <w:rFonts w:ascii="Times New Roman" w:hAnsi="Times New Roman"/>
          <w:noProof/>
          <w:sz w:val="24"/>
        </w:rPr>
        <w:t>.</w:t>
      </w:r>
      <w:r>
        <w:rPr>
          <w:rFonts w:ascii="Times New Roman" w:hAnsi="Times New Roman"/>
          <w:noProof/>
          <w:sz w:val="24"/>
          <w:szCs w:val="24"/>
        </w:rPr>
        <w:t xml:space="preserve"> A Agência efetua em seguida uma avaliação exaustiva, independente e científica e, com base nessa avaliação, a Comissão Europeia pode então conceder a autorização de introdução no mercado necessária. </w:t>
      </w:r>
    </w:p>
    <w:p>
      <w:pPr>
        <w:jc w:val="both"/>
        <w:rPr>
          <w:rFonts w:ascii="Times New Roman" w:hAnsi="Times New Roman" w:cs="Times New Roman"/>
          <w:noProof/>
          <w:sz w:val="24"/>
          <w:szCs w:val="24"/>
        </w:rPr>
      </w:pPr>
      <w:r>
        <w:rPr>
          <w:rFonts w:ascii="Times New Roman" w:hAnsi="Times New Roman"/>
          <w:noProof/>
          <w:sz w:val="24"/>
          <w:szCs w:val="24"/>
        </w:rPr>
        <w:t xml:space="preserve">Para a COVID-19, a </w:t>
      </w:r>
      <w:r>
        <w:rPr>
          <w:rFonts w:ascii="Times New Roman" w:hAnsi="Times New Roman"/>
          <w:b/>
          <w:noProof/>
          <w:sz w:val="24"/>
          <w:szCs w:val="24"/>
        </w:rPr>
        <w:t>Agência Europeia de Medicamentos</w:t>
      </w:r>
      <w:r>
        <w:rPr>
          <w:rFonts w:ascii="Times New Roman" w:hAnsi="Times New Roman"/>
          <w:b/>
          <w:noProof/>
          <w:sz w:val="24"/>
        </w:rPr>
        <w:t xml:space="preserve"> pôs em prática procedimentos de exame rápidos que permitem acelerar a avaliação dos pedidos</w:t>
      </w:r>
      <w:r>
        <w:rPr>
          <w:rFonts w:ascii="Times New Roman" w:hAnsi="Times New Roman"/>
          <w:noProof/>
          <w:sz w:val="24"/>
          <w:szCs w:val="24"/>
        </w:rPr>
        <w:t xml:space="preserve"> garantindo simultaneamente pareceres científicos sólidos e padrões de qualidade, segurança e eficácia tão elevados como para todos os outros medicamentos. Foi criado um grupo específico - o grupo de trabalho da Agência Europeia de Medicamentos para a pandemia de COVID-19 - que presta aconselhamento científico sobre os ensaios clínicos e o desenvolvimento de produtos e procede a um «exame contínuo» das evidências científicas recebidas, a fim de acelerar a avaliação de uma vacina promissora. Normalmente, todos os dados sobre a eficácia, a segurança e a qualidade de um medicamento, bem como todos os documentos exigidos, devem ser apresentados no início da avaliação, no âmbito de um pedido formal de autorização de introdução no mercado. No caso de um exame contínuo, os dados são examinados à medida que são disponibilizados pelos estudos em curso, antes de ser apresentado um pedido formal. </w:t>
      </w:r>
      <w:r>
        <w:rPr>
          <w:rFonts w:ascii="Times New Roman" w:hAnsi="Times New Roman"/>
          <w:b/>
          <w:noProof/>
          <w:sz w:val="24"/>
        </w:rPr>
        <w:t>Tal reduz significativamente os prazos de avaliação habituais, uma vez que a maioria dos dados é examinada rapidamente, preservando ao mesmo tempo os princípios de qualidade, segurança e eficácia.</w:t>
      </w:r>
      <w:r>
        <w:rPr>
          <w:rFonts w:ascii="Times New Roman" w:hAnsi="Times New Roman"/>
          <w:noProof/>
          <w:sz w:val="24"/>
          <w:szCs w:val="24"/>
        </w:rPr>
        <w:t xml:space="preserve"> Regra geral, quando o pacote de dados está completo, o produtor apresenta um pedido formal de autorização de introdução no mercado</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Após a autorização, a legislação da UE exige que seja feita uma monitorização da segurança da vacina, bem como da sua eficácia. </w:t>
      </w:r>
      <w:r>
        <w:rPr>
          <w:rFonts w:ascii="Times New Roman" w:hAnsi="Times New Roman"/>
          <w:noProof/>
          <w:sz w:val="24"/>
        </w:rPr>
        <w:t xml:space="preserve">Para efeitos da monitorização, </w:t>
      </w:r>
      <w:r>
        <w:rPr>
          <w:rFonts w:ascii="Times New Roman" w:hAnsi="Times New Roman"/>
          <w:b/>
          <w:noProof/>
          <w:sz w:val="24"/>
        </w:rPr>
        <w:t>serão realizados estudos pelas autoridades públicas responsáveis pelos programas de vacinação</w:t>
      </w:r>
      <w:r>
        <w:rPr>
          <w:rFonts w:ascii="Times New Roman" w:hAnsi="Times New Roman"/>
          <w:noProof/>
          <w:sz w:val="24"/>
        </w:rPr>
        <w:t>.</w:t>
      </w:r>
      <w:r>
        <w:rPr>
          <w:rFonts w:ascii="Times New Roman" w:hAnsi="Times New Roman"/>
          <w:noProof/>
          <w:sz w:val="24"/>
          <w:szCs w:val="24"/>
        </w:rPr>
        <w:t xml:space="preserve"> Esses estudos podem também ser solicitados às empresas como uma das condições para manterem a sua autorização de introdução no mercado. Será necessário recolher mais evidências a nível central para avaliar o impacto e a eficácia das vacinas contra a COVID-19 na população depois da sua administração, do ponto de vista da saúde pública. </w:t>
      </w:r>
      <w:r>
        <w:rPr>
          <w:rFonts w:ascii="Times New Roman" w:hAnsi="Times New Roman"/>
          <w:b/>
          <w:noProof/>
          <w:sz w:val="24"/>
          <w:szCs w:val="24"/>
        </w:rPr>
        <w:t>Tal será fundamental para vencer a pandemia e incutir confiança nos europeus.</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A Agência Europeia de Medicamentos, em estreita colaboração com os Estados-Membros, a Comissão e os parceiros europeus e internacionais, está a </w:t>
      </w:r>
      <w:r>
        <w:rPr>
          <w:rFonts w:ascii="Times New Roman" w:hAnsi="Times New Roman"/>
          <w:b/>
          <w:noProof/>
          <w:sz w:val="24"/>
        </w:rPr>
        <w:t>definir atividades reforçadas de monitorização da segurança especificamente para as vacinas da COVID-19</w:t>
      </w:r>
      <w:r>
        <w:rPr>
          <w:rFonts w:ascii="Times New Roman" w:hAnsi="Times New Roman"/>
          <w:noProof/>
          <w:sz w:val="24"/>
        </w:rPr>
        <w:t>.</w:t>
      </w:r>
      <w:r>
        <w:rPr>
          <w:rFonts w:ascii="Times New Roman" w:hAnsi="Times New Roman"/>
          <w:noProof/>
          <w:sz w:val="24"/>
          <w:szCs w:val="24"/>
        </w:rPr>
        <w:t xml:space="preserve"> Os Estados-Membros serão convidados a partilhar com os outros Estados-Membros e com as autoridades europeias os seus dados nacionais de vigilância sobre os efeitos secundários imprevistos, se relevantes. Tais atividades visam garantir que quaisquer novas informações recolhidas após a introdução no mercado são coligidas, identificadas e avaliadas de modo centralizado o mais rapidamente possível e que são tomadas atempadamente medidas regulamentares adequadas para proteger os doentes e salvaguardar a saúde pública. Isto requer uma rede europeia de ensaios clínicos de vacinas, centrada nos ensaios de fase 3 (eficácia e segurança) e de fase 4 (avaliação contínua da segurança e da eficácia após a introdução). </w:t>
      </w:r>
    </w:p>
    <w:p>
      <w:pPr>
        <w:jc w:val="both"/>
        <w:rPr>
          <w:rFonts w:ascii="Times New Roman" w:hAnsi="Times New Roman" w:cs="Times New Roman"/>
          <w:noProof/>
          <w:sz w:val="24"/>
          <w:szCs w:val="24"/>
        </w:rPr>
      </w:pPr>
      <w:r>
        <w:rPr>
          <w:rFonts w:ascii="Times New Roman" w:hAnsi="Times New Roman"/>
          <w:noProof/>
          <w:sz w:val="24"/>
        </w:rPr>
        <w:t xml:space="preserve">Para além da segurança, a monitorização e o controlo da COVID-19 exigirão </w:t>
      </w:r>
      <w:r>
        <w:rPr>
          <w:rFonts w:ascii="Times New Roman" w:hAnsi="Times New Roman"/>
          <w:b/>
          <w:noProof/>
          <w:sz w:val="24"/>
        </w:rPr>
        <w:t>sistemas de vigilância reforçados a nível da UE</w:t>
      </w:r>
      <w:r>
        <w:rPr>
          <w:rFonts w:ascii="Times New Roman" w:hAnsi="Times New Roman"/>
          <w:noProof/>
          <w:sz w:val="24"/>
        </w:rPr>
        <w:t>, integrando tanto os dados sobre a epidemiologia da doença como sobre as taxas de cobertura da vacinação entre os grupos-alvo.</w:t>
      </w:r>
      <w:r>
        <w:rPr>
          <w:rFonts w:ascii="Times New Roman" w:hAnsi="Times New Roman"/>
          <w:noProof/>
          <w:sz w:val="24"/>
          <w:szCs w:val="24"/>
        </w:rPr>
        <w:t xml:space="preserve"> Qualquer sistema de vigilância, caso envolva o tratamento de dados pessoais, terá de cumprir o Regulamento Geral sobre a Proteção de Dados. O Comité Europeu para a Proteção de Dados (CEPD) deverá desempenhar um papel ativo de coordenação das autoridades de proteção de dados da UE, a fim de contribuir para a aplicação coerente das regras de proteção de dados em toda a União Europeia em tempos de crise. </w:t>
      </w:r>
      <w:r>
        <w:rPr>
          <w:rFonts w:ascii="Times New Roman" w:hAnsi="Times New Roman"/>
          <w:b/>
          <w:noProof/>
          <w:sz w:val="24"/>
        </w:rPr>
        <w:t>Os níveis elevados de cobertura da vacinação serão também um indicador fundamental da aceitação e acessibilidade das vacinas.</w:t>
      </w:r>
      <w:r>
        <w:rPr>
          <w:rFonts w:ascii="Times New Roman" w:hAnsi="Times New Roman"/>
          <w:noProof/>
          <w:sz w:val="24"/>
          <w:szCs w:val="24"/>
        </w:rPr>
        <w:t xml:space="preserve"> O Centro Europeu de Prevenção e Controlo das Doenças e a Agência Europeia de Medicamentos, em estreita colaboração com a Comissão, os Estados-Membros e os parceiros europeus e internacionais, estão a estabelecer atividades de monitorização reforçada da eficácia, cobertura, segurança e impacto das vacinas especificamente para as vacinas da COVID-19. Tal inclui o desenvolvimento de uma plataforma estruturada de monitorização das vacinas após a introdução no mercado, incluindo para as vacinas contra a COVID-19.</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3.</w:t>
      </w:r>
      <w:r>
        <w:rPr>
          <w:noProof/>
        </w:rPr>
        <w:tab/>
        <w:t xml:space="preserve">ELEMENTOS PARA UMA ESTRATÉGIA EFICAZ DE VACINAÇÃO CONTRA A COVID-19 </w:t>
      </w:r>
    </w:p>
    <w:p>
      <w:pPr>
        <w:jc w:val="both"/>
        <w:rPr>
          <w:rFonts w:ascii="Times New Roman" w:hAnsi="Times New Roman" w:cs="Times New Roman"/>
          <w:noProof/>
          <w:sz w:val="24"/>
          <w:szCs w:val="24"/>
        </w:rPr>
      </w:pPr>
      <w:r>
        <w:rPr>
          <w:rFonts w:ascii="Times New Roman" w:hAnsi="Times New Roman"/>
          <w:noProof/>
          <w:sz w:val="24"/>
          <w:szCs w:val="24"/>
        </w:rPr>
        <w:t xml:space="preserve">A Comissão está a assegurar o acesso a vacinas contra a COVID-19 seguras, eficientes e de alta qualidade para os cidadãos da UE. </w:t>
      </w:r>
      <w:r>
        <w:rPr>
          <w:rFonts w:ascii="Times New Roman" w:hAnsi="Times New Roman"/>
          <w:noProof/>
          <w:sz w:val="24"/>
        </w:rPr>
        <w:t xml:space="preserve">Porém, o </w:t>
      </w:r>
      <w:r>
        <w:rPr>
          <w:rFonts w:ascii="Times New Roman" w:hAnsi="Times New Roman"/>
          <w:b/>
          <w:noProof/>
          <w:sz w:val="24"/>
        </w:rPr>
        <w:t>sucesso em termos da disponibilização e uma adesão suficiente a essas vacinas são fatores igualmente importantes</w:t>
      </w:r>
      <w:r>
        <w:rPr>
          <w:rFonts w:ascii="Times New Roman" w:hAnsi="Times New Roman"/>
          <w:noProof/>
          <w:sz w:val="24"/>
        </w:rPr>
        <w:t>.</w:t>
      </w:r>
      <w:r>
        <w:rPr>
          <w:rFonts w:ascii="Times New Roman" w:hAnsi="Times New Roman"/>
          <w:noProof/>
          <w:sz w:val="24"/>
          <w:szCs w:val="24"/>
        </w:rPr>
        <w:t xml:space="preserve"> Os Estados-Membros devem tomar uma série de medidas preparatórias a fim de permitir uma distribuição tão eficaz e direcionada quanto possível logo que seja disponibilizada uma vacina eficaz. </w:t>
      </w:r>
    </w:p>
    <w:p>
      <w:pPr>
        <w:jc w:val="both"/>
        <w:rPr>
          <w:rFonts w:ascii="Times New Roman" w:hAnsi="Times New Roman" w:cs="Times New Roman"/>
          <w:noProof/>
          <w:sz w:val="24"/>
        </w:rPr>
      </w:pPr>
      <w:r>
        <w:rPr>
          <w:rFonts w:ascii="Times New Roman" w:hAnsi="Times New Roman"/>
          <w:b/>
          <w:noProof/>
          <w:sz w:val="24"/>
        </w:rPr>
        <w:t>Os preparativos de cada Estado-Membro para a próxima fase crucial são de extrema importância.</w:t>
      </w:r>
      <w:r>
        <w:rPr>
          <w:rFonts w:ascii="Times New Roman" w:hAnsi="Times New Roman"/>
          <w:noProof/>
          <w:sz w:val="24"/>
        </w:rPr>
        <w:t xml:space="preserve"> Neste contexto, a Organização Mundial da Saúde elaborou orientações pertinentes destinadas à Região Europeia da OMS a fim de apoiar os ministérios da saúde, os respetivos organismos, os grupos ou comités técnicos consultivos em matéria de imunização e as autoridades competentes do setor público e privado tendo em vista a preparação para a disponibilização das vacinas contra a COVID-19 e para a vacinação</w:t>
      </w:r>
      <w:r>
        <w:rPr>
          <w:rStyle w:val="FootnoteReference"/>
          <w:rFonts w:ascii="Times New Roman" w:hAnsi="Times New Roman" w:cs="Times New Roman"/>
          <w:noProof/>
          <w:sz w:val="24"/>
        </w:rPr>
        <w:footnoteReference w:id="15"/>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Quando estiver disponível uma ou mais vacinas contra a COVID-19, é importante assegurar que os serviços de vacinação são capazes de fornecer e distribuir as vacinas de forma ordenada, dentro de um prazo determinado e de acordo com uma situação epidemiológica em rápida evolução. </w:t>
      </w:r>
      <w:r>
        <w:rPr>
          <w:rFonts w:ascii="Times New Roman" w:hAnsi="Times New Roman"/>
          <w:b/>
          <w:noProof/>
          <w:sz w:val="24"/>
        </w:rPr>
        <w:t>Os Estados-Membros devem assegurar que os serviços de vacinação dispõem de recursos suficientes para levar a cabo o seu trabalho</w:t>
      </w:r>
      <w:r>
        <w:rPr>
          <w:rFonts w:ascii="Times New Roman" w:hAnsi="Times New Roman"/>
          <w:noProof/>
          <w:sz w:val="24"/>
        </w:rPr>
        <w:t>, tanto em termos de pessoal qualificado para a administração das vacinas COVID-19, como de fornecimento dos equipamentos médicos e de proteção necessários. No que diz respeito aos recursos humanos necessários, os Estados-Membros devem considerar a realização de novos recrutamentos e a implementação de programas de formação, envolvendo potencialmente estudantes ou pessoal reformado. No que se refere ao fornecimento dos equipamentos médicos e de proteção necessários, deve prestar-se atenção aos potenciais pontos de estrangulamento no fabrico. Os Estados-Membros devem utilizar os contratos-quadro para contratação pública conjunta assinados pela Comissão em nome dos Estados-Membros participantes, que permitem a esses Estados-Membros encomendar material necessário para a vacinação contra a COVID-19. Além disso, continuarão a ser constituídas no âmbito da rescEU reservas de emergência de contramedidas médicas localizadas nos Estados-Membros, ao abrigo do Mecanismo de Proteção Civil da União.</w:t>
      </w:r>
    </w:p>
    <w:p>
      <w:pPr>
        <w:jc w:val="both"/>
        <w:rPr>
          <w:rFonts w:ascii="Times New Roman" w:hAnsi="Times New Roman" w:cs="Times New Roman"/>
          <w:noProof/>
          <w:sz w:val="24"/>
        </w:rPr>
      </w:pPr>
      <w:r>
        <w:rPr>
          <w:rFonts w:ascii="Times New Roman" w:hAnsi="Times New Roman"/>
          <w:b/>
          <w:noProof/>
          <w:sz w:val="24"/>
        </w:rPr>
        <w:t>Nesta base, importa facilitar o acesso das populações-alvo aos serviços de vacinação</w:t>
      </w:r>
      <w:r>
        <w:rPr>
          <w:rFonts w:ascii="Times New Roman" w:hAnsi="Times New Roman"/>
          <w:noProof/>
          <w:sz w:val="24"/>
        </w:rPr>
        <w:t xml:space="preserve">, tanto em termos de preços – os Estados-Membros são incentivados a considerar a possibilidade de fornecer as vacinas contra a COVID-19 gratuitamente – como em termos de proximidade física. As diligências práticas para ter acesso às vacinas – nomeadamente através de estruturas centralizadas, sempre que possível, e de pontos de contacto centrais – devem ser comunicadas claramente aos cidadãos. </w:t>
      </w:r>
      <w:r>
        <w:rPr>
          <w:rFonts w:ascii="Times New Roman" w:hAnsi="Times New Roman"/>
          <w:b/>
          <w:noProof/>
          <w:sz w:val="24"/>
        </w:rPr>
        <w:t>O acesso claro e atempado à informação através dos meios de comunicação pertinentes é fundamental</w:t>
      </w:r>
      <w:r>
        <w:rPr>
          <w:rFonts w:ascii="Times New Roman" w:hAnsi="Times New Roman"/>
          <w:noProof/>
          <w:sz w:val="24"/>
        </w:rPr>
        <w:t>. As infraestruturas e atividades de comunicação necessárias devem ser planeadas agora e estar prontas para implementação no final de 2020.</w:t>
      </w:r>
    </w:p>
    <w:p>
      <w:pPr>
        <w:jc w:val="both"/>
        <w:rPr>
          <w:rFonts w:ascii="Times New Roman" w:hAnsi="Times New Roman"/>
          <w:b/>
          <w:noProof/>
          <w:sz w:val="24"/>
        </w:rPr>
      </w:pPr>
      <w:r>
        <w:rPr>
          <w:rFonts w:ascii="Times New Roman" w:hAnsi="Times New Roman"/>
          <w:noProof/>
          <w:sz w:val="24"/>
          <w:szCs w:val="24"/>
        </w:rPr>
        <w:t xml:space="preserve">O planeamento das infraestruturas deve ter em conta que as vacinas contra a COVID-19 terão características e requisitos de armazenamento e de transporte diferentes e que, muito provavelmente, uma mesma solução não funcionará na prática para todos os casos. Algumas vacinas terão requisitos de temperatura específicos (temperaturas tão baixas quanto -70 °C) e as diferenças nas características das vacinas poderão traduzir-se em embalagens de tamanhos diferentes e em necessidades de transporte específicas. Os Estados-Membros devem, por conseguinte, reexaminar as disposições existentes, tendo em conta que as cadeias de frio, as opções de transporte refrigerado e a capacidade de armazenamento periférico e central podem ter de ser aumentadas. É, pois, muito provável que tenha de ser disponibilizada uma carteira de vacinas com características e requisitos diferentes. </w:t>
      </w:r>
      <w:r>
        <w:rPr>
          <w:rFonts w:ascii="Times New Roman" w:hAnsi="Times New Roman"/>
          <w:b/>
          <w:noProof/>
          <w:sz w:val="24"/>
        </w:rPr>
        <w:t>A Comissão pode apoiar os Estados-Membros neste processo, colocando à sua disposição todos os instrumentos da União com capacidades logísticas e de transporte, como o Mecanismo de Proteção Civil da União.</w:t>
      </w:r>
    </w:p>
    <w:p>
      <w:pPr>
        <w:jc w:val="both"/>
        <w:rPr>
          <w:rFonts w:ascii="Times New Roman" w:hAnsi="Times New Roman" w:cs="Times New Roman"/>
          <w:noProof/>
          <w:sz w:val="24"/>
        </w:rPr>
      </w:pPr>
      <w:r>
        <w:rPr>
          <w:rFonts w:ascii="Times New Roman" w:hAnsi="Times New Roman"/>
          <w:noProof/>
          <w:sz w:val="24"/>
        </w:rPr>
        <w:t xml:space="preserve">A fim de facilitar a disponibilização acelerada das vacinas da COVID-19 após a respetiva autorização, a Comissão debateu com os Estados-Membros e a Agência Europeia de Medicamentos possibilidades de </w:t>
      </w:r>
      <w:r>
        <w:rPr>
          <w:rFonts w:ascii="Times New Roman" w:hAnsi="Times New Roman"/>
          <w:b/>
          <w:noProof/>
          <w:sz w:val="24"/>
        </w:rPr>
        <w:t>flexibilidade em matéria de rotulagem e embalagem</w:t>
      </w:r>
      <w:r>
        <w:rPr>
          <w:rFonts w:ascii="Times New Roman" w:hAnsi="Times New Roman"/>
          <w:noProof/>
          <w:sz w:val="24"/>
        </w:rPr>
        <w:t xml:space="preserve">, que poderão ser postas em prática quando possível e durante um período temporário. Tal como sublinhado na estratégia da UE para as vacinas contra a COVID-19, essa flexibilidade pode contribuir para uma disponibilização mais rápida da vacina mediante o aumento da capacidade de produção, a redução dos custos de transporte, a otimização dos espaços de armazenagem, a melhoria da distribuição das doses entre os Estados-Membros e a limitação dos possíveis impactos na produção de outras vacinas de rotina. Os exemplos de flexibilidade apresentados são as apresentações multidose das vacinas da COVID-19, a possibilidade de limitar a uma só língua oficial da UE a informação constante da embalagem e da rotulagem e a opção de distribuir separadamente uma cópia impressa do folheto informativo para fornecer para cada dose um folheto informativo por paciente. Quanto à distribuição mais rápida da vacina, a Comissão pode utilizar essa flexibilidade ao especificar as condições de rotulagem e embalagem das vacinas da COVID-19, e os países devem comunicar essas informações aos cidadãos de forma clara e eficaz. </w:t>
      </w:r>
    </w:p>
    <w:p>
      <w:pPr>
        <w:jc w:val="both"/>
        <w:rPr>
          <w:rFonts w:ascii="Times New Roman" w:hAnsi="Times New Roman" w:cs="Times New Roman"/>
          <w:noProof/>
          <w:sz w:val="24"/>
        </w:rPr>
      </w:pPr>
      <w:r>
        <w:rPr>
          <w:rFonts w:ascii="Times New Roman" w:hAnsi="Times New Roman"/>
          <w:noProof/>
          <w:sz w:val="24"/>
        </w:rPr>
        <w:t xml:space="preserve">Para </w:t>
      </w:r>
      <w:r>
        <w:rPr>
          <w:rFonts w:ascii="Times New Roman" w:hAnsi="Times New Roman"/>
          <w:b/>
          <w:noProof/>
          <w:sz w:val="24"/>
        </w:rPr>
        <w:t>monitorizar o desempenho das estratégias de vacinação</w:t>
      </w:r>
      <w:r>
        <w:rPr>
          <w:rFonts w:ascii="Times New Roman" w:hAnsi="Times New Roman"/>
          <w:noProof/>
          <w:sz w:val="24"/>
        </w:rPr>
        <w:t>, é essencial que os Estados-Membros disponham de sistemas de registo adequados. Tal assegurará que os dados relativos à vacinação são recolhidos de forma adequada e permitirá realizar a vigilância subsequente após a introdução no mercado, bem como as atividades de monitorização «em tempo real». Os Estados-Membros devem assegurar que os sistemas eletrónicos de informação sobre imunização ou outros registos de vacinação são mantidos atualizados e cumprem plenamente a legislação em matéria de proteção de dados.</w:t>
      </w:r>
    </w:p>
    <w:p>
      <w:pPr>
        <w:jc w:val="both"/>
        <w:rPr>
          <w:rFonts w:ascii="Times New Roman" w:hAnsi="Times New Roman" w:cs="Times New Roman"/>
          <w:noProof/>
          <w:sz w:val="24"/>
        </w:rPr>
      </w:pPr>
      <w:r>
        <w:rPr>
          <w:rFonts w:ascii="Times New Roman" w:hAnsi="Times New Roman"/>
          <w:noProof/>
          <w:sz w:val="24"/>
        </w:rPr>
        <w:t xml:space="preserve">Dado ser provável que várias vacinas da COVID-19 exijam duas doses, será importante que os Estados-Membros instituam um </w:t>
      </w:r>
      <w:r>
        <w:rPr>
          <w:rFonts w:ascii="Times New Roman" w:hAnsi="Times New Roman"/>
          <w:b/>
          <w:noProof/>
          <w:sz w:val="24"/>
        </w:rPr>
        <w:t>sistema de lembrete eficaz</w:t>
      </w:r>
      <w:r>
        <w:rPr>
          <w:rFonts w:ascii="Times New Roman" w:hAnsi="Times New Roman"/>
          <w:noProof/>
          <w:sz w:val="24"/>
        </w:rPr>
        <w:t xml:space="preserve">. Será igualmente importante comunicar claramente à população os riscos e os benefícios através dos meios de comunicação relevantes, bem como dos canais de comunicação mais populares (plataformas em linha), e recolher os dados necessários para avisar e rastrear as pessoas que não recebam a segunda dose dentro do prazo necessário. As ações deste tipo são fundamentais para a implementação efetiva de uma vacina segura. </w:t>
      </w:r>
    </w:p>
    <w:p>
      <w:pPr>
        <w:jc w:val="both"/>
        <w:rPr>
          <w:rFonts w:ascii="Times New Roman" w:hAnsi="Times New Roman" w:cs="Times New Roman"/>
          <w:noProof/>
          <w:sz w:val="24"/>
        </w:rPr>
      </w:pPr>
      <w:r>
        <w:rPr>
          <w:rFonts w:ascii="Times New Roman" w:hAnsi="Times New Roman"/>
          <w:noProof/>
          <w:sz w:val="24"/>
        </w:rPr>
        <w:t>No que diz respeito à adesão suficiente a vacinas seguras contra a COVID-19, é importante começar desde já a promover a confiança nas vacinas junto do público. Nos últimos anos, a falta de confiança tem levado a uma adesão insuficiente a, por exemplo, vacinas essenciais para a infância, o que resultou em novos surtos de doenças que poderiam ser evitadas pela vacinação, como o sarampo. Os problemas associados à diminuição da confiança nas vacinas foram descritos, por exemplo, na comunicação da Comissão sobre o reforço da cooperação contra as doenças que podem ser prevenidas por vacinação</w:t>
      </w:r>
      <w:r>
        <w:rPr>
          <w:rStyle w:val="FootnoteReference"/>
          <w:rFonts w:ascii="Times New Roman" w:hAnsi="Times New Roman" w:cs="Times New Roman"/>
          <w:noProof/>
          <w:sz w:val="24"/>
        </w:rPr>
        <w:footnoteReference w:id="16"/>
      </w:r>
      <w:r>
        <w:rPr>
          <w:rFonts w:ascii="Times New Roman" w:hAnsi="Times New Roman"/>
          <w:noProof/>
          <w:sz w:val="24"/>
        </w:rPr>
        <w:t>, no relatório de 2018 sobre o estado da confiança nas vacinas na UE</w:t>
      </w:r>
      <w:r>
        <w:rPr>
          <w:rStyle w:val="FootnoteReference"/>
          <w:rFonts w:ascii="Times New Roman" w:hAnsi="Times New Roman" w:cs="Times New Roman"/>
          <w:noProof/>
          <w:sz w:val="24"/>
        </w:rPr>
        <w:footnoteReference w:id="17"/>
      </w:r>
      <w:r>
        <w:rPr>
          <w:rFonts w:ascii="Times New Roman" w:hAnsi="Times New Roman"/>
          <w:noProof/>
          <w:sz w:val="24"/>
        </w:rPr>
        <w:t>, bem como no relatório Wellcome Global Monitor sobre a confiança nas vacinas, do mesmo ano</w:t>
      </w:r>
      <w:r>
        <w:rPr>
          <w:rStyle w:val="FootnoteReference"/>
          <w:rFonts w:ascii="Times New Roman" w:hAnsi="Times New Roman" w:cs="Times New Roman"/>
          <w:noProof/>
          <w:sz w:val="24"/>
        </w:rPr>
        <w:footnoteReference w:id="18"/>
      </w:r>
      <w:r>
        <w:rPr>
          <w:rFonts w:ascii="Times New Roman" w:hAnsi="Times New Roman"/>
          <w:noProof/>
          <w:sz w:val="24"/>
        </w:rPr>
        <w:t xml:space="preserve">. Não se trata de um fenómeno novo. </w:t>
      </w:r>
    </w:p>
    <w:p>
      <w:pPr>
        <w:jc w:val="both"/>
        <w:rPr>
          <w:rFonts w:ascii="Times New Roman" w:hAnsi="Times New Roman" w:cs="Times New Roman"/>
          <w:noProof/>
          <w:sz w:val="24"/>
        </w:rPr>
      </w:pPr>
      <w:r>
        <w:rPr>
          <w:rFonts w:ascii="Times New Roman" w:hAnsi="Times New Roman"/>
          <w:noProof/>
          <w:sz w:val="24"/>
        </w:rPr>
        <w:t>Tal como foi sublinhado na comunicação da Comissão relativa à luta contra a desinformação sobre a COVID-19</w:t>
      </w:r>
      <w:r>
        <w:rPr>
          <w:rStyle w:val="FootnoteReference"/>
          <w:rFonts w:ascii="Times New Roman" w:hAnsi="Times New Roman" w:cs="Times New Roman"/>
          <w:noProof/>
          <w:sz w:val="24"/>
          <w:szCs w:val="24"/>
        </w:rPr>
        <w:footnoteReference w:id="19"/>
      </w:r>
      <w:r>
        <w:rPr>
          <w:rFonts w:ascii="Times New Roman" w:hAnsi="Times New Roman"/>
          <w:noProof/>
          <w:sz w:val="24"/>
        </w:rPr>
        <w:t xml:space="preserve">, a </w:t>
      </w:r>
      <w:r>
        <w:rPr>
          <w:rFonts w:ascii="Times New Roman" w:hAnsi="Times New Roman"/>
          <w:b/>
          <w:noProof/>
          <w:sz w:val="24"/>
        </w:rPr>
        <w:t>informação enganosa e a desinformação sobre uma possível vacina contra a COVID-19</w:t>
      </w:r>
      <w:r>
        <w:rPr>
          <w:rFonts w:ascii="Times New Roman" w:hAnsi="Times New Roman"/>
          <w:noProof/>
          <w:sz w:val="24"/>
          <w:szCs w:val="24"/>
        </w:rPr>
        <w:t xml:space="preserve"> não abrandaram</w:t>
      </w:r>
      <w:r>
        <w:rPr>
          <w:rFonts w:ascii="Times New Roman" w:hAnsi="Times New Roman"/>
          <w:noProof/>
          <w:sz w:val="24"/>
        </w:rPr>
        <w:t xml:space="preserve"> e é provável que venham a dificultar a disponibilização e a adesão às vacinas.</w:t>
      </w:r>
      <w:r>
        <w:rPr>
          <w:rFonts w:ascii="Times New Roman" w:hAnsi="Times New Roman"/>
          <w:noProof/>
          <w:sz w:val="24"/>
          <w:szCs w:val="24"/>
        </w:rPr>
        <w:t xml:space="preserve"> A coordenação e a colaboração com os intervenientes a nível da UE e a nível mundial, juntamente com a Organização Mundial da Saúde e as plataformas em linha, serão essenciais para monitorizar e combater a desinformação sobre a COVID-19 e responder eficazmente aos desafios da propagação de informação enganosa. </w:t>
      </w:r>
      <w:r>
        <w:rPr>
          <w:rFonts w:ascii="Times New Roman" w:hAnsi="Times New Roman"/>
          <w:b/>
          <w:noProof/>
          <w:sz w:val="24"/>
          <w:szCs w:val="24"/>
        </w:rPr>
        <w:t>É fundamental dispor de informações claras e atempadas e adotar uma abordagem proativa em relação à informação falsa e enganosa.</w:t>
      </w:r>
      <w:r>
        <w:rPr>
          <w:rFonts w:ascii="Times New Roman" w:hAnsi="Times New Roman"/>
          <w:noProof/>
          <w:sz w:val="24"/>
        </w:rPr>
        <w:t xml:space="preserve"> A Comissão também abordará o fenómeno da desinformação no Plano de Ação Europeu para a Democracia, no final de 2020.</w:t>
      </w:r>
    </w:p>
    <w:p>
      <w:pPr>
        <w:jc w:val="both"/>
        <w:rPr>
          <w:rFonts w:ascii="Times New Roman" w:hAnsi="Times New Roman" w:cs="Times New Roman"/>
          <w:noProof/>
          <w:sz w:val="24"/>
        </w:rPr>
      </w:pPr>
      <w:r>
        <w:rPr>
          <w:rFonts w:ascii="Times New Roman" w:hAnsi="Times New Roman"/>
          <w:noProof/>
          <w:sz w:val="24"/>
        </w:rPr>
        <w:t xml:space="preserve">Além disso, embora as normas em matéria de qualidade elevada, segurança e eficácia sejam plenamente respeitadas, é provável que a velocidade a que estão atualmente a ser desenvolvidas as vacinas contra a COVID-19 torne particularmente difícil promover a confiança nessas vacinas, sendo que as pessoas exprimem preocupação quanto à segurança de vacinas desenvolvidas em prazos tão curtos. É importante que os Estados-Membros comecem já a fornecer aos cidadãos informações objetivas, exatas, factuais e direcionadas sobre a importância das vacinas contra a COVID-19. Deve ser explicado que essas vacinas serão provavelmente a única verdadeira saída para a atual pandemia e que, em aplicação do procedimento rigoroso de autorização de introdução no mercado da UE, não serão feitas cedências em termos de segurança ou eficácia. Uma informação atempada, contínua e coerente sobre os processos de desenvolvimento, aprovação, lançamento, implementação e monitorização da segurança das vacinas ajudará a tranquilizar os cidadãos, mostrando que estão em vigor todos os mecanismos necessários para garantir a segurança e a eficácia das vacinas. </w:t>
      </w:r>
    </w:p>
    <w:p>
      <w:pPr>
        <w:jc w:val="both"/>
        <w:rPr>
          <w:rFonts w:ascii="Times New Roman" w:hAnsi="Times New Roman" w:cs="Times New Roman"/>
          <w:noProof/>
          <w:sz w:val="24"/>
        </w:rPr>
      </w:pPr>
      <w:r>
        <w:rPr>
          <w:rFonts w:ascii="Times New Roman" w:hAnsi="Times New Roman"/>
          <w:noProof/>
          <w:sz w:val="24"/>
        </w:rPr>
        <w:t xml:space="preserve">O lançamento em paralelo de várias vacinas no mercado, depois de comprovada a sua segurança e eficácia, bem como </w:t>
      </w:r>
      <w:r>
        <w:rPr>
          <w:rFonts w:ascii="Times New Roman" w:hAnsi="Times New Roman"/>
          <w:b/>
          <w:noProof/>
          <w:sz w:val="24"/>
        </w:rPr>
        <w:t>a distribuição dessas vacinas representarão um desafio considerável que exigirá uma forte colaboração e uma ação concertada de todos os Estados-Membros</w:t>
      </w:r>
      <w:r>
        <w:rPr>
          <w:rFonts w:ascii="Times New Roman" w:hAnsi="Times New Roman"/>
          <w:noProof/>
          <w:sz w:val="24"/>
        </w:rPr>
        <w:t xml:space="preserve">. A realização de estudos coordenados, a nível da UE, para a monitorização da eficácia e da segurança das vacinas contra a COVID-19 traria vantagens substanciais. Os </w:t>
      </w:r>
      <w:r>
        <w:rPr>
          <w:rFonts w:ascii="Times New Roman" w:hAnsi="Times New Roman"/>
          <w:b/>
          <w:noProof/>
          <w:sz w:val="24"/>
        </w:rPr>
        <w:t>debates a nível nacional podem ser apoiados pela partilha de dados e informações</w:t>
      </w:r>
      <w:r>
        <w:rPr>
          <w:rFonts w:ascii="Times New Roman" w:hAnsi="Times New Roman"/>
          <w:noProof/>
          <w:sz w:val="24"/>
        </w:rPr>
        <w:t xml:space="preserve"> no âmbito da atual colaboração entre os grupos consultivos técnicos nacionais da UE/EEE em matéria de imunização</w:t>
      </w:r>
      <w:r>
        <w:rPr>
          <w:rStyle w:val="FootnoteReference"/>
          <w:rFonts w:ascii="Times New Roman" w:hAnsi="Times New Roman" w:cs="Times New Roman"/>
          <w:noProof/>
          <w:sz w:val="24"/>
        </w:rPr>
        <w:footnoteReference w:id="20"/>
      </w:r>
      <w:r>
        <w:rPr>
          <w:rFonts w:ascii="Times New Roman" w:hAnsi="Times New Roman"/>
          <w:noProof/>
          <w:sz w:val="24"/>
        </w:rPr>
        <w:t xml:space="preserve">. O Centro Europeu de Prevenção e Controlo das Doenças (ECDC) pode ajudar a tratar aspetos como as políticas de vacinação, prestar assistência no exame sistemático dos relatórios sobre as evidências científicas disponíveis e estabelecer indicadores pertinentes para medir o desempenho e a cobertura. </w:t>
      </w:r>
    </w:p>
    <w:p>
      <w:pPr>
        <w:jc w:val="both"/>
        <w:rPr>
          <w:rFonts w:ascii="Times New Roman" w:hAnsi="Times New Roman" w:cs="Times New Roman"/>
          <w:noProof/>
          <w:sz w:val="24"/>
        </w:rPr>
      </w:pPr>
      <w:r>
        <w:rPr>
          <w:rFonts w:ascii="Times New Roman" w:hAnsi="Times New Roman"/>
          <w:noProof/>
          <w:sz w:val="24"/>
        </w:rPr>
        <w:t xml:space="preserve">É </w:t>
      </w:r>
      <w:r>
        <w:rPr>
          <w:rFonts w:ascii="Times New Roman" w:hAnsi="Times New Roman"/>
          <w:b/>
          <w:noProof/>
          <w:sz w:val="24"/>
        </w:rPr>
        <w:t>fundamental que os Estados-Membros partilhem conhecimentos e experiências</w:t>
      </w:r>
      <w:r>
        <w:rPr>
          <w:rFonts w:ascii="Times New Roman" w:hAnsi="Times New Roman"/>
          <w:noProof/>
          <w:sz w:val="24"/>
        </w:rPr>
        <w:t xml:space="preserve"> durante esta crise sanitária mundial. A Comissão está a ajudar os Estados-Membros a coordenar os esforços e as respostas à pandemia através do Comité de Segurança da Saúde. </w:t>
      </w:r>
      <w:r>
        <w:rPr>
          <w:rFonts w:ascii="Times New Roman" w:hAnsi="Times New Roman"/>
          <w:b/>
          <w:noProof/>
          <w:sz w:val="24"/>
        </w:rPr>
        <w:t>Embora a responsabilidade pela política de saúde caiba aos Estados-Membros</w:t>
      </w:r>
      <w:r>
        <w:rPr>
          <w:rFonts w:ascii="Times New Roman" w:hAnsi="Times New Roman"/>
          <w:noProof/>
          <w:sz w:val="24"/>
        </w:rPr>
        <w:t xml:space="preserve"> e as estratégias nacionais possam diferir devido a vários fatores, nomeadamente as diferentes capacidades dos sistemas de saúde, a estrutura da população ou a situação epidemiológica, é importante </w:t>
      </w:r>
      <w:r>
        <w:rPr>
          <w:rFonts w:ascii="Times New Roman" w:hAnsi="Times New Roman"/>
          <w:b/>
          <w:noProof/>
          <w:sz w:val="24"/>
        </w:rPr>
        <w:t>assegurar a coordenação das respostas nacionais à pandemia</w:t>
      </w:r>
      <w:r>
        <w:rPr>
          <w:rFonts w:ascii="Times New Roman" w:hAnsi="Times New Roman"/>
          <w:noProof/>
          <w:sz w:val="24"/>
        </w:rPr>
        <w:t xml:space="preserve">. Tal inclui a distribuição e a disponibilização das vacinas contra a COVID-19, depois de autorizadas. Neste contexto, é importante assegurar a cooperação entre as autoridades sanitárias dos Estados-Membros e as autoridades de proteção civil. O Centro de Coordenação de Resposta de Emergência poderá apoiar os Estados-Membros a este nível, bem como através da monitorização e da partilha de informações. A Comissão tem trabalhado em estreita colaboração com os Estados-Membros a fim de definir as necessidades, explorar estratégias e proceder ao intercâmbio de informações e de boas práticas. Além disso, a modernização da administração e dos serviços públicos, incluindo os serviços de saúde, é uma das iniciativas emblemáticas propostas no âmbito do Mecanismo de Recuperação e Resiliência. </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 xml:space="preserve">AÇÕES PROPOSTAS </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Calendário</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bCs w:val="0"/>
                <w:noProof/>
                <w:sz w:val="24"/>
                <w:szCs w:val="24"/>
              </w:rPr>
              <w:t>Os Estados-Membros devem assegurar que os serviços de vacinação têm capacidade para administrar as vacinas contra a COVID-19, incluindo em termos de pessoal qualificado e de equipamento médico e de proteção individual.</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De outubro a novembro de 2020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Os Estados-Membros devem assegurar um acesso fácil das populações-alvo às vacinas, tanto em termos dos preços como de proximidade física. </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De outubro a dezembro de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Os Estados-Membros devem preparar-se para a disponibilização de vacinas com características e necessidades de armazenamento e de transporte diferentes e devem reexaminar a infraestrutura de vacinação necessária, nomeadamente em termos de cadeia de frio, transporte refrigerado e capacidades de armazenamento. </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A partir de outubro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Os Estados-Membros devem assegurar que os sistemas de informação sobre imunização e outros registos de vacinação estão atualizados e preparados para tratar os dados relativos à vacinação.</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A partir de outubro</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rPr>
                <w:rFonts w:ascii="Times New Roman" w:hAnsi="Times New Roman" w:cs="Times New Roman"/>
                <w:b w:val="0"/>
                <w:noProof/>
                <w:sz w:val="24"/>
                <w:szCs w:val="24"/>
              </w:rPr>
            </w:pPr>
            <w:r>
              <w:rPr>
                <w:rFonts w:ascii="Times New Roman" w:hAnsi="Times New Roman"/>
                <w:b w:val="0"/>
                <w:noProof/>
                <w:sz w:val="24"/>
                <w:szCs w:val="24"/>
              </w:rPr>
              <w:t xml:space="preserve">Os Estados-Membros devem assegurar uma comunicação clara sobre os benefícios, os riscos e a importância das vacinas contra a COVID-19, promovendo assim a confiança do público. </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Os Estados-Membros devem identificar e partilhar as boas práticas sobre formas eficazes de combater a hesitação perante a vacinação.</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Os Estados-Membros devem trabalhar com os profissionais de saúde, enquanto fontes fiáveis em matéria de vacinação.</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A partir de outubro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Os Estados-Membros devem coordenar os esforços no sentido de combater a desinformação e a informação enganosa sobre uma possível vacina contra a COVID-19, em colaboração com os organismos internacionais e as plataformas em linha. A Comissão deve facilitar estes esforços.</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A partir de outubro</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Os Estados-Membros e as autoridades de saúde pública devem preparar-se para realizar estudos, independentes dos interesses da indústria, sobre a eficácia e a segurança das vacinas:</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criar as redes necessárias para a recolha de dados e a análise de evidências científicas, abrangendo, se possível, de uma forma estatisticamente representativa, as diferentes populações-alvo, tais como os trabalhadores</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garantir mecanismos de deteção, exame e resposta a ocorrências relacionadas com a segurança das vacinas</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garantir mecanismos de avaliação contínua dos riscos/benefícios</w:t>
            </w:r>
          </w:p>
          <w:p>
            <w:pPr>
              <w:pStyle w:val="ListParagraph"/>
              <w:numPr>
                <w:ilvl w:val="0"/>
                <w:numId w:val="4"/>
              </w:numPr>
              <w:spacing w:after="0" w:line="240" w:lineRule="auto"/>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mediante coordenação pela </w:t>
            </w:r>
            <w:r>
              <w:rPr>
                <w:rFonts w:ascii="Times New Roman" w:hAnsi="Times New Roman"/>
                <w:noProof/>
                <w:sz w:val="24"/>
                <w:szCs w:val="24"/>
              </w:rPr>
              <w:t>Agência Europeia de Medicamentos</w:t>
            </w:r>
            <w:r>
              <w:rPr>
                <w:rFonts w:ascii="Times New Roman" w:hAnsi="Times New Roman"/>
                <w:b w:val="0"/>
                <w:noProof/>
                <w:sz w:val="24"/>
                <w:szCs w:val="24"/>
              </w:rPr>
              <w:t xml:space="preserve"> e o </w:t>
            </w:r>
            <w:r>
              <w:rPr>
                <w:rFonts w:ascii="Times New Roman" w:hAnsi="Times New Roman"/>
                <w:noProof/>
                <w:sz w:val="24"/>
                <w:szCs w:val="24"/>
              </w:rPr>
              <w:t>Centro Europeu de Prevenção e Controlo das Doenças</w:t>
            </w:r>
            <w:r>
              <w:rPr>
                <w:rFonts w:ascii="Times New Roman" w:hAnsi="Times New Roman"/>
                <w:b w:val="0"/>
                <w:noProof/>
                <w:sz w:val="24"/>
                <w:szCs w:val="24"/>
              </w:rPr>
              <w:t>, preparar a participação em estudos de monitorização da eficácia e da segurança em grande escala ao nível da UE</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De outubro a 2022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rPr>
              <w:t xml:space="preserve">Colaboração entre os grupos consultivos técnicos nacionais da UE/EEE em matéria de imunização, coordenada pelo </w:t>
            </w:r>
            <w:r>
              <w:rPr>
                <w:rFonts w:ascii="Times New Roman" w:hAnsi="Times New Roman"/>
                <w:noProof/>
                <w:sz w:val="24"/>
              </w:rPr>
              <w:t>Centro Europeu de Prevenção e Controlo das Doenças</w:t>
            </w:r>
            <w:r>
              <w:rPr>
                <w:rFonts w:ascii="Times New Roman" w:hAnsi="Times New Roman"/>
                <w:b w:val="0"/>
                <w:noProof/>
                <w:sz w:val="24"/>
              </w:rPr>
              <w:t>, para apoiar os esforços nacionais através da partilha de dados e de informações</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Em curso</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szCs w:val="24"/>
              </w:rPr>
              <w:t xml:space="preserve">Os Estados-Membros e as autoridades de saúde pública, com o apoio técnico do </w:t>
            </w:r>
            <w:r>
              <w:rPr>
                <w:rFonts w:ascii="Times New Roman" w:hAnsi="Times New Roman"/>
                <w:noProof/>
                <w:sz w:val="24"/>
                <w:szCs w:val="24"/>
              </w:rPr>
              <w:t>Centro Europeu de Prevenção e Controlo das Doenças</w:t>
            </w:r>
            <w:r>
              <w:rPr>
                <w:rFonts w:ascii="Times New Roman" w:hAnsi="Times New Roman"/>
                <w:b w:val="0"/>
                <w:noProof/>
                <w:sz w:val="24"/>
                <w:szCs w:val="24"/>
              </w:rPr>
              <w:t>, devem criar sistemas para a recolha de dados sobre a cobertura vacinal nas populações-alvo e monitorizar a cobertura em tempo real através de dados individualizados, incluindo através do registo de imunização eletrónico e em conformidade com as regras em matéria de proteção de dados pessoais.</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sz w:val="24"/>
                <w:szCs w:val="24"/>
              </w:rPr>
            </w:pPr>
            <w:r>
              <w:rPr>
                <w:rFonts w:ascii="Times New Roman" w:hAnsi="Times New Roman"/>
                <w:iCs/>
                <w:noProof/>
                <w:sz w:val="24"/>
                <w:szCs w:val="24"/>
              </w:rPr>
              <w:t>Em curso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3"/>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Os Estados-Membros devem coordenar os esforços e as respostas à pandemia através do Comité de Segurança da Saúde, coordenado pela Comissão Europeia. Deve ser assegurada a cooperação entre as autoridades de saúde e as autoridades de proteção civil.</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Em curso</w:t>
            </w:r>
          </w:p>
        </w:tc>
      </w:tr>
    </w:tbl>
    <w:p>
      <w:pPr>
        <w:pStyle w:val="NoSpacing"/>
        <w:rPr>
          <w:rFonts w:ascii="Times New Roman" w:hAnsi="Times New Roman" w:cs="Times New Roman"/>
          <w:noProof/>
          <w:sz w:val="24"/>
          <w:szCs w:val="24"/>
        </w:rPr>
      </w:pP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4.</w:t>
      </w:r>
      <w:r>
        <w:rPr>
          <w:noProof/>
        </w:rPr>
        <w:tab/>
        <w:t xml:space="preserve">GRUPOS PRIORITÁRIOS POSSÍVEIS PARA AS FASES INICIAIS DE DISPONIBILIZAÇÃO DAS VACINAS </w:t>
      </w:r>
    </w:p>
    <w:p>
      <w:pPr>
        <w:jc w:val="both"/>
        <w:rPr>
          <w:rFonts w:ascii="Times New Roman" w:hAnsi="Times New Roman" w:cs="Times New Roman"/>
          <w:noProof/>
          <w:sz w:val="24"/>
        </w:rPr>
      </w:pPr>
      <w:r>
        <w:rPr>
          <w:rFonts w:ascii="Times New Roman" w:hAnsi="Times New Roman"/>
          <w:b/>
          <w:noProof/>
          <w:sz w:val="24"/>
        </w:rPr>
        <w:t>Quando estiverem disponíveis vacinas eficazes e seguras contra a COVID-19, as fases imediatas da entrega dependerão das capacidades de produção disponíveis.</w:t>
      </w:r>
      <w:r>
        <w:rPr>
          <w:rFonts w:ascii="Times New Roman" w:hAnsi="Times New Roman"/>
          <w:noProof/>
          <w:sz w:val="24"/>
        </w:rPr>
        <w:t xml:space="preserve"> Os Estados-Membros terão de tomar decisões sobre os grupos que devem ter acesso prioritário às vacinas da COVID-19 para salvar o maior número possível de vidas. Estas decisões devem nortear-se por dois critérios: proteger os grupos e as pessoas mais vulneráveis, e abrandar e, em última instância, travar a propagação da doença.</w:t>
      </w:r>
    </w:p>
    <w:p>
      <w:pPr>
        <w:jc w:val="both"/>
        <w:rPr>
          <w:rFonts w:ascii="Times New Roman" w:hAnsi="Times New Roman" w:cs="Times New Roman"/>
          <w:noProof/>
          <w:sz w:val="24"/>
        </w:rPr>
      </w:pPr>
      <w:r>
        <w:rPr>
          <w:rFonts w:ascii="Times New Roman" w:hAnsi="Times New Roman"/>
          <w:noProof/>
          <w:sz w:val="24"/>
        </w:rPr>
        <w:t xml:space="preserve">Os Estados-Membros e as organizações especializadas começaram a </w:t>
      </w:r>
      <w:r>
        <w:rPr>
          <w:rFonts w:ascii="Times New Roman" w:hAnsi="Times New Roman"/>
          <w:b/>
          <w:noProof/>
          <w:sz w:val="24"/>
        </w:rPr>
        <w:t>definir planos de ação e listas de prioridades</w:t>
      </w:r>
      <w:r>
        <w:rPr>
          <w:rFonts w:ascii="Times New Roman" w:hAnsi="Times New Roman"/>
          <w:noProof/>
          <w:sz w:val="24"/>
        </w:rPr>
        <w:t>, com base no que a primeira fase da pandemia demonstrou em termos de impacto em diferentes grupos da população e das comunidades. Por exemplo, o Grupo Consultivo Estratégico de Peritos em Imunização da Organização Mundial da Saúde publicou um quadro para a atribuição e a definição de prioridades para a vacinação contra a COVID-19, baseado em princípios fundamentais e estruturado em torno de diferentes objetivos</w:t>
      </w:r>
      <w:r>
        <w:rPr>
          <w:rStyle w:val="FootnoteReference"/>
          <w:rFonts w:ascii="Times New Roman" w:hAnsi="Times New Roman" w:cs="Times New Roman"/>
          <w:noProof/>
          <w:sz w:val="24"/>
        </w:rPr>
        <w:footnoteReference w:id="21"/>
      </w:r>
      <w:r>
        <w:rPr>
          <w:rFonts w:ascii="Times New Roman" w:hAnsi="Times New Roman"/>
          <w:noProof/>
          <w:sz w:val="24"/>
        </w:rPr>
        <w:t>. Além disso, as Academias Nacionais de Ciências, Engenharia e Medicina publicaram recentemente o seu relatório final, recomendando um quadro de atribuição em quatro fases para os EUA</w:t>
      </w:r>
      <w:r>
        <w:rPr>
          <w:rStyle w:val="FootnoteReference"/>
          <w:rFonts w:ascii="Times New Roman" w:hAnsi="Times New Roman" w:cs="Times New Roman"/>
          <w:noProof/>
          <w:sz w:val="24"/>
        </w:rPr>
        <w:footnoteReference w:id="22"/>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Com base nessas abordagens, bem como nos conhecimentos atualmente disponíveis sobre as características do coronavírus e da doença que este causa, o quadro seguinte apresenta </w:t>
      </w:r>
      <w:r>
        <w:rPr>
          <w:rFonts w:ascii="Times New Roman" w:hAnsi="Times New Roman"/>
          <w:b/>
          <w:noProof/>
          <w:sz w:val="24"/>
        </w:rPr>
        <w:t>exemplos de grupos prioritários (sem uma ordem específica)</w:t>
      </w:r>
      <w:r>
        <w:rPr>
          <w:rFonts w:ascii="Times New Roman" w:hAnsi="Times New Roman"/>
          <w:noProof/>
          <w:sz w:val="24"/>
        </w:rPr>
        <w:t xml:space="preserve"> a tomar em conta pelos países quando a disponibilização das vacinas contra a COVID-19 se tornar uma realidade. </w:t>
      </w:r>
      <w:r>
        <w:rPr>
          <w:rFonts w:ascii="Times New Roman" w:hAnsi="Times New Roman"/>
          <w:b/>
          <w:noProof/>
          <w:sz w:val="24"/>
        </w:rPr>
        <w:t>Será possível definir novas prioridades e recomendações específicas sobre as vacinas uma vez conhecidos os detalhes relativos aos produtos concretos</w:t>
      </w:r>
      <w:r>
        <w:rPr>
          <w:rFonts w:ascii="Times New Roman" w:hAnsi="Times New Roman"/>
          <w:noProof/>
          <w:sz w:val="24"/>
        </w:rPr>
        <w:t xml:space="preserve">, tais como as especificidades e características da vacina, a sua eficiência e a avaliação dos benefícios para grupos específicos, bem como os requisitos em matéria de armazenamento e de cadeia de abastecimento. </w:t>
      </w:r>
    </w:p>
    <w:p>
      <w:pPr>
        <w:jc w:val="both"/>
        <w:rPr>
          <w:rFonts w:ascii="Times New Roman" w:hAnsi="Times New Roman" w:cs="Times New Roman"/>
          <w:noProof/>
          <w:sz w:val="24"/>
        </w:rPr>
      </w:pPr>
      <w:r>
        <w:rPr>
          <w:rFonts w:ascii="Times New Roman" w:hAnsi="Times New Roman"/>
          <w:noProof/>
          <w:sz w:val="24"/>
        </w:rPr>
        <w:t>Estas incógnitas sobre os perfis de desempenho esperados das diferentes vacinas e dos diferentes grupos-alvo tornam ainda mais importante dispor de uma carteira de vacinas. Por exemplo, uma vacina que seja eficaz em termos da gravidade da doença deve ser administrada a grupos vulneráveis, ao passo que uma vacina que seja eficaz para impedir a transmissão do vírus deve ser administrada aos grupos mais suscetíveis de propagar a doença.</w:t>
      </w:r>
      <w:r>
        <w:rPr>
          <w:rFonts w:ascii="Times New Roman" w:hAnsi="Times New Roman"/>
          <w:noProof/>
          <w:sz w:val="24"/>
          <w:szCs w:val="24"/>
        </w:rPr>
        <w:t xml:space="preserve"> </w:t>
      </w:r>
      <w:r>
        <w:rPr>
          <w:rFonts w:ascii="Times New Roman" w:hAnsi="Times New Roman"/>
          <w:noProof/>
          <w:sz w:val="24"/>
        </w:rPr>
        <w:t>Esta questão deve ser abordada nas estratégias de vacinação e nos correspondentes objetivos. Tal é essencial para garantir a disponibilidade e o acesso a um vasto conjunto de vacinas diferentes, em especial quando se trata de definir grupos-alvo e de atribuir prioridade a diferentes grupos. Alguns grupos podem exigir estratégias específicas, como acontece, por exemplo, com os jovens, que têm vindo a registar níveis crescentes de testes positivos e que, por conseguinte, são suscetíveis de contribuir para a propagação do coronavírus. Os Estados-Membros são incentivados a sensibilizar os jovens e a assegurar que compreendem a gravidade da situação.</w:t>
      </w:r>
    </w:p>
    <w:p>
      <w:pPr>
        <w:jc w:val="both"/>
        <w:rPr>
          <w:rFonts w:ascii="Times New Roman" w:hAnsi="Times New Roman" w:cs="Times New Roman"/>
          <w:noProof/>
          <w:sz w:val="24"/>
          <w:szCs w:val="24"/>
        </w:rPr>
      </w:pPr>
      <w:r>
        <w:rPr>
          <w:rFonts w:ascii="Times New Roman" w:hAnsi="Times New Roman"/>
          <w:noProof/>
          <w:sz w:val="24"/>
          <w:szCs w:val="24"/>
        </w:rPr>
        <w:t>Além disso, as situações epidemiológicas específicas de cada país no momento da disponibilização das vacinas, a demografia, os sistemas de administração das vacinas e os requisitos e capacidades em matéria de cuidados de saúde são exemplos de outros tantos elementos que irão determinar e influenciar o processo de tomada de decisão a nível nacional. Por outro lado, à medida que a disponibilidade das vacinas for melhorando, as estratégias em matéria de vacinas e os seus objetivos terão de ser ajustados em conformidade. Assim, por exemplo, embora seja provável que as estratégias se centrem inicialmente na diminuição das taxas de mortalidade e da carga decorrente da pandemia de COVID-19 e em assegurar a continuidade dos serviços essenciais, numa fase posterior do processo de disponibilização da vacinação a atenção poderá passar a centrar-se na redução das restrições e dos impactos sociais e económicos mais vastos. Essa flexibilidade em termos de alteração dos objetivos deve ser tomada em conta pelos países aquando da preparação das suas estratégias de vacinação. Do mesmo modo, é imperativo adotar uma abordagem de vacinação adaptável e flexível para responder a mudanças rápidas da situação epidemiológica a nível local, regional e nacional.</w:t>
      </w:r>
    </w:p>
    <w:tbl>
      <w:tblPr>
        <w:tblStyle w:val="GridTable4-Accent510"/>
        <w:tblW w:w="0" w:type="auto"/>
        <w:tblInd w:w="108" w:type="dxa"/>
        <w:tblLook w:val="04A0" w:firstRow="1" w:lastRow="0" w:firstColumn="1" w:lastColumn="0" w:noHBand="0" w:noVBand="1"/>
      </w:tblPr>
      <w:tblGrid>
        <w:gridCol w:w="3360"/>
        <w:gridCol w:w="576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pPr>
              <w:spacing w:before="120" w:after="120"/>
              <w:jc w:val="center"/>
              <w:rPr>
                <w:rFonts w:ascii="Times New Roman" w:hAnsi="Times New Roman" w:cs="Times New Roman"/>
                <w:noProof/>
              </w:rPr>
            </w:pPr>
            <w:r>
              <w:rPr>
                <w:rFonts w:ascii="Times New Roman" w:hAnsi="Times New Roman"/>
                <w:noProof/>
              </w:rPr>
              <w:t>GRUPOS PRIORITÁRIOS A CONSIDERAR PELOS ESTADOS-MEMBROS (sem ordem específica)</w:t>
            </w:r>
          </w:p>
        </w:tc>
        <w:tc>
          <w:tcPr>
            <w:tcW w:w="5760"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ELEMENTOS A CONSIDERAR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Trabalhadores dos estabelecimentos de cuidados de saúde e de cuidados continuados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Trabalhadores essenciais com risco significativamente elevado de serem infetados </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Trabalhadores que desempenham funções essenciais para combater a pandemia</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Pessoas com mais de 60 anos de idade</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Risco elevado de doença grave ou de morte </w:t>
            </w:r>
          </w:p>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Em especial as pessoas que vivem em situações de alto risco, como as estruturas de cuidados de longa duração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População vulnerável devido a doenças crónicas, comorbilidades e outras patologias preexistentes</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Risco elevado de doença grave ou de morte</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Exemplos de fatores de risco: obesidade, hipertensão, asma, doenças cardíacas, gravidez</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Trabalhadores essenciais fora do setor da saúde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Por exemplo, professores, educadores de infância, trabalhadores agrícolas e do setor alimentar, trabalhadores do setor dos transportes, agentes da polícia e pessoal dos serviços de emergência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Comunidades em que não é possível manter o distanciamento físico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Por exemplo, dormitórios, prisões, campos de refugiados</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Trabalhadores que não podem manter o distanciamento físico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Por exemplo, fábricas, estabelecimentos de desmancha de carne e matadouros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Grupos socioeconómicos vulneráveis e outros grupos de risco mais elevado</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Por exemplo, as comunidades socialmente desfavorecidas, a definir de acordo com as circunstâncias nacionais</w:t>
            </w:r>
          </w:p>
        </w:tc>
      </w:tr>
    </w:tbl>
    <w:p>
      <w:pPr>
        <w:jc w:val="both"/>
        <w:rPr>
          <w:rFonts w:ascii="Times New Roman" w:hAnsi="Times New Roman" w:cs="Times New Roman"/>
          <w:noProof/>
          <w:sz w:val="24"/>
          <w:szCs w:val="24"/>
        </w:rPr>
      </w:pPr>
      <w:r>
        <w:rPr>
          <w:rFonts w:ascii="Times New Roman" w:hAnsi="Times New Roman"/>
          <w:noProof/>
          <w:sz w:val="24"/>
          <w:szCs w:val="24"/>
        </w:rPr>
        <w:t>É, pois, provável que seja necessária uma abordagem faseada no início dos programas de vacinação. Quando as vacinas forem produzidas em maior escala e o volume e o ritmo da oferta de vacinas começar a responder às necessidades, será importante começar a avaliar a imunidade da população e a possível proteção que esta poderá proporcionar. Atualmente, ainda não é claro se se poderá atingir a imunidade de toda a população uma vez iniciados os programas de vacinação, e isto dependerá das vacinas específicas que serão autorizadas na UE e do nível de cobertura da população que pode ser alcançado.</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AÇÕES PROPOSTAS</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Calendário</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noProof/>
                <w:sz w:val="24"/>
                <w:szCs w:val="24"/>
              </w:rPr>
              <w:t>Os Estados-Membros devem definir uma lista de prioridades para a vacinação, identificando e visando os principais grupos e comunidades da população, idealmente numa abordagem faseada. Essa lista deve ser flexível, a fim de permitir adaptações e atualizações quando estiverem disponíveis informações pormenorizadas sobre as vacinas e para responder à evolução epidemiológica.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Em curso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Os Estados-Membros devem desenvolver e levar a cabo exercícios de modelização (por exemplo, exercícios de previsão da procura e de intervenção em matéria de vacinas), de preferência num contexto que permita a aprendizagem e o intercâmbio de experiências a nível europeu. </w:t>
            </w:r>
            <w:r>
              <w:rPr>
                <w:rFonts w:ascii="Times New Roman" w:hAnsi="Times New Roman"/>
                <w:noProof/>
                <w:sz w:val="24"/>
                <w:szCs w:val="24"/>
              </w:rPr>
              <w:t xml:space="preserve">O Centro Europeu de Prevenção e Controlo das Doenças </w:t>
            </w:r>
            <w:r>
              <w:rPr>
                <w:rFonts w:ascii="Times New Roman" w:hAnsi="Times New Roman"/>
                <w:b w:val="0"/>
                <w:noProof/>
                <w:sz w:val="24"/>
                <w:szCs w:val="24"/>
              </w:rPr>
              <w:t>está a elaborar um modelo matemático destinado a apoiar os Estados-Membros no processo de tomada de decisão com vista ao planeamento da disponibilização das vacinas contra a COVID-19.</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De outubro a dezembro de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Os Estados-Membros devem reexaminar regularmente os fatores críticos - tais como a situação epidemiológica a nível nacional e subnacional, as novas evidências científicas sobre o vírus e o seu impacto na saúde humana, a adesão efetiva à vacina e quem adere, as capacidades de armazenamento e da cadeia de abastecimento e os recursos (humanos) necessários para a vacinação da população - e devem definir, reavaliar e adaptar em conformidade os objetivos, metas, prioridades e estratégias em matéria de vacinação contra a COVID-19.</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 xml:space="preserve">Em curso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Os Estados-Membros devem partilhar conhecimentos e experiências sobre o desenvolvimento e a aplicação das estratégias de vacinação, em especial no que diz respeito à definição e à cobertura dos grupos prioritários, através do Comité de Segurança da Saúde, coordenado pela Comissão Europeia.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Em curso</w:t>
            </w:r>
          </w:p>
        </w:tc>
      </w:tr>
    </w:tbl>
    <w:p>
      <w:pPr>
        <w:rPr>
          <w:noProof/>
        </w:rPr>
      </w:pPr>
    </w:p>
    <w:p>
      <w:pPr>
        <w:pStyle w:val="ManualHeading1"/>
        <w:spacing w:before="0" w:after="360"/>
        <w:rPr>
          <w:noProof/>
          <w:szCs w:val="24"/>
        </w:rPr>
      </w:pPr>
      <w:r>
        <w:rPr>
          <w:noProof/>
        </w:rPr>
        <w:t xml:space="preserve">5. </w:t>
      </w:r>
      <w:r>
        <w:rPr>
          <w:noProof/>
        </w:rPr>
        <w:tab/>
        <w:t>MEDIDAS INTERCALARES ATÉ QUE ESTEJAM DISPONÍVEIS VACINAS PARA UTILIZAÇÃO GENERALIZADA</w:t>
      </w:r>
    </w:p>
    <w:p>
      <w:pPr>
        <w:jc w:val="both"/>
        <w:rPr>
          <w:rFonts w:ascii="Times New Roman" w:hAnsi="Times New Roman" w:cs="Times New Roman"/>
          <w:noProof/>
          <w:sz w:val="24"/>
        </w:rPr>
      </w:pPr>
      <w:r>
        <w:rPr>
          <w:rFonts w:ascii="Times New Roman" w:hAnsi="Times New Roman"/>
          <w:noProof/>
          <w:sz w:val="24"/>
        </w:rPr>
        <w:t xml:space="preserve">Enquanto se aguarda a chegada de vacinas aprovadas, seguras e eficazes contra a COVID-19, e em paralelo com a salvaguarda do prosseguimento de outros serviços e programas de cuidados de saúde e de saúde pública essenciais, a UE deve continuar a envidar esforços no sentido de reduzir a transmissão do vírus. Para este efeito, é sobretudo necessário adotar medidas de saúde pública, proteger os grupos vulneráveis e sensibilizar os cidadãos para que adiram ativamente às medidas de saúde pública. </w:t>
      </w:r>
    </w:p>
    <w:p>
      <w:pPr>
        <w:jc w:val="both"/>
        <w:rPr>
          <w:rFonts w:ascii="Times New Roman" w:hAnsi="Times New Roman" w:cs="Times New Roman"/>
          <w:noProof/>
          <w:sz w:val="24"/>
        </w:rPr>
      </w:pPr>
      <w:r>
        <w:rPr>
          <w:rFonts w:ascii="Times New Roman" w:hAnsi="Times New Roman"/>
          <w:noProof/>
          <w:sz w:val="24"/>
        </w:rPr>
        <w:t xml:space="preserve">Até que esteja disponível uma vacina segura e eficaz contra a COVID-19, e muito provavelmente também durante as fases iniciais da implementação da vacinação, as medidas não farmacêuticas continuarão a ser a principal ferramenta de saúde pública para controlar e gerir os surtos de COVID-19. </w:t>
      </w:r>
    </w:p>
    <w:p>
      <w:pPr>
        <w:jc w:val="both"/>
        <w:rPr>
          <w:rFonts w:ascii="Times New Roman" w:hAnsi="Times New Roman" w:cs="Times New Roman"/>
          <w:noProof/>
          <w:sz w:val="24"/>
        </w:rPr>
      </w:pPr>
      <w:r>
        <w:rPr>
          <w:rFonts w:ascii="Times New Roman" w:hAnsi="Times New Roman"/>
          <w:noProof/>
          <w:sz w:val="24"/>
        </w:rPr>
        <w:t xml:space="preserve">Além disso, é fundamental assegurar que os sistemas de saúde europeus são capazes de responder adequadamente a um potencial agravamento da situação epidemiológica. A este respeito, a Comissão recorda as ações sublinhadas na comunicação sobre a preparação da UE a curto prazo no domínio da saúde para surtos de COVID-19, que continuam a ser essenciais como medidas intercalares até que uma vacina esteja disponível a uma escala suficiente para a vacinação generalizada. </w:t>
      </w:r>
    </w:p>
    <w:p>
      <w:pPr>
        <w:jc w:val="both"/>
        <w:rPr>
          <w:rFonts w:ascii="Times New Roman" w:hAnsi="Times New Roman" w:cs="Times New Roman"/>
          <w:noProof/>
          <w:sz w:val="24"/>
        </w:rPr>
      </w:pPr>
      <w:r>
        <w:rPr>
          <w:rFonts w:ascii="Times New Roman" w:hAnsi="Times New Roman"/>
          <w:noProof/>
          <w:sz w:val="24"/>
        </w:rPr>
        <w:t xml:space="preserve">Embora </w:t>
      </w:r>
      <w:r>
        <w:rPr>
          <w:rFonts w:ascii="Times New Roman" w:hAnsi="Times New Roman"/>
          <w:b/>
          <w:noProof/>
          <w:sz w:val="24"/>
        </w:rPr>
        <w:t>o domínio da saúde pública seja primeiramente da competência dos Estados-Membros</w:t>
      </w:r>
      <w:r>
        <w:rPr>
          <w:rFonts w:ascii="Times New Roman" w:hAnsi="Times New Roman"/>
          <w:noProof/>
          <w:sz w:val="24"/>
        </w:rPr>
        <w:t xml:space="preserve">, a Comissão e as agências da UE implementaram uma série de ações para apoiar as respostas dos Estados-Membros à COVID-19. </w:t>
      </w:r>
      <w:r>
        <w:rPr>
          <w:rFonts w:ascii="Times New Roman" w:hAnsi="Times New Roman"/>
          <w:b/>
          <w:noProof/>
          <w:sz w:val="24"/>
        </w:rPr>
        <w:t>Os testes, o rastreio dos contactos e a vigilância continuam a ser fundamentais para gerir a transmissão do coronavírus e quebrar as cadeias de infeção</w:t>
      </w:r>
      <w:r>
        <w:rPr>
          <w:rFonts w:ascii="Times New Roman" w:hAnsi="Times New Roman"/>
          <w:noProof/>
          <w:sz w:val="24"/>
        </w:rPr>
        <w:t>. A Comissão e os Estados-Membros chegaram recentemente a acordo sobre o alinhamento das estratégias e metodologias de testagem</w:t>
      </w:r>
      <w:r>
        <w:rPr>
          <w:rFonts w:ascii="Times New Roman" w:hAnsi="Times New Roman" w:cs="Times New Roman"/>
          <w:noProof/>
          <w:sz w:val="24"/>
          <w:vertAlign w:val="superscript"/>
        </w:rPr>
        <w:footnoteReference w:id="23"/>
      </w:r>
      <w:r>
        <w:rPr>
          <w:rFonts w:ascii="Times New Roman" w:hAnsi="Times New Roman"/>
          <w:noProof/>
          <w:sz w:val="24"/>
        </w:rPr>
        <w:t xml:space="preserve">. Este é um bom exemplo de uma abordagem flexível e coordenada, que agora tem de ser aplicada pelos Estados-Membros. Outros exemplos de ações coordenadas pela UE que estão atualmente a ser desenvolvidas incluem uma </w:t>
      </w:r>
      <w:r>
        <w:rPr>
          <w:rFonts w:ascii="Times New Roman" w:hAnsi="Times New Roman"/>
          <w:b/>
          <w:noProof/>
          <w:sz w:val="24"/>
        </w:rPr>
        <w:t>plataforma da UE para os formulários digitalizados de localização de passageiros</w:t>
      </w:r>
      <w:r>
        <w:rPr>
          <w:rFonts w:ascii="Times New Roman" w:hAnsi="Times New Roman"/>
          <w:noProof/>
          <w:sz w:val="24"/>
        </w:rPr>
        <w:t>, bem como iniciativas para</w:t>
      </w:r>
      <w:r>
        <w:rPr>
          <w:rFonts w:ascii="Times New Roman" w:hAnsi="Times New Roman"/>
          <w:b/>
          <w:noProof/>
          <w:sz w:val="24"/>
        </w:rPr>
        <w:t xml:space="preserve"> garantir a interoperabilidade entre as aplicações de alerta e de rastreio de contactos</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Em conjunto, estas medidas serão essenciais para garantir a mobilidade segura de todos os cidadãos da UE. </w:t>
      </w:r>
    </w:p>
    <w:p>
      <w:pPr>
        <w:jc w:val="both"/>
        <w:rPr>
          <w:rFonts w:ascii="Times New Roman" w:hAnsi="Times New Roman" w:cs="Times New Roman"/>
          <w:noProof/>
          <w:sz w:val="24"/>
        </w:rPr>
      </w:pPr>
      <w:r>
        <w:rPr>
          <w:rFonts w:ascii="Times New Roman" w:hAnsi="Times New Roman"/>
          <w:b/>
          <w:noProof/>
          <w:sz w:val="24"/>
        </w:rPr>
        <w:t>As contramedidas médicas, abrangendo por exemplo, o equipamento de proteção individual e as terapêuticas, também continuarão a ser cruciais.</w:t>
      </w:r>
      <w:r>
        <w:rPr>
          <w:rFonts w:ascii="Times New Roman" w:hAnsi="Times New Roman"/>
          <w:noProof/>
          <w:sz w:val="24"/>
        </w:rPr>
        <w:t xml:space="preserve"> Os Estados-Membros e a Comissão devem assegurar que os desafios ao nível do fornecimento, da disponibilidade e do acesso a estes produtos são superados em toda a UE e nos países vizinhos. A Comissão trabalhará em conjunto com os Estados-Membros e a indústria com vista a </w:t>
      </w:r>
      <w:r>
        <w:rPr>
          <w:rFonts w:ascii="Times New Roman" w:hAnsi="Times New Roman"/>
          <w:b/>
          <w:noProof/>
          <w:sz w:val="24"/>
        </w:rPr>
        <w:t>desenvolver o trabalho realizado pelo centro de coordenação</w:t>
      </w:r>
      <w:r>
        <w:rPr>
          <w:rFonts w:ascii="Times New Roman" w:hAnsi="Times New Roman"/>
          <w:noProof/>
          <w:sz w:val="24"/>
        </w:rPr>
        <w:t xml:space="preserve"> de equipamento médico e a </w:t>
      </w:r>
      <w:r>
        <w:rPr>
          <w:rFonts w:ascii="Times New Roman" w:hAnsi="Times New Roman"/>
          <w:b/>
          <w:noProof/>
          <w:sz w:val="24"/>
        </w:rPr>
        <w:t>recolher informações</w:t>
      </w:r>
      <w:r>
        <w:rPr>
          <w:rFonts w:ascii="Times New Roman" w:hAnsi="Times New Roman"/>
          <w:noProof/>
          <w:sz w:val="24"/>
        </w:rPr>
        <w:t xml:space="preserve"> sobre as necessidades e a disponibilidade de equipamento médico essencial. </w:t>
      </w:r>
    </w:p>
    <w:p>
      <w:pPr>
        <w:jc w:val="both"/>
        <w:rPr>
          <w:rFonts w:ascii="Times New Roman" w:hAnsi="Times New Roman" w:cs="Times New Roman"/>
          <w:noProof/>
          <w:sz w:val="24"/>
        </w:rPr>
      </w:pPr>
      <w:r>
        <w:rPr>
          <w:rFonts w:ascii="Times New Roman" w:hAnsi="Times New Roman"/>
          <w:noProof/>
          <w:sz w:val="24"/>
        </w:rPr>
        <w:t xml:space="preserve">Simultaneamente, </w:t>
      </w:r>
      <w:r>
        <w:rPr>
          <w:rFonts w:ascii="Times New Roman" w:hAnsi="Times New Roman"/>
          <w:b/>
          <w:noProof/>
          <w:sz w:val="24"/>
        </w:rPr>
        <w:t>os Estados-Membros e os outros signatários do Acordo de Contratação Pública Conjunta têm já acesso aos contratos públicos conjuntos em curso</w:t>
      </w:r>
      <w:r>
        <w:rPr>
          <w:rFonts w:ascii="Times New Roman" w:hAnsi="Times New Roman"/>
          <w:noProof/>
          <w:sz w:val="24"/>
        </w:rPr>
        <w:t xml:space="preserve"> para equipamentos de proteção individual, ventiladores e material de laboratório, estando previstos contratos públicos adicionais abrangendo medicamentos para unidades de cuidados intensivos e material para vacinação e que apoiem também campanhas de vacinação em grande escala. </w:t>
      </w:r>
      <w:r>
        <w:rPr>
          <w:rFonts w:ascii="Times New Roman" w:hAnsi="Times New Roman"/>
          <w:b/>
          <w:noProof/>
          <w:sz w:val="24"/>
        </w:rPr>
        <w:t>O transporte e o apoio logístico para garantir uma distribuição adequada das vacinas deve também continuar a ser uma prioridade</w:t>
      </w:r>
      <w:r>
        <w:rPr>
          <w:rFonts w:ascii="Times New Roman" w:hAnsi="Times New Roman"/>
          <w:noProof/>
          <w:sz w:val="24"/>
        </w:rPr>
        <w:t xml:space="preserve">. A Comissão deve continuar a apoiar os Estados-Membros neste domínio, conforme necessário, tirando pleno partido dos instrumentos ao seu dispor. Embora a abordagem da UE em matéria de apoio aos Estados-Membros ao nível da capacidade de resposta a aumentos generalizados da procura de cuidados de saúde se tenha centrado essencialmente no reforço dos mecanismos de solidariedade, importa não subestimar a importância das intervenções não farmacêuticas, uma vez que estas podem salvar vidas. </w:t>
      </w:r>
    </w:p>
    <w:p>
      <w:pPr>
        <w:jc w:val="both"/>
        <w:rPr>
          <w:rFonts w:ascii="Times New Roman" w:hAnsi="Times New Roman" w:cs="Times New Roman"/>
          <w:noProof/>
          <w:sz w:val="24"/>
        </w:rPr>
      </w:pPr>
      <w:r>
        <w:rPr>
          <w:rFonts w:ascii="Times New Roman" w:hAnsi="Times New Roman"/>
          <w:noProof/>
          <w:sz w:val="24"/>
        </w:rPr>
        <w:t xml:space="preserve">Quando a COVID-19 atingiu a Europa, ficaram a nu as lacunas existentes na preparação sanitária da UE. As estruturas e os mecanismos disponíveis no âmbito do quadro da UE para a segurança sanitária no domínio das ameaças transfronteiriças graves para a saúde facilitaram o intercâmbio de informações sobre a evolução da pandemia e apoiaram medidas nacionais específicas. Revelaram-se, no entanto, limitados na sua capacidade de dar uma resposta comum atempada a nível da UE, de coordenar os aspetos cruciais da comunicação do risco e de assegurar a solidariedade entre os Estados-Membros. Consequentemente, a Comissão tenciona apresentar brevemente propostas legislativas - definindo ações concretas e tangíveis - para assegurar o funcionamento do mercado interno e para reforçar o quadro de segurança da saúde, o Centro Europeu de Prevenção e Controlo das Doenças e a Agência Europeia de Medicamentos. Além disso, a Comissão está também a preparar uma </w:t>
      </w:r>
      <w:r>
        <w:rPr>
          <w:rFonts w:ascii="Times New Roman" w:hAnsi="Times New Roman"/>
          <w:b/>
          <w:noProof/>
          <w:sz w:val="24"/>
        </w:rPr>
        <w:t>proposta de criação de um equivalente europeu da «BARDA»</w:t>
      </w:r>
      <w:r>
        <w:rPr>
          <w:rStyle w:val="FootnoteReference"/>
          <w:rFonts w:ascii="Times New Roman" w:hAnsi="Times New Roman"/>
          <w:b/>
          <w:noProof/>
          <w:sz w:val="24"/>
        </w:rPr>
        <w:footnoteReference w:id="24"/>
      </w:r>
      <w:r>
        <w:rPr>
          <w:rFonts w:ascii="Times New Roman" w:hAnsi="Times New Roman"/>
          <w:b/>
          <w:noProof/>
          <w:sz w:val="24"/>
        </w:rPr>
        <w:t>, que trabalhará no domínio da investigação biomédica e da preparação e resposta</w:t>
      </w:r>
      <w:r>
        <w:rPr>
          <w:rFonts w:ascii="Times New Roman" w:hAnsi="Times New Roman"/>
          <w:noProof/>
          <w:sz w:val="24"/>
        </w:rPr>
        <w:t xml:space="preserve">, tal como anunciado pela presidente Ursula von der Leyen no discurso sobre o estado da União. Tal deverá constituir um passo importante no sentido de alcançar um nível mais elevado de autonomia estratégica aberta para o desenvolvimento e a disponibilização de produtos farmacêuticos e de contramedidas para as ameaças sanitárias a nível mais geral. </w:t>
      </w:r>
    </w:p>
    <w:p>
      <w:pPr>
        <w:jc w:val="both"/>
        <w:rPr>
          <w:rFonts w:ascii="Times New Roman" w:hAnsi="Times New Roman" w:cs="Times New Roman"/>
          <w:noProof/>
          <w:sz w:val="24"/>
        </w:rPr>
      </w:pPr>
      <w:r>
        <w:rPr>
          <w:rFonts w:ascii="Times New Roman" w:hAnsi="Times New Roman"/>
          <w:noProof/>
          <w:sz w:val="24"/>
        </w:rPr>
        <w:t xml:space="preserve">Em conclusão, durante e após o período que decorrerá até à disponibilização generalizada de vacinas seguras e eficazes contra a COVID-19, </w:t>
      </w:r>
      <w:r>
        <w:rPr>
          <w:rFonts w:ascii="Times New Roman" w:hAnsi="Times New Roman"/>
          <w:b/>
          <w:noProof/>
          <w:sz w:val="24"/>
        </w:rPr>
        <w:t>importa prosseguir e reforçar os esforços em consonância com a evolução epidemiológica e assegurar, tanto quanto possível, a contenção da propagação do coronavírus</w:t>
      </w:r>
      <w:r>
        <w:rPr>
          <w:rFonts w:ascii="Times New Roman" w:hAnsi="Times New Roman"/>
          <w:noProof/>
          <w:sz w:val="24"/>
        </w:rPr>
        <w:t xml:space="preserve">. A obtenção de melhores diagnósticos apoiará os esforços de deteção e rastreio de contactos, uma reação atempada e específica a surtos e focos localizados, bem como a prevenção da exposição de grandes grupos de pessoas, por exemplo nos aeroportos ou nos aviões. A melhoria dos tratamentos ajudará a reduzir a taxa de mortalidade, em especial entre os atuais grupos de risco, e contribuirá assim para reduzir a pressão sobre os sistemas de saúde, melhorando a capacidade para lidar com outras doenças e salvar vidas. </w:t>
      </w:r>
    </w:p>
    <w:p>
      <w:pPr>
        <w:jc w:val="both"/>
        <w:rPr>
          <w:rFonts w:ascii="Times New Roman" w:hAnsi="Times New Roman" w:cs="Times New Roman"/>
          <w:noProof/>
          <w:sz w:val="28"/>
          <w:szCs w:val="24"/>
        </w:rPr>
      </w:pPr>
      <w:r>
        <w:rPr>
          <w:rFonts w:ascii="Times New Roman" w:hAnsi="Times New Roman"/>
          <w:noProof/>
          <w:sz w:val="24"/>
        </w:rPr>
        <w:t xml:space="preserve">Quando forem autorizadas e introduzidas no mercado europeu vacinas seguras, eficazes e de elevada qualidade contra a COVID-19, a solidariedade ao nível da contratação pública e da disponibilização de uma ampla carteira de vacinas da COVID-19 contribuirá para fazer sair a Europa, e o mundo, da «fase de emergência» da pandemia. Quando estiverem disponíveis, </w:t>
      </w:r>
      <w:r>
        <w:rPr>
          <w:rFonts w:ascii="Times New Roman" w:hAnsi="Times New Roman"/>
          <w:b/>
          <w:noProof/>
          <w:sz w:val="24"/>
        </w:rPr>
        <w:t>as carteiras de vacinas devem servir de fio condutor para a implementação das estratégias de vacinação que estão atualmente a ser desenvolvidas pelos Estados-Membros</w:t>
      </w:r>
      <w:r>
        <w:rPr>
          <w:rFonts w:ascii="Times New Roman" w:hAnsi="Times New Roman"/>
          <w:noProof/>
          <w:sz w:val="24"/>
        </w:rPr>
        <w:t xml:space="preserve">. Essas estratégias devem ser alinhadas com os parâmetros fundamentais descritos na presente comunicação. </w:t>
      </w:r>
      <w:r>
        <w:rPr>
          <w:rFonts w:ascii="Times New Roman" w:hAnsi="Times New Roman"/>
          <w:b/>
          <w:noProof/>
          <w:sz w:val="24"/>
        </w:rPr>
        <w:t>A preparação e a coordenação continuam a ser essenciais para superar a pandemia e salvar vidas</w:t>
      </w:r>
      <w:r>
        <w:rPr>
          <w:rFonts w:ascii="Times New Roman" w:hAnsi="Times New Roman"/>
          <w:noProof/>
          <w:sz w:val="24"/>
        </w:rPr>
        <w:t xml:space="preserve">. </w:t>
      </w:r>
    </w:p>
    <w:p>
      <w:pPr>
        <w:jc w:val="both"/>
        <w:rPr>
          <w:rFonts w:ascii="Times New Roman" w:hAnsi="Times New Roman" w:cs="Times New Roman"/>
          <w:noProof/>
          <w:sz w:val="28"/>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https://www.ecdc.europa.eu/en/publications-data/covid-19-risk-assessment-increased-transmission-twelfth-update</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Desde 31 de dezembro de 2019 e até 11 de outubro de 2020, foram notificados na UE/EEE e no Reino Unido 4 051 387 casos de COVID-19 (de acordo com as definições de caso e as estratégias de testagem aplicadas nos países afetados) e 195 217 mortes [Fonte</w:t>
      </w:r>
      <w:r>
        <w:t>:</w:t>
      </w:r>
      <w:r>
        <w:rPr>
          <w:rFonts w:ascii="Times New Roman" w:hAnsi="Times New Roman"/>
        </w:rPr>
        <w:t xml:space="preserve"> Atualização diária da situação feita pelo Centro Europeu de Prevenção e Controlo das Doenças (ECDC),</w:t>
      </w:r>
      <w:r>
        <w:t xml:space="preserve"> </w:t>
      </w:r>
      <w:hyperlink r:id="rId2" w:history="1">
        <w:r>
          <w:rPr>
            <w:rStyle w:val="Hyperlink"/>
            <w:rFonts w:ascii="Times New Roman" w:hAnsi="Times New Roman"/>
          </w:rPr>
          <w:t>https://www.ecdc.europa.eu/en/cases-2019-ncov-eueea</w:t>
        </w:r>
      </w:hyperlink>
      <w:r>
        <w:rPr>
          <w:rFonts w:ascii="Times New Roman" w:hAnsi="Times New Roman"/>
        </w:rPr>
        <w:t>).</w:t>
      </w:r>
      <w:r>
        <w:t>].</w:t>
      </w:r>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Estas incluem a utilização de máscaras, a obrigação ou recomendação de permanecer em casa, o encerramento de locais públicos, a limitação do número de pessoas que se podem reunir em espaços interiores e exteriores, o teletrabalho e a adaptação dos locais de trabalho (para este último aspeto estão disponíveis orientações da Agência Europeia para a Segurança e Saúde no Trabalho através da seguinte ligação: </w:t>
      </w:r>
      <w:hyperlink r:id="rId3" w:history="1">
        <w:r>
          <w:rPr>
            <w:rStyle w:val="Hyperlink"/>
            <w:rFonts w:ascii="Times New Roman" w:hAnsi="Times New Roman"/>
          </w:rPr>
          <w:t>https://osha.europa.eu/en/highlights/covid-19-guidance-workplace</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https://ec.europa.eu/commission/presscorner/detail/en/SPEECH_20_1655</w:t>
        </w:r>
      </w:hyperlink>
      <w:r>
        <w:rPr>
          <w:rFonts w:ascii="Times New Roman" w:hAnsi="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 desenvolvimento de vacinas contra a COVID-19 é apoiado pela UE mediante o financiamento direto de projetos de investigação, a concessão de acordos de financiamento de dívida pelo Banco Europeu de Investimento aos produtores de vacinas e o apoio prestado à Coligação para a Inovação na Preparação para Epidemias</w:t>
      </w:r>
      <w:r>
        <w:t xml:space="preserve"> (</w:t>
      </w:r>
      <w:hyperlink r:id="rId5" w:history="1">
        <w:r>
          <w:rPr>
            <w:rStyle w:val="Hyperlink"/>
            <w:rFonts w:ascii="Times New Roman" w:hAnsi="Times New Roman"/>
            <w:color w:val="004494"/>
          </w:rPr>
          <w:t>CEPI</w:t>
        </w:r>
      </w:hyperlink>
      <w:r>
        <w:t>).</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https://www.consilium.europa.eu/media/45910/021020-euco-final-conclusions.pdf</w:t>
        </w:r>
      </w:hyperlink>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https://eur-lex.europa.eu/legal-content/EN/TXT/?qid=1602083349633&amp;uri=CELEX:52020DC0318</w:t>
        </w:r>
      </w:hyperlink>
      <w:r>
        <w:rPr>
          <w:rFonts w:ascii="Times New Roman" w:hAnsi="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https://eur-lex.europa.eu/legal-content/EN/TXT/?qid=1597339415327&amp;uri=CELEX:52020DC0245</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Financiados pelo Instrumento de Apoio de Emergência (ESI), base jurídica de 2016: </w:t>
      </w:r>
      <w:hyperlink r:id="rId9" w:history="1">
        <w:r>
          <w:rPr>
            <w:rStyle w:val="Hyperlink"/>
            <w:rFonts w:ascii="Times New Roman" w:hAnsi="Times New Roman"/>
          </w:rPr>
          <w:t>https://eur-lex.europa.eu/eli/reg/2016/369/oj</w:t>
        </w:r>
      </w:hyperlink>
      <w:r>
        <w:rPr>
          <w:rFonts w:ascii="Times New Roman" w:hAnsi="Times New Roman"/>
        </w:rPr>
        <w:t>; ativação em 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Em 14 de agosto, a Comissão celebrou um primeiro acordo, com a empresa farmacêutica AstraZeneca, para a aquisição de 300 milhões de doses de uma potencial vacina contra a COVID-19. Em 18 de setembro, foi assinado um segundo contrato, com a Sanofi-GSK, para uma opção que permitirá a todos os Estados-Membros adquirir até 300 milhões de doses da vacina da Sanofi-GSK. Em 8 de outubro, a Comissão aprovou um acordo prévio de aquisição com a Pharmaceutica NV, uma das empresas farmacêuticas Janssen da Johnson &amp; Johnson, que permite aos Estados-Membros adquirir vacinas para 200 milhões de pessoas.</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Style w:val="None"/>
          <w:rFonts w:ascii="Times New Roman" w:hAnsi="Times New Roman"/>
        </w:rPr>
        <w:t>Acordada pela Comissão e pelos Estados-Membros no acordo sobre a abordagem comum da UE para a aquisição de vacinas contra a COVID-19, adotado pela Comissão em 17 de junho e aprovado por todos os Estados-Membros</w:t>
      </w:r>
      <w:r>
        <w:rPr>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Style w:val="Hyperlink"/>
            <w:rFonts w:ascii="Times New Roman" w:hAnsi="Times New Roman"/>
          </w:rPr>
          <w:t>https://ec.europa.eu/commission/presscorner/detail/pt/IP_20_1694</w:t>
        </w:r>
      </w:hyperlink>
      <w:r>
        <w:rPr>
          <w:rFonts w:ascii="Times New Roman" w:hAnsi="Times New Roman"/>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Em casos devidamente justificados, a fim de responder a necessidades médicas não satisfeitas dos doentes, uma autorização de introdução no mercado pode, no caso de medicamentos destinados ao tratamento, à prevenção ou ao diagnóstico médico de doenças gravemente debilitantes ou potencialmente mortais, ser concedida antes da apresentação de dados clínicos completos, desde que os benefícios decorrentes da disponibilidade imediata no mercado do medicamento em questão sejam superiores ao risco inerente ao facto de serem ainda necessários mais dados. Em situações de emergência, uma autorização de introdução no mercado para os referidos medicamentos pode também ser concedida no caso de não terem sido fornecidos dados pré-clínicos ou farmacêuticos completos.</w:t>
      </w:r>
    </w:p>
  </w:footnote>
  <w:footnote w:id="15">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OMS Europa, </w:t>
      </w:r>
      <w:r>
        <w:rPr>
          <w:rFonts w:ascii="Times New Roman" w:hAnsi="Times New Roman"/>
          <w:i/>
          <w:lang w:val="en-US"/>
        </w:rPr>
        <w:t>Strategic considerations in preparing for deployment of COVID-19 vaccine and vaccination in the WHO European Region</w:t>
      </w:r>
      <w:r>
        <w:rPr>
          <w:rFonts w:ascii="Times New Roman" w:hAnsi="Times New Roman"/>
          <w:lang w:val="en-US"/>
        </w:rPr>
        <w:t xml:space="preserve">, 21 de setembro de 2020. </w:t>
      </w:r>
    </w:p>
  </w:footnote>
  <w:footnote w:id="16">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1" w:history="1">
        <w:r>
          <w:rPr>
            <w:rStyle w:val="Hyperlink"/>
            <w:rFonts w:ascii="Times New Roman" w:hAnsi="Times New Roman"/>
            <w:lang w:val="en-US"/>
          </w:rPr>
          <w:t>https://eur-lex.europa.eu/legal-content/pt/TXT/?uri=COM%3A2018%3A245%3AFIN</w:t>
        </w:r>
      </w:hyperlink>
      <w:r>
        <w:rPr>
          <w:rFonts w:ascii="Times New Roman" w:hAnsi="Times New Roman"/>
          <w:lang w:val="en-US"/>
        </w:rPr>
        <w:t xml:space="preserve"> </w:t>
      </w:r>
    </w:p>
  </w:footnote>
  <w:footnote w:id="17">
    <w:p>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2" w:history="1">
        <w:r>
          <w:rPr>
            <w:rStyle w:val="Hyperlink"/>
            <w:rFonts w:ascii="Times New Roman" w:hAnsi="Times New Roman"/>
            <w:lang w:val="en-US"/>
          </w:rPr>
          <w:t>https://static1.squarespace.com/static/5d4d746d648a4e0001186e38/t/5da9a66cda5d5c5fdd6d5816/1571399327071/2018_vaccine_confidence_en.pdf</w:t>
        </w:r>
      </w:hyperlink>
      <w:r>
        <w:rPr>
          <w:rFonts w:ascii="Times New Roman" w:hAnsi="Times New Roman"/>
          <w:lang w:val="en-US"/>
        </w:rPr>
        <w:t xml:space="preserve"> </w:t>
      </w:r>
    </w:p>
  </w:footnote>
  <w:footnote w:id="18">
    <w:p>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3" w:history="1">
        <w:r>
          <w:rPr>
            <w:rStyle w:val="Hyperlink"/>
            <w:rFonts w:ascii="Times New Roman" w:hAnsi="Times New Roman"/>
            <w:lang w:val="en-US"/>
          </w:rPr>
          <w:t>https://static1.squarespace.com/static/5d4d746d648a4e0001186e38/t/5da9a9ee57ce312451325890/1571400178293/wellcome-global-monitor-2018.pdf</w:t>
        </w:r>
      </w:hyperlink>
      <w:r>
        <w:rPr>
          <w:rFonts w:ascii="Times New Roman" w:hAnsi="Times New Roman"/>
          <w:lang w:val="en-US"/>
        </w:rPr>
        <w:t xml:space="preserve"> </w:t>
      </w:r>
    </w:p>
  </w:footnote>
  <w:footnote w:id="19">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4" w:history="1">
        <w:r>
          <w:rPr>
            <w:rStyle w:val="Hyperlink"/>
            <w:rFonts w:ascii="Times New Roman" w:hAnsi="Times New Roman"/>
            <w:lang w:val="en-US"/>
          </w:rPr>
          <w:t>https://eur-lex.europa.eu/legal-content/PT/TXT/?uri=CELEX%3A52020JC0008</w:t>
        </w:r>
      </w:hyperlink>
      <w:r>
        <w:rPr>
          <w:rFonts w:ascii="Times New Roman" w:hAnsi="Times New Roman"/>
          <w:lang w:val="en-US"/>
        </w:rPr>
        <w:t xml:space="preserve"> </w:t>
      </w:r>
    </w:p>
  </w:footnote>
  <w:footnote w:id="20">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5" w:history="1">
        <w:r>
          <w:rPr>
            <w:rStyle w:val="Hyperlink"/>
            <w:rFonts w:ascii="Times New Roman" w:hAnsi="Times New Roman"/>
            <w:lang w:val="en-US"/>
          </w:rPr>
          <w:t>https://www.ecdc.europa.eu/en/about-us/partnerships-and-networks/national-immunisation-technical-advisory-groups-nitag</w:t>
        </w:r>
      </w:hyperlink>
      <w:r>
        <w:rPr>
          <w:rFonts w:ascii="Times New Roman" w:hAnsi="Times New Roman"/>
          <w:lang w:val="en-US"/>
        </w:rPr>
        <w:t xml:space="preserve"> </w:t>
      </w:r>
    </w:p>
  </w:footnote>
  <w:footnote w:id="21">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6" w:history="1">
        <w:r>
          <w:rPr>
            <w:rStyle w:val="Hyperlink"/>
            <w:rFonts w:ascii="Times New Roman" w:hAnsi="Times New Roman"/>
            <w:lang w:val="en-US"/>
          </w:rPr>
          <w:t>https://apps.who.int/iris/bitstream/handle/10665/334299/WHO-2019-nCoV-SAGE_Framework-Allocation_and_prioritization-2020.1-eng.pdf?sequence=1&amp;isAllowed=y</w:t>
        </w:r>
      </w:hyperlink>
      <w:r>
        <w:rPr>
          <w:rFonts w:ascii="Times New Roman" w:hAnsi="Times New Roman"/>
          <w:lang w:val="en-US"/>
        </w:rPr>
        <w:t xml:space="preserve"> </w:t>
      </w:r>
    </w:p>
  </w:footnote>
  <w:footnote w:id="22">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7" w:history="1">
        <w:r>
          <w:rPr>
            <w:rStyle w:val="Hyperlink"/>
            <w:rFonts w:ascii="Times New Roman" w:hAnsi="Times New Roman"/>
            <w:lang w:val="en-US"/>
          </w:rPr>
          <w:t>https://www.nap.edu/catalog/25917/framework-for-equitable-allocation-of-covid-19-vaccine</w:t>
        </w:r>
      </w:hyperlink>
      <w:r>
        <w:rPr>
          <w:rFonts w:ascii="Times New Roman" w:hAnsi="Times New Roman"/>
          <w:lang w:val="en-US"/>
        </w:rPr>
        <w:t xml:space="preserve"> </w:t>
      </w:r>
    </w:p>
  </w:footnote>
  <w:footnote w:id="23">
    <w:p>
      <w:pPr>
        <w:pStyle w:val="FootnoteText"/>
        <w:rPr>
          <w:rFonts w:ascii="Times New Roman" w:hAnsi="Times New Roman" w:cs="Times New Roman"/>
          <w:lang w:val="en-US"/>
        </w:rPr>
      </w:pPr>
      <w:r>
        <w:rPr>
          <w:rStyle w:val="FootnoteReference"/>
          <w:rFonts w:ascii="Times New Roman" w:hAnsi="Times New Roman" w:cs="Times New Roman"/>
        </w:rPr>
        <w:footnoteRef/>
      </w:r>
      <w:r>
        <w:rPr>
          <w:rStyle w:val="FootnoteReference"/>
          <w:rFonts w:ascii="Times New Roman" w:hAnsi="Times New Roman"/>
          <w:vertAlign w:val="baseline"/>
          <w:lang w:val="en-US"/>
        </w:rPr>
        <w:t xml:space="preserve"> </w:t>
      </w:r>
      <w:hyperlink r:id="rId18" w:history="1">
        <w:r>
          <w:rPr>
            <w:rStyle w:val="Hyperlink"/>
            <w:rFonts w:ascii="Times New Roman" w:hAnsi="Times New Roman"/>
            <w:lang w:val="en-US"/>
          </w:rPr>
          <w:t>https://ec.europa.eu/health/sites/health/files/preparedness_response/docs/common_testingapproach_covid-19_en.pdf</w:t>
        </w:r>
      </w:hyperlink>
      <w:r>
        <w:rPr>
          <w:rFonts w:ascii="Times New Roman" w:hAnsi="Times New Roman"/>
          <w:lang w:val="en-US"/>
        </w:rPr>
        <w:t xml:space="preserve"> </w:t>
      </w:r>
    </w:p>
  </w:footnote>
  <w:footnote w:id="24">
    <w:p>
      <w:pPr>
        <w:pStyle w:val="FootnoteText"/>
        <w:rPr>
          <w:rFonts w:ascii="Times New Roman" w:hAnsi="Times New Roman" w:cs="Times New Roman"/>
          <w:b/>
          <w:bCs/>
        </w:rPr>
      </w:pPr>
      <w:r>
        <w:rPr>
          <w:rStyle w:val="FootnoteReference"/>
          <w:rFonts w:ascii="Times New Roman" w:hAnsi="Times New Roman" w:cs="Times New Roman"/>
        </w:rPr>
        <w:footnoteRef/>
      </w:r>
      <w:r>
        <w:rPr>
          <w:rFonts w:ascii="Times New Roman" w:hAnsi="Times New Roman"/>
          <w:bCs/>
        </w:rPr>
        <w:t>Autoridade Biomédica de Investigação e Desenvolvimento Avançados</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F9E"/>
    <w:multiLevelType w:val="hybridMultilevel"/>
    <w:tmpl w:val="67B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1ED7"/>
    <w:multiLevelType w:val="hybridMultilevel"/>
    <w:tmpl w:val="2FAC539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41F609A"/>
    <w:multiLevelType w:val="hybridMultilevel"/>
    <w:tmpl w:val="870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6673F22"/>
    <w:multiLevelType w:val="hybridMultilevel"/>
    <w:tmpl w:val="5466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85952"/>
    <w:multiLevelType w:val="hybridMultilevel"/>
    <w:tmpl w:val="ADF633AE"/>
    <w:lvl w:ilvl="0" w:tplc="8F30CA7C">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7A0023-8108-47A6-8B27-34233941343F"/>
    <w:docVar w:name="LW_COVERPAGE_TYPE" w:val="1"/>
    <w:docVar w:name="LW_CROSSREFERENCE" w:val="&lt;UNUSED&gt;"/>
    <w:docVar w:name="LW_DocType" w:val="NORMAL"/>
    <w:docVar w:name="LW_EMISSION" w:val="15.10.2020"/>
    <w:docVar w:name="LW_EMISSION_ISODATE" w:val="2020-10-15"/>
    <w:docVar w:name="LW_EMISSION_LOCATION" w:val="BRX"/>
    <w:docVar w:name="LW_EMISSION_PREFIX" w:val="Bruxelas, "/>
    <w:docVar w:name="LW_EMISSION_SUFFIX" w:val=" "/>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6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gt;Preparação para as estratégias de vacinação contra a COVID-19 e a disponibilização das vacinas&lt;/FMT&gt;_x000b__x000b_"/>
    <w:docVar w:name="LW_TYPE.DOC.CP" w:val="COMUNICAÇÃO DA COMISSÃO"/>
    <w:docVar w:name="LW_TYPE.DOC.CP.USERTEXT" w:val="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367">
      <w:bodyDiv w:val="1"/>
      <w:marLeft w:val="0"/>
      <w:marRight w:val="0"/>
      <w:marTop w:val="0"/>
      <w:marBottom w:val="0"/>
      <w:divBdr>
        <w:top w:val="none" w:sz="0" w:space="0" w:color="auto"/>
        <w:left w:val="none" w:sz="0" w:space="0" w:color="auto"/>
        <w:bottom w:val="none" w:sz="0" w:space="0" w:color="auto"/>
        <w:right w:val="none" w:sz="0" w:space="0" w:color="auto"/>
      </w:divBdr>
    </w:div>
    <w:div w:id="502357550">
      <w:bodyDiv w:val="1"/>
      <w:marLeft w:val="0"/>
      <w:marRight w:val="0"/>
      <w:marTop w:val="0"/>
      <w:marBottom w:val="0"/>
      <w:divBdr>
        <w:top w:val="none" w:sz="0" w:space="0" w:color="auto"/>
        <w:left w:val="none" w:sz="0" w:space="0" w:color="auto"/>
        <w:bottom w:val="none" w:sz="0" w:space="0" w:color="auto"/>
        <w:right w:val="none" w:sz="0" w:space="0" w:color="auto"/>
      </w:divBdr>
    </w:div>
    <w:div w:id="896166300">
      <w:bodyDiv w:val="1"/>
      <w:marLeft w:val="0"/>
      <w:marRight w:val="0"/>
      <w:marTop w:val="0"/>
      <w:marBottom w:val="0"/>
      <w:divBdr>
        <w:top w:val="none" w:sz="0" w:space="0" w:color="auto"/>
        <w:left w:val="none" w:sz="0" w:space="0" w:color="auto"/>
        <w:bottom w:val="none" w:sz="0" w:space="0" w:color="auto"/>
        <w:right w:val="none" w:sz="0" w:space="0" w:color="auto"/>
      </w:divBdr>
    </w:div>
    <w:div w:id="1176460269">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97339415327&amp;uri=CELEX:52020DC0245" TargetMode="External"/><Relationship Id="rId13" Type="http://schemas.openxmlformats.org/officeDocument/2006/relationships/hyperlink" Target="https://static1.squarespace.com/static/5d4d746d648a4e0001186e38/t/5da9a9ee57ce312451325890/1571400178293/wellcome-global-monitor-2018.pdf" TargetMode="External"/><Relationship Id="rId18" Type="http://schemas.openxmlformats.org/officeDocument/2006/relationships/hyperlink" Target="https://ec.europa.eu/health/sites/health/files/preparedness_response/docs/common_testingapproach_covid-19_en.pdf" TargetMode="External"/><Relationship Id="rId3" Type="http://schemas.openxmlformats.org/officeDocument/2006/relationships/hyperlink" Target="https://osha.europa.eu/en/highlights/covid-19-guidance-workplace" TargetMode="External"/><Relationship Id="rId7" Type="http://schemas.openxmlformats.org/officeDocument/2006/relationships/hyperlink" Target="https://eur-lex.europa.eu/legal-content/EN/TXT/?qid=1602083349633&amp;uri=CELEX:52020DC0318" TargetMode="External"/><Relationship Id="rId12" Type="http://schemas.openxmlformats.org/officeDocument/2006/relationships/hyperlink" Target="https://static1.squarespace.com/static/5d4d746d648a4e0001186e38/t/5da9a66cda5d5c5fdd6d5816/1571399327071/2018_vaccine_confidence_en.pdf" TargetMode="External"/><Relationship Id="rId17" Type="http://schemas.openxmlformats.org/officeDocument/2006/relationships/hyperlink" Target="https://www.nap.edu/catalog/25917/framework-for-equitable-allocation-of-covid-19-vaccine" TargetMode="External"/><Relationship Id="rId2" Type="http://schemas.openxmlformats.org/officeDocument/2006/relationships/hyperlink" Target="https://www.ecdc.europa.eu/en/cases-2019-ncov-eueea" TargetMode="External"/><Relationship Id="rId16" Type="http://schemas.openxmlformats.org/officeDocument/2006/relationships/hyperlink" Target="https://apps.who.int/iris/bitstream/handle/10665/334299/WHO-2019-nCoV-SAGE_Framework-Allocation_and_prioritization-2020.1-eng.pdf?sequence=1&amp;isAllowed=y" TargetMode="External"/><Relationship Id="rId1" Type="http://schemas.openxmlformats.org/officeDocument/2006/relationships/hyperlink" Target="https://www.ecdc.europa.eu/en/publications-data/covid-19-risk-assessment-increased-transmission-twelfth-update"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eur-lex.europa.eu/legal-content/pt/TXT/?uri=COM:2018:245:FIN" TargetMode="External"/><Relationship Id="rId5" Type="http://schemas.openxmlformats.org/officeDocument/2006/relationships/hyperlink" Target="https://cepi.net/" TargetMode="External"/><Relationship Id="rId15" Type="http://schemas.openxmlformats.org/officeDocument/2006/relationships/hyperlink" Target="https://www.ecdc.europa.eu/en/about-us/partnerships-and-networks/national-immunisation-technical-advisory-groups-nitag" TargetMode="External"/><Relationship Id="rId10" Type="http://schemas.openxmlformats.org/officeDocument/2006/relationships/hyperlink" Target="https://ec.europa.eu/commission/presscorner/detail/pt/IP_20_1694" TargetMode="External"/><Relationship Id="rId4" Type="http://schemas.openxmlformats.org/officeDocument/2006/relationships/hyperlink" Target="https://ec.europa.eu/commission/presscorner/detail/en/SPEECH_20_1655" TargetMode="External"/><Relationship Id="rId9" Type="http://schemas.openxmlformats.org/officeDocument/2006/relationships/hyperlink" Target="https://eur-lex.europa.eu/eli/reg/2016/369/oj" TargetMode="External"/><Relationship Id="rId14" Type="http://schemas.openxmlformats.org/officeDocument/2006/relationships/hyperlink" Target="https://eur-lex.europa.eu/legal-content/EN/TXT/?uri=CELEX: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329AB6-9630-4B3F-BFC2-C03E820E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7422</Words>
  <Characters>41047</Characters>
  <Application>Microsoft Office Word</Application>
  <DocSecurity>0</DocSecurity>
  <Lines>684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2020-10-10T16:42:00Z</cp:lastPrinted>
  <dcterms:created xsi:type="dcterms:W3CDTF">2020-10-14T12:50:00Z</dcterms:created>
  <dcterms:modified xsi:type="dcterms:W3CDTF">2020-10-15T07:27:00Z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ies>
</file>