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1FD7A2DC-D9D0-4BBC-8B2D-CEC8C3E7CD63" style="width:450.75pt;height:361.5pt">
            <v:imagedata r:id="rId9" o:title=""/>
          </v:shape>
        </w:pict>
      </w:r>
    </w:p>
    <w:bookmarkEnd w:id="0"/>
    <w:p>
      <w:pPr>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numPr>
          <w:ilvl w:val="0"/>
          <w:numId w:val="10"/>
        </w:numPr>
        <w:spacing w:after="240"/>
        <w:ind w:left="714" w:hanging="357"/>
        <w:rPr>
          <w:rFonts w:eastAsia="Times New Roman"/>
          <w:noProof/>
          <w:color w:val="auto"/>
          <w:lang w:eastAsia="en-GB"/>
        </w:rPr>
      </w:pPr>
      <w:bookmarkStart w:id="1" w:name="_GoBack"/>
      <w:bookmarkEnd w:id="1"/>
      <w:r>
        <w:rPr>
          <w:rFonts w:eastAsia="Times New Roman"/>
          <w:noProof/>
          <w:color w:val="auto"/>
          <w:lang w:eastAsia="en-GB"/>
        </w:rPr>
        <w:lastRenderedPageBreak/>
        <w:t>Introduction</w:t>
      </w:r>
    </w:p>
    <w:p>
      <w:pPr>
        <w:spacing w:after="240"/>
        <w:jc w:val="both"/>
        <w:rPr>
          <w:rFonts w:ascii="Times New Roman" w:hAnsi="Times New Roman" w:cs="Times New Roman"/>
          <w:noProof/>
          <w:sz w:val="24"/>
          <w:szCs w:val="24"/>
        </w:rPr>
      </w:pPr>
      <w:r>
        <w:rPr>
          <w:rFonts w:ascii="Times New Roman" w:hAnsi="Times New Roman" w:cs="Times New Roman"/>
          <w:noProof/>
          <w:sz w:val="24"/>
          <w:szCs w:val="24"/>
        </w:rPr>
        <w:t>The EU’s Birds</w:t>
      </w:r>
      <w:r>
        <w:rPr>
          <w:rStyle w:val="FootnoteReference"/>
          <w:rFonts w:ascii="Times New Roman" w:hAnsi="Times New Roman" w:cs="Times New Roman"/>
          <w:noProof/>
          <w:sz w:val="24"/>
          <w:szCs w:val="24"/>
        </w:rPr>
        <w:footnoteReference w:id="1"/>
      </w:r>
      <w:r>
        <w:rPr>
          <w:rFonts w:ascii="Times New Roman" w:hAnsi="Times New Roman" w:cs="Times New Roman"/>
          <w:noProof/>
          <w:sz w:val="24"/>
          <w:szCs w:val="24"/>
        </w:rPr>
        <w:t xml:space="preserve"> and Habitats</w:t>
      </w:r>
      <w:r>
        <w:rPr>
          <w:rStyle w:val="FootnoteReference"/>
          <w:rFonts w:ascii="Times New Roman" w:hAnsi="Times New Roman" w:cs="Times New Roman"/>
          <w:noProof/>
          <w:sz w:val="24"/>
          <w:szCs w:val="24"/>
        </w:rPr>
        <w:footnoteReference w:id="2"/>
      </w:r>
      <w:r>
        <w:rPr>
          <w:rFonts w:ascii="Times New Roman" w:hAnsi="Times New Roman" w:cs="Times New Roman"/>
          <w:noProof/>
          <w:sz w:val="24"/>
          <w:szCs w:val="24"/>
        </w:rPr>
        <w:t xml:space="preserve"> Directives (the ‘nature directives’), which are the basis of the Natura 2000 network of protected areas, form a cornerstone of EU biodiversity policy. They seek to ensure the conservation of species and habitat types of EU importance, protecting all wild birds (over 460 species), representative and threatened habitats (233 types, from marine seagrass beds to alpine grasslands) and almost 1 400 additional species, from tiny plants to mammals, including many iconic wildlife species. They require the Member States to maintain and restore the favourable conservation status of these species and habitats.</w:t>
      </w:r>
    </w:p>
    <w:p>
      <w:pPr>
        <w:spacing w:after="240"/>
        <w:jc w:val="both"/>
        <w:rPr>
          <w:rFonts w:ascii="Times New Roman" w:hAnsi="Times New Roman" w:cs="Times New Roman"/>
          <w:noProof/>
          <w:sz w:val="24"/>
          <w:szCs w:val="24"/>
        </w:rPr>
      </w:pPr>
      <w:r>
        <w:rPr>
          <w:rFonts w:ascii="Times New Roman" w:hAnsi="Times New Roman" w:cs="Times New Roman"/>
          <w:noProof/>
          <w:sz w:val="24"/>
          <w:szCs w:val="24"/>
        </w:rPr>
        <w:t>To enable the Commission to gauge progress towards the nature directives’ goals, the Member States are required to report to it every 6 years as required under Article 12 of the Birds Directive and Article 17 of the Habitats Directive, in particular on the conservation status and trends of the habitats and species they protect. This composite report, the third EU conservation status assessment under the directives, is the result of the largest and most extensive data</w:t>
      </w:r>
      <w:r>
        <w:rPr>
          <w:rFonts w:ascii="Times New Roman" w:hAnsi="Times New Roman" w:cs="Times New Roman"/>
          <w:noProof/>
          <w:sz w:val="24"/>
          <w:szCs w:val="24"/>
        </w:rPr>
        <w:noBreakHyphen/>
        <w:t>gathering and reporting exercise carried out on the state of nature in Europe. It documents the status and trends of habitats and species in 2013</w:t>
      </w:r>
      <w:r>
        <w:rPr>
          <w:rFonts w:ascii="Times New Roman" w:hAnsi="Times New Roman" w:cs="Times New Roman"/>
          <w:noProof/>
          <w:sz w:val="24"/>
          <w:szCs w:val="24"/>
        </w:rPr>
        <w:noBreakHyphen/>
        <w:t>2018, as reported by the 28 Member States</w:t>
      </w:r>
      <w:r>
        <w:rPr>
          <w:rStyle w:val="FootnoteReference"/>
          <w:rFonts w:ascii="Times New Roman" w:hAnsi="Times New Roman" w:cs="Times New Roman"/>
          <w:noProof/>
          <w:sz w:val="24"/>
          <w:szCs w:val="24"/>
        </w:rPr>
        <w:footnoteReference w:id="3"/>
      </w:r>
      <w:r>
        <w:rPr>
          <w:rFonts w:ascii="Times New Roman" w:hAnsi="Times New Roman" w:cs="Times New Roman"/>
          <w:noProof/>
          <w:sz w:val="24"/>
          <w:szCs w:val="24"/>
        </w:rPr>
        <w:t>, providing an up</w:t>
      </w:r>
      <w:r>
        <w:rPr>
          <w:rFonts w:ascii="Times New Roman" w:hAnsi="Times New Roman" w:cs="Times New Roman"/>
          <w:noProof/>
          <w:sz w:val="24"/>
          <w:szCs w:val="24"/>
        </w:rPr>
        <w:noBreakHyphen/>
        <w:t>to</w:t>
      </w:r>
      <w:r>
        <w:rPr>
          <w:rFonts w:ascii="Times New Roman" w:hAnsi="Times New Roman" w:cs="Times New Roman"/>
          <w:noProof/>
          <w:sz w:val="24"/>
          <w:szCs w:val="24"/>
        </w:rPr>
        <w:noBreakHyphen/>
        <w:t>date overview of the health of the EU’s nature. It assesses changes over time, key pressures and the contribution of the Natura 2000 network to the conservation of protected species and habitats. The analysis is underpinned by a detailed technical assessment by the European Environment Agency</w:t>
      </w:r>
      <w:r>
        <w:rPr>
          <w:rStyle w:val="FootnoteReference"/>
          <w:rFonts w:ascii="Times New Roman" w:hAnsi="Times New Roman" w:cs="Times New Roman"/>
          <w:noProof/>
          <w:sz w:val="24"/>
          <w:szCs w:val="24"/>
        </w:rPr>
        <w:footnoteReference w:id="4"/>
      </w:r>
      <w:r>
        <w:rPr>
          <w:rFonts w:ascii="Times New Roman" w:hAnsi="Times New Roman" w:cs="Times New Roman"/>
          <w:noProof/>
          <w:sz w:val="24"/>
          <w:szCs w:val="24"/>
        </w:rPr>
        <w:t xml:space="preserve">. </w:t>
      </w:r>
    </w:p>
    <w:p>
      <w:pPr>
        <w:spacing w:after="240"/>
        <w:jc w:val="both"/>
        <w:rPr>
          <w:rFonts w:ascii="Times New Roman" w:hAnsi="Times New Roman" w:cs="Times New Roman"/>
          <w:noProof/>
          <w:sz w:val="24"/>
          <w:szCs w:val="24"/>
        </w:rPr>
      </w:pPr>
    </w:p>
    <w:p>
      <w:pPr>
        <w:pStyle w:val="Heading1"/>
        <w:numPr>
          <w:ilvl w:val="0"/>
          <w:numId w:val="10"/>
        </w:numPr>
        <w:spacing w:after="240"/>
        <w:ind w:left="714" w:hanging="357"/>
        <w:rPr>
          <w:rFonts w:eastAsia="Times New Roman"/>
          <w:noProof/>
          <w:color w:val="auto"/>
          <w:lang w:eastAsia="en-GB"/>
        </w:rPr>
      </w:pPr>
      <w:r>
        <w:rPr>
          <w:rFonts w:eastAsia="Times New Roman"/>
          <w:noProof/>
          <w:color w:val="auto"/>
          <w:lang w:eastAsia="en-GB"/>
        </w:rPr>
        <w:t>Status and trends of habitats and species in the EU</w:t>
      </w:r>
    </w:p>
    <w:p>
      <w:pPr>
        <w:spacing w:after="240"/>
        <w:jc w:val="both"/>
        <w:rPr>
          <w:rFonts w:ascii="Times New Roman" w:hAnsi="Times New Roman" w:cs="Times New Roman"/>
          <w:noProof/>
          <w:sz w:val="24"/>
          <w:szCs w:val="24"/>
        </w:rPr>
      </w:pPr>
      <w:r>
        <w:rPr>
          <w:rFonts w:ascii="Times New Roman" w:hAnsi="Times New Roman" w:cs="Times New Roman"/>
          <w:noProof/>
          <w:sz w:val="24"/>
          <w:szCs w:val="24"/>
        </w:rPr>
        <w:t>Member States submit data in a harmonised format, so that they can be fed into databases used for aggregated EU-level assessments by the European Environment Agency.</w:t>
      </w:r>
    </w:p>
    <w:p>
      <w:pPr>
        <w:spacing w:after="240"/>
        <w:jc w:val="both"/>
        <w:rPr>
          <w:rFonts w:ascii="Times New Roman" w:hAnsi="Times New Roman" w:cs="Times New Roman"/>
          <w:noProof/>
          <w:sz w:val="24"/>
          <w:szCs w:val="24"/>
        </w:rPr>
      </w:pPr>
      <w:r>
        <w:rPr>
          <w:rFonts w:ascii="Times New Roman" w:hAnsi="Times New Roman" w:cs="Times New Roman"/>
          <w:noProof/>
          <w:sz w:val="24"/>
          <w:szCs w:val="24"/>
        </w:rPr>
        <w:t>For birds, the assessment is performed at the level of the EU. Protected species and habitat types covered by the Habitats Directive are assessed at the level of nine terrestrial ‘biogeographical’ regions</w:t>
      </w:r>
      <w:r>
        <w:rPr>
          <w:rStyle w:val="FootnoteReference"/>
          <w:rFonts w:ascii="Times New Roman" w:hAnsi="Times New Roman" w:cs="Times New Roman"/>
          <w:noProof/>
          <w:sz w:val="24"/>
          <w:szCs w:val="24"/>
        </w:rPr>
        <w:footnoteReference w:id="5"/>
      </w:r>
      <w:r>
        <w:rPr>
          <w:rFonts w:ascii="Times New Roman" w:hAnsi="Times New Roman" w:cs="Times New Roman"/>
          <w:noProof/>
          <w:sz w:val="24"/>
          <w:szCs w:val="24"/>
        </w:rPr>
        <w:t xml:space="preserve"> and five marine regions</w:t>
      </w:r>
      <w:r>
        <w:rPr>
          <w:rStyle w:val="FootnoteReference"/>
          <w:rFonts w:ascii="Times New Roman" w:hAnsi="Times New Roman" w:cs="Times New Roman"/>
          <w:noProof/>
          <w:sz w:val="24"/>
          <w:szCs w:val="24"/>
        </w:rPr>
        <w:footnoteReference w:id="6"/>
      </w:r>
      <w:r>
        <w:rPr>
          <w:rFonts w:ascii="Times New Roman" w:hAnsi="Times New Roman" w:cs="Times New Roman"/>
          <w:noProof/>
          <w:sz w:val="24"/>
          <w:szCs w:val="24"/>
        </w:rPr>
        <w:t>. For clear and consistent communication, the results are presented using traffic</w:t>
      </w:r>
      <w:r>
        <w:rPr>
          <w:rFonts w:ascii="Times New Roman" w:hAnsi="Times New Roman" w:cs="Times New Roman"/>
          <w:noProof/>
          <w:sz w:val="24"/>
          <w:szCs w:val="24"/>
        </w:rPr>
        <w:noBreakHyphen/>
        <w:t>light colour coding (green-amber-red), to denote ‘good’, ‘poor’ and ‘bad’ status</w:t>
      </w:r>
      <w:r>
        <w:rPr>
          <w:rStyle w:val="FootnoteReference"/>
          <w:rFonts w:ascii="Times New Roman" w:hAnsi="Times New Roman" w:cs="Times New Roman"/>
          <w:noProof/>
          <w:sz w:val="24"/>
          <w:szCs w:val="24"/>
        </w:rPr>
        <w:footnoteReference w:id="7"/>
      </w:r>
      <w:r>
        <w:rPr>
          <w:rFonts w:ascii="Times New Roman" w:hAnsi="Times New Roman" w:cs="Times New Roman"/>
          <w:noProof/>
          <w:sz w:val="24"/>
          <w:szCs w:val="24"/>
        </w:rPr>
        <w:t>. All statistics on overall status and trends are based on the number of EU-level assessments for single habitats and species.</w:t>
      </w:r>
    </w:p>
    <w:p>
      <w:pPr>
        <w:spacing w:after="240"/>
        <w:jc w:val="both"/>
        <w:rPr>
          <w:rFonts w:ascii="Times New Roman" w:hAnsi="Times New Roman" w:cs="Times New Roman"/>
          <w:noProof/>
          <w:sz w:val="24"/>
          <w:szCs w:val="24"/>
        </w:rPr>
      </w:pPr>
      <w:r>
        <w:rPr>
          <w:rFonts w:ascii="Times New Roman" w:hAnsi="Times New Roman" w:cs="Times New Roman"/>
          <w:noProof/>
          <w:sz w:val="24"/>
          <w:szCs w:val="24"/>
        </w:rPr>
        <w:t>While this aggregation of national reporting data is necessary for assessments at the level of the EU and the biogeographical regions, it may conceal positive developments at lower (i.e. local, regional or national) levels.</w:t>
      </w:r>
    </w:p>
    <w:p>
      <w:pPr>
        <w:spacing w:before="240" w:after="240"/>
        <w:jc w:val="both"/>
        <w:rPr>
          <w:rFonts w:ascii="Times New Roman" w:hAnsi="Times New Roman" w:cs="Times New Roman"/>
          <w:b/>
          <w:i/>
          <w:noProof/>
          <w:sz w:val="24"/>
          <w:szCs w:val="24"/>
          <w:u w:val="single"/>
        </w:rPr>
      </w:pPr>
      <w:r>
        <w:rPr>
          <w:rFonts w:ascii="Times New Roman" w:hAnsi="Times New Roman" w:cs="Times New Roman"/>
          <w:b/>
          <w:i/>
          <w:noProof/>
          <w:sz w:val="24"/>
          <w:szCs w:val="24"/>
          <w:u w:val="single"/>
        </w:rPr>
        <w:t>2.1 Birds</w:t>
      </w:r>
    </w:p>
    <w:p>
      <w:pPr>
        <w:spacing w:after="240"/>
        <w:jc w:val="both"/>
        <w:rPr>
          <w:rFonts w:ascii="Times New Roman" w:hAnsi="Times New Roman" w:cs="Times New Roman"/>
          <w:noProof/>
          <w:sz w:val="24"/>
          <w:szCs w:val="24"/>
        </w:rPr>
      </w:pPr>
      <w:r>
        <w:rPr>
          <w:rFonts w:ascii="Times New Roman" w:hAnsi="Times New Roman" w:cs="Times New Roman"/>
          <w:noProof/>
          <w:sz w:val="24"/>
          <w:szCs w:val="24"/>
        </w:rPr>
        <w:t>The Birds Directive protects all naturally occurring wild bird species in the European territory of the Member States (over 460 species). In its Annex I, it lists 197 (sub)species that require special habitat conservation measures, including the designation of special protection areas (SPAs). Annex II lists 86 (sub)species that may be hunted under national legislation.</w:t>
      </w:r>
    </w:p>
    <w:p>
      <w:pPr>
        <w:spacing w:after="240"/>
        <w:jc w:val="both"/>
        <w:rPr>
          <w:rFonts w:ascii="Times New Roman" w:hAnsi="Times New Roman" w:cs="Times New Roman"/>
          <w:noProof/>
          <w:sz w:val="24"/>
          <w:szCs w:val="24"/>
        </w:rPr>
      </w:pPr>
    </w:p>
    <w:p>
      <w:pPr>
        <w:spacing w:after="240"/>
        <w:rPr>
          <w:rFonts w:ascii="Times New Roman" w:eastAsia="Calibri" w:hAnsi="Times New Roman" w:cs="Times New Roman"/>
          <w:noProof/>
          <w:sz w:val="24"/>
          <w:szCs w:val="24"/>
        </w:rPr>
      </w:pPr>
      <w:r>
        <w:rPr>
          <w:rFonts w:ascii="Times New Roman" w:eastAsia="Calibri" w:hAnsi="Times New Roman" w:cs="Times New Roman"/>
          <w:b/>
          <w:bCs/>
          <w:noProof/>
          <w:sz w:val="24"/>
          <w:szCs w:val="24"/>
        </w:rPr>
        <w:t>Birds — population status at EU level</w:t>
      </w:r>
    </w:p>
    <w:tbl>
      <w:tblPr>
        <w:tblStyle w:val="HTG1"/>
        <w:tblpPr w:leftFromText="141" w:rightFromText="141" w:vertAnchor="text" w:horzAnchor="margin" w:tblpY="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tblGrid>
      <w:tr>
        <w:tc>
          <w:tcPr>
            <w:tcW w:w="6516" w:type="dxa"/>
          </w:tcPr>
          <w:p>
            <w:pPr>
              <w:spacing w:after="120"/>
              <w:rPr>
                <w:rFonts w:ascii="Times New Roman" w:hAnsi="Times New Roman" w:cs="Times New Roman"/>
                <w:b/>
                <w:noProof/>
                <w:sz w:val="20"/>
                <w:szCs w:val="20"/>
                <w:lang w:val="en-GB" w:eastAsia="de-DE"/>
              </w:rPr>
            </w:pPr>
            <w:r>
              <w:rPr>
                <w:rFonts w:ascii="Times New Roman" w:hAnsi="Times New Roman" w:cs="Times New Roman"/>
                <w:b/>
                <w:noProof/>
                <w:sz w:val="20"/>
                <w:szCs w:val="20"/>
                <w:lang w:val="en-GB"/>
              </w:rPr>
              <w:t>Figure 1: EU population status of bird species</w:t>
            </w:r>
          </w:p>
        </w:tc>
      </w:tr>
      <w:tr>
        <w:tblPrEx>
          <w:tblCellMar>
            <w:left w:w="70" w:type="dxa"/>
            <w:right w:w="70" w:type="dxa"/>
          </w:tblCellMar>
        </w:tblPrEx>
        <w:trPr>
          <w:trHeight w:val="3299"/>
        </w:trPr>
        <w:tc>
          <w:tcPr>
            <w:tcW w:w="6516" w:type="dxa"/>
            <w:vAlign w:val="center"/>
          </w:tcPr>
          <w:p>
            <w:pPr>
              <w:jc w:val="center"/>
              <w:rPr>
                <w:rFonts w:ascii="Times New Roman" w:hAnsi="Times New Roman" w:cs="Times New Roman"/>
                <w:noProof/>
                <w:lang w:val="en-GB"/>
              </w:rPr>
            </w:pPr>
            <w:r>
              <w:rPr>
                <w:rFonts w:ascii="Times New Roman" w:hAnsi="Times New Roman" w:cs="Times New Roman"/>
                <w:noProof/>
                <w:lang w:eastAsia="en-GB"/>
              </w:rPr>
              <w:drawing>
                <wp:inline distT="0" distB="0" distL="0" distR="0">
                  <wp:extent cx="2553419" cy="247164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4252" cy="2501493"/>
                          </a:xfrm>
                          <a:prstGeom prst="rect">
                            <a:avLst/>
                          </a:prstGeom>
                          <a:noFill/>
                        </pic:spPr>
                      </pic:pic>
                    </a:graphicData>
                  </a:graphic>
                </wp:inline>
              </w:drawing>
            </w:r>
          </w:p>
        </w:tc>
      </w:tr>
      <w:tr>
        <w:tc>
          <w:tcPr>
            <w:tcW w:w="6516" w:type="dxa"/>
          </w:tcPr>
          <w:p>
            <w:pPr>
              <w:rPr>
                <w:rFonts w:ascii="Times New Roman" w:eastAsia="Calibri" w:hAnsi="Times New Roman" w:cs="Times New Roman"/>
                <w:noProof/>
                <w:sz w:val="18"/>
                <w:szCs w:val="18"/>
                <w:lang w:val="en-GB"/>
              </w:rPr>
            </w:pPr>
            <w:r>
              <w:rPr>
                <w:rFonts w:ascii="Times New Roman" w:eastAsia="Calibri" w:hAnsi="Times New Roman" w:cs="Times New Roman"/>
                <w:b/>
                <w:bCs/>
                <w:noProof/>
                <w:sz w:val="18"/>
                <w:szCs w:val="18"/>
                <w:lang w:val="en-GB"/>
              </w:rPr>
              <w:t>Note</w:t>
            </w:r>
            <w:r>
              <w:rPr>
                <w:rFonts w:ascii="Times New Roman" w:eastAsia="Calibri" w:hAnsi="Times New Roman" w:cs="Times New Roman"/>
                <w:noProof/>
                <w:sz w:val="18"/>
                <w:szCs w:val="18"/>
                <w:lang w:val="en-GB"/>
              </w:rPr>
              <w:t>: The total number of assessments is 463 (one assessment per species).</w:t>
            </w:r>
          </w:p>
        </w:tc>
      </w:tr>
    </w:tbl>
    <w:p>
      <w:pPr>
        <w:spacing w:before="40" w:after="40" w:line="240" w:lineRule="auto"/>
        <w:ind w:left="357"/>
        <w:rPr>
          <w:rFonts w:ascii="Times New Roman" w:hAnsi="Times New Roman" w:cs="Times New Roman"/>
          <w:noProof/>
          <w:sz w:val="20"/>
          <w:szCs w:val="20"/>
        </w:rPr>
      </w:pPr>
    </w:p>
    <w:p>
      <w:pPr>
        <w:spacing w:after="120"/>
        <w:rPr>
          <w:rFonts w:ascii="Times New Roman" w:eastAsia="Calibri" w:hAnsi="Times New Roman" w:cs="Times New Roman"/>
          <w:noProof/>
        </w:rPr>
      </w:pPr>
    </w:p>
    <w:p>
      <w:pPr>
        <w:spacing w:after="120"/>
        <w:jc w:val="both"/>
        <w:rPr>
          <w:rFonts w:ascii="Times New Roman" w:eastAsia="Calibri" w:hAnsi="Times New Roman" w:cs="Times New Roman"/>
          <w:noProof/>
        </w:rPr>
      </w:pPr>
    </w:p>
    <w:p>
      <w:pPr>
        <w:spacing w:after="120"/>
        <w:jc w:val="both"/>
        <w:rPr>
          <w:rFonts w:ascii="Times New Roman" w:eastAsia="Calibri" w:hAnsi="Times New Roman" w:cs="Times New Roman"/>
          <w:noProof/>
        </w:rPr>
      </w:pPr>
    </w:p>
    <w:p>
      <w:pPr>
        <w:spacing w:after="120"/>
        <w:jc w:val="both"/>
        <w:rPr>
          <w:rFonts w:ascii="Times New Roman" w:eastAsia="Calibri" w:hAnsi="Times New Roman" w:cs="Times New Roman"/>
          <w:noProof/>
        </w:rPr>
      </w:pPr>
    </w:p>
    <w:p>
      <w:pPr>
        <w:spacing w:after="120"/>
        <w:jc w:val="both"/>
        <w:rPr>
          <w:rFonts w:ascii="Times New Roman" w:eastAsia="Calibri" w:hAnsi="Times New Roman" w:cs="Times New Roman"/>
          <w:noProof/>
        </w:rPr>
      </w:pPr>
    </w:p>
    <w:p>
      <w:pPr>
        <w:spacing w:after="120"/>
        <w:jc w:val="both"/>
        <w:rPr>
          <w:rFonts w:ascii="Times New Roman" w:eastAsia="Calibri" w:hAnsi="Times New Roman" w:cs="Times New Roman"/>
          <w:noProof/>
        </w:rPr>
      </w:pPr>
    </w:p>
    <w:p>
      <w:pPr>
        <w:spacing w:after="120"/>
        <w:jc w:val="both"/>
        <w:rPr>
          <w:rFonts w:ascii="Times New Roman" w:eastAsia="Calibri" w:hAnsi="Times New Roman" w:cs="Times New Roman"/>
          <w:noProof/>
        </w:rPr>
      </w:pPr>
    </w:p>
    <w:p>
      <w:pPr>
        <w:spacing w:after="120"/>
        <w:jc w:val="both"/>
        <w:rPr>
          <w:rFonts w:ascii="Times New Roman" w:eastAsia="Calibri" w:hAnsi="Times New Roman" w:cs="Times New Roman"/>
          <w:noProof/>
        </w:rPr>
      </w:pPr>
    </w:p>
    <w:p>
      <w:pPr>
        <w:spacing w:after="120"/>
        <w:jc w:val="both"/>
        <w:rPr>
          <w:rFonts w:ascii="Times New Roman" w:eastAsia="Calibri" w:hAnsi="Times New Roman" w:cs="Times New Roman"/>
          <w:noProof/>
        </w:rPr>
      </w:pPr>
    </w:p>
    <w:p>
      <w:pPr>
        <w:spacing w:after="120"/>
        <w:jc w:val="both"/>
        <w:rPr>
          <w:rFonts w:ascii="Times New Roman" w:eastAsia="Calibri" w:hAnsi="Times New Roman" w:cs="Times New Roman"/>
          <w:noProof/>
        </w:rPr>
      </w:pPr>
    </w:p>
    <w:p>
      <w:pPr>
        <w:spacing w:after="120"/>
        <w:jc w:val="both"/>
        <w:rPr>
          <w:rFonts w:ascii="Times New Roman" w:eastAsia="Calibri" w:hAnsi="Times New Roman" w:cs="Times New Roman"/>
          <w:noProof/>
        </w:rPr>
      </w:pPr>
    </w:p>
    <w:p>
      <w:pPr>
        <w:spacing w:before="240" w:after="24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The EU-level assessment indicates that 47% of all bird species have a good population status, down by 5 percentage points (pp) from 52% in 2015</w:t>
      </w:r>
      <w:r>
        <w:rPr>
          <w:rStyle w:val="FootnoteReference"/>
          <w:rFonts w:ascii="Times New Roman" w:eastAsia="Calibri" w:hAnsi="Times New Roman" w:cs="Times New Roman"/>
          <w:noProof/>
          <w:sz w:val="24"/>
          <w:szCs w:val="24"/>
        </w:rPr>
        <w:footnoteReference w:id="8"/>
      </w:r>
      <w:r>
        <w:rPr>
          <w:rFonts w:ascii="Times New Roman" w:eastAsia="Calibri" w:hAnsi="Times New Roman" w:cs="Times New Roman"/>
          <w:noProof/>
          <w:sz w:val="24"/>
          <w:szCs w:val="24"/>
        </w:rPr>
        <w:t>. The proportion of species with poor and bad status has increased from 32% to 39%, while the status of 14% is still unknown (compared with 16% in 2015) due to a lack of reliable data.</w:t>
      </w:r>
    </w:p>
    <w:p>
      <w:pPr>
        <w:rPr>
          <w:rFonts w:ascii="Times New Roman" w:eastAsia="Calibri" w:hAnsi="Times New Roman" w:cs="Times New Roman"/>
          <w:b/>
          <w:bCs/>
          <w:noProof/>
        </w:rPr>
      </w:pPr>
      <w:r>
        <w:rPr>
          <w:rFonts w:ascii="Times New Roman" w:eastAsia="Calibri" w:hAnsi="Times New Roman" w:cs="Times New Roman"/>
          <w:b/>
          <w:bCs/>
          <w:noProof/>
        </w:rPr>
        <w:br w:type="page"/>
      </w:r>
    </w:p>
    <w:p>
      <w:pPr>
        <w:spacing w:after="240"/>
        <w:rPr>
          <w:rFonts w:ascii="Times New Roman" w:eastAsia="Calibri" w:hAnsi="Times New Roman" w:cs="Times New Roman"/>
          <w:b/>
          <w:bCs/>
          <w:noProof/>
          <w:sz w:val="24"/>
          <w:szCs w:val="24"/>
        </w:rPr>
      </w:pPr>
      <w:r>
        <w:rPr>
          <w:rFonts w:ascii="Times New Roman" w:eastAsia="Calibri" w:hAnsi="Times New Roman" w:cs="Times New Roman"/>
          <w:b/>
          <w:bCs/>
          <w:noProof/>
          <w:sz w:val="24"/>
          <w:szCs w:val="24"/>
        </w:rPr>
        <w:t>Birds — population trends at EU level</w:t>
      </w:r>
    </w:p>
    <w:tbl>
      <w:tblPr>
        <w:tblStyle w:val="TableGrid"/>
        <w:tblpPr w:leftFromText="141" w:rightFromText="141" w:vertAnchor="text" w:horzAnchor="margin" w:tblpY="57"/>
        <w:tblW w:w="9209" w:type="dxa"/>
        <w:tblCellMar>
          <w:left w:w="70" w:type="dxa"/>
          <w:right w:w="70" w:type="dxa"/>
        </w:tblCellMar>
        <w:tblLook w:val="04A0" w:firstRow="1" w:lastRow="0" w:firstColumn="1" w:lastColumn="0" w:noHBand="0" w:noVBand="1"/>
      </w:tblPr>
      <w:tblGrid>
        <w:gridCol w:w="4673"/>
        <w:gridCol w:w="4536"/>
      </w:tblGrid>
      <w:tr>
        <w:trPr>
          <w:trHeight w:val="3392"/>
        </w:trPr>
        <w:tc>
          <w:tcPr>
            <w:tcW w:w="4673" w:type="dxa"/>
            <w:tcBorders>
              <w:top w:val="nil"/>
              <w:left w:val="nil"/>
              <w:bottom w:val="nil"/>
              <w:right w:val="nil"/>
            </w:tcBorders>
          </w:tcPr>
          <w:p>
            <w:pPr>
              <w:pStyle w:val="Caption"/>
              <w:framePr w:hSpace="0" w:wrap="auto" w:vAnchor="margin" w:hAnchor="text" w:yAlign="inline"/>
              <w:jc w:val="left"/>
              <w:rPr>
                <w:noProof/>
              </w:rPr>
            </w:pPr>
            <w:r>
              <w:rPr>
                <w:noProof/>
              </w:rPr>
              <w:t xml:space="preserve">Figure </w:t>
            </w:r>
            <w:r>
              <w:rPr>
                <w:noProof/>
              </w:rPr>
              <w:fldChar w:fldCharType="begin"/>
            </w:r>
            <w:r>
              <w:rPr>
                <w:noProof/>
              </w:rPr>
              <w:instrText xml:space="preserve"> STYLEREF 1 \s </w:instrText>
            </w:r>
            <w:r>
              <w:rPr>
                <w:noProof/>
              </w:rPr>
              <w:fldChar w:fldCharType="separate"/>
            </w:r>
            <w:r>
              <w:rPr>
                <w:noProof/>
              </w:rPr>
              <w:t>2</w:t>
            </w:r>
            <w:r>
              <w:rPr>
                <w:noProof/>
              </w:rPr>
              <w:fldChar w:fldCharType="end"/>
            </w:r>
            <w:r>
              <w:rPr>
                <w:noProof/>
              </w:rPr>
              <w:t>a: Short-term (12</w:t>
            </w:r>
            <w:r>
              <w:rPr>
                <w:noProof/>
              </w:rPr>
              <w:noBreakHyphen/>
              <w:t>year) breeding bird population trends at EU level</w:t>
            </w:r>
          </w:p>
          <w:p>
            <w:pPr>
              <w:spacing w:after="120" w:line="276" w:lineRule="auto"/>
              <w:jc w:val="both"/>
              <w:rPr>
                <w:rStyle w:val="EndnoteReference"/>
                <w:rFonts w:ascii="Times New Roman" w:hAnsi="Times New Roman" w:cs="Times New Roman"/>
                <w:b/>
                <w:bCs/>
                <w:noProof/>
                <w:sz w:val="24"/>
              </w:rPr>
            </w:pPr>
            <w:r>
              <w:rPr>
                <w:rStyle w:val="EndnoteReference"/>
                <w:rFonts w:ascii="Times New Roman" w:hAnsi="Times New Roman" w:cs="Times New Roman"/>
                <w:b/>
                <w:bCs/>
                <w:noProof/>
                <w:sz w:val="24"/>
                <w:lang w:eastAsia="en-GB"/>
              </w:rPr>
              <w:drawing>
                <wp:inline distT="0" distB="0" distL="0" distR="0">
                  <wp:extent cx="2508597" cy="1881301"/>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2107" cy="1883934"/>
                          </a:xfrm>
                          <a:prstGeom prst="rect">
                            <a:avLst/>
                          </a:prstGeom>
                          <a:noFill/>
                        </pic:spPr>
                      </pic:pic>
                    </a:graphicData>
                  </a:graphic>
                </wp:inline>
              </w:drawing>
            </w:r>
          </w:p>
        </w:tc>
        <w:tc>
          <w:tcPr>
            <w:tcW w:w="4536" w:type="dxa"/>
            <w:tcBorders>
              <w:top w:val="nil"/>
              <w:left w:val="nil"/>
              <w:bottom w:val="nil"/>
              <w:right w:val="nil"/>
            </w:tcBorders>
          </w:tcPr>
          <w:p>
            <w:pPr>
              <w:pStyle w:val="Caption"/>
              <w:framePr w:hSpace="0" w:wrap="auto" w:vAnchor="margin" w:hAnchor="text" w:yAlign="inline"/>
              <w:jc w:val="left"/>
              <w:rPr>
                <w:noProof/>
              </w:rPr>
            </w:pPr>
            <w:r>
              <w:rPr>
                <w:noProof/>
              </w:rPr>
              <w:t xml:space="preserve">Figure </w:t>
            </w:r>
            <w:r>
              <w:rPr>
                <w:noProof/>
              </w:rPr>
              <w:fldChar w:fldCharType="begin"/>
            </w:r>
            <w:r>
              <w:rPr>
                <w:noProof/>
              </w:rPr>
              <w:instrText xml:space="preserve"> STYLEREF 1 \s </w:instrText>
            </w:r>
            <w:r>
              <w:rPr>
                <w:noProof/>
              </w:rPr>
              <w:fldChar w:fldCharType="separate"/>
            </w:r>
            <w:r>
              <w:rPr>
                <w:noProof/>
              </w:rPr>
              <w:t>2</w:t>
            </w:r>
            <w:r>
              <w:rPr>
                <w:noProof/>
              </w:rPr>
              <w:fldChar w:fldCharType="end"/>
            </w:r>
            <w:r>
              <w:rPr>
                <w:noProof/>
              </w:rPr>
              <w:t>b: Long-term (38</w:t>
            </w:r>
            <w:r>
              <w:rPr>
                <w:noProof/>
              </w:rPr>
              <w:noBreakHyphen/>
              <w:t>year) breeding bird population trends at EU level</w:t>
            </w:r>
          </w:p>
          <w:p>
            <w:pPr>
              <w:jc w:val="center"/>
              <w:rPr>
                <w:rFonts w:ascii="Times New Roman" w:hAnsi="Times New Roman" w:cs="Times New Roman"/>
                <w:noProof/>
              </w:rPr>
            </w:pPr>
            <w:r>
              <w:rPr>
                <w:rFonts w:ascii="Times New Roman" w:hAnsi="Times New Roman" w:cs="Times New Roman"/>
                <w:noProof/>
                <w:lang w:eastAsia="en-GB"/>
              </w:rPr>
              <w:drawing>
                <wp:inline distT="0" distB="0" distL="0" distR="0">
                  <wp:extent cx="2268747" cy="18334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8937" cy="1849780"/>
                          </a:xfrm>
                          <a:prstGeom prst="rect">
                            <a:avLst/>
                          </a:prstGeom>
                          <a:noFill/>
                        </pic:spPr>
                      </pic:pic>
                    </a:graphicData>
                  </a:graphic>
                </wp:inline>
              </w:drawing>
            </w:r>
          </w:p>
        </w:tc>
      </w:tr>
      <w:tr>
        <w:tc>
          <w:tcPr>
            <w:tcW w:w="9209" w:type="dxa"/>
            <w:gridSpan w:val="2"/>
            <w:tcBorders>
              <w:top w:val="nil"/>
              <w:left w:val="nil"/>
              <w:bottom w:val="nil"/>
              <w:right w:val="nil"/>
            </w:tcBorders>
          </w:tcPr>
          <w:p>
            <w:pPr>
              <w:pStyle w:val="Caption"/>
              <w:framePr w:hSpace="0" w:wrap="auto" w:vAnchor="margin" w:hAnchor="text" w:yAlign="inline"/>
              <w:rPr>
                <w:noProof/>
              </w:rPr>
            </w:pPr>
            <w:r>
              <w:rPr>
                <w:noProof/>
                <w:lang w:eastAsia="en-GB"/>
              </w:rPr>
              <w:drawing>
                <wp:anchor distT="0" distB="0" distL="114300" distR="114300" simplePos="0" relativeHeight="251658752" behindDoc="0" locked="0" layoutInCell="1" allowOverlap="1">
                  <wp:simplePos x="0" y="0"/>
                  <wp:positionH relativeFrom="column">
                    <wp:posOffset>-39370</wp:posOffset>
                  </wp:positionH>
                  <wp:positionV relativeFrom="paragraph">
                    <wp:posOffset>635</wp:posOffset>
                  </wp:positionV>
                  <wp:extent cx="5675630" cy="320675"/>
                  <wp:effectExtent l="0" t="0" r="1270" b="3175"/>
                  <wp:wrapSquare wrapText="bothSides"/>
                  <wp:docPr id="1011755748" name="Grafik 1011755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9" cstate="screen">
                            <a:extLst>
                              <a:ext uri="{28A0092B-C50C-407E-A947-70E740481C1C}">
                                <a14:useLocalDpi xmlns:a14="http://schemas.microsoft.com/office/drawing/2010/main"/>
                              </a:ext>
                            </a:extLst>
                          </a:blip>
                          <a:srcRect/>
                          <a:stretch/>
                        </pic:blipFill>
                        <pic:spPr bwMode="auto">
                          <a:xfrm>
                            <a:off x="0" y="0"/>
                            <a:ext cx="5675630" cy="320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trPr>
          <w:trHeight w:val="567"/>
        </w:trPr>
        <w:tc>
          <w:tcPr>
            <w:tcW w:w="9209" w:type="dxa"/>
            <w:gridSpan w:val="2"/>
            <w:tcBorders>
              <w:top w:val="nil"/>
              <w:left w:val="nil"/>
              <w:bottom w:val="nil"/>
              <w:right w:val="nil"/>
            </w:tcBorders>
          </w:tcPr>
          <w:p>
            <w:pPr>
              <w:spacing w:before="120" w:after="240"/>
              <w:jc w:val="both"/>
              <w:rPr>
                <w:rFonts w:ascii="Times New Roman" w:eastAsia="Calibri" w:hAnsi="Times New Roman" w:cs="Times New Roman"/>
                <w:noProof/>
                <w:sz w:val="18"/>
                <w:szCs w:val="18"/>
              </w:rPr>
            </w:pPr>
            <w:r>
              <w:rPr>
                <w:rFonts w:ascii="Times New Roman" w:eastAsia="Calibri" w:hAnsi="Times New Roman" w:cs="Times New Roman"/>
                <w:b/>
                <w:bCs/>
                <w:noProof/>
                <w:sz w:val="18"/>
                <w:szCs w:val="18"/>
              </w:rPr>
              <w:t>Note</w:t>
            </w:r>
            <w:r>
              <w:rPr>
                <w:rFonts w:ascii="Times New Roman" w:eastAsia="Calibri" w:hAnsi="Times New Roman" w:cs="Times New Roman"/>
                <w:b/>
                <w:noProof/>
                <w:sz w:val="18"/>
                <w:szCs w:val="18"/>
              </w:rPr>
              <w:t>:</w:t>
            </w:r>
            <w:r>
              <w:rPr>
                <w:rFonts w:ascii="Times New Roman" w:hAnsi="Times New Roman" w:cs="Times New Roman"/>
                <w:noProof/>
                <w:sz w:val="18"/>
                <w:szCs w:val="18"/>
              </w:rPr>
              <w:t xml:space="preserve"> Statistics based on 465 short-term and 467 long-term EU breeding population trends. Includes trends for a limited number of subspecies and biogeographical populations.</w:t>
            </w:r>
          </w:p>
        </w:tc>
      </w:tr>
    </w:tbl>
    <w:p>
      <w:pPr>
        <w:spacing w:after="240"/>
        <w:jc w:val="both"/>
        <w:rPr>
          <w:rFonts w:ascii="Times New Roman" w:eastAsia="Calibri" w:hAnsi="Times New Roman" w:cs="Times New Roman"/>
          <w:noProof/>
          <w:sz w:val="24"/>
          <w:szCs w:val="24"/>
        </w:rPr>
      </w:pPr>
    </w:p>
    <w:p>
      <w:pPr>
        <w:spacing w:after="24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Member States reported population trends for both breeding and wintering bird populations</w:t>
      </w:r>
      <w:r>
        <w:rPr>
          <w:rStyle w:val="FootnoteReference"/>
          <w:rFonts w:ascii="Times New Roman" w:eastAsia="Calibri" w:hAnsi="Times New Roman" w:cs="Times New Roman"/>
          <w:noProof/>
          <w:sz w:val="24"/>
          <w:szCs w:val="24"/>
        </w:rPr>
        <w:footnoteReference w:id="9"/>
      </w:r>
      <w:r>
        <w:rPr>
          <w:rFonts w:ascii="Times New Roman" w:eastAsia="Calibri" w:hAnsi="Times New Roman" w:cs="Times New Roman"/>
          <w:noProof/>
          <w:sz w:val="24"/>
          <w:szCs w:val="24"/>
        </w:rPr>
        <w:t xml:space="preserve"> for the short and the long term, i.e. for the past 12 years (2007-2018) and the past 38 years (1980-2018).</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The data indicate that:</w:t>
      </w:r>
    </w:p>
    <w:p>
      <w:pPr>
        <w:pStyle w:val="ListParagraph"/>
        <w:numPr>
          <w:ilvl w:val="0"/>
          <w:numId w:val="1"/>
        </w:numPr>
        <w:spacing w:after="120"/>
        <w:ind w:left="681" w:hanging="397"/>
        <w:contextualSpacing w:val="0"/>
        <w:jc w:val="both"/>
        <w:rPr>
          <w:rFonts w:ascii="Times New Roman" w:hAnsi="Times New Roman" w:cs="Times New Roman"/>
          <w:noProof/>
          <w:sz w:val="24"/>
          <w:szCs w:val="24"/>
        </w:rPr>
      </w:pPr>
      <w:r>
        <w:rPr>
          <w:rFonts w:ascii="Times New Roman" w:hAnsi="Times New Roman" w:cs="Times New Roman"/>
          <w:noProof/>
          <w:sz w:val="24"/>
          <w:szCs w:val="24"/>
        </w:rPr>
        <w:t>almost a third (30%) of all assessed breeding bird species are on a downward short</w:t>
      </w:r>
      <w:r>
        <w:rPr>
          <w:rFonts w:ascii="Times New Roman" w:hAnsi="Times New Roman" w:cs="Times New Roman"/>
          <w:noProof/>
          <w:sz w:val="24"/>
          <w:szCs w:val="24"/>
        </w:rPr>
        <w:noBreakHyphen/>
        <w:t>term trend (the same percentage as in 2015);</w:t>
      </w:r>
    </w:p>
    <w:p>
      <w:pPr>
        <w:pStyle w:val="ListParagraph"/>
        <w:numPr>
          <w:ilvl w:val="0"/>
          <w:numId w:val="1"/>
        </w:numPr>
        <w:spacing w:after="120"/>
        <w:ind w:left="681" w:hanging="397"/>
        <w:contextualSpacing w:val="0"/>
        <w:jc w:val="both"/>
        <w:rPr>
          <w:rFonts w:ascii="Times New Roman" w:hAnsi="Times New Roman" w:cs="Times New Roman"/>
          <w:noProof/>
          <w:sz w:val="24"/>
          <w:szCs w:val="24"/>
        </w:rPr>
      </w:pPr>
      <w:r>
        <w:rPr>
          <w:rFonts w:ascii="Times New Roman" w:hAnsi="Times New Roman" w:cs="Times New Roman"/>
          <w:noProof/>
          <w:sz w:val="24"/>
          <w:szCs w:val="24"/>
        </w:rPr>
        <w:t>short-term breeding trends show 5% fewer species with increasing populations than in 2015 and a 7% increase in species with stable or fluctuating trends; ‘unknown’ assessments fell by 2%;</w:t>
      </w:r>
    </w:p>
    <w:p>
      <w:pPr>
        <w:pStyle w:val="ListParagraph"/>
        <w:numPr>
          <w:ilvl w:val="0"/>
          <w:numId w:val="1"/>
        </w:numPr>
        <w:spacing w:after="120"/>
        <w:ind w:left="681" w:hanging="397"/>
        <w:contextualSpacing w:val="0"/>
        <w:jc w:val="both"/>
        <w:rPr>
          <w:rFonts w:ascii="Times New Roman" w:hAnsi="Times New Roman" w:cs="Times New Roman"/>
          <w:noProof/>
          <w:sz w:val="24"/>
          <w:szCs w:val="24"/>
        </w:rPr>
      </w:pPr>
      <w:r>
        <w:rPr>
          <w:rFonts w:ascii="Times New Roman" w:hAnsi="Times New Roman" w:cs="Times New Roman"/>
          <w:noProof/>
          <w:sz w:val="24"/>
          <w:szCs w:val="24"/>
        </w:rPr>
        <w:t>slightly more long-term breeding trends are on the way down than on the rise (the opposite was true in 2008-2012); however, the proportion of ‘unknown’ long-term breeding trends dropped by 10 pp, from 30% to 20%; and</w:t>
      </w:r>
    </w:p>
    <w:p>
      <w:pPr>
        <w:pStyle w:val="ListParagraph"/>
        <w:numPr>
          <w:ilvl w:val="0"/>
          <w:numId w:val="1"/>
        </w:numPr>
        <w:spacing w:after="240"/>
        <w:ind w:left="681" w:hanging="397"/>
        <w:contextualSpacing w:val="0"/>
        <w:jc w:val="both"/>
        <w:rPr>
          <w:rFonts w:ascii="Times New Roman" w:hAnsi="Times New Roman" w:cs="Times New Roman"/>
          <w:noProof/>
          <w:sz w:val="24"/>
          <w:szCs w:val="24"/>
        </w:rPr>
      </w:pPr>
      <w:r>
        <w:rPr>
          <w:rFonts w:ascii="Times New Roman" w:hAnsi="Times New Roman" w:cs="Times New Roman"/>
          <w:noProof/>
          <w:sz w:val="24"/>
          <w:szCs w:val="24"/>
        </w:rPr>
        <w:t>for the 91 wintering population trends, the short-term situation is similar to that in 2015 (45% increasing, 29% decreasing); 54% of long</w:t>
      </w:r>
      <w:r>
        <w:rPr>
          <w:rFonts w:ascii="Times New Roman" w:hAnsi="Times New Roman" w:cs="Times New Roman"/>
          <w:noProof/>
          <w:sz w:val="24"/>
          <w:szCs w:val="24"/>
        </w:rPr>
        <w:noBreakHyphen/>
        <w:t>term trends are on the up and 13% going down (the proportion of the former has thus dropped by 9 pp, while that of the latter is almost the same).</w:t>
      </w:r>
    </w:p>
    <w:p>
      <w:pPr>
        <w:rPr>
          <w:rFonts w:ascii="Times New Roman" w:hAnsi="Times New Roman" w:cs="Times New Roman"/>
          <w:b/>
          <w:bCs/>
          <w:noProof/>
          <w:sz w:val="24"/>
          <w:szCs w:val="24"/>
        </w:rPr>
      </w:pPr>
      <w:r>
        <w:rPr>
          <w:rFonts w:ascii="Times New Roman" w:hAnsi="Times New Roman" w:cs="Times New Roman"/>
          <w:b/>
          <w:bCs/>
          <w:noProof/>
          <w:sz w:val="24"/>
          <w:szCs w:val="24"/>
        </w:rPr>
        <w:br w:type="page"/>
      </w:r>
    </w:p>
    <w:p>
      <w:pPr>
        <w:spacing w:after="240"/>
        <w:rPr>
          <w:rFonts w:ascii="Times New Roman" w:hAnsi="Times New Roman" w:cs="Times New Roman"/>
          <w:noProof/>
        </w:rPr>
      </w:pPr>
      <w:r>
        <w:rPr>
          <w:rFonts w:ascii="Times New Roman" w:hAnsi="Times New Roman" w:cs="Times New Roman"/>
          <w:b/>
          <w:bCs/>
          <w:noProof/>
          <w:sz w:val="24"/>
          <w:szCs w:val="24"/>
        </w:rPr>
        <w:t xml:space="preserve">Status and trends </w:t>
      </w:r>
      <w:r>
        <w:rPr>
          <w:rFonts w:ascii="Times New Roman" w:eastAsia="Calibri" w:hAnsi="Times New Roman" w:cs="Times New Roman"/>
          <w:b/>
          <w:bCs/>
          <w:noProof/>
          <w:sz w:val="24"/>
          <w:szCs w:val="24"/>
        </w:rPr>
        <w:t>of birds according to their listing in the Birds Directive</w:t>
      </w:r>
    </w:p>
    <w:tbl>
      <w:tblPr>
        <w:tblStyle w:val="HTG1"/>
        <w:tblpPr w:leftFromText="141" w:rightFromText="141" w:vertAnchor="text" w:horzAnchor="margin" w:tblpY="85"/>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252"/>
      </w:tblGrid>
      <w:tr>
        <w:trPr>
          <w:trHeight w:val="672"/>
        </w:trPr>
        <w:tc>
          <w:tcPr>
            <w:tcW w:w="4815" w:type="dxa"/>
          </w:tcPr>
          <w:p>
            <w:pPr>
              <w:keepNext/>
              <w:spacing w:after="120"/>
              <w:rPr>
                <w:rFonts w:ascii="Times New Roman" w:eastAsia="ヒラギノ角ゴ Pro W3" w:hAnsi="Times New Roman" w:cs="Times New Roman"/>
                <w:b/>
                <w:noProof/>
                <w:sz w:val="20"/>
                <w:szCs w:val="20"/>
                <w:lang w:val="en-GB"/>
              </w:rPr>
            </w:pPr>
            <w:r>
              <w:rPr>
                <w:rFonts w:ascii="Times New Roman" w:eastAsia="ヒラギノ角ゴ Pro W3" w:hAnsi="Times New Roman" w:cs="Times New Roman"/>
                <w:b/>
                <w:noProof/>
                <w:sz w:val="20"/>
                <w:szCs w:val="20"/>
                <w:lang w:val="en-GB"/>
              </w:rPr>
              <w:t>Figure 3a:</w:t>
            </w:r>
            <w:r>
              <w:rPr>
                <w:rFonts w:ascii="Times New Roman" w:eastAsiaTheme="minorEastAsia" w:hAnsi="Times New Roman" w:cs="Times New Roman"/>
                <w:b/>
                <w:iCs/>
                <w:noProof/>
                <w:color w:val="000000"/>
                <w:kern w:val="24"/>
                <w:sz w:val="20"/>
                <w:szCs w:val="20"/>
                <w:lang w:val="en-GB" w:eastAsia="de-DE"/>
              </w:rPr>
              <w:t xml:space="preserve"> </w:t>
            </w:r>
            <w:r>
              <w:rPr>
                <w:rFonts w:ascii="Times New Roman" w:eastAsia="ヒラギノ角ゴ Pro W3" w:hAnsi="Times New Roman" w:cs="Times New Roman"/>
                <w:b/>
                <w:noProof/>
                <w:sz w:val="20"/>
                <w:szCs w:val="20"/>
                <w:lang w:val="en-GB"/>
              </w:rPr>
              <w:t>EU population status of Annex I and II, non</w:t>
            </w:r>
            <w:r>
              <w:rPr>
                <w:rFonts w:ascii="Times New Roman" w:eastAsia="ヒラギノ角ゴ Pro W3" w:hAnsi="Times New Roman" w:cs="Times New Roman"/>
                <w:b/>
                <w:noProof/>
                <w:sz w:val="20"/>
                <w:szCs w:val="20"/>
                <w:lang w:val="en-GB"/>
              </w:rPr>
              <w:noBreakHyphen/>
              <w:t>Annex I/II and all bird species</w:t>
            </w:r>
          </w:p>
        </w:tc>
        <w:tc>
          <w:tcPr>
            <w:tcW w:w="4252" w:type="dxa"/>
          </w:tcPr>
          <w:p>
            <w:pPr>
              <w:keepNext/>
              <w:spacing w:after="120"/>
              <w:rPr>
                <w:rFonts w:ascii="Times New Roman" w:eastAsia="ヒラギノ角ゴ Pro W3" w:hAnsi="Times New Roman" w:cs="Times New Roman"/>
                <w:b/>
                <w:noProof/>
                <w:sz w:val="20"/>
                <w:szCs w:val="20"/>
                <w:lang w:val="en-GB"/>
              </w:rPr>
            </w:pPr>
            <w:r>
              <w:rPr>
                <w:rFonts w:ascii="Times New Roman" w:eastAsia="ヒラギノ角ゴ Pro W3" w:hAnsi="Times New Roman" w:cs="Times New Roman"/>
                <w:b/>
                <w:noProof/>
                <w:sz w:val="20"/>
                <w:szCs w:val="20"/>
                <w:lang w:val="en-GB"/>
              </w:rPr>
              <w:t>Figure 3b: EU short-term breeding population trends for Annex I and II, non</w:t>
            </w:r>
            <w:r>
              <w:rPr>
                <w:rFonts w:ascii="Times New Roman" w:eastAsia="ヒラギノ角ゴ Pro W3" w:hAnsi="Times New Roman" w:cs="Times New Roman"/>
                <w:b/>
                <w:noProof/>
                <w:sz w:val="20"/>
                <w:szCs w:val="20"/>
                <w:lang w:val="en-GB"/>
              </w:rPr>
              <w:noBreakHyphen/>
              <w:t>Annex I/II and all bird species</w:t>
            </w:r>
          </w:p>
        </w:tc>
      </w:tr>
      <w:tr>
        <w:trPr>
          <w:trHeight w:val="2132"/>
        </w:trPr>
        <w:tc>
          <w:tcPr>
            <w:tcW w:w="4815" w:type="dxa"/>
          </w:tcPr>
          <w:p>
            <w:pPr>
              <w:keepNext/>
              <w:spacing w:after="60"/>
              <w:jc w:val="both"/>
              <w:rPr>
                <w:rFonts w:ascii="Times New Roman" w:eastAsia="ヒラギノ角ゴ Pro W3" w:hAnsi="Times New Roman" w:cs="Times New Roman"/>
                <w:b/>
                <w:noProof/>
                <w:sz w:val="18"/>
                <w:szCs w:val="20"/>
                <w:lang w:val="en-GB"/>
              </w:rPr>
            </w:pPr>
            <w:r>
              <w:rPr>
                <w:rFonts w:ascii="Times New Roman" w:eastAsia="ヒラギノ角ゴ Pro W3" w:hAnsi="Times New Roman" w:cs="Times New Roman"/>
                <w:b/>
                <w:noProof/>
                <w:sz w:val="18"/>
                <w:szCs w:val="20"/>
                <w:lang w:eastAsia="en-GB"/>
              </w:rPr>
              <w:drawing>
                <wp:inline distT="0" distB="0" distL="0" distR="0">
                  <wp:extent cx="2868152" cy="2250219"/>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6478" cy="2264597"/>
                          </a:xfrm>
                          <a:prstGeom prst="rect">
                            <a:avLst/>
                          </a:prstGeom>
                          <a:noFill/>
                        </pic:spPr>
                      </pic:pic>
                    </a:graphicData>
                  </a:graphic>
                </wp:inline>
              </w:drawing>
            </w:r>
          </w:p>
        </w:tc>
        <w:tc>
          <w:tcPr>
            <w:tcW w:w="4252" w:type="dxa"/>
          </w:tcPr>
          <w:p>
            <w:pPr>
              <w:keepNext/>
              <w:spacing w:after="60"/>
              <w:jc w:val="both"/>
              <w:rPr>
                <w:rFonts w:ascii="Times New Roman" w:eastAsia="ヒラギノ角ゴ Pro W3" w:hAnsi="Times New Roman" w:cs="Times New Roman"/>
                <w:b/>
                <w:noProof/>
                <w:sz w:val="18"/>
                <w:szCs w:val="20"/>
                <w:lang w:val="en-GB" w:eastAsia="en-GB"/>
              </w:rPr>
            </w:pPr>
            <w:r>
              <w:rPr>
                <w:rFonts w:ascii="Times New Roman" w:eastAsia="ヒラギノ角ゴ Pro W3" w:hAnsi="Times New Roman" w:cs="Times New Roman"/>
                <w:b/>
                <w:noProof/>
                <w:sz w:val="18"/>
                <w:szCs w:val="20"/>
                <w:lang w:eastAsia="en-GB"/>
              </w:rPr>
              <w:drawing>
                <wp:inline distT="0" distB="0" distL="0" distR="0">
                  <wp:extent cx="2523793" cy="2220228"/>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5501" cy="2239325"/>
                          </a:xfrm>
                          <a:prstGeom prst="rect">
                            <a:avLst/>
                          </a:prstGeom>
                          <a:noFill/>
                        </pic:spPr>
                      </pic:pic>
                    </a:graphicData>
                  </a:graphic>
                </wp:inline>
              </w:drawing>
            </w:r>
          </w:p>
        </w:tc>
      </w:tr>
      <w:tr>
        <w:trPr>
          <w:trHeight w:val="526"/>
        </w:trPr>
        <w:tc>
          <w:tcPr>
            <w:tcW w:w="4815" w:type="dxa"/>
          </w:tcPr>
          <w:p>
            <w:pPr>
              <w:spacing w:before="120" w:after="240"/>
              <w:jc w:val="both"/>
              <w:rPr>
                <w:rFonts w:ascii="Times New Roman" w:hAnsi="Times New Roman" w:cs="Times New Roman"/>
                <w:noProof/>
                <w:lang w:val="en-GB" w:eastAsia="de-DE"/>
              </w:rPr>
            </w:pPr>
            <w:r>
              <w:rPr>
                <w:rFonts w:ascii="Times New Roman" w:hAnsi="Times New Roman" w:cs="Times New Roman"/>
                <w:b/>
                <w:noProof/>
                <w:sz w:val="18"/>
                <w:szCs w:val="20"/>
                <w:lang w:val="en-GB"/>
              </w:rPr>
              <w:t>Note:</w:t>
            </w:r>
            <w:r>
              <w:rPr>
                <w:rFonts w:ascii="Times New Roman" w:eastAsia="Calibri" w:hAnsi="Times New Roman" w:cs="Times New Roman"/>
                <w:noProof/>
                <w:sz w:val="18"/>
                <w:szCs w:val="18"/>
                <w:lang w:val="en-GB"/>
              </w:rPr>
              <w:t xml:space="preserve"> The total number of assessments is 505.</w:t>
            </w:r>
          </w:p>
        </w:tc>
        <w:tc>
          <w:tcPr>
            <w:tcW w:w="4252" w:type="dxa"/>
          </w:tcPr>
          <w:p>
            <w:pPr>
              <w:spacing w:before="120"/>
              <w:jc w:val="both"/>
              <w:rPr>
                <w:rFonts w:ascii="Times New Roman" w:hAnsi="Times New Roman" w:cs="Times New Roman"/>
                <w:noProof/>
                <w:sz w:val="18"/>
                <w:szCs w:val="20"/>
                <w:lang w:val="en-GB"/>
              </w:rPr>
            </w:pPr>
            <w:r>
              <w:rPr>
                <w:rFonts w:ascii="Times New Roman" w:hAnsi="Times New Roman" w:cs="Times New Roman"/>
                <w:b/>
                <w:noProof/>
                <w:sz w:val="18"/>
                <w:szCs w:val="20"/>
                <w:lang w:val="en-GB"/>
              </w:rPr>
              <w:t>Note:</w:t>
            </w:r>
            <w:r>
              <w:rPr>
                <w:rFonts w:ascii="Times New Roman" w:eastAsia="Calibri" w:hAnsi="Times New Roman" w:cs="Times New Roman"/>
                <w:noProof/>
                <w:sz w:val="18"/>
                <w:szCs w:val="18"/>
                <w:lang w:val="en-GB"/>
              </w:rPr>
              <w:t xml:space="preserve"> The total number of assessments is 465.</w:t>
            </w:r>
          </w:p>
        </w:tc>
      </w:tr>
    </w:tbl>
    <w:p>
      <w:pPr>
        <w:spacing w:after="120"/>
        <w:jc w:val="both"/>
        <w:rPr>
          <w:rFonts w:ascii="Times New Roman" w:hAnsi="Times New Roman" w:cs="Times New Roman"/>
          <w:noProof/>
          <w:sz w:val="24"/>
          <w:szCs w:val="24"/>
        </w:rPr>
      </w:pP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Analysis of the status and trends of species in Annexes I and II to the Birds Directive indicates that:</w:t>
      </w:r>
    </w:p>
    <w:p>
      <w:pPr>
        <w:pStyle w:val="ListParagraph"/>
        <w:numPr>
          <w:ilvl w:val="0"/>
          <w:numId w:val="1"/>
        </w:numPr>
        <w:spacing w:after="120"/>
        <w:ind w:left="681" w:hanging="397"/>
        <w:contextualSpacing w:val="0"/>
        <w:jc w:val="both"/>
        <w:rPr>
          <w:rFonts w:ascii="Times New Roman" w:hAnsi="Times New Roman" w:cs="Times New Roman"/>
          <w:noProof/>
          <w:sz w:val="24"/>
          <w:szCs w:val="24"/>
        </w:rPr>
      </w:pPr>
      <w:r>
        <w:rPr>
          <w:rFonts w:ascii="Times New Roman" w:hAnsi="Times New Roman" w:cs="Times New Roman"/>
          <w:noProof/>
          <w:sz w:val="24"/>
          <w:szCs w:val="24"/>
        </w:rPr>
        <w:t>the proportion of Annex I species with secure status decreased by 8 pp (from 48% to 40%) from 2015, while the proportion of those with poor and bad status increased by 6 pp (from 38% to 44%). This suggests that the status of several Annex I species has deteriorated, despite the special habitat conservation measures required under the Directive. The fact that the status of 16% of Annex I species is still unknown is of particular concern and underlines the need for improved monitoring systems for these species in the Member States;</w:t>
      </w:r>
    </w:p>
    <w:p>
      <w:pPr>
        <w:pStyle w:val="ListParagraph"/>
        <w:numPr>
          <w:ilvl w:val="0"/>
          <w:numId w:val="1"/>
        </w:numPr>
        <w:spacing w:after="120"/>
        <w:ind w:left="681" w:hanging="397"/>
        <w:contextualSpacing w:val="0"/>
        <w:jc w:val="both"/>
        <w:rPr>
          <w:rFonts w:ascii="Times New Roman" w:eastAsia="Calibri" w:hAnsi="Times New Roman" w:cs="Times New Roman"/>
          <w:noProof/>
          <w:sz w:val="24"/>
          <w:szCs w:val="24"/>
        </w:rPr>
      </w:pPr>
      <w:r>
        <w:rPr>
          <w:rFonts w:ascii="Times New Roman" w:hAnsi="Times New Roman" w:cs="Times New Roman"/>
          <w:noProof/>
          <w:sz w:val="24"/>
          <w:szCs w:val="24"/>
        </w:rPr>
        <w:t>the proportion of Annex II (huntable) species with a good status was 9 pp lower (down from 55% to 46%) than in 2015, while the proportion with poor and bad status increased by 9 pp (from 39% to 48%); and</w:t>
      </w:r>
    </w:p>
    <w:p>
      <w:pPr>
        <w:pStyle w:val="ListParagraph"/>
        <w:numPr>
          <w:ilvl w:val="0"/>
          <w:numId w:val="1"/>
        </w:numPr>
        <w:spacing w:after="240"/>
        <w:ind w:left="681" w:hanging="397"/>
        <w:contextualSpacing w:val="0"/>
        <w:jc w:val="both"/>
        <w:rPr>
          <w:rFonts w:ascii="Times New Roman" w:hAnsi="Times New Roman" w:cs="Times New Roman"/>
          <w:noProof/>
          <w:sz w:val="24"/>
          <w:szCs w:val="24"/>
        </w:rPr>
      </w:pPr>
      <w:r>
        <w:rPr>
          <w:rFonts w:ascii="Times New Roman" w:hAnsi="Times New Roman" w:cs="Times New Roman"/>
          <w:noProof/>
          <w:sz w:val="24"/>
          <w:szCs w:val="24"/>
        </w:rPr>
        <w:t>as regards short-term population trends for breeding birds, Annex II species show by far the highest rate of downward trends – about 46%, i.e. twice the proportion for Annex I species (23%).</w:t>
      </w:r>
    </w:p>
    <w:p>
      <w:pPr>
        <w:spacing w:before="240" w:after="240"/>
        <w:jc w:val="both"/>
        <w:rPr>
          <w:rFonts w:ascii="Times New Roman" w:hAnsi="Times New Roman" w:cs="Times New Roman"/>
          <w:b/>
          <w:i/>
          <w:noProof/>
          <w:sz w:val="24"/>
          <w:szCs w:val="24"/>
          <w:u w:val="single"/>
        </w:rPr>
      </w:pPr>
      <w:r>
        <w:rPr>
          <w:rFonts w:ascii="Times New Roman" w:hAnsi="Times New Roman" w:cs="Times New Roman"/>
          <w:b/>
          <w:i/>
          <w:noProof/>
          <w:sz w:val="24"/>
          <w:szCs w:val="24"/>
          <w:u w:val="single"/>
        </w:rPr>
        <w:t>2.2 Habitat types</w:t>
      </w:r>
    </w:p>
    <w:p>
      <w:pPr>
        <w:spacing w:after="240"/>
        <w:jc w:val="both"/>
        <w:rPr>
          <w:rFonts w:ascii="Times New Roman" w:hAnsi="Times New Roman" w:cs="Times New Roman"/>
          <w:noProof/>
          <w:color w:val="000000" w:themeColor="text1"/>
          <w:sz w:val="24"/>
          <w:szCs w:val="24"/>
        </w:rPr>
      </w:pPr>
      <w:r>
        <w:rPr>
          <w:rFonts w:ascii="Times New Roman" w:hAnsi="Times New Roman" w:cs="Times New Roman"/>
          <w:noProof/>
          <w:sz w:val="24"/>
          <w:szCs w:val="24"/>
        </w:rPr>
        <w:t>Of the 233 habitat types listed in Annex I to the Habitats Directive, 224 are terrestrial and nine are purely marine. The reported area for the former accounts for almost a third of the terrestrial area of the EU-28, equivalent to 1.3 million km</w:t>
      </w:r>
      <w:r>
        <w:rPr>
          <w:rFonts w:ascii="Times New Roman" w:hAnsi="Times New Roman" w:cs="Times New Roman"/>
          <w:noProof/>
          <w:sz w:val="24"/>
          <w:szCs w:val="24"/>
          <w:vertAlign w:val="superscript"/>
        </w:rPr>
        <w:t>2</w:t>
      </w:r>
      <w:r>
        <w:rPr>
          <w:rFonts w:ascii="Times New Roman" w:hAnsi="Times New Roman" w:cs="Times New Roman"/>
          <w:noProof/>
          <w:sz w:val="24"/>
          <w:szCs w:val="24"/>
        </w:rPr>
        <w:t>. The area for the latter covers 0.4 million km</w:t>
      </w:r>
      <w:r>
        <w:rPr>
          <w:rFonts w:ascii="Times New Roman" w:hAnsi="Times New Roman" w:cs="Times New Roman"/>
          <w:noProof/>
          <w:sz w:val="24"/>
          <w:szCs w:val="24"/>
          <w:vertAlign w:val="superscript"/>
        </w:rPr>
        <w:t>2</w:t>
      </w:r>
      <w:r>
        <w:rPr>
          <w:rFonts w:ascii="Times New Roman" w:hAnsi="Times New Roman" w:cs="Times New Roman"/>
          <w:noProof/>
          <w:sz w:val="24"/>
          <w:szCs w:val="24"/>
        </w:rPr>
        <w:t xml:space="preserve"> of EU waters.</w:t>
      </w:r>
    </w:p>
    <w:p>
      <w:pPr>
        <w:spacing w:after="240"/>
        <w:jc w:val="both"/>
        <w:rPr>
          <w:rFonts w:ascii="Times New Roman" w:hAnsi="Times New Roman" w:cs="Times New Roman"/>
          <w:b/>
          <w:noProof/>
          <w:sz w:val="24"/>
          <w:szCs w:val="24"/>
        </w:rPr>
      </w:pPr>
      <w:r>
        <w:rPr>
          <w:rFonts w:ascii="Times New Roman" w:hAnsi="Times New Roman" w:cs="Times New Roman"/>
          <w:noProof/>
          <w:sz w:val="24"/>
          <w:szCs w:val="24"/>
        </w:rPr>
        <w:t xml:space="preserve">The range of habitats is very wide. Some cover large areas, while others occur only in very small patches. Forest habitat types are the most numerous group in Annex I (35% of all types), followed by natural and semi-natural grasslands (14%). Groups such as temperate heath and scrub, sclerophyllous scrub, bogs, mires and fens, and rocky habitats each constitute only about 5% of the habitat types listed. </w:t>
      </w:r>
    </w:p>
    <w:p>
      <w:pPr>
        <w:spacing w:after="240"/>
        <w:jc w:val="both"/>
        <w:rPr>
          <w:rFonts w:ascii="Times New Roman" w:hAnsi="Times New Roman" w:cs="Times New Roman"/>
          <w:b/>
          <w:noProof/>
          <w:sz w:val="24"/>
          <w:szCs w:val="24"/>
        </w:rPr>
      </w:pPr>
      <w:r>
        <w:rPr>
          <w:rFonts w:ascii="Times New Roman" w:hAnsi="Times New Roman" w:cs="Times New Roman"/>
          <w:b/>
          <w:noProof/>
          <w:sz w:val="24"/>
          <w:szCs w:val="24"/>
        </w:rPr>
        <w:t>Conservation status of habitats</w:t>
      </w:r>
    </w:p>
    <w:tbl>
      <w:tblPr>
        <w:tblStyle w:val="TableGrid"/>
        <w:tblpPr w:leftFromText="141" w:rightFromText="141" w:vertAnchor="text" w:horzAnchor="margin" w:tblpY="179"/>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6"/>
      </w:tblGrid>
      <w:tr>
        <w:tc>
          <w:tcPr>
            <w:tcW w:w="3681" w:type="dxa"/>
          </w:tcPr>
          <w:p>
            <w:pPr>
              <w:pStyle w:val="Caption"/>
              <w:framePr w:hSpace="0" w:wrap="auto" w:vAnchor="margin" w:hAnchor="text" w:yAlign="inline"/>
              <w:jc w:val="left"/>
              <w:rPr>
                <w:noProof/>
                <w:lang w:eastAsia="de-DE"/>
              </w:rPr>
            </w:pPr>
            <w:r>
              <w:rPr>
                <w:noProof/>
                <w:lang w:eastAsia="de-DE"/>
              </w:rPr>
              <w:t>Figure 4a: Conservation status of habitats at EU level</w:t>
            </w:r>
          </w:p>
        </w:tc>
        <w:tc>
          <w:tcPr>
            <w:tcW w:w="5386" w:type="dxa"/>
          </w:tcPr>
          <w:p>
            <w:pPr>
              <w:pStyle w:val="Caption"/>
              <w:framePr w:hSpace="0" w:wrap="auto" w:vAnchor="margin" w:hAnchor="text" w:yAlign="inline"/>
              <w:jc w:val="left"/>
              <w:rPr>
                <w:noProof/>
                <w:lang w:eastAsia="de-DE"/>
              </w:rPr>
            </w:pPr>
            <w:r>
              <w:rPr>
                <w:noProof/>
                <w:lang w:eastAsia="de-DE"/>
              </w:rPr>
              <w:t>Figure 4b: Conservation</w:t>
            </w:r>
            <w:r>
              <w:rPr>
                <w:noProof/>
              </w:rPr>
              <w:t xml:space="preserve"> status per habitat</w:t>
            </w:r>
            <w:r>
              <w:rPr>
                <w:rStyle w:val="CommentReference"/>
                <w:b w:val="0"/>
                <w:iCs/>
                <w:noProof/>
              </w:rPr>
              <w:t xml:space="preserve"> </w:t>
            </w:r>
            <w:r>
              <w:rPr>
                <w:noProof/>
              </w:rPr>
              <w:t>group at EU level</w:t>
            </w:r>
          </w:p>
        </w:tc>
      </w:tr>
      <w:tr>
        <w:tc>
          <w:tcPr>
            <w:tcW w:w="3681" w:type="dxa"/>
            <w:vAlign w:val="center"/>
          </w:tcPr>
          <w:p>
            <w:pPr>
              <w:pStyle w:val="Caption"/>
              <w:framePr w:hSpace="0" w:wrap="auto" w:vAnchor="margin" w:hAnchor="text" w:yAlign="inline"/>
              <w:rPr>
                <w:noProof/>
              </w:rPr>
            </w:pPr>
            <w:r>
              <w:rPr>
                <w:noProof/>
                <w:lang w:eastAsia="en-GB"/>
              </w:rPr>
              <w:drawing>
                <wp:inline distT="0" distB="0" distL="0" distR="0">
                  <wp:extent cx="1511600" cy="1511600"/>
                  <wp:effectExtent l="0" t="0" r="0" b="0"/>
                  <wp:docPr id="9"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 cstate="screen">
                            <a:extLst>
                              <a:ext uri="{28A0092B-C50C-407E-A947-70E740481C1C}">
                                <a14:useLocalDpi xmlns:a14="http://schemas.microsoft.com/office/drawing/2010/main"/>
                              </a:ext>
                            </a:extLst>
                          </a:blip>
                          <a:srcRect/>
                          <a:stretch/>
                        </pic:blipFill>
                        <pic:spPr bwMode="auto">
                          <a:xfrm>
                            <a:off x="0" y="0"/>
                            <a:ext cx="1513257" cy="151325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86" w:type="dxa"/>
          </w:tcPr>
          <w:p>
            <w:pPr>
              <w:pStyle w:val="Caption"/>
              <w:framePr w:hSpace="0" w:wrap="auto" w:vAnchor="margin" w:hAnchor="text" w:yAlign="inline"/>
              <w:rPr>
                <w:noProof/>
              </w:rPr>
            </w:pPr>
            <w:r>
              <w:rPr>
                <w:noProof/>
                <w:lang w:eastAsia="en-GB"/>
              </w:rPr>
              <w:drawing>
                <wp:inline distT="0" distB="0" distL="0" distR="0">
                  <wp:extent cx="3226280" cy="1797612"/>
                  <wp:effectExtent l="0" t="0" r="0" b="0"/>
                  <wp:docPr id="10"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cstate="screen">
                            <a:extLst>
                              <a:ext uri="{28A0092B-C50C-407E-A947-70E740481C1C}">
                                <a14:useLocalDpi xmlns:a14="http://schemas.microsoft.com/office/drawing/2010/main"/>
                              </a:ext>
                            </a:extLst>
                          </a:blip>
                          <a:srcRect l="1726" t="3618" r="9581" b="21052"/>
                          <a:stretch/>
                        </pic:blipFill>
                        <pic:spPr bwMode="auto">
                          <a:xfrm>
                            <a:off x="0" y="0"/>
                            <a:ext cx="3240501" cy="1805535"/>
                          </a:xfrm>
                          <a:prstGeom prst="rect">
                            <a:avLst/>
                          </a:prstGeom>
                          <a:noFill/>
                          <a:ln>
                            <a:noFill/>
                          </a:ln>
                          <a:extLst>
                            <a:ext uri="{53640926-AAD7-44D8-BBD7-CCE9431645EC}">
                              <a14:shadowObscured xmlns:a14="http://schemas.microsoft.com/office/drawing/2010/main"/>
                            </a:ext>
                          </a:extLst>
                        </pic:spPr>
                      </pic:pic>
                    </a:graphicData>
                  </a:graphic>
                </wp:inline>
              </w:drawing>
            </w:r>
          </w:p>
        </w:tc>
      </w:tr>
      <w:tr>
        <w:tc>
          <w:tcPr>
            <w:tcW w:w="9067" w:type="dxa"/>
            <w:gridSpan w:val="2"/>
            <w:vAlign w:val="center"/>
          </w:tcPr>
          <w:p>
            <w:pPr>
              <w:pStyle w:val="Caption"/>
              <w:framePr w:hSpace="0" w:wrap="auto" w:vAnchor="margin" w:hAnchor="text" w:yAlign="inline"/>
              <w:rPr>
                <w:noProof/>
                <w:lang w:eastAsia="de-DE"/>
              </w:rPr>
            </w:pPr>
            <w:r>
              <w:rPr>
                <w:noProof/>
                <w:lang w:eastAsia="en-GB"/>
              </w:rPr>
              <w:drawing>
                <wp:inline distT="0" distB="0" distL="0" distR="0">
                  <wp:extent cx="2250219" cy="148271"/>
                  <wp:effectExtent l="0" t="0" r="0" b="4445"/>
                  <wp:docPr id="1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ART17_status_legend_20191203.PNG"/>
                          <pic:cNvPicPr/>
                        </pic:nvPicPr>
                        <pic:blipFill rotWithShape="1">
                          <a:blip r:embed="rId24" cstate="screen">
                            <a:extLst>
                              <a:ext uri="{28A0092B-C50C-407E-A947-70E740481C1C}">
                                <a14:useLocalDpi xmlns:a14="http://schemas.microsoft.com/office/drawing/2010/main"/>
                              </a:ext>
                            </a:extLst>
                          </a:blip>
                          <a:srcRect/>
                          <a:stretch/>
                        </pic:blipFill>
                        <pic:spPr bwMode="auto">
                          <a:xfrm>
                            <a:off x="0" y="0"/>
                            <a:ext cx="2412847" cy="158987"/>
                          </a:xfrm>
                          <a:prstGeom prst="rect">
                            <a:avLst/>
                          </a:prstGeom>
                          <a:ln>
                            <a:noFill/>
                          </a:ln>
                          <a:extLst>
                            <a:ext uri="{53640926-AAD7-44D8-BBD7-CCE9431645EC}">
                              <a14:shadowObscured xmlns:a14="http://schemas.microsoft.com/office/drawing/2010/main"/>
                            </a:ext>
                          </a:extLst>
                        </pic:spPr>
                      </pic:pic>
                    </a:graphicData>
                  </a:graphic>
                </wp:inline>
              </w:drawing>
            </w:r>
          </w:p>
        </w:tc>
      </w:tr>
      <w:tr>
        <w:tc>
          <w:tcPr>
            <w:tcW w:w="3681" w:type="dxa"/>
          </w:tcPr>
          <w:p>
            <w:pPr>
              <w:keepNext/>
              <w:jc w:val="both"/>
              <w:rPr>
                <w:rFonts w:ascii="Times New Roman" w:hAnsi="Times New Roman" w:cs="Times New Roman"/>
                <w:iCs/>
                <w:noProof/>
              </w:rPr>
            </w:pPr>
            <w:r>
              <w:rPr>
                <w:rFonts w:ascii="Times New Roman" w:hAnsi="Times New Roman" w:cs="Times New Roman"/>
                <w:b/>
                <w:noProof/>
                <w:sz w:val="18"/>
                <w:szCs w:val="18"/>
              </w:rPr>
              <w:t>Note:</w:t>
            </w:r>
            <w:r>
              <w:rPr>
                <w:rFonts w:ascii="Times New Roman" w:hAnsi="Times New Roman" w:cs="Times New Roman"/>
                <w:noProof/>
                <w:sz w:val="18"/>
                <w:szCs w:val="18"/>
              </w:rPr>
              <w:t xml:space="preserve"> Statistics based on number of EU habitat assessments (818).</w:t>
            </w:r>
          </w:p>
        </w:tc>
        <w:tc>
          <w:tcPr>
            <w:tcW w:w="5386" w:type="dxa"/>
          </w:tcPr>
          <w:p>
            <w:pPr>
              <w:keepNext/>
              <w:spacing w:after="240"/>
              <w:jc w:val="both"/>
              <w:rPr>
                <w:noProof/>
                <w:lang w:eastAsia="de-DE"/>
              </w:rPr>
            </w:pPr>
            <w:r>
              <w:rPr>
                <w:rFonts w:ascii="Times New Roman" w:hAnsi="Times New Roman" w:cs="Times New Roman"/>
                <w:b/>
                <w:noProof/>
                <w:sz w:val="18"/>
                <w:szCs w:val="18"/>
              </w:rPr>
              <w:t>Note:</w:t>
            </w:r>
            <w:r>
              <w:rPr>
                <w:rFonts w:ascii="Times New Roman" w:hAnsi="Times New Roman" w:cs="Times New Roman"/>
                <w:noProof/>
                <w:sz w:val="18"/>
                <w:szCs w:val="18"/>
              </w:rPr>
              <w:t xml:space="preserve"> The number of assessments per group is indicated in parentheses. Marine habitats are part of the ‘coastal habitats’ group. The total number of assessments is 818.</w:t>
            </w:r>
          </w:p>
        </w:tc>
      </w:tr>
    </w:tbl>
    <w:p>
      <w:pPr>
        <w:spacing w:after="240"/>
        <w:jc w:val="both"/>
        <w:rPr>
          <w:rFonts w:ascii="Times New Roman" w:hAnsi="Times New Roman" w:cs="Times New Roman"/>
          <w:noProof/>
          <w:sz w:val="24"/>
          <w:szCs w:val="24"/>
        </w:rPr>
      </w:pPr>
    </w:p>
    <w:p>
      <w:pPr>
        <w:spacing w:after="240"/>
        <w:jc w:val="both"/>
        <w:rPr>
          <w:rFonts w:ascii="Times New Roman" w:hAnsi="Times New Roman" w:cs="Times New Roman"/>
          <w:iCs/>
          <w:noProof/>
          <w:sz w:val="24"/>
          <w:szCs w:val="24"/>
        </w:rPr>
      </w:pPr>
      <w:r>
        <w:rPr>
          <w:rFonts w:ascii="Times New Roman" w:hAnsi="Times New Roman" w:cs="Times New Roman"/>
          <w:noProof/>
          <w:sz w:val="24"/>
          <w:szCs w:val="24"/>
        </w:rPr>
        <w:t xml:space="preserve">The conservation status of habitats did not improve over the reporting period. Only 15% of the habitat assessments show good conservation status, compared with 16% in 2015. The vast majority indicate unfavourable status (45% poor and 36% bad, compared with 47% and 30% in 2015). While the level of poor status assessments has decreased by 2 pp and the level of bad ones increased by 6 pp, most of the changes do not reflect actual deterioration on the ground, but improvements in assessment methods at EU or Member State level.  </w:t>
      </w:r>
    </w:p>
    <w:p>
      <w:pPr>
        <w:spacing w:after="240"/>
        <w:jc w:val="both"/>
        <w:rPr>
          <w:rFonts w:ascii="Times New Roman" w:hAnsi="Times New Roman" w:cs="Times New Roman"/>
          <w:noProof/>
          <w:sz w:val="24"/>
          <w:szCs w:val="24"/>
        </w:rPr>
      </w:pPr>
      <w:r>
        <w:rPr>
          <w:rFonts w:ascii="Times New Roman" w:hAnsi="Times New Roman" w:cs="Times New Roman"/>
          <w:noProof/>
          <w:sz w:val="24"/>
          <w:szCs w:val="24"/>
        </w:rPr>
        <w:t>Of the nine reported habitat groups, coastal habitats (which include marine habitat types) have the lowest proportion of ‘good status’ assessments. Dunes, bogs, mires and fens are most frequently assessed as having bad status (over 50%). Grasslands, which include some very species-rich habitats, are also among those with the highest proportion of ‘bad status’ assessments (49%). Grasslands that require active management are in a particularly bad state.</w:t>
      </w:r>
      <w:bookmarkStart w:id="2" w:name="_Toc42152720"/>
    </w:p>
    <w:p>
      <w:pPr>
        <w:spacing w:after="240"/>
        <w:jc w:val="both"/>
        <w:rPr>
          <w:rFonts w:ascii="Times New Roman" w:hAnsi="Times New Roman" w:cs="Times New Roman"/>
          <w:b/>
          <w:noProof/>
          <w:sz w:val="24"/>
          <w:szCs w:val="24"/>
        </w:rPr>
      </w:pPr>
      <w:r>
        <w:rPr>
          <w:rFonts w:ascii="Times New Roman" w:hAnsi="Times New Roman" w:cs="Times New Roman"/>
          <w:noProof/>
          <w:sz w:val="24"/>
          <w:szCs w:val="24"/>
        </w:rPr>
        <w:t>Gaps in knowledge for the nine marine habitats continue to be a problem. The conservation status of around 26% of Member States’ marine habitats remains unknown (compared with 4% for terrestrial habitats).</w:t>
      </w:r>
    </w:p>
    <w:p>
      <w:pPr>
        <w:rPr>
          <w:rFonts w:ascii="Times New Roman" w:hAnsi="Times New Roman" w:cs="Times New Roman"/>
          <w:b/>
          <w:noProof/>
          <w:sz w:val="24"/>
          <w:szCs w:val="24"/>
        </w:rPr>
      </w:pPr>
      <w:r>
        <w:rPr>
          <w:rFonts w:ascii="Times New Roman" w:hAnsi="Times New Roman" w:cs="Times New Roman"/>
          <w:b/>
          <w:noProof/>
          <w:sz w:val="24"/>
          <w:szCs w:val="24"/>
        </w:rPr>
        <w:br w:type="page"/>
      </w:r>
    </w:p>
    <w:p>
      <w:pPr>
        <w:spacing w:after="240" w:line="240" w:lineRule="auto"/>
        <w:jc w:val="both"/>
        <w:rPr>
          <w:rFonts w:ascii="Times New Roman" w:hAnsi="Times New Roman" w:cs="Times New Roman"/>
          <w:b/>
          <w:noProof/>
        </w:rPr>
      </w:pPr>
      <w:r>
        <w:rPr>
          <w:rFonts w:ascii="Times New Roman" w:hAnsi="Times New Roman" w:cs="Times New Roman"/>
          <w:b/>
          <w:noProof/>
          <w:sz w:val="24"/>
          <w:szCs w:val="24"/>
        </w:rPr>
        <w:t>Trends in conservation status</w:t>
      </w:r>
      <w:bookmarkEnd w:id="2"/>
      <w:r>
        <w:rPr>
          <w:rFonts w:ascii="Times New Roman" w:hAnsi="Times New Roman" w:cs="Times New Roman"/>
          <w:b/>
          <w:noProof/>
          <w:sz w:val="24"/>
          <w:szCs w:val="24"/>
        </w:rPr>
        <w:t xml:space="preserve"> of habitats</w:t>
      </w:r>
    </w:p>
    <w:tbl>
      <w:tblPr>
        <w:tblStyle w:val="HTG2"/>
        <w:tblW w:w="9952" w:type="dxa"/>
        <w:tblInd w:w="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424"/>
        <w:gridCol w:w="5528"/>
      </w:tblGrid>
      <w:tr>
        <w:tc>
          <w:tcPr>
            <w:tcW w:w="4424" w:type="dxa"/>
          </w:tcPr>
          <w:p>
            <w:pPr>
              <w:keepNext/>
              <w:spacing w:after="120"/>
              <w:rPr>
                <w:rFonts w:ascii="Times New Roman" w:hAnsi="Times New Roman" w:cs="Times New Roman"/>
                <w:b/>
                <w:noProof/>
                <w:sz w:val="20"/>
                <w:szCs w:val="20"/>
                <w:lang w:val="en-GB"/>
              </w:rPr>
            </w:pPr>
            <w:r>
              <w:rPr>
                <w:rFonts w:ascii="Times New Roman" w:hAnsi="Times New Roman" w:cs="Times New Roman"/>
                <w:b/>
                <w:noProof/>
                <w:sz w:val="20"/>
                <w:szCs w:val="20"/>
                <w:lang w:val="en-GB"/>
              </w:rPr>
              <w:t>Figure 5a: Conservation status trends of habitats with unfavourable (i.e. not good) or unknown status at EU level</w:t>
            </w:r>
          </w:p>
        </w:tc>
        <w:tc>
          <w:tcPr>
            <w:tcW w:w="5528" w:type="dxa"/>
          </w:tcPr>
          <w:p>
            <w:pPr>
              <w:keepNext/>
              <w:spacing w:after="120"/>
              <w:jc w:val="both"/>
              <w:rPr>
                <w:rFonts w:ascii="Times New Roman" w:hAnsi="Times New Roman" w:cs="Times New Roman"/>
                <w:b/>
                <w:noProof/>
                <w:sz w:val="20"/>
                <w:szCs w:val="20"/>
                <w:lang w:val="en-GB"/>
              </w:rPr>
            </w:pPr>
            <w:r>
              <w:rPr>
                <w:rFonts w:ascii="Times New Roman" w:hAnsi="Times New Roman" w:cs="Times New Roman"/>
                <w:b/>
                <w:noProof/>
                <w:sz w:val="20"/>
                <w:szCs w:val="20"/>
                <w:lang w:val="en-GB"/>
              </w:rPr>
              <w:t>Figure 5b: Conservation status trends of habitats with unfavourable (i.e. not good) or unknown status per habitat group at EU level</w:t>
            </w:r>
          </w:p>
        </w:tc>
      </w:tr>
      <w:tr>
        <w:tc>
          <w:tcPr>
            <w:tcW w:w="4424" w:type="dxa"/>
            <w:vAlign w:val="center"/>
          </w:tcPr>
          <w:p>
            <w:pPr>
              <w:keepNext/>
              <w:spacing w:after="120"/>
              <w:jc w:val="center"/>
              <w:rPr>
                <w:rFonts w:ascii="Times New Roman" w:hAnsi="Times New Roman" w:cs="Times New Roman"/>
                <w:noProof/>
                <w:lang w:val="en-GB"/>
              </w:rPr>
            </w:pPr>
          </w:p>
          <w:p>
            <w:pPr>
              <w:keepNext/>
              <w:spacing w:after="120"/>
              <w:jc w:val="center"/>
              <w:rPr>
                <w:rFonts w:ascii="Times New Roman" w:hAnsi="Times New Roman" w:cs="Times New Roman"/>
                <w:noProof/>
                <w:lang w:val="en-GB"/>
              </w:rPr>
            </w:pPr>
            <w:r>
              <w:rPr>
                <w:rFonts w:ascii="Times New Roman" w:hAnsi="Times New Roman" w:cs="Times New Roman"/>
                <w:noProof/>
                <w:lang w:eastAsia="en-GB"/>
              </w:rPr>
              <w:drawing>
                <wp:inline distT="0" distB="0" distL="0" distR="0">
                  <wp:extent cx="1591310" cy="159131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91310" cy="1591310"/>
                          </a:xfrm>
                          <a:prstGeom prst="rect">
                            <a:avLst/>
                          </a:prstGeom>
                          <a:noFill/>
                        </pic:spPr>
                      </pic:pic>
                    </a:graphicData>
                  </a:graphic>
                </wp:inline>
              </w:drawing>
            </w:r>
          </w:p>
          <w:p>
            <w:pPr>
              <w:keepNext/>
              <w:spacing w:after="120"/>
              <w:jc w:val="center"/>
              <w:rPr>
                <w:rFonts w:ascii="Times New Roman" w:hAnsi="Times New Roman" w:cs="Times New Roman"/>
                <w:noProof/>
                <w:lang w:val="en-GB"/>
              </w:rPr>
            </w:pPr>
          </w:p>
        </w:tc>
        <w:tc>
          <w:tcPr>
            <w:tcW w:w="5528" w:type="dxa"/>
          </w:tcPr>
          <w:p>
            <w:pPr>
              <w:keepNext/>
              <w:spacing w:after="120"/>
              <w:jc w:val="both"/>
              <w:rPr>
                <w:rFonts w:ascii="Times New Roman" w:hAnsi="Times New Roman" w:cs="Times New Roman"/>
                <w:noProof/>
                <w:lang w:val="en-GB"/>
              </w:rPr>
            </w:pPr>
            <w:r>
              <w:rPr>
                <w:rFonts w:ascii="Times New Roman" w:hAnsi="Times New Roman" w:cs="Times New Roman"/>
                <w:noProof/>
                <w:lang w:eastAsia="en-GB"/>
              </w:rPr>
              <w:drawing>
                <wp:inline distT="0" distB="0" distL="0" distR="0">
                  <wp:extent cx="3340735" cy="21456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40735" cy="2145665"/>
                          </a:xfrm>
                          <a:prstGeom prst="rect">
                            <a:avLst/>
                          </a:prstGeom>
                          <a:noFill/>
                        </pic:spPr>
                      </pic:pic>
                    </a:graphicData>
                  </a:graphic>
                </wp:inline>
              </w:drawing>
            </w:r>
          </w:p>
        </w:tc>
      </w:tr>
      <w:tr>
        <w:tc>
          <w:tcPr>
            <w:tcW w:w="9952" w:type="dxa"/>
            <w:gridSpan w:val="2"/>
          </w:tcPr>
          <w:p>
            <w:pPr>
              <w:keepNext/>
              <w:spacing w:after="120"/>
              <w:jc w:val="both"/>
              <w:rPr>
                <w:rFonts w:ascii="Times New Roman" w:hAnsi="Times New Roman" w:cs="Times New Roman"/>
                <w:noProof/>
                <w:lang w:val="en-GB" w:eastAsia="de-DE"/>
              </w:rPr>
            </w:pPr>
            <w:r>
              <w:rPr>
                <w:rFonts w:ascii="Times New Roman" w:hAnsi="Times New Roman" w:cs="Times New Roman"/>
                <w:noProof/>
                <w:lang w:eastAsia="en-GB"/>
              </w:rPr>
              <w:drawing>
                <wp:inline distT="0" distB="0" distL="0" distR="0">
                  <wp:extent cx="4886325" cy="197927"/>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7" cstate="screen">
                            <a:extLst>
                              <a:ext uri="{28A0092B-C50C-407E-A947-70E740481C1C}">
                                <a14:useLocalDpi xmlns:a14="http://schemas.microsoft.com/office/drawing/2010/main"/>
                              </a:ext>
                            </a:extLst>
                          </a:blip>
                          <a:srcRect/>
                          <a:stretch/>
                        </pic:blipFill>
                        <pic:spPr bwMode="auto">
                          <a:xfrm>
                            <a:off x="0" y="0"/>
                            <a:ext cx="4944099" cy="200267"/>
                          </a:xfrm>
                          <a:prstGeom prst="rect">
                            <a:avLst/>
                          </a:prstGeom>
                          <a:noFill/>
                          <a:ln>
                            <a:noFill/>
                          </a:ln>
                          <a:extLst>
                            <a:ext uri="{53640926-AAD7-44D8-BBD7-CCE9431645EC}">
                              <a14:shadowObscured xmlns:a14="http://schemas.microsoft.com/office/drawing/2010/main"/>
                            </a:ext>
                          </a:extLst>
                        </pic:spPr>
                      </pic:pic>
                    </a:graphicData>
                  </a:graphic>
                </wp:inline>
              </w:drawing>
            </w:r>
          </w:p>
        </w:tc>
      </w:tr>
      <w:tr>
        <w:tc>
          <w:tcPr>
            <w:tcW w:w="4424" w:type="dxa"/>
          </w:tcPr>
          <w:p>
            <w:pPr>
              <w:keepNext/>
              <w:jc w:val="both"/>
              <w:rPr>
                <w:rFonts w:ascii="Times New Roman" w:hAnsi="Times New Roman" w:cs="Times New Roman"/>
                <w:b/>
                <w:noProof/>
                <w:sz w:val="18"/>
                <w:szCs w:val="18"/>
                <w:lang w:val="en-GB"/>
              </w:rPr>
            </w:pPr>
            <w:r>
              <w:rPr>
                <w:rFonts w:ascii="Times New Roman" w:hAnsi="Times New Roman" w:cs="Times New Roman"/>
                <w:b/>
                <w:noProof/>
                <w:sz w:val="18"/>
                <w:szCs w:val="18"/>
                <w:lang w:val="en-GB"/>
              </w:rPr>
              <w:t>Note:</w:t>
            </w:r>
            <w:r>
              <w:rPr>
                <w:rFonts w:ascii="Times New Roman" w:hAnsi="Times New Roman" w:cs="Times New Roman"/>
                <w:noProof/>
                <w:sz w:val="18"/>
                <w:szCs w:val="18"/>
                <w:lang w:val="en-GB"/>
              </w:rPr>
              <w:t xml:space="preserve"> Conservation status trends are based on EU habitat assessments (698).</w:t>
            </w:r>
          </w:p>
        </w:tc>
        <w:tc>
          <w:tcPr>
            <w:tcW w:w="5528" w:type="dxa"/>
          </w:tcPr>
          <w:p>
            <w:pPr>
              <w:keepNext/>
              <w:spacing w:after="240"/>
              <w:jc w:val="both"/>
              <w:rPr>
                <w:rFonts w:ascii="Times New Roman" w:hAnsi="Times New Roman" w:cs="Times New Roman"/>
                <w:noProof/>
                <w:lang w:val="en-GB" w:eastAsia="de-DE"/>
              </w:rPr>
            </w:pPr>
            <w:r>
              <w:rPr>
                <w:rFonts w:ascii="Times New Roman" w:hAnsi="Times New Roman" w:cs="Times New Roman"/>
                <w:b/>
                <w:noProof/>
                <w:sz w:val="18"/>
                <w:szCs w:val="18"/>
                <w:lang w:val="en-GB"/>
              </w:rPr>
              <w:t>Note:</w:t>
            </w:r>
            <w:r>
              <w:rPr>
                <w:rFonts w:ascii="Times New Roman" w:hAnsi="Times New Roman" w:cs="Times New Roman"/>
                <w:noProof/>
                <w:sz w:val="18"/>
                <w:szCs w:val="18"/>
                <w:lang w:val="en-GB"/>
              </w:rPr>
              <w:t xml:space="preserve"> The number of assessments is indicated in parentheses. The total number of assessments is 698.</w:t>
            </w:r>
          </w:p>
        </w:tc>
      </w:tr>
    </w:tbl>
    <w:p>
      <w:pPr>
        <w:spacing w:after="240"/>
        <w:jc w:val="both"/>
        <w:rPr>
          <w:rFonts w:ascii="Times New Roman" w:hAnsi="Times New Roman" w:cs="Times New Roman"/>
          <w:iCs/>
          <w:noProof/>
          <w:sz w:val="24"/>
          <w:szCs w:val="24"/>
        </w:rPr>
      </w:pPr>
    </w:p>
    <w:p>
      <w:pPr>
        <w:spacing w:after="240"/>
        <w:jc w:val="both"/>
        <w:rPr>
          <w:rFonts w:ascii="Times New Roman" w:hAnsi="Times New Roman" w:cs="Times New Roman"/>
          <w:iCs/>
          <w:noProof/>
          <w:sz w:val="24"/>
          <w:szCs w:val="24"/>
        </w:rPr>
      </w:pPr>
      <w:r>
        <w:rPr>
          <w:rFonts w:ascii="Times New Roman" w:hAnsi="Times New Roman" w:cs="Times New Roman"/>
          <w:iCs/>
          <w:noProof/>
          <w:sz w:val="24"/>
          <w:szCs w:val="24"/>
        </w:rPr>
        <w:t>The status of</w:t>
      </w:r>
      <w:r>
        <w:rPr>
          <w:rFonts w:ascii="Times New Roman" w:hAnsi="Times New Roman" w:cs="Times New Roman"/>
          <w:iCs/>
          <w:noProof/>
        </w:rPr>
        <w:t xml:space="preserve"> </w:t>
      </w:r>
      <w:r>
        <w:rPr>
          <w:rFonts w:ascii="Times New Roman" w:hAnsi="Times New Roman" w:cs="Times New Roman"/>
          <w:iCs/>
          <w:noProof/>
          <w:sz w:val="24"/>
          <w:szCs w:val="24"/>
        </w:rPr>
        <w:t xml:space="preserve">81% of the listed habitats is assessed as ‘poor’ or ‘bad’ at EU level. Only 9% of them show improving trends, while 36% show continuing deterioration. </w:t>
      </w:r>
      <w:r>
        <w:rPr>
          <w:rFonts w:ascii="Times New Roman" w:hAnsi="Times New Roman" w:cs="Times New Roman"/>
          <w:noProof/>
          <w:sz w:val="24"/>
          <w:szCs w:val="24"/>
        </w:rPr>
        <w:t>Deteriorating trends are observed in at least 25% of all assessments across habitat groups, except for rocky habitats (15%). Bogs, mires and fens, grasslands and dune habitats have the highest proportion of deteriorating trends (over 50% for each group). For grassland habitats, mainly hay meadows</w:t>
      </w:r>
      <w:r>
        <w:rPr>
          <w:rStyle w:val="FootnoteReference"/>
          <w:rFonts w:ascii="Times New Roman" w:hAnsi="Times New Roman" w:cs="Times New Roman"/>
          <w:noProof/>
          <w:sz w:val="24"/>
          <w:szCs w:val="24"/>
        </w:rPr>
        <w:footnoteReference w:id="10"/>
      </w:r>
      <w:r>
        <w:rPr>
          <w:rFonts w:ascii="Times New Roman" w:hAnsi="Times New Roman" w:cs="Times New Roman"/>
          <w:noProof/>
          <w:sz w:val="24"/>
          <w:szCs w:val="24"/>
        </w:rPr>
        <w:t xml:space="preserve">, </w:t>
      </w:r>
      <w:r>
        <w:rPr>
          <w:rFonts w:ascii="Times New Roman" w:hAnsi="Times New Roman" w:cs="Times New Roman"/>
          <w:i/>
          <w:noProof/>
          <w:sz w:val="24"/>
          <w:szCs w:val="24"/>
        </w:rPr>
        <w:t>Molinia</w:t>
      </w:r>
      <w:r>
        <w:rPr>
          <w:rFonts w:ascii="Times New Roman" w:hAnsi="Times New Roman" w:cs="Times New Roman"/>
          <w:noProof/>
          <w:sz w:val="24"/>
          <w:szCs w:val="24"/>
        </w:rPr>
        <w:t xml:space="preserve"> meadows</w:t>
      </w:r>
      <w:r>
        <w:rPr>
          <w:rStyle w:val="FootnoteReference"/>
          <w:rFonts w:ascii="Times New Roman" w:hAnsi="Times New Roman" w:cs="Times New Roman"/>
          <w:noProof/>
          <w:sz w:val="24"/>
          <w:szCs w:val="24"/>
        </w:rPr>
        <w:footnoteReference w:id="11"/>
      </w:r>
      <w:r>
        <w:rPr>
          <w:rFonts w:ascii="Times New Roman" w:hAnsi="Times New Roman" w:cs="Times New Roman"/>
          <w:noProof/>
          <w:sz w:val="24"/>
          <w:szCs w:val="24"/>
        </w:rPr>
        <w:t xml:space="preserve"> and several types of semi-natural dry grasslands</w:t>
      </w:r>
      <w:r>
        <w:rPr>
          <w:rStyle w:val="FootnoteReference"/>
          <w:rFonts w:ascii="Times New Roman" w:hAnsi="Times New Roman" w:cs="Times New Roman"/>
          <w:noProof/>
          <w:sz w:val="24"/>
          <w:szCs w:val="24"/>
        </w:rPr>
        <w:footnoteReference w:id="12"/>
      </w:r>
      <w:r>
        <w:rPr>
          <w:rFonts w:ascii="Times New Roman" w:hAnsi="Times New Roman" w:cs="Times New Roman"/>
          <w:noProof/>
          <w:sz w:val="24"/>
          <w:szCs w:val="24"/>
        </w:rPr>
        <w:t xml:space="preserve"> show a deteriorating conservation status trend, illustrating their dependence on extensive farming practices that are still in decline across the EU. Forest habitats show the highest proportion of improving trends among the assessments (13%).</w:t>
      </w:r>
    </w:p>
    <w:p>
      <w:pPr>
        <w:spacing w:after="240"/>
        <w:jc w:val="both"/>
        <w:rPr>
          <w:rFonts w:ascii="Times New Roman" w:hAnsi="Times New Roman" w:cs="Times New Roman"/>
          <w:b/>
          <w:i/>
          <w:noProof/>
          <w:sz w:val="24"/>
          <w:szCs w:val="24"/>
          <w:u w:val="single"/>
        </w:rPr>
      </w:pPr>
      <w:r>
        <w:rPr>
          <w:rFonts w:ascii="Times New Roman" w:hAnsi="Times New Roman" w:cs="Times New Roman"/>
          <w:b/>
          <w:i/>
          <w:noProof/>
          <w:sz w:val="24"/>
          <w:szCs w:val="24"/>
          <w:u w:val="single"/>
        </w:rPr>
        <w:t>2.3 Species other than birds</w:t>
      </w:r>
    </w:p>
    <w:p>
      <w:pPr>
        <w:spacing w:after="240"/>
        <w:jc w:val="both"/>
        <w:rPr>
          <w:rFonts w:ascii="Times New Roman" w:eastAsia="ヒラギノ角ゴ Pro W3" w:hAnsi="Times New Roman" w:cs="Times New Roman"/>
          <w:iCs/>
          <w:noProof/>
          <w:sz w:val="24"/>
          <w:szCs w:val="24"/>
        </w:rPr>
      </w:pPr>
      <w:r>
        <w:rPr>
          <w:rFonts w:ascii="Times New Roman" w:hAnsi="Times New Roman" w:cs="Times New Roman"/>
          <w:noProof/>
          <w:sz w:val="24"/>
          <w:szCs w:val="24"/>
        </w:rPr>
        <w:t>Annexes II, IV and V to the Habitats Directive list 1 389 species of European interest</w:t>
      </w:r>
      <w:r>
        <w:rPr>
          <w:rStyle w:val="FootnoteReference"/>
          <w:rFonts w:ascii="Times New Roman" w:hAnsi="Times New Roman" w:cs="Times New Roman"/>
          <w:noProof/>
          <w:sz w:val="24"/>
          <w:szCs w:val="24"/>
        </w:rPr>
        <w:footnoteReference w:id="13"/>
      </w:r>
      <w:r>
        <w:rPr>
          <w:rFonts w:ascii="Times New Roman" w:hAnsi="Times New Roman" w:cs="Times New Roman"/>
          <w:noProof/>
          <w:sz w:val="24"/>
          <w:szCs w:val="24"/>
        </w:rPr>
        <w:t>. In some</w:t>
      </w:r>
      <w:r>
        <w:rPr>
          <w:rFonts w:ascii="Times New Roman" w:eastAsia="ヒラギノ角ゴ Pro W3" w:hAnsi="Times New Roman" w:cs="Times New Roman"/>
          <w:iCs/>
          <w:noProof/>
          <w:sz w:val="24"/>
          <w:szCs w:val="24"/>
        </w:rPr>
        <w:t xml:space="preserve"> larger taxonomic groups such as molluscs, arthropods and vascular plants, the proportion of species covered by the annexes is very low. The best</w:t>
      </w:r>
      <w:r>
        <w:rPr>
          <w:rFonts w:ascii="Times New Roman" w:eastAsia="ヒラギノ角ゴ Pro W3" w:hAnsi="Times New Roman" w:cs="Times New Roman"/>
          <w:iCs/>
          <w:noProof/>
          <w:sz w:val="24"/>
          <w:szCs w:val="24"/>
        </w:rPr>
        <w:noBreakHyphen/>
        <w:t>represented groups are vertebrates, with 85% of amphibians, 70% of reptiles, 64% of mammals and 39% of freshwater fish species listed. Many unlisted species, including many of the more common species, benefit from measures under the Directive, including the protection of Annex I habitat types.</w:t>
      </w:r>
    </w:p>
    <w:p>
      <w:pPr>
        <w:rPr>
          <w:rFonts w:ascii="Times New Roman" w:eastAsia="ヒラギノ角ゴ Pro W3" w:hAnsi="Times New Roman" w:cs="Times New Roman"/>
          <w:b/>
          <w:iCs/>
          <w:noProof/>
        </w:rPr>
      </w:pPr>
      <w:r>
        <w:rPr>
          <w:rFonts w:ascii="Times New Roman" w:eastAsia="ヒラギノ角ゴ Pro W3" w:hAnsi="Times New Roman" w:cs="Times New Roman"/>
          <w:b/>
          <w:iCs/>
          <w:noProof/>
          <w:sz w:val="24"/>
          <w:szCs w:val="24"/>
        </w:rPr>
        <w:t>Conservation status of species</w:t>
      </w:r>
    </w:p>
    <w:tbl>
      <w:tblPr>
        <w:tblStyle w:val="HTG3"/>
        <w:tblpPr w:leftFromText="142" w:rightFromText="142" w:vertAnchor="text" w:horzAnchor="margin" w:tblpY="38"/>
        <w:tblOverlap w:val="nev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848"/>
      </w:tblGrid>
      <w:tr>
        <w:tc>
          <w:tcPr>
            <w:tcW w:w="4503" w:type="dxa"/>
          </w:tcPr>
          <w:p>
            <w:pPr>
              <w:keepNext/>
              <w:tabs>
                <w:tab w:val="center" w:pos="2370"/>
                <w:tab w:val="right" w:pos="4741"/>
              </w:tabs>
              <w:spacing w:after="120"/>
              <w:ind w:left="-105"/>
              <w:rPr>
                <w:rFonts w:ascii="Times New Roman" w:hAnsi="Times New Roman" w:cs="Times New Roman"/>
                <w:b/>
                <w:noProof/>
                <w:sz w:val="20"/>
                <w:szCs w:val="20"/>
                <w:lang w:val="en-GB"/>
              </w:rPr>
            </w:pPr>
            <w:r>
              <w:rPr>
                <w:rFonts w:ascii="Times New Roman" w:hAnsi="Times New Roman" w:cs="Times New Roman"/>
                <w:b/>
                <w:noProof/>
                <w:sz w:val="20"/>
                <w:szCs w:val="20"/>
                <w:lang w:val="en-GB"/>
              </w:rPr>
              <w:t xml:space="preserve">Figure 6a: Conservation status of species at EU level </w:t>
            </w:r>
          </w:p>
        </w:tc>
        <w:tc>
          <w:tcPr>
            <w:tcW w:w="4848" w:type="dxa"/>
          </w:tcPr>
          <w:p>
            <w:pPr>
              <w:keepNext/>
              <w:tabs>
                <w:tab w:val="center" w:pos="2370"/>
                <w:tab w:val="right" w:pos="4741"/>
              </w:tabs>
              <w:spacing w:after="120"/>
              <w:ind w:left="-105"/>
              <w:rPr>
                <w:rFonts w:ascii="Times New Roman" w:hAnsi="Times New Roman" w:cs="Times New Roman"/>
                <w:b/>
                <w:noProof/>
                <w:sz w:val="20"/>
                <w:szCs w:val="20"/>
                <w:lang w:val="en-GB"/>
              </w:rPr>
            </w:pPr>
            <w:r>
              <w:rPr>
                <w:rFonts w:ascii="Times New Roman" w:hAnsi="Times New Roman" w:cs="Times New Roman"/>
                <w:b/>
                <w:noProof/>
                <w:sz w:val="20"/>
                <w:szCs w:val="20"/>
                <w:lang w:val="en-GB"/>
              </w:rPr>
              <w:t>Figure 6b: Conservation status per species group at EU level</w:t>
            </w:r>
          </w:p>
        </w:tc>
      </w:tr>
      <w:tr>
        <w:trPr>
          <w:trHeight w:val="3011"/>
        </w:trPr>
        <w:tc>
          <w:tcPr>
            <w:tcW w:w="4503" w:type="dxa"/>
            <w:vAlign w:val="center"/>
          </w:tcPr>
          <w:p>
            <w:pPr>
              <w:keepNext/>
              <w:tabs>
                <w:tab w:val="center" w:pos="2370"/>
                <w:tab w:val="right" w:pos="4741"/>
              </w:tabs>
              <w:ind w:left="-105"/>
              <w:jc w:val="center"/>
              <w:rPr>
                <w:rFonts w:ascii="Times New Roman" w:hAnsi="Times New Roman" w:cs="Times New Roman"/>
                <w:noProof/>
                <w:lang w:val="en-GB"/>
              </w:rPr>
            </w:pPr>
            <w:r>
              <w:rPr>
                <w:rFonts w:ascii="Times New Roman" w:hAnsi="Times New Roman" w:cs="Times New Roman"/>
                <w:noProof/>
                <w:lang w:eastAsia="en-GB"/>
              </w:rPr>
              <w:drawing>
                <wp:inline distT="0" distB="0" distL="0" distR="0">
                  <wp:extent cx="1581235" cy="1609725"/>
                  <wp:effectExtent l="0" t="0" r="0" b="0"/>
                  <wp:docPr id="198" name="Grafik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8" cstate="screen">
                            <a:extLst>
                              <a:ext uri="{28A0092B-C50C-407E-A947-70E740481C1C}">
                                <a14:useLocalDpi xmlns:a14="http://schemas.microsoft.com/office/drawing/2010/main"/>
                              </a:ext>
                            </a:extLst>
                          </a:blip>
                          <a:srcRect/>
                          <a:stretch/>
                        </pic:blipFill>
                        <pic:spPr bwMode="auto">
                          <a:xfrm>
                            <a:off x="0" y="0"/>
                            <a:ext cx="1587253" cy="1615852"/>
                          </a:xfrm>
                          <a:prstGeom prst="rect">
                            <a:avLst/>
                          </a:prstGeom>
                          <a:noFill/>
                          <a:ln>
                            <a:noFill/>
                          </a:ln>
                          <a:extLst>
                            <a:ext uri="{53640926-AAD7-44D8-BBD7-CCE9431645EC}">
                              <a14:shadowObscured xmlns:a14="http://schemas.microsoft.com/office/drawing/2010/main"/>
                            </a:ext>
                          </a:extLst>
                        </pic:spPr>
                      </pic:pic>
                    </a:graphicData>
                  </a:graphic>
                </wp:inline>
              </w:drawing>
            </w:r>
          </w:p>
          <w:p>
            <w:pPr>
              <w:keepNext/>
              <w:spacing w:after="60"/>
              <w:ind w:left="-105"/>
              <w:jc w:val="center"/>
              <w:rPr>
                <w:rFonts w:ascii="Times New Roman" w:eastAsia="ヒラギノ角ゴ Pro W3" w:hAnsi="Times New Roman" w:cs="Times New Roman"/>
                <w:b/>
                <w:noProof/>
                <w:sz w:val="18"/>
                <w:szCs w:val="20"/>
                <w:lang w:val="en-GB" w:eastAsia="de-DE"/>
              </w:rPr>
            </w:pPr>
          </w:p>
        </w:tc>
        <w:tc>
          <w:tcPr>
            <w:tcW w:w="4848" w:type="dxa"/>
          </w:tcPr>
          <w:p>
            <w:pPr>
              <w:keepNext/>
              <w:tabs>
                <w:tab w:val="center" w:pos="2370"/>
                <w:tab w:val="right" w:pos="4741"/>
              </w:tabs>
              <w:ind w:left="-105"/>
              <w:jc w:val="both"/>
              <w:rPr>
                <w:rFonts w:ascii="Times New Roman" w:hAnsi="Times New Roman" w:cs="Times New Roman"/>
                <w:noProof/>
                <w:lang w:val="en-GB"/>
              </w:rPr>
            </w:pPr>
            <w:r>
              <w:rPr>
                <w:rFonts w:ascii="Times New Roman" w:hAnsi="Times New Roman" w:cs="Times New Roman"/>
                <w:noProof/>
                <w:lang w:eastAsia="en-GB"/>
              </w:rPr>
              <w:drawing>
                <wp:inline distT="0" distB="0" distL="0" distR="0">
                  <wp:extent cx="3048377" cy="1762461"/>
                  <wp:effectExtent l="0" t="0" r="0" b="9525"/>
                  <wp:docPr id="461" name="Grafik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9" cstate="screen">
                            <a:extLst>
                              <a:ext uri="{28A0092B-C50C-407E-A947-70E740481C1C}">
                                <a14:useLocalDpi xmlns:a14="http://schemas.microsoft.com/office/drawing/2010/main"/>
                              </a:ext>
                            </a:extLst>
                          </a:blip>
                          <a:srcRect l="3668" t="2960" r="9366" b="20395"/>
                          <a:stretch/>
                        </pic:blipFill>
                        <pic:spPr bwMode="auto">
                          <a:xfrm>
                            <a:off x="0" y="0"/>
                            <a:ext cx="3096701" cy="1790400"/>
                          </a:xfrm>
                          <a:prstGeom prst="rect">
                            <a:avLst/>
                          </a:prstGeom>
                          <a:noFill/>
                          <a:ln>
                            <a:noFill/>
                          </a:ln>
                          <a:extLst>
                            <a:ext uri="{53640926-AAD7-44D8-BBD7-CCE9431645EC}">
                              <a14:shadowObscured xmlns:a14="http://schemas.microsoft.com/office/drawing/2010/main"/>
                            </a:ext>
                          </a:extLst>
                        </pic:spPr>
                      </pic:pic>
                    </a:graphicData>
                  </a:graphic>
                </wp:inline>
              </w:drawing>
            </w:r>
          </w:p>
          <w:p>
            <w:pPr>
              <w:keepNext/>
              <w:spacing w:after="60"/>
              <w:ind w:left="-105"/>
              <w:jc w:val="both"/>
              <w:rPr>
                <w:rFonts w:ascii="Times New Roman" w:eastAsia="ヒラギノ角ゴ Pro W3" w:hAnsi="Times New Roman" w:cs="Times New Roman"/>
                <w:b/>
                <w:noProof/>
                <w:sz w:val="18"/>
                <w:szCs w:val="20"/>
                <w:lang w:val="en-GB" w:eastAsia="de-DE"/>
              </w:rPr>
            </w:pPr>
          </w:p>
        </w:tc>
      </w:tr>
      <w:tr>
        <w:tc>
          <w:tcPr>
            <w:tcW w:w="9351" w:type="dxa"/>
            <w:gridSpan w:val="2"/>
          </w:tcPr>
          <w:p>
            <w:pPr>
              <w:keepNext/>
              <w:tabs>
                <w:tab w:val="center" w:pos="2370"/>
                <w:tab w:val="right" w:pos="4741"/>
              </w:tabs>
              <w:jc w:val="center"/>
              <w:rPr>
                <w:rFonts w:ascii="Times New Roman" w:hAnsi="Times New Roman" w:cs="Times New Roman"/>
                <w:b/>
                <w:noProof/>
                <w:sz w:val="18"/>
                <w:lang w:val="en-GB" w:eastAsia="de-DE"/>
              </w:rPr>
            </w:pPr>
            <w:r>
              <w:rPr>
                <w:rFonts w:ascii="Times New Roman" w:eastAsia="MS Mincho" w:hAnsi="Times New Roman" w:cs="Times New Roman"/>
                <w:b/>
                <w:noProof/>
                <w:sz w:val="18"/>
                <w:szCs w:val="17"/>
                <w:lang w:eastAsia="en-GB"/>
              </w:rPr>
              <w:drawing>
                <wp:inline distT="0" distB="0" distL="0" distR="0">
                  <wp:extent cx="1995778" cy="131506"/>
                  <wp:effectExtent l="0" t="0" r="5080" b="1905"/>
                  <wp:docPr id="14"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ART17_status_legend_20191203.PNG"/>
                          <pic:cNvPicPr/>
                        </pic:nvPicPr>
                        <pic:blipFill rotWithShape="1">
                          <a:blip r:embed="rId30" cstate="screen">
                            <a:extLst>
                              <a:ext uri="{28A0092B-C50C-407E-A947-70E740481C1C}">
                                <a14:useLocalDpi xmlns:a14="http://schemas.microsoft.com/office/drawing/2010/main"/>
                              </a:ext>
                            </a:extLst>
                          </a:blip>
                          <a:srcRect/>
                          <a:stretch/>
                        </pic:blipFill>
                        <pic:spPr bwMode="auto">
                          <a:xfrm>
                            <a:off x="0" y="0"/>
                            <a:ext cx="2225411" cy="146637"/>
                          </a:xfrm>
                          <a:prstGeom prst="rect">
                            <a:avLst/>
                          </a:prstGeom>
                          <a:ln>
                            <a:noFill/>
                          </a:ln>
                          <a:extLst>
                            <a:ext uri="{53640926-AAD7-44D8-BBD7-CCE9431645EC}">
                              <a14:shadowObscured xmlns:a14="http://schemas.microsoft.com/office/drawing/2010/main"/>
                            </a:ext>
                          </a:extLst>
                        </pic:spPr>
                      </pic:pic>
                    </a:graphicData>
                  </a:graphic>
                </wp:inline>
              </w:drawing>
            </w:r>
          </w:p>
        </w:tc>
      </w:tr>
      <w:tr>
        <w:tc>
          <w:tcPr>
            <w:tcW w:w="4503" w:type="dxa"/>
          </w:tcPr>
          <w:p>
            <w:pPr>
              <w:keepNext/>
              <w:tabs>
                <w:tab w:val="center" w:pos="2370"/>
                <w:tab w:val="right" w:pos="4741"/>
              </w:tabs>
              <w:spacing w:before="120"/>
              <w:jc w:val="both"/>
              <w:rPr>
                <w:rFonts w:ascii="Times New Roman" w:hAnsi="Times New Roman" w:cs="Times New Roman"/>
                <w:noProof/>
                <w:sz w:val="18"/>
                <w:szCs w:val="18"/>
                <w:lang w:val="en-GB"/>
              </w:rPr>
            </w:pPr>
            <w:r>
              <w:rPr>
                <w:rFonts w:ascii="Times New Roman" w:hAnsi="Times New Roman" w:cs="Times New Roman"/>
                <w:b/>
                <w:noProof/>
                <w:sz w:val="18"/>
                <w:szCs w:val="18"/>
                <w:lang w:val="en-GB"/>
              </w:rPr>
              <w:t>Note:</w:t>
            </w:r>
            <w:r>
              <w:rPr>
                <w:rFonts w:ascii="Times New Roman" w:hAnsi="Times New Roman" w:cs="Times New Roman"/>
                <w:noProof/>
                <w:sz w:val="18"/>
                <w:szCs w:val="18"/>
                <w:lang w:val="en-GB"/>
              </w:rPr>
              <w:t xml:space="preserve"> Statistics based on number of EU species assessments (2 825). </w:t>
            </w:r>
          </w:p>
        </w:tc>
        <w:tc>
          <w:tcPr>
            <w:tcW w:w="4848" w:type="dxa"/>
          </w:tcPr>
          <w:p>
            <w:pPr>
              <w:keepNext/>
              <w:tabs>
                <w:tab w:val="center" w:pos="2370"/>
                <w:tab w:val="right" w:pos="4741"/>
              </w:tabs>
              <w:spacing w:before="120" w:after="240"/>
              <w:jc w:val="both"/>
              <w:rPr>
                <w:rFonts w:ascii="Times New Roman" w:hAnsi="Times New Roman" w:cs="Times New Roman"/>
                <w:b/>
                <w:noProof/>
                <w:sz w:val="18"/>
                <w:lang w:val="en-GB" w:eastAsia="de-DE"/>
              </w:rPr>
            </w:pPr>
            <w:r>
              <w:rPr>
                <w:rFonts w:ascii="Times New Roman" w:hAnsi="Times New Roman" w:cs="Times New Roman"/>
                <w:b/>
                <w:noProof/>
                <w:sz w:val="18"/>
                <w:szCs w:val="18"/>
                <w:lang w:val="en-GB"/>
              </w:rPr>
              <w:t>Note:</w:t>
            </w:r>
            <w:r>
              <w:rPr>
                <w:rFonts w:ascii="Times New Roman" w:hAnsi="Times New Roman" w:cs="Times New Roman"/>
                <w:noProof/>
                <w:sz w:val="18"/>
                <w:szCs w:val="18"/>
                <w:lang w:val="en-GB"/>
              </w:rPr>
              <w:t xml:space="preserve"> The number of assessments per group is indicated in parentheses. The total number of assessments is 2 825.</w:t>
            </w:r>
          </w:p>
        </w:tc>
      </w:tr>
    </w:tbl>
    <w:p>
      <w:pPr>
        <w:spacing w:after="240"/>
        <w:jc w:val="both"/>
        <w:rPr>
          <w:rFonts w:ascii="Times New Roman" w:eastAsia="ヒラギノ角ゴ Pro W3" w:hAnsi="Times New Roman" w:cs="Times New Roman"/>
          <w:iCs/>
          <w:noProof/>
        </w:rPr>
      </w:pPr>
    </w:p>
    <w:p>
      <w:pPr>
        <w:spacing w:after="240"/>
        <w:jc w:val="both"/>
        <w:rPr>
          <w:rFonts w:ascii="Times New Roman" w:hAnsi="Times New Roman" w:cs="Times New Roman"/>
          <w:noProof/>
          <w:sz w:val="24"/>
          <w:szCs w:val="24"/>
        </w:rPr>
      </w:pPr>
      <w:r>
        <w:rPr>
          <w:rFonts w:ascii="Times New Roman" w:eastAsia="ヒラギノ角ゴ Pro W3" w:hAnsi="Times New Roman" w:cs="Times New Roman"/>
          <w:iCs/>
          <w:noProof/>
        </w:rPr>
        <w:t>Over</w:t>
      </w:r>
      <w:r>
        <w:rPr>
          <w:rFonts w:ascii="Times New Roman" w:eastAsia="ヒラギノ角ゴ Pro W3" w:hAnsi="Times New Roman" w:cs="Times New Roman"/>
          <w:iCs/>
          <w:noProof/>
          <w:sz w:val="24"/>
          <w:szCs w:val="24"/>
        </w:rPr>
        <w:t xml:space="preserve"> a quarter (27%) of species assessments indicate good conservation status, compared with 23% in 2015. 63% show poor or bad status, which is similar to the 2015 figure (60%). </w:t>
      </w:r>
      <w:r>
        <w:rPr>
          <w:rFonts w:ascii="Times New Roman" w:hAnsi="Times New Roman" w:cs="Times New Roman"/>
          <w:noProof/>
          <w:sz w:val="24"/>
          <w:szCs w:val="24"/>
        </w:rPr>
        <w:t xml:space="preserve">The number of ‘unknown’ assessments dropped from the last reporting period (from 17% to 10%), but remains significantly higher than for habitats (4%). At Member State level, the status of the majority of marine species (59%) is unknown, compared with only 8% of terrestrial species, </w:t>
      </w:r>
      <w:r>
        <w:rPr>
          <w:rFonts w:ascii="Times New Roman" w:eastAsia="ヒラギノ角ゴ Pro W3" w:hAnsi="Times New Roman" w:cs="Times New Roman"/>
          <w:iCs/>
          <w:noProof/>
          <w:sz w:val="24"/>
          <w:szCs w:val="24"/>
        </w:rPr>
        <w:t>suggesting that insufficient resources are devoted to monitoring them.</w:t>
      </w:r>
    </w:p>
    <w:p>
      <w:pPr>
        <w:spacing w:after="240"/>
        <w:jc w:val="both"/>
        <w:rPr>
          <w:rFonts w:ascii="Times New Roman" w:hAnsi="Times New Roman" w:cs="Times New Roman"/>
          <w:noProof/>
          <w:sz w:val="24"/>
          <w:szCs w:val="24"/>
        </w:rPr>
      </w:pPr>
      <w:r>
        <w:rPr>
          <w:rFonts w:ascii="Times New Roman" w:hAnsi="Times New Roman" w:cs="Times New Roman"/>
          <w:noProof/>
          <w:sz w:val="24"/>
          <w:szCs w:val="24"/>
        </w:rPr>
        <w:t>The species groups with the highest proportion in good status at EU level are reptiles and vascular plants (36% and 40% respectively). Around 30% of mollusc and fish species received a ‘bad status’ assessment.</w:t>
      </w:r>
    </w:p>
    <w:p>
      <w:pPr>
        <w:rPr>
          <w:rFonts w:ascii="Times New Roman" w:eastAsia="ヒラギノ角ゴ Pro W3" w:hAnsi="Times New Roman" w:cs="Times New Roman"/>
          <w:iCs/>
          <w:noProof/>
          <w:sz w:val="24"/>
          <w:szCs w:val="24"/>
        </w:rPr>
      </w:pPr>
      <w:r>
        <w:rPr>
          <w:rFonts w:ascii="Times New Roman" w:eastAsia="ヒラギノ角ゴ Pro W3" w:hAnsi="Times New Roman" w:cs="Times New Roman"/>
          <w:iCs/>
          <w:noProof/>
          <w:sz w:val="24"/>
          <w:szCs w:val="24"/>
        </w:rPr>
        <w:br w:type="page"/>
      </w:r>
    </w:p>
    <w:p>
      <w:pPr>
        <w:spacing w:after="240"/>
        <w:rPr>
          <w:rFonts w:ascii="Times New Roman" w:eastAsia="ヒラギノ角ゴ Pro W3" w:hAnsi="Times New Roman" w:cs="Times New Roman"/>
          <w:b/>
          <w:iCs/>
          <w:noProof/>
          <w:sz w:val="24"/>
          <w:szCs w:val="24"/>
        </w:rPr>
      </w:pPr>
      <w:r>
        <w:rPr>
          <w:rFonts w:ascii="Times New Roman" w:eastAsia="ヒラギノ角ゴ Pro W3" w:hAnsi="Times New Roman" w:cs="Times New Roman"/>
          <w:b/>
          <w:iCs/>
          <w:noProof/>
          <w:sz w:val="24"/>
          <w:szCs w:val="24"/>
        </w:rPr>
        <w:t>Trends in conservation status of species</w:t>
      </w:r>
    </w:p>
    <w:tbl>
      <w:tblPr>
        <w:tblStyle w:val="HTG3"/>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4106"/>
        <w:gridCol w:w="5103"/>
      </w:tblGrid>
      <w:tr>
        <w:tc>
          <w:tcPr>
            <w:tcW w:w="4106" w:type="dxa"/>
          </w:tcPr>
          <w:p>
            <w:pPr>
              <w:spacing w:after="120"/>
              <w:jc w:val="both"/>
              <w:rPr>
                <w:rFonts w:ascii="Times New Roman" w:hAnsi="Times New Roman" w:cs="Times New Roman"/>
                <w:b/>
                <w:noProof/>
                <w:sz w:val="20"/>
                <w:szCs w:val="20"/>
                <w:lang w:val="en-GB"/>
              </w:rPr>
            </w:pPr>
            <w:r>
              <w:rPr>
                <w:rFonts w:ascii="Times New Roman" w:hAnsi="Times New Roman" w:cs="Times New Roman"/>
                <w:b/>
                <w:noProof/>
                <w:sz w:val="20"/>
                <w:szCs w:val="20"/>
                <w:lang w:val="en-GB"/>
              </w:rPr>
              <w:t>Figure 7a: Conservation status trends of species with unfavourable (i.e. not-good) or unknown status at EU level</w:t>
            </w:r>
          </w:p>
        </w:tc>
        <w:tc>
          <w:tcPr>
            <w:tcW w:w="5103" w:type="dxa"/>
          </w:tcPr>
          <w:p>
            <w:pPr>
              <w:spacing w:after="120"/>
              <w:jc w:val="both"/>
              <w:rPr>
                <w:rFonts w:ascii="Times New Roman" w:hAnsi="Times New Roman" w:cs="Times New Roman"/>
                <w:b/>
                <w:noProof/>
                <w:sz w:val="20"/>
                <w:szCs w:val="20"/>
                <w:lang w:val="en-GB"/>
              </w:rPr>
            </w:pPr>
            <w:r>
              <w:rPr>
                <w:rFonts w:ascii="Times New Roman" w:hAnsi="Times New Roman" w:cs="Times New Roman"/>
                <w:b/>
                <w:noProof/>
                <w:sz w:val="20"/>
                <w:szCs w:val="20"/>
                <w:lang w:val="en-GB"/>
              </w:rPr>
              <w:t>Figure 7b: Conservation status trends of species with unfavourable (i.e. not-good) or unknown status at EU level, per group</w:t>
            </w:r>
          </w:p>
        </w:tc>
      </w:tr>
      <w:tr>
        <w:tc>
          <w:tcPr>
            <w:tcW w:w="4106" w:type="dxa"/>
            <w:vAlign w:val="center"/>
          </w:tcPr>
          <w:p>
            <w:pPr>
              <w:keepNext/>
              <w:jc w:val="center"/>
              <w:rPr>
                <w:rFonts w:ascii="Times New Roman" w:hAnsi="Times New Roman" w:cs="Times New Roman"/>
                <w:noProof/>
                <w:lang w:val="en-GB" w:eastAsia="en-GB"/>
              </w:rPr>
            </w:pPr>
          </w:p>
          <w:p>
            <w:pPr>
              <w:keepNext/>
              <w:jc w:val="center"/>
              <w:rPr>
                <w:rFonts w:ascii="Times New Roman" w:hAnsi="Times New Roman" w:cs="Times New Roman"/>
                <w:noProof/>
                <w:lang w:val="en-GB"/>
              </w:rPr>
            </w:pPr>
            <w:r>
              <w:rPr>
                <w:rFonts w:ascii="Times New Roman" w:hAnsi="Times New Roman" w:cs="Times New Roman"/>
                <w:noProof/>
                <w:lang w:eastAsia="en-GB"/>
              </w:rPr>
              <w:drawing>
                <wp:inline distT="0" distB="0" distL="0" distR="0">
                  <wp:extent cx="1542415" cy="154876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42415" cy="1548765"/>
                          </a:xfrm>
                          <a:prstGeom prst="rect">
                            <a:avLst/>
                          </a:prstGeom>
                          <a:noFill/>
                        </pic:spPr>
                      </pic:pic>
                    </a:graphicData>
                  </a:graphic>
                </wp:inline>
              </w:drawing>
            </w:r>
          </w:p>
          <w:p>
            <w:pPr>
              <w:keepNext/>
              <w:jc w:val="center"/>
              <w:rPr>
                <w:rFonts w:ascii="Times New Roman" w:hAnsi="Times New Roman" w:cs="Times New Roman"/>
                <w:noProof/>
                <w:lang w:val="en-GB"/>
              </w:rPr>
            </w:pPr>
          </w:p>
        </w:tc>
        <w:tc>
          <w:tcPr>
            <w:tcW w:w="5103" w:type="dxa"/>
            <w:vAlign w:val="center"/>
          </w:tcPr>
          <w:p>
            <w:pPr>
              <w:keepNext/>
              <w:jc w:val="center"/>
              <w:rPr>
                <w:rFonts w:ascii="Times New Roman" w:hAnsi="Times New Roman" w:cs="Times New Roman"/>
                <w:noProof/>
                <w:lang w:val="en-GB"/>
              </w:rPr>
            </w:pPr>
          </w:p>
          <w:p>
            <w:pPr>
              <w:keepNext/>
              <w:jc w:val="center"/>
              <w:rPr>
                <w:rFonts w:ascii="Times New Roman" w:hAnsi="Times New Roman" w:cs="Times New Roman"/>
                <w:noProof/>
                <w:lang w:val="en-GB"/>
              </w:rPr>
            </w:pPr>
            <w:r>
              <w:rPr>
                <w:rFonts w:ascii="Times New Roman" w:hAnsi="Times New Roman" w:cs="Times New Roman"/>
                <w:noProof/>
                <w:lang w:eastAsia="en-GB"/>
              </w:rPr>
              <w:drawing>
                <wp:inline distT="0" distB="0" distL="0" distR="0">
                  <wp:extent cx="3165895" cy="1693433"/>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72857" cy="1697157"/>
                          </a:xfrm>
                          <a:prstGeom prst="rect">
                            <a:avLst/>
                          </a:prstGeom>
                          <a:noFill/>
                        </pic:spPr>
                      </pic:pic>
                    </a:graphicData>
                  </a:graphic>
                </wp:inline>
              </w:drawing>
            </w:r>
          </w:p>
          <w:p>
            <w:pPr>
              <w:keepNext/>
              <w:jc w:val="center"/>
              <w:rPr>
                <w:rFonts w:ascii="Times New Roman" w:hAnsi="Times New Roman" w:cs="Times New Roman"/>
                <w:noProof/>
                <w:lang w:val="en-GB"/>
              </w:rPr>
            </w:pPr>
          </w:p>
        </w:tc>
      </w:tr>
      <w:tr>
        <w:tc>
          <w:tcPr>
            <w:tcW w:w="9209" w:type="dxa"/>
            <w:gridSpan w:val="2"/>
          </w:tcPr>
          <w:p>
            <w:pPr>
              <w:keepNext/>
              <w:jc w:val="both"/>
              <w:rPr>
                <w:rFonts w:ascii="Times New Roman" w:hAnsi="Times New Roman" w:cs="Times New Roman"/>
                <w:noProof/>
                <w:lang w:val="en-GB" w:eastAsia="de-DE"/>
              </w:rPr>
            </w:pPr>
            <w:r>
              <w:rPr>
                <w:rFonts w:ascii="Times New Roman" w:hAnsi="Times New Roman" w:cs="Times New Roman"/>
                <w:noProof/>
                <w:lang w:eastAsia="en-GB"/>
              </w:rPr>
              <w:drawing>
                <wp:inline distT="0" distB="0" distL="0" distR="0">
                  <wp:extent cx="4886325" cy="197927"/>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7" cstate="screen">
                            <a:extLst>
                              <a:ext uri="{28A0092B-C50C-407E-A947-70E740481C1C}">
                                <a14:useLocalDpi xmlns:a14="http://schemas.microsoft.com/office/drawing/2010/main"/>
                              </a:ext>
                            </a:extLst>
                          </a:blip>
                          <a:srcRect/>
                          <a:stretch/>
                        </pic:blipFill>
                        <pic:spPr bwMode="auto">
                          <a:xfrm>
                            <a:off x="0" y="0"/>
                            <a:ext cx="4944099" cy="200267"/>
                          </a:xfrm>
                          <a:prstGeom prst="rect">
                            <a:avLst/>
                          </a:prstGeom>
                          <a:noFill/>
                          <a:ln>
                            <a:noFill/>
                          </a:ln>
                          <a:extLst>
                            <a:ext uri="{53640926-AAD7-44D8-BBD7-CCE9431645EC}">
                              <a14:shadowObscured xmlns:a14="http://schemas.microsoft.com/office/drawing/2010/main"/>
                            </a:ext>
                          </a:extLst>
                        </pic:spPr>
                      </pic:pic>
                    </a:graphicData>
                  </a:graphic>
                </wp:inline>
              </w:drawing>
            </w:r>
          </w:p>
        </w:tc>
      </w:tr>
      <w:tr>
        <w:tc>
          <w:tcPr>
            <w:tcW w:w="4106" w:type="dxa"/>
          </w:tcPr>
          <w:p>
            <w:pPr>
              <w:keepNext/>
              <w:spacing w:before="120"/>
              <w:jc w:val="both"/>
              <w:rPr>
                <w:rFonts w:ascii="Times New Roman" w:hAnsi="Times New Roman" w:cs="Times New Roman"/>
                <w:b/>
                <w:noProof/>
                <w:sz w:val="18"/>
                <w:szCs w:val="18"/>
                <w:lang w:val="en-GB"/>
              </w:rPr>
            </w:pPr>
            <w:r>
              <w:rPr>
                <w:rFonts w:ascii="Times New Roman" w:hAnsi="Times New Roman" w:cs="Times New Roman"/>
                <w:b/>
                <w:noProof/>
                <w:sz w:val="18"/>
                <w:szCs w:val="18"/>
                <w:lang w:val="en-GB"/>
              </w:rPr>
              <w:t>Note:</w:t>
            </w:r>
            <w:r>
              <w:rPr>
                <w:rFonts w:ascii="Times New Roman" w:hAnsi="Times New Roman" w:cs="Times New Roman"/>
                <w:noProof/>
                <w:sz w:val="18"/>
                <w:szCs w:val="18"/>
                <w:lang w:val="en-GB"/>
              </w:rPr>
              <w:t xml:space="preserve"> Conservation status trends are based on EU species assessments (2 049).</w:t>
            </w:r>
          </w:p>
        </w:tc>
        <w:tc>
          <w:tcPr>
            <w:tcW w:w="5103" w:type="dxa"/>
          </w:tcPr>
          <w:p>
            <w:pPr>
              <w:keepNext/>
              <w:spacing w:before="120" w:after="240"/>
              <w:jc w:val="both"/>
              <w:rPr>
                <w:rFonts w:ascii="Times New Roman" w:hAnsi="Times New Roman" w:cs="Times New Roman"/>
                <w:noProof/>
                <w:lang w:val="en-GB" w:eastAsia="de-DE"/>
              </w:rPr>
            </w:pPr>
            <w:r>
              <w:rPr>
                <w:rFonts w:ascii="Times New Roman" w:hAnsi="Times New Roman" w:cs="Times New Roman"/>
                <w:b/>
                <w:noProof/>
                <w:sz w:val="18"/>
                <w:szCs w:val="18"/>
                <w:lang w:val="en-GB"/>
              </w:rPr>
              <w:t>Note:</w:t>
            </w:r>
            <w:r>
              <w:rPr>
                <w:rFonts w:ascii="Times New Roman" w:hAnsi="Times New Roman" w:cs="Times New Roman"/>
                <w:noProof/>
                <w:sz w:val="18"/>
                <w:szCs w:val="18"/>
                <w:lang w:val="en-GB"/>
              </w:rPr>
              <w:t xml:space="preserve"> The number of assessments is indicated in parentheses. The total number of assessments is 2</w:t>
            </w:r>
            <w:r>
              <w:rPr>
                <w:rFonts w:ascii="Times New Roman" w:hAnsi="Times New Roman" w:cs="Times New Roman"/>
                <w:noProof/>
                <w:w w:val="50"/>
                <w:sz w:val="18"/>
                <w:szCs w:val="18"/>
                <w:lang w:val="en-GB"/>
              </w:rPr>
              <w:t> </w:t>
            </w:r>
            <w:r>
              <w:rPr>
                <w:rFonts w:ascii="Times New Roman" w:hAnsi="Times New Roman" w:cs="Times New Roman"/>
                <w:noProof/>
                <w:sz w:val="18"/>
                <w:szCs w:val="18"/>
                <w:lang w:val="en-GB"/>
              </w:rPr>
              <w:t>049.</w:t>
            </w:r>
          </w:p>
        </w:tc>
      </w:tr>
    </w:tbl>
    <w:p>
      <w:pPr>
        <w:spacing w:after="240"/>
        <w:jc w:val="both"/>
        <w:rPr>
          <w:rFonts w:ascii="Times New Roman" w:hAnsi="Times New Roman" w:cs="Times New Roman"/>
          <w:noProof/>
          <w:sz w:val="24"/>
          <w:szCs w:val="24"/>
        </w:rPr>
      </w:pPr>
    </w:p>
    <w:p>
      <w:pPr>
        <w:spacing w:after="240"/>
        <w:jc w:val="both"/>
        <w:rPr>
          <w:rFonts w:ascii="Times New Roman" w:hAnsi="Times New Roman" w:cs="Times New Roman"/>
          <w:noProof/>
          <w:sz w:val="24"/>
          <w:szCs w:val="24"/>
        </w:rPr>
      </w:pPr>
      <w:r>
        <w:rPr>
          <w:rFonts w:ascii="Times New Roman" w:hAnsi="Times New Roman" w:cs="Times New Roman"/>
          <w:noProof/>
          <w:sz w:val="24"/>
          <w:szCs w:val="24"/>
        </w:rPr>
        <w:t xml:space="preserve">Of the 2 049 species assessed as having poor or bad conservation status at EU level, 35% are on a downward and 6% on an upward trend. The trend is unknown for another 31%. Except for mammals, fish and non-vascular plants (10%, 9% and 6% respectively), the proportion of species assessed as having poor or bad status, but with improving trends, remains below 5%. While fish show more upward trends than other species groups, they also show (together with amphibians) the highest proportion of deteriorating trends (close to 50%). Strong downward trends are reported for other species groups, e.g. grassland habitat specialists such as the marsh fritillary butterfly </w:t>
      </w:r>
      <w:r>
        <w:rPr>
          <w:rFonts w:ascii="Times New Roman" w:hAnsi="Times New Roman" w:cs="Times New Roman"/>
          <w:i/>
          <w:noProof/>
          <w:sz w:val="24"/>
          <w:szCs w:val="24"/>
        </w:rPr>
        <w:t>(Euphydryas aurinia)</w:t>
      </w:r>
      <w:r>
        <w:rPr>
          <w:rFonts w:ascii="Times New Roman" w:hAnsi="Times New Roman" w:cs="Times New Roman"/>
          <w:noProof/>
          <w:sz w:val="24"/>
          <w:szCs w:val="24"/>
        </w:rPr>
        <w:t xml:space="preserve"> and the </w:t>
      </w:r>
      <w:r>
        <w:rPr>
          <w:rFonts w:ascii="Times New Roman" w:hAnsi="Times New Roman" w:cs="Times New Roman"/>
          <w:i/>
          <w:noProof/>
          <w:sz w:val="24"/>
          <w:szCs w:val="24"/>
        </w:rPr>
        <w:t xml:space="preserve">Jurinea cyanoides </w:t>
      </w:r>
      <w:r>
        <w:rPr>
          <w:rFonts w:ascii="Times New Roman" w:hAnsi="Times New Roman" w:cs="Times New Roman"/>
          <w:noProof/>
          <w:sz w:val="24"/>
          <w:szCs w:val="24"/>
        </w:rPr>
        <w:t>thistle.</w:t>
      </w:r>
    </w:p>
    <w:p>
      <w:pPr>
        <w:spacing w:after="240"/>
        <w:jc w:val="both"/>
        <w:rPr>
          <w:rFonts w:ascii="Times New Roman" w:eastAsia="ヒラギノ角ゴ Pro W3" w:hAnsi="Times New Roman" w:cs="Times New Roman"/>
          <w:iCs/>
          <w:noProof/>
          <w:sz w:val="24"/>
          <w:szCs w:val="24"/>
        </w:rPr>
      </w:pPr>
    </w:p>
    <w:p>
      <w:pPr>
        <w:pStyle w:val="Heading1"/>
        <w:numPr>
          <w:ilvl w:val="0"/>
          <w:numId w:val="10"/>
        </w:numPr>
        <w:spacing w:after="240"/>
        <w:ind w:left="714" w:hanging="357"/>
        <w:rPr>
          <w:rFonts w:eastAsia="Times New Roman"/>
          <w:noProof/>
          <w:color w:val="auto"/>
          <w:lang w:eastAsia="en-GB"/>
        </w:rPr>
      </w:pPr>
      <w:r>
        <w:rPr>
          <w:rFonts w:eastAsia="Times New Roman"/>
          <w:noProof/>
          <w:color w:val="auto"/>
          <w:lang w:eastAsia="en-GB"/>
        </w:rPr>
        <w:t>Evolution in status and trends</w:t>
      </w:r>
    </w:p>
    <w:p>
      <w:pPr>
        <w:spacing w:after="240"/>
        <w:jc w:val="both"/>
        <w:rPr>
          <w:rFonts w:ascii="Times New Roman" w:hAnsi="Times New Roman" w:cs="Times New Roman"/>
          <w:b/>
          <w:i/>
          <w:noProof/>
          <w:sz w:val="24"/>
          <w:szCs w:val="24"/>
          <w:u w:val="single"/>
        </w:rPr>
      </w:pPr>
      <w:r>
        <w:rPr>
          <w:rFonts w:ascii="Times New Roman" w:hAnsi="Times New Roman" w:cs="Times New Roman"/>
          <w:b/>
          <w:i/>
          <w:noProof/>
          <w:sz w:val="24"/>
          <w:szCs w:val="24"/>
          <w:u w:val="single"/>
        </w:rPr>
        <w:t>3.1 Progress towards target 1 of the biodiversity strategy to 2020</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On the basis of the information provided by Member States for this assessment, we determined the extent to which target 1 of the biodiversity strategy to 2020</w:t>
      </w:r>
      <w:r>
        <w:rPr>
          <w:rStyle w:val="FootnoteReference"/>
          <w:rFonts w:ascii="Times New Roman" w:hAnsi="Times New Roman" w:cs="Times New Roman"/>
          <w:noProof/>
          <w:sz w:val="24"/>
          <w:szCs w:val="24"/>
        </w:rPr>
        <w:footnoteReference w:id="14"/>
      </w:r>
      <w:r>
        <w:rPr>
          <w:rFonts w:ascii="Times New Roman" w:hAnsi="Times New Roman" w:cs="Times New Roman"/>
          <w:noProof/>
          <w:sz w:val="24"/>
          <w:szCs w:val="24"/>
        </w:rPr>
        <w:t xml:space="preserve"> had been achieved. The target was to halt the deterioration in the status of all species and habitats covered by EU nature legislation and achieve a significant and measurable improvement in their status, so that by 2020 (as compared with 2010 assessments) there would be:</w:t>
      </w:r>
    </w:p>
    <w:p>
      <w:pPr>
        <w:numPr>
          <w:ilvl w:val="0"/>
          <w:numId w:val="9"/>
        </w:numPr>
        <w:spacing w:after="120"/>
        <w:ind w:left="681" w:hanging="397"/>
        <w:jc w:val="both"/>
        <w:rPr>
          <w:rFonts w:ascii="Times New Roman" w:hAnsi="Times New Roman" w:cs="Times New Roman"/>
          <w:noProof/>
          <w:sz w:val="24"/>
          <w:szCs w:val="24"/>
        </w:rPr>
      </w:pPr>
      <w:r>
        <w:rPr>
          <w:rFonts w:ascii="Times New Roman" w:hAnsi="Times New Roman" w:cs="Times New Roman"/>
          <w:noProof/>
          <w:sz w:val="24"/>
          <w:szCs w:val="24"/>
        </w:rPr>
        <w:t>100% more habitats assessments with a favourable or improving conservation status (i.e. 34% of the total);</w:t>
      </w:r>
    </w:p>
    <w:p>
      <w:pPr>
        <w:numPr>
          <w:ilvl w:val="0"/>
          <w:numId w:val="9"/>
        </w:numPr>
        <w:spacing w:after="120"/>
        <w:ind w:left="681" w:hanging="397"/>
        <w:jc w:val="both"/>
        <w:rPr>
          <w:rFonts w:ascii="Times New Roman" w:hAnsi="Times New Roman" w:cs="Times New Roman"/>
          <w:noProof/>
          <w:sz w:val="24"/>
          <w:szCs w:val="24"/>
        </w:rPr>
      </w:pPr>
      <w:r>
        <w:rPr>
          <w:rFonts w:ascii="Times New Roman" w:hAnsi="Times New Roman" w:cs="Times New Roman"/>
          <w:noProof/>
          <w:sz w:val="24"/>
          <w:szCs w:val="24"/>
        </w:rPr>
        <w:t>50% more species assessments under the Habitats Directive with a favourable or improving conservation status (35%); and</w:t>
      </w:r>
    </w:p>
    <w:p>
      <w:pPr>
        <w:numPr>
          <w:ilvl w:val="0"/>
          <w:numId w:val="9"/>
        </w:numPr>
        <w:spacing w:after="240"/>
        <w:ind w:left="681" w:hanging="397"/>
        <w:jc w:val="both"/>
        <w:rPr>
          <w:rFonts w:ascii="Times New Roman" w:hAnsi="Times New Roman" w:cs="Times New Roman"/>
          <w:noProof/>
          <w:sz w:val="24"/>
          <w:szCs w:val="24"/>
        </w:rPr>
      </w:pPr>
      <w:r>
        <w:rPr>
          <w:rFonts w:ascii="Times New Roman" w:hAnsi="Times New Roman" w:cs="Times New Roman"/>
          <w:noProof/>
          <w:sz w:val="24"/>
          <w:szCs w:val="24"/>
        </w:rPr>
        <w:t>50% more species assessments under the Birds Directive with a secure or improving population status (78%).</w:t>
      </w:r>
    </w:p>
    <w:p>
      <w:pPr>
        <w:spacing w:after="240"/>
        <w:ind w:left="681"/>
        <w:jc w:val="both"/>
        <w:rPr>
          <w:rFonts w:ascii="Times New Roman" w:hAnsi="Times New Roman" w:cs="Times New Roman"/>
          <w:noProof/>
          <w:sz w:val="24"/>
          <w:szCs w:val="24"/>
        </w:rPr>
      </w:pPr>
    </w:p>
    <w:tbl>
      <w:tblPr>
        <w:tblStyle w:val="HTG6"/>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trPr>
          <w:trHeight w:val="369"/>
        </w:trPr>
        <w:tc>
          <w:tcPr>
            <w:tcW w:w="9209" w:type="dxa"/>
          </w:tcPr>
          <w:p>
            <w:pPr>
              <w:spacing w:after="120"/>
              <w:jc w:val="both"/>
              <w:rPr>
                <w:rFonts w:ascii="Times New Roman" w:hAnsi="Times New Roman" w:cs="Times New Roman"/>
                <w:noProof/>
                <w:sz w:val="20"/>
                <w:szCs w:val="20"/>
                <w:lang w:val="en-GB" w:eastAsia="de-DE"/>
              </w:rPr>
            </w:pPr>
            <w:r>
              <w:rPr>
                <w:rFonts w:ascii="Times New Roman" w:hAnsi="Times New Roman" w:cs="Times New Roman"/>
                <w:b/>
                <w:bCs/>
                <w:noProof/>
                <w:sz w:val="20"/>
                <w:szCs w:val="20"/>
                <w:lang w:val="en-GB"/>
              </w:rPr>
              <w:t xml:space="preserve">Figure 8: Progress towards target 1 (in % of assessments) </w:t>
            </w:r>
          </w:p>
        </w:tc>
      </w:tr>
      <w:tr>
        <w:tblPrEx>
          <w:tblCellMar>
            <w:left w:w="70" w:type="dxa"/>
            <w:right w:w="70" w:type="dxa"/>
          </w:tblCellMar>
        </w:tblPrEx>
        <w:trPr>
          <w:trHeight w:val="3443"/>
        </w:trPr>
        <w:tc>
          <w:tcPr>
            <w:tcW w:w="9209" w:type="dxa"/>
            <w:vAlign w:val="center"/>
          </w:tcPr>
          <w:p>
            <w:pPr>
              <w:jc w:val="both"/>
              <w:rPr>
                <w:rFonts w:ascii="Times New Roman" w:hAnsi="Times New Roman" w:cs="Times New Roman"/>
                <w:noProof/>
                <w:lang w:val="en-GB"/>
              </w:rPr>
            </w:pPr>
            <w:r>
              <w:rPr>
                <w:rFonts w:ascii="Times New Roman" w:hAnsi="Times New Roman" w:cs="Times New Roman"/>
                <w:noProof/>
                <w:lang w:eastAsia="en-GB"/>
              </w:rPr>
              <w:drawing>
                <wp:inline distT="0" distB="0" distL="0" distR="0">
                  <wp:extent cx="5753819" cy="2450700"/>
                  <wp:effectExtent l="0" t="0" r="0" b="6985"/>
                  <wp:docPr id="1397633216" name="Picture 1397633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633216" name="Captura de ecrã 2020-06-04, às 08.35.26.png"/>
                          <pic:cNvPicPr/>
                        </pic:nvPicPr>
                        <pic:blipFill>
                          <a:blip r:embed="rId33"/>
                          <a:stretch>
                            <a:fillRect/>
                          </a:stretch>
                        </pic:blipFill>
                        <pic:spPr>
                          <a:xfrm>
                            <a:off x="0" y="0"/>
                            <a:ext cx="5788774" cy="2465588"/>
                          </a:xfrm>
                          <a:prstGeom prst="rect">
                            <a:avLst/>
                          </a:prstGeom>
                        </pic:spPr>
                      </pic:pic>
                    </a:graphicData>
                  </a:graphic>
                </wp:inline>
              </w:drawing>
            </w:r>
          </w:p>
        </w:tc>
      </w:tr>
      <w:tr>
        <w:tblPrEx>
          <w:tblCellMar>
            <w:left w:w="70" w:type="dxa"/>
            <w:right w:w="70" w:type="dxa"/>
          </w:tblCellMar>
        </w:tblPrEx>
        <w:trPr>
          <w:trHeight w:val="454"/>
        </w:trPr>
        <w:tc>
          <w:tcPr>
            <w:tcW w:w="9209" w:type="dxa"/>
            <w:vAlign w:val="center"/>
          </w:tcPr>
          <w:p>
            <w:pPr>
              <w:spacing w:after="240"/>
              <w:jc w:val="both"/>
              <w:rPr>
                <w:rFonts w:ascii="Times New Roman" w:hAnsi="Times New Roman" w:cs="Times New Roman"/>
                <w:noProof/>
                <w:lang w:val="en-GB" w:eastAsia="en-GB"/>
              </w:rPr>
            </w:pPr>
            <w:r>
              <w:rPr>
                <w:rFonts w:ascii="Times New Roman" w:hAnsi="Times New Roman" w:cs="Times New Roman"/>
                <w:b/>
                <w:noProof/>
                <w:sz w:val="18"/>
                <w:szCs w:val="18"/>
                <w:lang w:val="en-GB"/>
              </w:rPr>
              <w:t>Note:</w:t>
            </w:r>
            <w:r>
              <w:rPr>
                <w:rFonts w:ascii="Times New Roman" w:hAnsi="Times New Roman" w:cs="Times New Roman"/>
                <w:noProof/>
                <w:lang w:val="en-GB"/>
              </w:rPr>
              <w:t xml:space="preserve"> </w:t>
            </w:r>
            <w:r>
              <w:rPr>
                <w:rFonts w:ascii="Times New Roman" w:hAnsi="Times New Roman" w:cs="Times New Roman"/>
                <w:noProof/>
                <w:sz w:val="18"/>
                <w:lang w:val="en-GB"/>
              </w:rPr>
              <w:t>Each bar represents the percentage of assessments with good status or improving.</w:t>
            </w:r>
          </w:p>
        </w:tc>
      </w:tr>
    </w:tbl>
    <w:p>
      <w:pPr>
        <w:spacing w:after="240"/>
        <w:jc w:val="both"/>
        <w:rPr>
          <w:rFonts w:ascii="Times New Roman" w:hAnsi="Times New Roman" w:cs="Times New Roman"/>
          <w:noProof/>
          <w:sz w:val="24"/>
          <w:szCs w:val="24"/>
        </w:rPr>
      </w:pPr>
    </w:p>
    <w:p>
      <w:pPr>
        <w:spacing w:after="240"/>
        <w:jc w:val="both"/>
        <w:rPr>
          <w:rFonts w:ascii="Times New Roman" w:hAnsi="Times New Roman" w:cs="Times New Roman"/>
          <w:noProof/>
          <w:sz w:val="24"/>
          <w:szCs w:val="24"/>
        </w:rPr>
      </w:pPr>
      <w:r>
        <w:rPr>
          <w:rFonts w:ascii="Times New Roman" w:hAnsi="Times New Roman" w:cs="Times New Roman"/>
          <w:noProof/>
          <w:sz w:val="24"/>
          <w:szCs w:val="24"/>
        </w:rPr>
        <w:t>There was limited progress from the 2010 baseline towards the 2020 targets, except in the case of non-bird species, where the target was almost reached. Continued deterioration for some habitats and species outweighs the improvements. The data reported in 2019 show that the proportion of species and habitats with deteriorating trends has even grown slightly: for birds from 20% to 23%, for non-bird species from 22% to 26% and for habitats from 30% to 32%.</w:t>
      </w:r>
    </w:p>
    <w:p>
      <w:pPr>
        <w:spacing w:after="240"/>
        <w:jc w:val="both"/>
        <w:rPr>
          <w:rFonts w:ascii="Times New Roman" w:hAnsi="Times New Roman" w:cs="Times New Roman"/>
          <w:noProof/>
          <w:sz w:val="24"/>
          <w:szCs w:val="24"/>
        </w:rPr>
      </w:pPr>
      <w:r>
        <w:rPr>
          <w:rFonts w:ascii="Times New Roman" w:hAnsi="Times New Roman" w:cs="Times New Roman"/>
          <w:noProof/>
          <w:sz w:val="24"/>
          <w:szCs w:val="24"/>
        </w:rPr>
        <w:t>The 2020 target of favourable or improving assessments for 34% of habitat assessments has not been met (the shortfall is 12 pp). However, the proportion of species other than birds whose status is assessed as favourable or improving almost reached the 2020 sub-target of 35% (shortfall 2 pp). Bird population trends present a mixed picture, with an increase in the number of secure and improving species between 2010 and 2015, but some deterioration (</w:t>
      </w:r>
      <w:r>
        <w:rPr>
          <w:rFonts w:ascii="Times New Roman" w:hAnsi="Times New Roman" w:cs="Times New Roman"/>
          <w:noProof/>
          <w:sz w:val="24"/>
          <w:szCs w:val="24"/>
        </w:rPr>
        <w:noBreakHyphen/>
        <w:t xml:space="preserve">3 pp) from 2015 to 2020, leaving a gap of over 20 pp from the 78% target. Target 1 of the biodiversity strategy to 2020 was therefore not reached.  </w:t>
      </w:r>
    </w:p>
    <w:p>
      <w:pPr>
        <w:spacing w:after="240"/>
        <w:jc w:val="both"/>
        <w:rPr>
          <w:rFonts w:ascii="Times New Roman" w:hAnsi="Times New Roman" w:cs="Times New Roman"/>
          <w:b/>
          <w:i/>
          <w:noProof/>
          <w:sz w:val="24"/>
          <w:szCs w:val="24"/>
          <w:u w:val="single"/>
        </w:rPr>
      </w:pPr>
      <w:r>
        <w:rPr>
          <w:rFonts w:ascii="Times New Roman" w:hAnsi="Times New Roman" w:cs="Times New Roman"/>
          <w:b/>
          <w:i/>
          <w:noProof/>
          <w:sz w:val="24"/>
          <w:szCs w:val="24"/>
          <w:u w:val="single"/>
        </w:rPr>
        <w:t>3.2 Improvements in the Member States</w:t>
      </w:r>
    </w:p>
    <w:p>
      <w:pPr>
        <w:spacing w:after="240"/>
        <w:jc w:val="both"/>
        <w:rPr>
          <w:rFonts w:ascii="Times New Roman" w:hAnsi="Times New Roman" w:cs="Times New Roman"/>
          <w:noProof/>
          <w:sz w:val="24"/>
          <w:szCs w:val="24"/>
        </w:rPr>
      </w:pPr>
      <w:r>
        <w:rPr>
          <w:rFonts w:ascii="Times New Roman" w:hAnsi="Times New Roman" w:cs="Times New Roman"/>
          <w:noProof/>
          <w:sz w:val="24"/>
          <w:szCs w:val="24"/>
        </w:rPr>
        <w:t>‘Conservation status’ is known to change slowly and is therefore not a very sensitive short</w:t>
      </w:r>
      <w:r>
        <w:rPr>
          <w:rFonts w:ascii="Times New Roman" w:hAnsi="Times New Roman" w:cs="Times New Roman"/>
          <w:noProof/>
          <w:sz w:val="24"/>
          <w:szCs w:val="24"/>
        </w:rPr>
        <w:noBreakHyphen/>
        <w:t>term indicator for improvements. Also, EU</w:t>
      </w:r>
      <w:r>
        <w:rPr>
          <w:rFonts w:ascii="Times New Roman" w:hAnsi="Times New Roman" w:cs="Times New Roman"/>
          <w:noProof/>
          <w:sz w:val="24"/>
          <w:szCs w:val="24"/>
        </w:rPr>
        <w:noBreakHyphen/>
        <w:t>level assessments can hide improvements in individual Member States. Therefore, country</w:t>
      </w:r>
      <w:r>
        <w:rPr>
          <w:rFonts w:ascii="Times New Roman" w:hAnsi="Times New Roman" w:cs="Times New Roman"/>
          <w:noProof/>
          <w:sz w:val="24"/>
          <w:szCs w:val="24"/>
        </w:rPr>
        <w:noBreakHyphen/>
        <w:t xml:space="preserve">level positive and stabilising trends (where a trend genuinely changes from declining in the previous reporting period to stable in the current one) are positive developments that should be taken into account and analysed on top of positive changes in status.   </w:t>
      </w:r>
    </w:p>
    <w:p>
      <w:pPr>
        <w:spacing w:after="24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On average, 6% of the Member States’ national/regional </w:t>
      </w:r>
      <w:r>
        <w:rPr>
          <w:rFonts w:ascii="Times New Roman" w:hAnsi="Times New Roman" w:cs="Times New Roman"/>
          <w:noProof/>
          <w:color w:val="000000" w:themeColor="text1"/>
          <w:sz w:val="24"/>
          <w:szCs w:val="24"/>
          <w:u w:val="single"/>
        </w:rPr>
        <w:t>habitat</w:t>
      </w:r>
      <w:r>
        <w:rPr>
          <w:rFonts w:ascii="Times New Roman" w:hAnsi="Times New Roman" w:cs="Times New Roman"/>
          <w:noProof/>
          <w:color w:val="000000" w:themeColor="text1"/>
          <w:sz w:val="24"/>
          <w:szCs w:val="24"/>
        </w:rPr>
        <w:t xml:space="preserve"> assessments show improvements, most frequently for forests and freshwater habitats (10% of all assessments in the group), heath &amp; scrubs (7%), bogs, mires and fens, and dune habitats (6%). An example of an improving coastal habitat are the Baltic coastal meadows in Finland.</w:t>
      </w:r>
    </w:p>
    <w:p>
      <w:pPr>
        <w:spacing w:after="240"/>
        <w:jc w:val="both"/>
        <w:rPr>
          <w:rFonts w:ascii="Times New Roman" w:hAnsi="Times New Roman" w:cs="Times New Roman"/>
          <w:noProof/>
          <w:sz w:val="24"/>
          <w:szCs w:val="24"/>
          <w:highlight w:val="yellow"/>
        </w:rPr>
      </w:pPr>
      <w:r>
        <w:rPr>
          <w:rFonts w:ascii="Times New Roman" w:eastAsia="ヒラギノ角ゴ Pro W3" w:hAnsi="Times New Roman" w:cs="Times New Roman"/>
          <w:iCs/>
          <w:noProof/>
          <w:sz w:val="24"/>
          <w:szCs w:val="24"/>
        </w:rPr>
        <w:t xml:space="preserve">Similarly, an average of 6% of all </w:t>
      </w:r>
      <w:r>
        <w:rPr>
          <w:rFonts w:ascii="Times New Roman" w:hAnsi="Times New Roman" w:cs="Times New Roman"/>
          <w:noProof/>
          <w:color w:val="000000" w:themeColor="text1"/>
          <w:sz w:val="24"/>
          <w:szCs w:val="24"/>
        </w:rPr>
        <w:t xml:space="preserve">national/regional </w:t>
      </w:r>
      <w:r>
        <w:rPr>
          <w:rFonts w:ascii="Times New Roman" w:eastAsia="ヒラギノ角ゴ Pro W3" w:hAnsi="Times New Roman" w:cs="Times New Roman"/>
          <w:iCs/>
          <w:noProof/>
          <w:sz w:val="24"/>
          <w:szCs w:val="24"/>
        </w:rPr>
        <w:t xml:space="preserve">assessments for </w:t>
      </w:r>
      <w:r>
        <w:rPr>
          <w:rFonts w:ascii="Times New Roman" w:eastAsia="ヒラギノ角ゴ Pro W3" w:hAnsi="Times New Roman" w:cs="Times New Roman"/>
          <w:iCs/>
          <w:noProof/>
          <w:sz w:val="24"/>
          <w:szCs w:val="24"/>
          <w:u w:val="single"/>
        </w:rPr>
        <w:t>species other than birds</w:t>
      </w:r>
      <w:r>
        <w:rPr>
          <w:rFonts w:ascii="Times New Roman" w:eastAsia="ヒラギノ角ゴ Pro W3" w:hAnsi="Times New Roman" w:cs="Times New Roman"/>
          <w:iCs/>
          <w:noProof/>
          <w:sz w:val="24"/>
          <w:szCs w:val="24"/>
        </w:rPr>
        <w:t xml:space="preserve"> show improvements. The largest number of improvements is for mammals (9% of all recorded mammal assessments show improvements), followed by fish (8%) and vascular plants (5%). Examples for mammals include beavers (</w:t>
      </w:r>
      <w:r>
        <w:rPr>
          <w:rFonts w:ascii="Times New Roman" w:eastAsia="ヒラギノ角ゴ Pro W3" w:hAnsi="Times New Roman" w:cs="Times New Roman"/>
          <w:i/>
          <w:iCs/>
          <w:noProof/>
          <w:sz w:val="24"/>
          <w:szCs w:val="24"/>
        </w:rPr>
        <w:t>Castor fiber</w:t>
      </w:r>
      <w:r>
        <w:rPr>
          <w:rFonts w:ascii="Times New Roman" w:eastAsia="ヒラギノ角ゴ Pro W3" w:hAnsi="Times New Roman" w:cs="Times New Roman"/>
          <w:iCs/>
          <w:noProof/>
          <w:sz w:val="24"/>
          <w:szCs w:val="24"/>
        </w:rPr>
        <w:t>), grey seals (</w:t>
      </w:r>
      <w:r>
        <w:rPr>
          <w:rFonts w:ascii="Times New Roman" w:eastAsia="ヒラギノ角ゴ Pro W3" w:hAnsi="Times New Roman" w:cs="Times New Roman"/>
          <w:i/>
          <w:iCs/>
          <w:noProof/>
          <w:sz w:val="24"/>
          <w:szCs w:val="24"/>
        </w:rPr>
        <w:t>Halichoerus grypus</w:t>
      </w:r>
      <w:r>
        <w:rPr>
          <w:rFonts w:ascii="Times New Roman" w:eastAsia="ヒラギノ角ゴ Pro W3" w:hAnsi="Times New Roman" w:cs="Times New Roman"/>
          <w:iCs/>
          <w:noProof/>
          <w:sz w:val="24"/>
          <w:szCs w:val="24"/>
        </w:rPr>
        <w:t>)</w:t>
      </w:r>
      <w:r>
        <w:rPr>
          <w:rFonts w:ascii="Times New Roman" w:eastAsia="ヒラギノ角ゴ Pro W3" w:hAnsi="Times New Roman" w:cs="Times New Roman"/>
          <w:i/>
          <w:iCs/>
          <w:noProof/>
          <w:sz w:val="24"/>
          <w:szCs w:val="24"/>
        </w:rPr>
        <w:t xml:space="preserve"> </w:t>
      </w:r>
      <w:r>
        <w:rPr>
          <w:rFonts w:ascii="Times New Roman" w:eastAsia="ヒラギノ角ゴ Pro W3" w:hAnsi="Times New Roman" w:cs="Times New Roman"/>
          <w:iCs/>
          <w:noProof/>
          <w:sz w:val="24"/>
          <w:szCs w:val="24"/>
        </w:rPr>
        <w:t>and harbour seals (</w:t>
      </w:r>
      <w:r>
        <w:rPr>
          <w:rFonts w:ascii="Times New Roman" w:eastAsia="ヒラギノ角ゴ Pro W3" w:hAnsi="Times New Roman" w:cs="Times New Roman"/>
          <w:i/>
          <w:iCs/>
          <w:noProof/>
          <w:sz w:val="24"/>
          <w:szCs w:val="24"/>
        </w:rPr>
        <w:t>Phoca vitulina</w:t>
      </w:r>
      <w:r>
        <w:rPr>
          <w:rFonts w:ascii="Times New Roman" w:eastAsia="ヒラギノ角ゴ Pro W3" w:hAnsi="Times New Roman" w:cs="Times New Roman"/>
          <w:iCs/>
          <w:noProof/>
          <w:sz w:val="24"/>
          <w:szCs w:val="24"/>
        </w:rPr>
        <w:t>).</w:t>
      </w:r>
    </w:p>
    <w:p>
      <w:pPr>
        <w:kinsoku w:val="0"/>
        <w:overflowPunct w:val="0"/>
        <w:spacing w:after="240"/>
        <w:jc w:val="both"/>
        <w:textAlignment w:val="baseline"/>
        <w:rPr>
          <w:rFonts w:ascii="Times New Roman" w:eastAsia="ヒラギノ角ゴ Pro W3" w:hAnsi="Times New Roman" w:cs="Times New Roman"/>
          <w:iCs/>
          <w:noProof/>
          <w:sz w:val="24"/>
          <w:szCs w:val="24"/>
        </w:rPr>
      </w:pPr>
      <w:r>
        <w:rPr>
          <w:rFonts w:ascii="Times New Roman" w:eastAsiaTheme="minorEastAsia" w:hAnsi="Times New Roman" w:cs="Times New Roman"/>
          <w:iCs/>
          <w:noProof/>
          <w:sz w:val="24"/>
          <w:szCs w:val="24"/>
          <w:lang w:eastAsia="en-GB"/>
        </w:rPr>
        <w:t xml:space="preserve">For </w:t>
      </w:r>
      <w:r>
        <w:rPr>
          <w:rFonts w:ascii="Times New Roman" w:eastAsiaTheme="minorEastAsia" w:hAnsi="Times New Roman" w:cs="Times New Roman"/>
          <w:iCs/>
          <w:noProof/>
          <w:sz w:val="24"/>
          <w:szCs w:val="24"/>
          <w:u w:val="single"/>
          <w:lang w:eastAsia="en-GB"/>
        </w:rPr>
        <w:t>birds</w:t>
      </w:r>
      <w:r>
        <w:rPr>
          <w:rFonts w:ascii="Times New Roman" w:eastAsiaTheme="minorEastAsia" w:hAnsi="Times New Roman" w:cs="Times New Roman"/>
          <w:iCs/>
          <w:noProof/>
          <w:sz w:val="24"/>
          <w:szCs w:val="24"/>
          <w:lang w:eastAsia="en-GB"/>
        </w:rPr>
        <w:t xml:space="preserve">, improvement at national level is defined differently, as there is no national assessment of conservation status and status trend. Therefore, a positive short-term population trend or a stabilisation after a negative long-term trend in the previous national report is considered an improvement. In total, there are 2 148 Member States’ reports showing improvements according to the criteria above. Globally this corresponds to 397 bird (sub)species which improve in at least one Member State in at least one reported season. </w:t>
      </w:r>
      <w:r>
        <w:rPr>
          <w:rFonts w:ascii="Times New Roman" w:eastAsia="ヒラギノ角ゴ Pro W3" w:hAnsi="Times New Roman" w:cs="Times New Roman"/>
          <w:iCs/>
          <w:noProof/>
          <w:sz w:val="24"/>
          <w:szCs w:val="24"/>
        </w:rPr>
        <w:t>Around 44% of all birds with improving trends are migratory waterbirds</w:t>
      </w:r>
      <w:r>
        <w:rPr>
          <w:rStyle w:val="FootnoteReference"/>
          <w:rFonts w:ascii="Times New Roman" w:eastAsia="ヒラギノ角ゴ Pro W3" w:hAnsi="Times New Roman" w:cs="Times New Roman"/>
          <w:iCs/>
          <w:noProof/>
          <w:sz w:val="24"/>
          <w:szCs w:val="24"/>
        </w:rPr>
        <w:footnoteReference w:id="15"/>
      </w:r>
      <w:r>
        <w:rPr>
          <w:rFonts w:ascii="Times New Roman" w:eastAsia="ヒラギノ角ゴ Pro W3" w:hAnsi="Times New Roman" w:cs="Times New Roman"/>
          <w:iCs/>
          <w:noProof/>
          <w:sz w:val="24"/>
          <w:szCs w:val="24"/>
        </w:rPr>
        <w:t xml:space="preserve">. Many of these species are also categorized as marine species according to the EU Marine Strategy Framework Directive and make up 33 % of all improvements. Farmland and forest bird species account for about 9% each. Examples of improving bird species are </w:t>
      </w:r>
      <w:r>
        <w:rPr>
          <w:rFonts w:ascii="Times New Roman" w:hAnsi="Times New Roman" w:cs="Times New Roman"/>
          <w:noProof/>
          <w:sz w:val="24"/>
          <w:szCs w:val="24"/>
        </w:rPr>
        <w:t>white-tailed eagle (</w:t>
      </w:r>
      <w:r>
        <w:rPr>
          <w:rFonts w:ascii="Times New Roman" w:hAnsi="Times New Roman" w:cs="Times New Roman"/>
          <w:i/>
          <w:noProof/>
          <w:sz w:val="24"/>
          <w:szCs w:val="24"/>
        </w:rPr>
        <w:t>Haliaeetus albicilla</w:t>
      </w:r>
      <w:r>
        <w:rPr>
          <w:rFonts w:ascii="Times New Roman" w:hAnsi="Times New Roman" w:cs="Times New Roman"/>
          <w:noProof/>
          <w:sz w:val="24"/>
          <w:szCs w:val="24"/>
        </w:rPr>
        <w:t>), crane (</w:t>
      </w:r>
      <w:r>
        <w:rPr>
          <w:rFonts w:ascii="Times New Roman" w:hAnsi="Times New Roman" w:cs="Times New Roman"/>
          <w:i/>
          <w:noProof/>
          <w:sz w:val="24"/>
          <w:szCs w:val="24"/>
        </w:rPr>
        <w:t>Grus grus</w:t>
      </w:r>
      <w:r>
        <w:rPr>
          <w:rFonts w:ascii="Times New Roman" w:hAnsi="Times New Roman" w:cs="Times New Roman"/>
          <w:noProof/>
          <w:sz w:val="24"/>
          <w:szCs w:val="24"/>
        </w:rPr>
        <w:t>), red kite (</w:t>
      </w:r>
      <w:r>
        <w:rPr>
          <w:rFonts w:ascii="Times New Roman" w:hAnsi="Times New Roman" w:cs="Times New Roman"/>
          <w:i/>
          <w:noProof/>
          <w:sz w:val="24"/>
          <w:szCs w:val="24"/>
        </w:rPr>
        <w:t>Milvus milvus)</w:t>
      </w:r>
      <w:r>
        <w:rPr>
          <w:rFonts w:ascii="Times New Roman" w:hAnsi="Times New Roman" w:cs="Times New Roman"/>
          <w:noProof/>
          <w:sz w:val="24"/>
          <w:szCs w:val="24"/>
        </w:rPr>
        <w:t xml:space="preserve"> and great white egret (</w:t>
      </w:r>
      <w:r>
        <w:rPr>
          <w:rFonts w:ascii="Times New Roman" w:hAnsi="Times New Roman" w:cs="Times New Roman"/>
          <w:i/>
          <w:noProof/>
          <w:sz w:val="24"/>
          <w:szCs w:val="24"/>
        </w:rPr>
        <w:t>Ardea alba</w:t>
      </w:r>
      <w:r>
        <w:rPr>
          <w:rFonts w:ascii="Times New Roman" w:hAnsi="Times New Roman" w:cs="Times New Roman"/>
          <w:noProof/>
          <w:sz w:val="24"/>
          <w:szCs w:val="24"/>
        </w:rPr>
        <w:t>).</w:t>
      </w:r>
    </w:p>
    <w:p>
      <w:pPr>
        <w:spacing w:after="240"/>
        <w:jc w:val="both"/>
        <w:rPr>
          <w:rFonts w:ascii="Times New Roman" w:hAnsi="Times New Roman" w:cs="Times New Roman"/>
          <w:b/>
          <w:i/>
          <w:noProof/>
          <w:sz w:val="24"/>
          <w:szCs w:val="24"/>
          <w:u w:val="single"/>
        </w:rPr>
      </w:pPr>
      <w:r>
        <w:rPr>
          <w:rFonts w:ascii="Times New Roman" w:hAnsi="Times New Roman" w:cs="Times New Roman"/>
          <w:b/>
          <w:i/>
          <w:noProof/>
          <w:sz w:val="24"/>
          <w:szCs w:val="24"/>
          <w:u w:val="single"/>
        </w:rPr>
        <w:t>3.3 Progress on data quality</w:t>
      </w:r>
    </w:p>
    <w:p>
      <w:pPr>
        <w:spacing w:after="240"/>
        <w:jc w:val="both"/>
        <w:rPr>
          <w:rFonts w:ascii="Times New Roman" w:hAnsi="Times New Roman" w:cs="Times New Roman"/>
          <w:noProof/>
          <w:sz w:val="24"/>
          <w:szCs w:val="24"/>
        </w:rPr>
      </w:pPr>
      <w:r>
        <w:rPr>
          <w:rFonts w:ascii="Times New Roman" w:hAnsi="Times New Roman" w:cs="Times New Roman"/>
          <w:noProof/>
          <w:sz w:val="24"/>
          <w:szCs w:val="24"/>
        </w:rPr>
        <w:t>Assessing progress on conservation status requires appropriate monitoring systems to be in place in all Member States. In many cases, however, the reported information comes from partial surveys carried out for other purposes. In other cases, Member States do not have suitable data and rely on expert opinion. For Habitats Directive habitats and species, over 40% of the reported information comes from partial surveys and over 20% is based on expert judgment only. For bird data, over 30% of the information is from partial surveys and over 15% based on expert judgment. This reporting round shows that limitations due to poor or incomplete data still exist (albeit to widely varying degrees between Member States and on a smaller scale than in 2015). Nevertheless, the data presented here are a milestone in assessing the state of nature in the EU and provide a strong basis for improving reporting, assessment and implementation to be able to achieve the aims of the EU biodiversity strategy for 2030.</w:t>
      </w:r>
    </w:p>
    <w:p>
      <w:pPr>
        <w:pStyle w:val="Heading1"/>
        <w:numPr>
          <w:ilvl w:val="0"/>
          <w:numId w:val="10"/>
        </w:numPr>
        <w:spacing w:after="240"/>
        <w:ind w:left="714" w:hanging="357"/>
        <w:rPr>
          <w:rFonts w:eastAsia="Times New Roman"/>
          <w:noProof/>
          <w:color w:val="auto"/>
          <w:lang w:eastAsia="en-GB"/>
        </w:rPr>
      </w:pPr>
      <w:r>
        <w:rPr>
          <w:rFonts w:eastAsia="Times New Roman"/>
          <w:noProof/>
          <w:color w:val="auto"/>
          <w:lang w:eastAsia="en-GB"/>
        </w:rPr>
        <w:t>Pressures and responses</w:t>
      </w:r>
    </w:p>
    <w:p>
      <w:pPr>
        <w:spacing w:after="240" w:line="240" w:lineRule="auto"/>
        <w:jc w:val="both"/>
        <w:rPr>
          <w:rFonts w:ascii="Times New Roman" w:eastAsia="Times New Roman" w:hAnsi="Times New Roman" w:cs="Times New Roman"/>
          <w:b/>
          <w:i/>
          <w:noProof/>
          <w:sz w:val="24"/>
          <w:szCs w:val="24"/>
          <w:u w:val="single"/>
          <w:lang w:eastAsia="en-GB"/>
        </w:rPr>
      </w:pPr>
      <w:r>
        <w:rPr>
          <w:rFonts w:ascii="Times New Roman" w:eastAsia="Times New Roman" w:hAnsi="Times New Roman" w:cs="Times New Roman"/>
          <w:b/>
          <w:i/>
          <w:noProof/>
          <w:sz w:val="24"/>
          <w:szCs w:val="24"/>
          <w:u w:val="single"/>
          <w:lang w:eastAsia="en-GB"/>
        </w:rPr>
        <w:t>4.1 Pressures</w:t>
      </w:r>
    </w:p>
    <w:p>
      <w:pPr>
        <w:spacing w:after="240"/>
        <w:jc w:val="both"/>
        <w:rPr>
          <w:rFonts w:ascii="Times New Roman" w:hAnsi="Times New Roman" w:cs="Times New Roman"/>
          <w:noProof/>
          <w:sz w:val="24"/>
          <w:szCs w:val="24"/>
        </w:rPr>
      </w:pPr>
      <w:r>
        <w:rPr>
          <w:rFonts w:ascii="Times New Roman" w:hAnsi="Times New Roman" w:cs="Times New Roman"/>
          <w:noProof/>
          <w:sz w:val="24"/>
          <w:szCs w:val="24"/>
        </w:rPr>
        <w:t xml:space="preserve">Europe is one of the most densely populated regions in the world. Human activity has shaped its landscapes over centuries and contributed much to its biodiversity, e.g. semi-natural habitats such as extensive hay meadows and semi-natural dry grasslands. However, human activity has also caused deterioration and decline for many native species and habitat types — particularly (and much faster) in the past 100 years. </w:t>
      </w:r>
    </w:p>
    <w:p>
      <w:pPr>
        <w:spacing w:after="240"/>
        <w:jc w:val="both"/>
        <w:rPr>
          <w:rFonts w:ascii="Times New Roman" w:hAnsi="Times New Roman" w:cs="Times New Roman"/>
          <w:noProof/>
          <w:sz w:val="24"/>
          <w:szCs w:val="24"/>
        </w:rPr>
      </w:pPr>
      <w:r>
        <w:rPr>
          <w:rFonts w:ascii="Times New Roman" w:hAnsi="Times New Roman" w:cs="Times New Roman"/>
          <w:noProof/>
          <w:sz w:val="24"/>
          <w:szCs w:val="24"/>
        </w:rPr>
        <w:t>Member States reported on the main causes of species loss and habitat degradation for each species and habitat. Overall, they provided 67</w:t>
      </w:r>
      <w:r>
        <w:rPr>
          <w:rFonts w:ascii="Times New Roman" w:hAnsi="Times New Roman" w:cs="Times New Roman"/>
          <w:noProof/>
          <w:w w:val="50"/>
          <w:sz w:val="24"/>
          <w:szCs w:val="24"/>
        </w:rPr>
        <w:t> </w:t>
      </w:r>
      <w:r>
        <w:rPr>
          <w:rFonts w:ascii="Times New Roman" w:hAnsi="Times New Roman" w:cs="Times New Roman"/>
          <w:noProof/>
          <w:sz w:val="24"/>
          <w:szCs w:val="24"/>
        </w:rPr>
        <w:t>000 records using a list of 203 individual pressures from 15 categories (from ’A-Agriculture’ to ‘X-Other’).</w:t>
      </w:r>
    </w:p>
    <w:p>
      <w:pPr>
        <w:spacing w:after="240"/>
        <w:jc w:val="both"/>
        <w:rPr>
          <w:rFonts w:ascii="Times New Roman" w:hAnsi="Times New Roman" w:cs="Times New Roman"/>
          <w:noProof/>
          <w:sz w:val="24"/>
          <w:szCs w:val="24"/>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1"/>
      </w:tblGrid>
      <w:tr>
        <w:tc>
          <w:tcPr>
            <w:tcW w:w="10031" w:type="dxa"/>
          </w:tcPr>
          <w:p>
            <w:pPr>
              <w:spacing w:after="120"/>
              <w:jc w:val="both"/>
              <w:rPr>
                <w:rFonts w:ascii="Times New Roman" w:hAnsi="Times New Roman" w:cs="Times New Roman"/>
                <w:b/>
                <w:noProof/>
                <w:sz w:val="20"/>
                <w:szCs w:val="20"/>
              </w:rPr>
            </w:pPr>
            <w:r>
              <w:rPr>
                <w:rFonts w:ascii="Times New Roman" w:hAnsi="Times New Roman" w:cs="Times New Roman"/>
                <w:b/>
                <w:noProof/>
                <w:sz w:val="20"/>
                <w:szCs w:val="20"/>
              </w:rPr>
              <w:t>Figure 9: Distribution of level</w:t>
            </w:r>
            <w:r>
              <w:rPr>
                <w:rFonts w:ascii="Times New Roman" w:hAnsi="Times New Roman" w:cs="Times New Roman"/>
                <w:b/>
                <w:noProof/>
                <w:sz w:val="20"/>
                <w:szCs w:val="20"/>
              </w:rPr>
              <w:noBreakHyphen/>
              <w:t>1 pressure categories among habitats, non-bird species and birds</w:t>
            </w:r>
            <w:r>
              <w:rPr>
                <w:rFonts w:ascii="Times New Roman" w:hAnsi="Times New Roman" w:cs="Times New Roman"/>
                <w:noProof/>
                <w:sz w:val="20"/>
                <w:szCs w:val="20"/>
                <w:lang w:eastAsia="de-DE"/>
              </w:rPr>
              <w:t xml:space="preserve"> </w:t>
            </w:r>
          </w:p>
        </w:tc>
      </w:tr>
      <w:tr>
        <w:tc>
          <w:tcPr>
            <w:tcW w:w="10031" w:type="dxa"/>
          </w:tcPr>
          <w:p>
            <w:pPr>
              <w:spacing w:before="120" w:after="120"/>
              <w:ind w:left="33"/>
              <w:jc w:val="both"/>
              <w:rPr>
                <w:rFonts w:ascii="Times New Roman" w:hAnsi="Times New Roman" w:cs="Times New Roman"/>
                <w:noProof/>
              </w:rPr>
            </w:pPr>
            <w:r>
              <w:rPr>
                <w:rFonts w:ascii="Times New Roman" w:hAnsi="Times New Roman" w:cs="Times New Roman"/>
                <w:noProof/>
                <w:lang w:eastAsia="en-GB"/>
              </w:rPr>
              <w:drawing>
                <wp:inline distT="0" distB="0" distL="0" distR="0">
                  <wp:extent cx="5745193" cy="4533265"/>
                  <wp:effectExtent l="0" t="0" r="8255" b="635"/>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Fig 4.1_pressure_matrix.png"/>
                          <pic:cNvPicPr/>
                        </pic:nvPicPr>
                        <pic:blipFill rotWithShape="1">
                          <a:blip r:embed="rId34" cstate="screen">
                            <a:extLst>
                              <a:ext uri="{28A0092B-C50C-407E-A947-70E740481C1C}">
                                <a14:useLocalDpi xmlns:a14="http://schemas.microsoft.com/office/drawing/2010/main"/>
                              </a:ext>
                            </a:extLst>
                          </a:blip>
                          <a:srcRect b="11525"/>
                          <a:stretch/>
                        </pic:blipFill>
                        <pic:spPr bwMode="auto">
                          <a:xfrm>
                            <a:off x="0" y="0"/>
                            <a:ext cx="5772771" cy="4555025"/>
                          </a:xfrm>
                          <a:prstGeom prst="rect">
                            <a:avLst/>
                          </a:prstGeom>
                          <a:ln>
                            <a:noFill/>
                          </a:ln>
                          <a:extLst>
                            <a:ext uri="{53640926-AAD7-44D8-BBD7-CCE9431645EC}">
                              <a14:shadowObscured xmlns:a14="http://schemas.microsoft.com/office/drawing/2010/main"/>
                            </a:ext>
                          </a:extLst>
                        </pic:spPr>
                      </pic:pic>
                    </a:graphicData>
                  </a:graphic>
                </wp:inline>
              </w:drawing>
            </w:r>
          </w:p>
        </w:tc>
      </w:tr>
      <w:tr>
        <w:tc>
          <w:tcPr>
            <w:tcW w:w="10031" w:type="dxa"/>
          </w:tcPr>
          <w:p>
            <w:pPr>
              <w:ind w:left="360"/>
              <w:jc w:val="both"/>
              <w:rPr>
                <w:rFonts w:ascii="Times New Roman" w:hAnsi="Times New Roman" w:cs="Times New Roman"/>
                <w:noProof/>
              </w:rPr>
            </w:pPr>
          </w:p>
        </w:tc>
      </w:tr>
    </w:tbl>
    <w:p>
      <w:pPr>
        <w:spacing w:after="240"/>
        <w:jc w:val="both"/>
        <w:rPr>
          <w:rFonts w:ascii="Times New Roman" w:hAnsi="Times New Roman" w:cs="Times New Roman"/>
          <w:noProof/>
          <w:sz w:val="24"/>
          <w:szCs w:val="24"/>
        </w:rPr>
      </w:pPr>
      <w:r>
        <w:rPr>
          <w:rFonts w:ascii="Times New Roman" w:eastAsia="ヒラギノ角ゴ Pro W3" w:hAnsi="Times New Roman" w:cs="Times New Roman"/>
          <w:iCs/>
          <w:noProof/>
          <w:sz w:val="24"/>
          <w:szCs w:val="24"/>
        </w:rPr>
        <w:t xml:space="preserve">The most frequently reported pressures for both habitats and species stem from </w:t>
      </w:r>
      <w:r>
        <w:rPr>
          <w:rFonts w:ascii="Times New Roman" w:eastAsia="ヒラギノ角ゴ Pro W3" w:hAnsi="Times New Roman" w:cs="Times New Roman"/>
          <w:iCs/>
          <w:noProof/>
          <w:sz w:val="24"/>
          <w:szCs w:val="24"/>
          <w:u w:val="single"/>
        </w:rPr>
        <w:t>agriculture</w:t>
      </w:r>
      <w:r>
        <w:rPr>
          <w:rFonts w:ascii="Times New Roman" w:eastAsia="ヒラギノ角ゴ Pro W3" w:hAnsi="Times New Roman" w:cs="Times New Roman"/>
          <w:iCs/>
          <w:noProof/>
          <w:sz w:val="24"/>
          <w:szCs w:val="24"/>
        </w:rPr>
        <w:t>, which reflects the relative scale of agricultural land</w:t>
      </w:r>
      <w:r>
        <w:rPr>
          <w:rFonts w:ascii="Times New Roman" w:eastAsia="ヒラギノ角ゴ Pro W3" w:hAnsi="Times New Roman" w:cs="Times New Roman"/>
          <w:iCs/>
          <w:noProof/>
          <w:sz w:val="24"/>
          <w:szCs w:val="24"/>
        </w:rPr>
        <w:noBreakHyphen/>
        <w:t xml:space="preserve">use and changes in farming practices (intensification and abandonment of extensive agriculture). Extensive agricultural management creates and maintains semi-natural habitats with diverse fauna and flora. Since the 1950s, however, more intensive and specialised farming has contributed increasingly to ongoing biodiversity loss. </w:t>
      </w:r>
      <w:r>
        <w:rPr>
          <w:rFonts w:ascii="Times New Roman" w:hAnsi="Times New Roman" w:cs="Times New Roman"/>
          <w:noProof/>
          <w:sz w:val="24"/>
          <w:szCs w:val="24"/>
        </w:rPr>
        <w:t>Grasslands, freshwater habitats, heaths and scrubs, and bogs, mires and fens have been most severely affected. Semi-natural habitats depending on agriculture</w:t>
      </w:r>
      <w:r>
        <w:rPr>
          <w:rStyle w:val="FootnoteReference"/>
          <w:rFonts w:ascii="Times New Roman" w:hAnsi="Times New Roman" w:cs="Times New Roman"/>
          <w:noProof/>
          <w:sz w:val="24"/>
          <w:szCs w:val="24"/>
        </w:rPr>
        <w:footnoteReference w:id="16"/>
      </w:r>
      <w:r>
        <w:rPr>
          <w:rFonts w:ascii="Times New Roman" w:hAnsi="Times New Roman" w:cs="Times New Roman"/>
          <w:noProof/>
          <w:sz w:val="24"/>
          <w:szCs w:val="24"/>
        </w:rPr>
        <w:t>, such as grasslands, are particularly threatened and their conservation status is significantly worse than for other habitat types that do not depend on agriculture (45% are assessed as bad, as compared with 31% for other habitats). Compared to 2015, assessments of agricultural habitats show an overall deterioration in conservation status: good status decreased from 14% to 12% and bad status increased from 39% to 45%. Only 8% of agricultural habitats show an improving trend, whereas 45% are deteriorating. Many species of birds, reptiles, molluscs, amphibians, arthropods and vascular plants are also impacted and farmland biodiversity continuous to decline.</w:t>
      </w:r>
    </w:p>
    <w:p>
      <w:pPr>
        <w:jc w:val="both"/>
        <w:rPr>
          <w:rFonts w:ascii="Times New Roman" w:hAnsi="Times New Roman" w:cs="Times New Roman"/>
          <w:noProof/>
          <w:sz w:val="24"/>
          <w:szCs w:val="24"/>
          <w:u w:val="single"/>
        </w:rPr>
      </w:pPr>
      <w:r>
        <w:rPr>
          <w:rFonts w:ascii="Times New Roman" w:hAnsi="Times New Roman" w:cs="Times New Roman"/>
          <w:noProof/>
          <w:sz w:val="24"/>
          <w:szCs w:val="24"/>
        </w:rPr>
        <w:t xml:space="preserve">Overall, across categories, the </w:t>
      </w:r>
      <w:r>
        <w:rPr>
          <w:rFonts w:ascii="Times New Roman" w:hAnsi="Times New Roman" w:cs="Times New Roman"/>
          <w:noProof/>
          <w:sz w:val="24"/>
          <w:szCs w:val="24"/>
          <w:u w:val="single"/>
        </w:rPr>
        <w:t>modification of hydrological regimes</w:t>
      </w:r>
      <w:r>
        <w:rPr>
          <w:rFonts w:ascii="Times New Roman" w:hAnsi="Times New Roman" w:cs="Times New Roman"/>
          <w:noProof/>
          <w:sz w:val="24"/>
          <w:szCs w:val="24"/>
        </w:rPr>
        <w:t xml:space="preserve"> </w:t>
      </w:r>
      <w:r>
        <w:rPr>
          <w:rFonts w:ascii="Times New Roman" w:hAnsi="Times New Roman" w:cs="Times New Roman"/>
          <w:iCs/>
          <w:noProof/>
          <w:sz w:val="24"/>
          <w:szCs w:val="24"/>
        </w:rPr>
        <w:t>(including multipurpose changes under category ‘K-Modification of water regimes’ and hydrological changes attributed to other categories, e.g. A</w:t>
      </w:r>
      <w:r>
        <w:rPr>
          <w:rFonts w:ascii="Times New Roman" w:hAnsi="Times New Roman" w:cs="Times New Roman"/>
          <w:iCs/>
          <w:noProof/>
          <w:sz w:val="24"/>
          <w:szCs w:val="24"/>
        </w:rPr>
        <w:noBreakHyphen/>
        <w:t xml:space="preserve">Agriculture) </w:t>
      </w:r>
      <w:r>
        <w:rPr>
          <w:rFonts w:ascii="Times New Roman" w:hAnsi="Times New Roman" w:cs="Times New Roman"/>
          <w:noProof/>
          <w:sz w:val="24"/>
          <w:szCs w:val="24"/>
        </w:rPr>
        <w:t xml:space="preserve">is the second most frequently reported type of pressure, followed by </w:t>
      </w:r>
      <w:r>
        <w:rPr>
          <w:rFonts w:ascii="Times New Roman" w:hAnsi="Times New Roman" w:cs="Times New Roman"/>
          <w:noProof/>
          <w:sz w:val="24"/>
          <w:szCs w:val="24"/>
          <w:u w:val="single"/>
        </w:rPr>
        <w:t>urbanisation</w:t>
      </w:r>
      <w:r>
        <w:rPr>
          <w:rFonts w:ascii="Times New Roman" w:hAnsi="Times New Roman" w:cs="Times New Roman"/>
          <w:noProof/>
          <w:sz w:val="24"/>
          <w:szCs w:val="24"/>
        </w:rPr>
        <w:t xml:space="preserve"> and </w:t>
      </w:r>
      <w:r>
        <w:rPr>
          <w:rFonts w:ascii="Times New Roman" w:hAnsi="Times New Roman" w:cs="Times New Roman"/>
          <w:noProof/>
          <w:sz w:val="24"/>
          <w:szCs w:val="24"/>
          <w:u w:val="single"/>
        </w:rPr>
        <w:t>pollution</w:t>
      </w:r>
      <w:r>
        <w:rPr>
          <w:rFonts w:ascii="Times New Roman" w:hAnsi="Times New Roman" w:cs="Times New Roman"/>
          <w:noProof/>
          <w:sz w:val="24"/>
          <w:szCs w:val="24"/>
        </w:rPr>
        <w:t>:</w:t>
      </w:r>
    </w:p>
    <w:p>
      <w:pPr>
        <w:pStyle w:val="ListParagraph"/>
        <w:numPr>
          <w:ilvl w:val="0"/>
          <w:numId w:val="1"/>
        </w:numPr>
        <w:spacing w:after="120"/>
        <w:ind w:left="681" w:hanging="397"/>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pressures relating to </w:t>
      </w:r>
      <w:r>
        <w:rPr>
          <w:rFonts w:ascii="Times New Roman" w:hAnsi="Times New Roman" w:cs="Times New Roman"/>
          <w:noProof/>
          <w:sz w:val="24"/>
          <w:szCs w:val="24"/>
          <w:u w:val="single"/>
        </w:rPr>
        <w:t>modifications of the water regime</w:t>
      </w:r>
      <w:r>
        <w:rPr>
          <w:rFonts w:ascii="Times New Roman" w:hAnsi="Times New Roman" w:cs="Times New Roman"/>
          <w:noProof/>
          <w:sz w:val="24"/>
          <w:szCs w:val="24"/>
        </w:rPr>
        <w:t xml:space="preserve"> stem from multiple sources. For example, agricultural drainage activities and hydropower installations make up 14% and 13% of all hydrology-related pressures. Unsurprisingly, pressures in this category are particularly relevant for freshwater habitats and fish species, but also for carbon-rich ecosystems such as bogs, mires and fens;</w:t>
      </w:r>
    </w:p>
    <w:p>
      <w:pPr>
        <w:pStyle w:val="ListParagraph"/>
        <w:numPr>
          <w:ilvl w:val="0"/>
          <w:numId w:val="1"/>
        </w:numPr>
        <w:spacing w:after="120"/>
        <w:ind w:left="681" w:hanging="397"/>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key pressures relating to </w:t>
      </w:r>
      <w:r>
        <w:rPr>
          <w:rFonts w:ascii="Times New Roman" w:hAnsi="Times New Roman" w:cs="Times New Roman"/>
          <w:noProof/>
          <w:sz w:val="24"/>
          <w:szCs w:val="24"/>
          <w:u w:val="single"/>
        </w:rPr>
        <w:t>urbanisation</w:t>
      </w:r>
      <w:r>
        <w:rPr>
          <w:rFonts w:ascii="Times New Roman" w:hAnsi="Times New Roman" w:cs="Times New Roman"/>
          <w:noProof/>
          <w:sz w:val="24"/>
          <w:szCs w:val="24"/>
        </w:rPr>
        <w:t xml:space="preserve"> include sports, tourism and leisure activities, and particularly affect marine/coastal habitats. The conversion of natural and semi</w:t>
      </w:r>
      <w:r>
        <w:rPr>
          <w:rFonts w:ascii="Times New Roman" w:hAnsi="Times New Roman" w:cs="Times New Roman"/>
          <w:noProof/>
          <w:sz w:val="24"/>
          <w:szCs w:val="24"/>
        </w:rPr>
        <w:noBreakHyphen/>
        <w:t>natural land to housing, settlement or recreational areas mainly affects grassland habitats and forests; and</w:t>
      </w:r>
    </w:p>
    <w:p>
      <w:pPr>
        <w:pStyle w:val="ListParagraph"/>
        <w:numPr>
          <w:ilvl w:val="0"/>
          <w:numId w:val="1"/>
        </w:numPr>
        <w:spacing w:after="240"/>
        <w:ind w:left="681" w:hanging="397"/>
        <w:contextualSpacing w:val="0"/>
        <w:jc w:val="both"/>
        <w:rPr>
          <w:rFonts w:ascii="Times New Roman" w:hAnsi="Times New Roman" w:cs="Times New Roman"/>
          <w:noProof/>
          <w:sz w:val="24"/>
          <w:szCs w:val="24"/>
        </w:rPr>
      </w:pPr>
      <w:r>
        <w:rPr>
          <w:rFonts w:ascii="Times New Roman" w:hAnsi="Times New Roman" w:cs="Times New Roman"/>
          <w:noProof/>
          <w:sz w:val="24"/>
          <w:szCs w:val="24"/>
          <w:u w:val="single"/>
        </w:rPr>
        <w:t>pollution</w:t>
      </w:r>
      <w:r>
        <w:rPr>
          <w:rFonts w:ascii="Times New Roman" w:hAnsi="Times New Roman" w:cs="Times New Roman"/>
          <w:noProof/>
          <w:sz w:val="24"/>
          <w:szCs w:val="24"/>
        </w:rPr>
        <w:t xml:space="preserve"> is a key pressure for many habitats and species, and agricultural activities account for almost half (48%) of the pressures relating to pollution, followed by mixed</w:t>
      </w:r>
      <w:r>
        <w:rPr>
          <w:rFonts w:ascii="Times New Roman" w:hAnsi="Times New Roman" w:cs="Times New Roman"/>
          <w:noProof/>
          <w:sz w:val="24"/>
          <w:szCs w:val="24"/>
        </w:rPr>
        <w:noBreakHyphen/>
        <w:t>source pollution (28%, as reported under category ‘J-Pollution’) and urbanisation (21%).</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There are differences in the relative impact of pressure categories across habitats and species groups:</w:t>
      </w:r>
    </w:p>
    <w:p>
      <w:pPr>
        <w:pStyle w:val="ListParagraph"/>
        <w:numPr>
          <w:ilvl w:val="0"/>
          <w:numId w:val="1"/>
        </w:numPr>
        <w:spacing w:after="120"/>
        <w:ind w:left="709"/>
        <w:contextualSpacing w:val="0"/>
        <w:jc w:val="both"/>
        <w:rPr>
          <w:rFonts w:ascii="Times New Roman" w:hAnsi="Times New Roman" w:cs="Times New Roman"/>
          <w:noProof/>
          <w:sz w:val="24"/>
          <w:szCs w:val="24"/>
        </w:rPr>
      </w:pPr>
      <w:r>
        <w:rPr>
          <w:rFonts w:ascii="Times New Roman" w:hAnsi="Times New Roman" w:cs="Times New Roman"/>
          <w:noProof/>
          <w:sz w:val="24"/>
          <w:szCs w:val="24"/>
          <w:u w:val="single"/>
        </w:rPr>
        <w:t>forestry activities</w:t>
      </w:r>
      <w:r>
        <w:rPr>
          <w:rFonts w:ascii="Times New Roman" w:hAnsi="Times New Roman" w:cs="Times New Roman"/>
          <w:noProof/>
          <w:sz w:val="24"/>
          <w:szCs w:val="24"/>
        </w:rPr>
        <w:t xml:space="preserve"> are the second largest pressure category reported for species, affecting in particular arthropods, mammals and non-vascular plants. Many forest</w:t>
      </w:r>
      <w:r>
        <w:rPr>
          <w:rFonts w:ascii="Times New Roman" w:hAnsi="Times New Roman" w:cs="Times New Roman"/>
          <w:noProof/>
          <w:sz w:val="24"/>
          <w:szCs w:val="24"/>
        </w:rPr>
        <w:noBreakHyphen/>
        <w:t xml:space="preserve">dependent species are reported to be affected by the </w:t>
      </w:r>
      <w:r>
        <w:rPr>
          <w:rFonts w:ascii="Times New Roman" w:hAnsi="Times New Roman" w:cs="Times New Roman"/>
          <w:noProof/>
          <w:sz w:val="24"/>
          <w:szCs w:val="24"/>
          <w:u w:val="single"/>
        </w:rPr>
        <w:t>removal of dead, dying and old trees</w:t>
      </w:r>
      <w:r>
        <w:rPr>
          <w:rFonts w:ascii="Times New Roman" w:hAnsi="Times New Roman" w:cs="Times New Roman"/>
          <w:noProof/>
          <w:sz w:val="24"/>
          <w:szCs w:val="24"/>
        </w:rPr>
        <w:t xml:space="preserve"> (including salvage logging), </w:t>
      </w:r>
      <w:r>
        <w:rPr>
          <w:rFonts w:ascii="Times New Roman" w:hAnsi="Times New Roman" w:cs="Times New Roman"/>
          <w:noProof/>
          <w:sz w:val="24"/>
          <w:szCs w:val="24"/>
          <w:u w:val="single"/>
        </w:rPr>
        <w:t>forest management reducing old</w:t>
      </w:r>
      <w:r>
        <w:rPr>
          <w:rFonts w:ascii="Times New Roman" w:hAnsi="Times New Roman" w:cs="Times New Roman"/>
          <w:noProof/>
          <w:sz w:val="24"/>
          <w:szCs w:val="24"/>
          <w:u w:val="single"/>
        </w:rPr>
        <w:noBreakHyphen/>
        <w:t>growth forests</w:t>
      </w:r>
      <w:r>
        <w:rPr>
          <w:rFonts w:ascii="Times New Roman" w:hAnsi="Times New Roman" w:cs="Times New Roman"/>
          <w:noProof/>
          <w:sz w:val="24"/>
          <w:szCs w:val="24"/>
        </w:rPr>
        <w:t xml:space="preserve"> and </w:t>
      </w:r>
      <w:r>
        <w:rPr>
          <w:rFonts w:ascii="Times New Roman" w:hAnsi="Times New Roman" w:cs="Times New Roman"/>
          <w:noProof/>
          <w:sz w:val="24"/>
          <w:szCs w:val="24"/>
          <w:u w:val="single"/>
        </w:rPr>
        <w:t>clear-cutting</w:t>
      </w:r>
      <w:r>
        <w:rPr>
          <w:rFonts w:ascii="Times New Roman" w:hAnsi="Times New Roman" w:cs="Times New Roman"/>
          <w:noProof/>
          <w:sz w:val="24"/>
          <w:szCs w:val="24"/>
        </w:rPr>
        <w:t>. Forestry is also the dominant group of pressures reported for most of the Annex I forest types which show a deterioration in conservation status compared to 2015: good status decreased from 16% to 14% and assessments revealing a bad status increased from 27% to 31%.</w:t>
      </w:r>
    </w:p>
    <w:p>
      <w:pPr>
        <w:pStyle w:val="ListParagraph"/>
        <w:numPr>
          <w:ilvl w:val="0"/>
          <w:numId w:val="1"/>
        </w:numPr>
        <w:spacing w:after="120"/>
        <w:ind w:left="681" w:hanging="397"/>
        <w:contextualSpacing w:val="0"/>
        <w:jc w:val="both"/>
        <w:rPr>
          <w:rFonts w:ascii="Times New Roman" w:hAnsi="Times New Roman" w:cs="Times New Roman"/>
          <w:noProof/>
          <w:sz w:val="24"/>
          <w:szCs w:val="24"/>
        </w:rPr>
      </w:pPr>
      <w:r>
        <w:rPr>
          <w:rFonts w:ascii="Times New Roman" w:hAnsi="Times New Roman" w:cs="Times New Roman"/>
          <w:noProof/>
          <w:sz w:val="24"/>
          <w:szCs w:val="24"/>
          <w:u w:val="single"/>
        </w:rPr>
        <w:t>species exploitation</w:t>
      </w:r>
      <w:r>
        <w:rPr>
          <w:rFonts w:ascii="Times New Roman" w:hAnsi="Times New Roman" w:cs="Times New Roman"/>
          <w:noProof/>
          <w:sz w:val="24"/>
          <w:szCs w:val="24"/>
        </w:rPr>
        <w:t xml:space="preserve"> is the biggest pressure for wintering and passage birds; it involves </w:t>
      </w:r>
      <w:r>
        <w:rPr>
          <w:rFonts w:ascii="Times New Roman" w:hAnsi="Times New Roman" w:cs="Times New Roman"/>
          <w:noProof/>
          <w:sz w:val="24"/>
          <w:szCs w:val="24"/>
          <w:u w:val="single"/>
        </w:rPr>
        <w:t>illegal shooting or killing, hunting</w:t>
      </w:r>
      <w:r>
        <w:rPr>
          <w:rFonts w:ascii="Times New Roman" w:hAnsi="Times New Roman" w:cs="Times New Roman"/>
          <w:noProof/>
          <w:sz w:val="24"/>
          <w:szCs w:val="24"/>
        </w:rPr>
        <w:t xml:space="preserve"> and </w:t>
      </w:r>
      <w:r>
        <w:rPr>
          <w:rFonts w:ascii="Times New Roman" w:hAnsi="Times New Roman" w:cs="Times New Roman"/>
          <w:noProof/>
          <w:sz w:val="24"/>
          <w:szCs w:val="24"/>
          <w:u w:val="single"/>
        </w:rPr>
        <w:t>incidental killing</w:t>
      </w:r>
      <w:r>
        <w:rPr>
          <w:rFonts w:ascii="Times New Roman" w:hAnsi="Times New Roman" w:cs="Times New Roman"/>
          <w:noProof/>
          <w:sz w:val="24"/>
          <w:szCs w:val="24"/>
        </w:rPr>
        <w:t>. Recent research in 26 European countries has calculated an annual hunting take of at least 52 million birds</w:t>
      </w:r>
      <w:r>
        <w:rPr>
          <w:rStyle w:val="FootnoteReference"/>
          <w:rFonts w:ascii="Times New Roman" w:hAnsi="Times New Roman" w:cs="Times New Roman"/>
          <w:noProof/>
          <w:sz w:val="24"/>
          <w:szCs w:val="24"/>
        </w:rPr>
        <w:footnoteReference w:id="17"/>
      </w:r>
      <w:r>
        <w:rPr>
          <w:rFonts w:ascii="Times New Roman" w:hAnsi="Times New Roman" w:cs="Times New Roman"/>
          <w:noProof/>
          <w:sz w:val="24"/>
          <w:szCs w:val="24"/>
        </w:rPr>
        <w:t xml:space="preserve">. Other species affected by exploitation include fish, mammals and reptiles. </w:t>
      </w:r>
      <w:r>
        <w:rPr>
          <w:rFonts w:ascii="Times New Roman" w:eastAsia="ヒラギノ角ゴ Pro W3" w:hAnsi="Times New Roman" w:cs="Times New Roman"/>
          <w:iCs/>
          <w:noProof/>
          <w:sz w:val="24"/>
          <w:szCs w:val="24"/>
        </w:rPr>
        <w:t xml:space="preserve">Fish are among the most affected groups due to </w:t>
      </w:r>
      <w:r>
        <w:rPr>
          <w:rFonts w:ascii="Times New Roman" w:eastAsia="ヒラギノ角ゴ Pro W3" w:hAnsi="Times New Roman" w:cs="Times New Roman"/>
          <w:iCs/>
          <w:noProof/>
          <w:sz w:val="24"/>
          <w:szCs w:val="24"/>
          <w:u w:val="single"/>
        </w:rPr>
        <w:t>marine</w:t>
      </w:r>
      <w:r>
        <w:rPr>
          <w:rStyle w:val="FootnoteReference"/>
          <w:rFonts w:ascii="Times New Roman" w:eastAsia="ヒラギノ角ゴ Pro W3" w:hAnsi="Times New Roman" w:cs="Times New Roman"/>
          <w:iCs/>
          <w:noProof/>
          <w:sz w:val="24"/>
          <w:szCs w:val="24"/>
          <w:u w:val="single"/>
        </w:rPr>
        <w:footnoteReference w:id="18"/>
      </w:r>
      <w:r>
        <w:rPr>
          <w:rFonts w:ascii="Times New Roman" w:eastAsia="ヒラギノ角ゴ Pro W3" w:hAnsi="Times New Roman" w:cs="Times New Roman"/>
          <w:iCs/>
          <w:noProof/>
          <w:sz w:val="24"/>
          <w:szCs w:val="24"/>
          <w:u w:val="single"/>
        </w:rPr>
        <w:t xml:space="preserve"> and freshwater harvesting</w:t>
      </w:r>
      <w:r>
        <w:rPr>
          <w:rFonts w:ascii="Times New Roman" w:eastAsia="ヒラギノ角ゴ Pro W3" w:hAnsi="Times New Roman" w:cs="Times New Roman"/>
          <w:iCs/>
          <w:noProof/>
          <w:sz w:val="24"/>
          <w:szCs w:val="24"/>
        </w:rPr>
        <w:t xml:space="preserve">. The impact on mammals is twofold: </w:t>
      </w:r>
    </w:p>
    <w:p>
      <w:pPr>
        <w:pStyle w:val="ListParagraph"/>
        <w:numPr>
          <w:ilvl w:val="1"/>
          <w:numId w:val="1"/>
        </w:numPr>
        <w:spacing w:after="120"/>
        <w:ind w:left="1361" w:hanging="397"/>
        <w:contextualSpacing w:val="0"/>
        <w:jc w:val="both"/>
        <w:rPr>
          <w:rFonts w:ascii="Times New Roman" w:hAnsi="Times New Roman" w:cs="Times New Roman"/>
          <w:noProof/>
          <w:sz w:val="24"/>
          <w:szCs w:val="24"/>
        </w:rPr>
      </w:pPr>
      <w:r>
        <w:rPr>
          <w:rFonts w:ascii="Times New Roman" w:eastAsia="ヒラギノ角ゴ Pro W3" w:hAnsi="Times New Roman" w:cs="Times New Roman"/>
          <w:iCs/>
          <w:noProof/>
          <w:sz w:val="24"/>
          <w:szCs w:val="24"/>
        </w:rPr>
        <w:t>large terrestrial mammals such as the wolf (</w:t>
      </w:r>
      <w:r>
        <w:rPr>
          <w:rFonts w:ascii="Times New Roman" w:eastAsia="ヒラギノ角ゴ Pro W3" w:hAnsi="Times New Roman" w:cs="Times New Roman"/>
          <w:i/>
          <w:iCs/>
          <w:noProof/>
          <w:sz w:val="24"/>
          <w:szCs w:val="24"/>
        </w:rPr>
        <w:t>Canis lupus</w:t>
      </w:r>
      <w:r>
        <w:rPr>
          <w:rFonts w:ascii="Times New Roman" w:eastAsia="ヒラギノ角ゴ Pro W3" w:hAnsi="Times New Roman" w:cs="Times New Roman"/>
          <w:iCs/>
          <w:noProof/>
          <w:sz w:val="24"/>
          <w:szCs w:val="24"/>
        </w:rPr>
        <w:t xml:space="preserve">), Eurasian lynx </w:t>
      </w:r>
      <w:r>
        <w:rPr>
          <w:rFonts w:ascii="Times New Roman" w:eastAsia="ヒラギノ角ゴ Pro W3" w:hAnsi="Times New Roman" w:cs="Times New Roman"/>
          <w:i/>
          <w:iCs/>
          <w:noProof/>
          <w:sz w:val="24"/>
          <w:szCs w:val="24"/>
        </w:rPr>
        <w:t>(Lynx lynx</w:t>
      </w:r>
      <w:r>
        <w:rPr>
          <w:rFonts w:ascii="Times New Roman" w:eastAsia="ヒラギノ角ゴ Pro W3" w:hAnsi="Times New Roman" w:cs="Times New Roman"/>
          <w:iCs/>
          <w:noProof/>
          <w:sz w:val="24"/>
          <w:szCs w:val="24"/>
        </w:rPr>
        <w:t>) and Eurasian otter (</w:t>
      </w:r>
      <w:r>
        <w:rPr>
          <w:rFonts w:ascii="Times New Roman" w:eastAsia="ヒラギノ角ゴ Pro W3" w:hAnsi="Times New Roman" w:cs="Times New Roman"/>
          <w:i/>
          <w:iCs/>
          <w:noProof/>
          <w:sz w:val="24"/>
          <w:szCs w:val="24"/>
        </w:rPr>
        <w:t>Lutra lutra</w:t>
      </w:r>
      <w:r>
        <w:rPr>
          <w:rFonts w:ascii="Times New Roman" w:eastAsia="ヒラギノ角ゴ Pro W3" w:hAnsi="Times New Roman" w:cs="Times New Roman"/>
          <w:iCs/>
          <w:noProof/>
          <w:sz w:val="24"/>
          <w:szCs w:val="24"/>
        </w:rPr>
        <w:t>) are mostly exposed to illegal killing;</w:t>
      </w:r>
    </w:p>
    <w:p>
      <w:pPr>
        <w:pStyle w:val="ListParagraph"/>
        <w:numPr>
          <w:ilvl w:val="1"/>
          <w:numId w:val="1"/>
        </w:numPr>
        <w:spacing w:after="120"/>
        <w:ind w:left="1361"/>
        <w:contextualSpacing w:val="0"/>
        <w:jc w:val="both"/>
        <w:rPr>
          <w:rFonts w:ascii="Times New Roman" w:eastAsia="ヒラギノ角ゴ Pro W3" w:hAnsi="Times New Roman" w:cs="Times New Roman"/>
          <w:iCs/>
          <w:noProof/>
          <w:sz w:val="24"/>
          <w:szCs w:val="24"/>
        </w:rPr>
      </w:pPr>
      <w:r>
        <w:rPr>
          <w:rFonts w:ascii="Times New Roman" w:eastAsia="ヒラギノ角ゴ Pro W3" w:hAnsi="Times New Roman" w:cs="Times New Roman"/>
          <w:iCs/>
          <w:noProof/>
          <w:sz w:val="24"/>
          <w:szCs w:val="24"/>
        </w:rPr>
        <w:t xml:space="preserve">small cetaceans such as the short-beaked common dolphin </w:t>
      </w:r>
      <w:r>
        <w:rPr>
          <w:rFonts w:ascii="Times New Roman" w:eastAsia="ヒラギノ角ゴ Pro W3" w:hAnsi="Times New Roman" w:cs="Times New Roman"/>
          <w:i/>
          <w:iCs/>
          <w:noProof/>
          <w:sz w:val="24"/>
          <w:szCs w:val="24"/>
        </w:rPr>
        <w:t>(Delphinus delphis)</w:t>
      </w:r>
      <w:r>
        <w:rPr>
          <w:rFonts w:ascii="Times New Roman" w:eastAsia="ヒラギノ角ゴ Pro W3" w:hAnsi="Times New Roman" w:cs="Times New Roman"/>
          <w:iCs/>
          <w:noProof/>
          <w:sz w:val="24"/>
          <w:szCs w:val="24"/>
        </w:rPr>
        <w:t xml:space="preserve"> and harbour porpoise (</w:t>
      </w:r>
      <w:r>
        <w:rPr>
          <w:rFonts w:ascii="Times New Roman" w:eastAsia="ヒラギノ角ゴ Pro W3" w:hAnsi="Times New Roman" w:cs="Times New Roman"/>
          <w:i/>
          <w:iCs/>
          <w:noProof/>
          <w:sz w:val="24"/>
          <w:szCs w:val="24"/>
        </w:rPr>
        <w:t>Phocoena phocoena)</w:t>
      </w:r>
      <w:r>
        <w:rPr>
          <w:rFonts w:ascii="Times New Roman" w:eastAsia="ヒラギノ角ゴ Pro W3" w:hAnsi="Times New Roman" w:cs="Times New Roman"/>
          <w:iCs/>
          <w:noProof/>
          <w:sz w:val="24"/>
          <w:szCs w:val="24"/>
        </w:rPr>
        <w:t xml:space="preserve"> are mainly impacted by </w:t>
      </w:r>
      <w:r>
        <w:rPr>
          <w:rFonts w:ascii="Times New Roman" w:eastAsia="ヒラギノ角ゴ Pro W3" w:hAnsi="Times New Roman" w:cs="Times New Roman"/>
          <w:iCs/>
          <w:noProof/>
          <w:sz w:val="24"/>
          <w:szCs w:val="24"/>
          <w:u w:val="single"/>
        </w:rPr>
        <w:t>bycatch</w:t>
      </w:r>
      <w:r>
        <w:rPr>
          <w:rFonts w:ascii="Times New Roman" w:eastAsia="ヒラギノ角ゴ Pro W3" w:hAnsi="Times New Roman" w:cs="Times New Roman"/>
          <w:iCs/>
          <w:noProof/>
          <w:sz w:val="24"/>
          <w:szCs w:val="24"/>
        </w:rPr>
        <w:t xml:space="preserve"> in fishing gear and other effects of </w:t>
      </w:r>
      <w:r>
        <w:rPr>
          <w:rFonts w:ascii="Times New Roman" w:eastAsia="ヒラギノ角ゴ Pro W3" w:hAnsi="Times New Roman" w:cs="Times New Roman"/>
          <w:iCs/>
          <w:noProof/>
          <w:sz w:val="24"/>
          <w:szCs w:val="24"/>
          <w:u w:val="single"/>
        </w:rPr>
        <w:t>marine harvesting activities</w:t>
      </w:r>
      <w:r>
        <w:rPr>
          <w:rFonts w:ascii="Times New Roman" w:eastAsia="ヒラギノ角ゴ Pro W3" w:hAnsi="Times New Roman" w:cs="Times New Roman"/>
          <w:iCs/>
          <w:noProof/>
          <w:sz w:val="24"/>
          <w:szCs w:val="24"/>
        </w:rPr>
        <w:t xml:space="preserve">  such  as reduction of prey populations and disturbance of species;  marine mammals  are also often impacted by </w:t>
      </w:r>
      <w:r>
        <w:rPr>
          <w:rFonts w:ascii="Times New Roman" w:eastAsia="ヒラギノ角ゴ Pro W3" w:hAnsi="Times New Roman" w:cs="Times New Roman"/>
          <w:iCs/>
          <w:noProof/>
          <w:sz w:val="24"/>
          <w:szCs w:val="24"/>
          <w:u w:val="single"/>
        </w:rPr>
        <w:t>pollution</w:t>
      </w:r>
      <w:r>
        <w:rPr>
          <w:rFonts w:ascii="Times New Roman" w:eastAsia="ヒラギノ角ゴ Pro W3" w:hAnsi="Times New Roman" w:cs="Times New Roman"/>
          <w:iCs/>
          <w:noProof/>
          <w:sz w:val="24"/>
          <w:szCs w:val="24"/>
        </w:rPr>
        <w:t xml:space="preserve"> from various sources,</w:t>
      </w:r>
      <w:r>
        <w:rPr>
          <w:rFonts w:ascii="Times New Roman" w:eastAsia="ヒラギノ角ゴ Pro W3" w:hAnsi="Times New Roman" w:cs="Times New Roman"/>
          <w:iCs/>
          <w:noProof/>
          <w:sz w:val="24"/>
          <w:szCs w:val="24"/>
          <w:u w:val="single"/>
        </w:rPr>
        <w:t xml:space="preserve"> the operation of shipping and ferry lanes</w:t>
      </w:r>
      <w:r>
        <w:rPr>
          <w:rFonts w:ascii="Times New Roman" w:eastAsia="ヒラギノ角ゴ Pro W3" w:hAnsi="Times New Roman" w:cs="Times New Roman"/>
          <w:iCs/>
          <w:noProof/>
          <w:sz w:val="24"/>
          <w:szCs w:val="24"/>
        </w:rPr>
        <w:t xml:space="preserve"> (due to underwater noise and ship-strikes) as well as by </w:t>
      </w:r>
      <w:r>
        <w:rPr>
          <w:rFonts w:ascii="Times New Roman" w:eastAsia="ヒラギノ角ゴ Pro W3" w:hAnsi="Times New Roman" w:cs="Times New Roman"/>
          <w:iCs/>
          <w:noProof/>
          <w:sz w:val="24"/>
          <w:szCs w:val="24"/>
          <w:u w:val="single"/>
        </w:rPr>
        <w:t>military operations</w:t>
      </w:r>
      <w:r>
        <w:rPr>
          <w:rFonts w:ascii="Times New Roman" w:eastAsia="ヒラギノ角ゴ Pro W3" w:hAnsi="Times New Roman" w:cs="Times New Roman"/>
          <w:iCs/>
          <w:noProof/>
          <w:sz w:val="24"/>
          <w:szCs w:val="24"/>
        </w:rPr>
        <w:t xml:space="preserve"> (through collisions with vessels, disturbance by military sonar).</w:t>
      </w:r>
    </w:p>
    <w:p>
      <w:pPr>
        <w:pStyle w:val="ListParagraph"/>
        <w:numPr>
          <w:ilvl w:val="0"/>
          <w:numId w:val="1"/>
        </w:numPr>
        <w:spacing w:after="120"/>
        <w:ind w:left="681" w:hanging="397"/>
        <w:contextualSpacing w:val="0"/>
        <w:jc w:val="both"/>
        <w:rPr>
          <w:rFonts w:ascii="Times New Roman" w:hAnsi="Times New Roman" w:cs="Times New Roman"/>
          <w:noProof/>
          <w:sz w:val="24"/>
          <w:szCs w:val="24"/>
        </w:rPr>
      </w:pPr>
      <w:r>
        <w:rPr>
          <w:rFonts w:ascii="Times New Roman" w:hAnsi="Times New Roman" w:cs="Times New Roman"/>
          <w:noProof/>
          <w:sz w:val="24"/>
          <w:szCs w:val="24"/>
          <w:u w:val="single"/>
        </w:rPr>
        <w:t>hydropower installations</w:t>
      </w:r>
      <w:r>
        <w:rPr>
          <w:rFonts w:ascii="Times New Roman" w:hAnsi="Times New Roman" w:cs="Times New Roman"/>
          <w:noProof/>
          <w:sz w:val="24"/>
          <w:szCs w:val="24"/>
        </w:rPr>
        <w:t xml:space="preserve"> are the single most important source of </w:t>
      </w:r>
      <w:r>
        <w:rPr>
          <w:rFonts w:ascii="Times New Roman" w:hAnsi="Times New Roman" w:cs="Times New Roman"/>
          <w:noProof/>
          <w:sz w:val="24"/>
          <w:szCs w:val="24"/>
          <w:u w:val="single"/>
        </w:rPr>
        <w:t>energy</w:t>
      </w:r>
      <w:r>
        <w:rPr>
          <w:rFonts w:ascii="Times New Roman" w:hAnsi="Times New Roman" w:cs="Times New Roman"/>
          <w:noProof/>
          <w:sz w:val="24"/>
          <w:szCs w:val="24"/>
          <w:u w:val="single"/>
        </w:rPr>
        <w:noBreakHyphen/>
        <w:t>related pressures</w:t>
      </w:r>
      <w:r>
        <w:rPr>
          <w:rFonts w:ascii="Times New Roman" w:hAnsi="Times New Roman" w:cs="Times New Roman"/>
          <w:noProof/>
          <w:sz w:val="24"/>
          <w:szCs w:val="24"/>
        </w:rPr>
        <w:t xml:space="preserve"> for migratory and freshwater fish.</w:t>
      </w:r>
      <w:r>
        <w:rPr>
          <w:rFonts w:ascii="Times New Roman" w:eastAsia="ヒラギノ角ゴ Pro W3" w:hAnsi="Times New Roman" w:cs="Times New Roman"/>
          <w:iCs/>
          <w:noProof/>
          <w:sz w:val="24"/>
          <w:szCs w:val="24"/>
        </w:rPr>
        <w:t xml:space="preserve"> W</w:t>
      </w:r>
      <w:r>
        <w:rPr>
          <w:rFonts w:ascii="Times New Roman" w:hAnsi="Times New Roman" w:cs="Times New Roman"/>
          <w:noProof/>
          <w:sz w:val="24"/>
          <w:szCs w:val="24"/>
        </w:rPr>
        <w:t xml:space="preserve">hile pressures from </w:t>
      </w:r>
      <w:r>
        <w:rPr>
          <w:rFonts w:ascii="Times New Roman" w:hAnsi="Times New Roman" w:cs="Times New Roman"/>
          <w:noProof/>
          <w:sz w:val="24"/>
          <w:szCs w:val="24"/>
          <w:u w:val="single"/>
        </w:rPr>
        <w:t>wind, wave and tidal power</w:t>
      </w:r>
      <w:r>
        <w:rPr>
          <w:rFonts w:ascii="Times New Roman" w:hAnsi="Times New Roman" w:cs="Times New Roman"/>
          <w:noProof/>
          <w:sz w:val="24"/>
          <w:szCs w:val="24"/>
        </w:rPr>
        <w:t xml:space="preserve"> present risks to many species, birds are also especially vulnerable to electricity and communication transmission infrastructures. The expansion of renewable energy is a key EU policy to help address climate change (which itself is putting significant and growing pressure on biodiversity), but inappropriately designed and located developments can lead to additional pressures on protected species and habitat types;</w:t>
      </w:r>
    </w:p>
    <w:p>
      <w:pPr>
        <w:pStyle w:val="ListParagraph"/>
        <w:numPr>
          <w:ilvl w:val="0"/>
          <w:numId w:val="1"/>
        </w:numPr>
        <w:spacing w:after="120"/>
        <w:ind w:left="681" w:hanging="397"/>
        <w:contextualSpacing w:val="0"/>
        <w:jc w:val="both"/>
        <w:rPr>
          <w:rFonts w:ascii="Times New Roman" w:hAnsi="Times New Roman" w:cs="Times New Roman"/>
          <w:noProof/>
          <w:sz w:val="24"/>
          <w:szCs w:val="24"/>
        </w:rPr>
      </w:pPr>
      <w:r>
        <w:rPr>
          <w:rFonts w:ascii="Times New Roman" w:hAnsi="Times New Roman" w:cs="Times New Roman"/>
          <w:noProof/>
          <w:sz w:val="24"/>
          <w:szCs w:val="24"/>
          <w:u w:val="single"/>
        </w:rPr>
        <w:t>invasive alien species</w:t>
      </w:r>
      <w:r>
        <w:rPr>
          <w:rFonts w:ascii="Times New Roman" w:hAnsi="Times New Roman" w:cs="Times New Roman"/>
          <w:b/>
          <w:noProof/>
          <w:sz w:val="24"/>
          <w:szCs w:val="24"/>
        </w:rPr>
        <w:t xml:space="preserve"> (</w:t>
      </w:r>
      <w:r>
        <w:rPr>
          <w:rFonts w:ascii="Times New Roman" w:hAnsi="Times New Roman" w:cs="Times New Roman"/>
          <w:noProof/>
          <w:sz w:val="24"/>
          <w:szCs w:val="24"/>
        </w:rPr>
        <w:t>IAS) represent a major and growing threat to native European flora and fauna. Their impact has increased significantly since the last reporting period. ‘Invasive species of Union concern’</w:t>
      </w:r>
      <w:r>
        <w:rPr>
          <w:rStyle w:val="FootnoteReference"/>
          <w:rFonts w:ascii="Times New Roman" w:hAnsi="Times New Roman" w:cs="Times New Roman"/>
          <w:noProof/>
          <w:sz w:val="24"/>
          <w:szCs w:val="24"/>
        </w:rPr>
        <w:footnoteReference w:id="19"/>
      </w:r>
      <w:r>
        <w:rPr>
          <w:rFonts w:ascii="Times New Roman" w:hAnsi="Times New Roman" w:cs="Times New Roman"/>
          <w:noProof/>
          <w:sz w:val="24"/>
          <w:szCs w:val="24"/>
        </w:rPr>
        <w:t xml:space="preserve"> account for around 20% of the pressures reported in this category, while many more impacts are reported from IAS that are not yet listed as species of Union concern. IAS affect habitats more than species, but are also known to have a direct impact on certain bird, amphibian, fish and vascular plant species; </w:t>
      </w:r>
    </w:p>
    <w:p>
      <w:pPr>
        <w:pStyle w:val="ListParagraph"/>
        <w:numPr>
          <w:ilvl w:val="0"/>
          <w:numId w:val="1"/>
        </w:numPr>
        <w:spacing w:after="240"/>
        <w:ind w:left="681" w:hanging="397"/>
        <w:contextualSpacing w:val="0"/>
        <w:jc w:val="both"/>
        <w:rPr>
          <w:rFonts w:ascii="Times New Roman" w:hAnsi="Times New Roman" w:cs="Times New Roman"/>
          <w:b/>
          <w:i/>
          <w:noProof/>
          <w:sz w:val="24"/>
          <w:szCs w:val="24"/>
          <w:u w:val="single"/>
        </w:rPr>
      </w:pPr>
      <w:r>
        <w:rPr>
          <w:rFonts w:ascii="Times New Roman" w:eastAsia="ヒラギノ角ゴ Pro W3" w:hAnsi="Times New Roman" w:cs="Times New Roman"/>
          <w:iCs/>
          <w:noProof/>
          <w:sz w:val="24"/>
          <w:szCs w:val="24"/>
        </w:rPr>
        <w:t xml:space="preserve">even though </w:t>
      </w:r>
      <w:r>
        <w:rPr>
          <w:rFonts w:ascii="Times New Roman" w:eastAsia="ヒラギノ角ゴ Pro W3" w:hAnsi="Times New Roman" w:cs="Times New Roman"/>
          <w:iCs/>
          <w:noProof/>
          <w:sz w:val="24"/>
          <w:szCs w:val="24"/>
          <w:u w:val="single"/>
        </w:rPr>
        <w:t>climate change</w:t>
      </w:r>
      <w:r>
        <w:rPr>
          <w:rFonts w:ascii="Times New Roman" w:eastAsia="ヒラギノ角ゴ Pro W3" w:hAnsi="Times New Roman" w:cs="Times New Roman"/>
          <w:iCs/>
          <w:noProof/>
          <w:sz w:val="24"/>
          <w:szCs w:val="24"/>
        </w:rPr>
        <w:t xml:space="preserve"> was not reported as a particularly relevant pressure in 2013</w:t>
      </w:r>
      <w:r>
        <w:rPr>
          <w:rFonts w:ascii="Times New Roman" w:eastAsia="ヒラギノ角ゴ Pro W3" w:hAnsi="Times New Roman" w:cs="Times New Roman"/>
          <w:iCs/>
          <w:noProof/>
          <w:sz w:val="24"/>
          <w:szCs w:val="24"/>
        </w:rPr>
        <w:noBreakHyphen/>
        <w:t>2018, future scenarios</w:t>
      </w:r>
      <w:r>
        <w:rPr>
          <w:rStyle w:val="FootnoteReference"/>
          <w:rFonts w:ascii="Times New Roman" w:eastAsia="ヒラギノ角ゴ Pro W3" w:hAnsi="Times New Roman" w:cs="Times New Roman"/>
          <w:iCs/>
          <w:noProof/>
          <w:sz w:val="24"/>
          <w:szCs w:val="24"/>
        </w:rPr>
        <w:footnoteReference w:id="20"/>
      </w:r>
      <w:r>
        <w:rPr>
          <w:rFonts w:ascii="Times New Roman" w:eastAsia="ヒラギノ角ゴ Pro W3" w:hAnsi="Times New Roman" w:cs="Times New Roman"/>
          <w:iCs/>
          <w:noProof/>
          <w:sz w:val="24"/>
          <w:szCs w:val="24"/>
        </w:rPr>
        <w:t xml:space="preserve"> predict that it will have a dramatic effect on European plants and animals and lead to accelerated biodiversity loss and desertification in many areas.</w:t>
      </w:r>
      <w:r>
        <w:rPr>
          <w:rFonts w:ascii="Times New Roman" w:hAnsi="Times New Roman" w:cs="Times New Roman"/>
          <w:noProof/>
          <w:sz w:val="24"/>
          <w:szCs w:val="24"/>
        </w:rPr>
        <w:t xml:space="preserve"> </w:t>
      </w:r>
      <w:r>
        <w:rPr>
          <w:rFonts w:ascii="Times New Roman" w:eastAsia="ヒラギノ角ゴ Pro W3" w:hAnsi="Times New Roman" w:cs="Times New Roman"/>
          <w:iCs/>
          <w:noProof/>
          <w:sz w:val="24"/>
          <w:szCs w:val="24"/>
        </w:rPr>
        <w:t xml:space="preserve">The most frequently reported pressures relating to climate change were </w:t>
      </w:r>
      <w:r>
        <w:rPr>
          <w:rFonts w:ascii="Times New Roman" w:eastAsia="ヒラギノ角ゴ Pro W3" w:hAnsi="Times New Roman" w:cs="Times New Roman"/>
          <w:iCs/>
          <w:noProof/>
          <w:sz w:val="24"/>
          <w:szCs w:val="24"/>
          <w:u w:val="single"/>
        </w:rPr>
        <w:t>droughts and decreases in precipitation</w:t>
      </w:r>
      <w:r>
        <w:rPr>
          <w:rFonts w:ascii="Times New Roman" w:eastAsia="ヒラギノ角ゴ Pro W3" w:hAnsi="Times New Roman" w:cs="Times New Roman"/>
          <w:iCs/>
          <w:noProof/>
          <w:sz w:val="24"/>
          <w:szCs w:val="24"/>
        </w:rPr>
        <w:t>; these accounted for 5% of all reported pressures affecting amphibians.</w:t>
      </w:r>
    </w:p>
    <w:p>
      <w:pPr>
        <w:spacing w:after="240"/>
        <w:jc w:val="both"/>
        <w:rPr>
          <w:rFonts w:ascii="Times New Roman" w:hAnsi="Times New Roman" w:cs="Times New Roman"/>
          <w:b/>
          <w:i/>
          <w:noProof/>
          <w:sz w:val="24"/>
          <w:szCs w:val="24"/>
          <w:u w:val="single"/>
        </w:rPr>
      </w:pPr>
      <w:r>
        <w:rPr>
          <w:rFonts w:ascii="Times New Roman" w:hAnsi="Times New Roman" w:cs="Times New Roman"/>
          <w:b/>
          <w:i/>
          <w:noProof/>
          <w:sz w:val="24"/>
          <w:szCs w:val="24"/>
          <w:u w:val="single"/>
        </w:rPr>
        <w:t>4.2 Responses (conservation measures)</w:t>
      </w:r>
    </w:p>
    <w:p>
      <w:pPr>
        <w:shd w:val="clear" w:color="auto" w:fill="FFFFFF" w:themeFill="background1"/>
        <w:spacing w:after="240"/>
        <w:jc w:val="both"/>
        <w:rPr>
          <w:rFonts w:ascii="Times New Roman" w:hAnsi="Times New Roman" w:cs="Times New Roman"/>
          <w:noProof/>
          <w:sz w:val="24"/>
          <w:szCs w:val="24"/>
        </w:rPr>
      </w:pPr>
      <w:r>
        <w:rPr>
          <w:rFonts w:ascii="Times New Roman" w:hAnsi="Times New Roman" w:cs="Times New Roman"/>
          <w:noProof/>
          <w:sz w:val="24"/>
          <w:szCs w:val="24"/>
        </w:rPr>
        <w:t xml:space="preserve">In parallel to the reporting on pressures, Member States reported whether or not the majority of the measures needed for a species or a habitat of EU importance that require Natura 2000 site designation were taken. Such measures aim to maintain or to restore good status for species and habitats, and involve specific action on the ground to mitigate and remove the impact of past and present pressures. Member States are required to take the necessary conservation measures for Natura 2000 sites. </w:t>
      </w:r>
    </w:p>
    <w:p>
      <w:pPr>
        <w:shd w:val="clear" w:color="auto" w:fill="FFFFFF" w:themeFill="background1"/>
        <w:spacing w:after="240"/>
        <w:jc w:val="both"/>
        <w:rPr>
          <w:rFonts w:ascii="Times New Roman" w:hAnsi="Times New Roman" w:cs="Times New Roman"/>
          <w:noProof/>
          <w:sz w:val="24"/>
          <w:szCs w:val="24"/>
        </w:rPr>
      </w:pPr>
      <w:r>
        <w:rPr>
          <w:rFonts w:ascii="Times New Roman" w:hAnsi="Times New Roman" w:cs="Times New Roman"/>
          <w:noProof/>
          <w:sz w:val="24"/>
          <w:szCs w:val="24"/>
        </w:rPr>
        <w:t>Their national reports indicate that:</w:t>
      </w:r>
    </w:p>
    <w:p>
      <w:pPr>
        <w:pStyle w:val="ListParagraph"/>
        <w:numPr>
          <w:ilvl w:val="0"/>
          <w:numId w:val="3"/>
        </w:numPr>
        <w:spacing w:after="120"/>
        <w:ind w:left="681" w:hanging="397"/>
        <w:contextualSpacing w:val="0"/>
        <w:jc w:val="both"/>
        <w:rPr>
          <w:rFonts w:ascii="Times New Roman" w:hAnsi="Times New Roman" w:cs="Times New Roman"/>
          <w:noProof/>
          <w:sz w:val="24"/>
          <w:szCs w:val="24"/>
        </w:rPr>
      </w:pPr>
      <w:r>
        <w:rPr>
          <w:rFonts w:ascii="Times New Roman" w:hAnsi="Times New Roman" w:cs="Times New Roman"/>
          <w:noProof/>
          <w:sz w:val="24"/>
          <w:szCs w:val="24"/>
        </w:rPr>
        <w:t>most measures are applied both within and outside the Natura 2000 network;</w:t>
      </w:r>
    </w:p>
    <w:p>
      <w:pPr>
        <w:pStyle w:val="ListParagraph"/>
        <w:numPr>
          <w:ilvl w:val="0"/>
          <w:numId w:val="3"/>
        </w:numPr>
        <w:spacing w:after="120"/>
        <w:ind w:left="681" w:hanging="397"/>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for around 60% of Member States’ habitats the necessary measures were reported as being taken, mainly to maintain the current status or to restore the habitats’ structure and functions; only 4% of the reported measures taken are to increase the habitat area; </w:t>
      </w:r>
    </w:p>
    <w:p>
      <w:pPr>
        <w:pStyle w:val="ListParagraph"/>
        <w:numPr>
          <w:ilvl w:val="0"/>
          <w:numId w:val="3"/>
        </w:numPr>
        <w:spacing w:after="240"/>
        <w:ind w:left="681" w:hanging="397"/>
        <w:contextualSpacing w:val="0"/>
        <w:jc w:val="both"/>
        <w:rPr>
          <w:rFonts w:ascii="Times New Roman" w:hAnsi="Times New Roman" w:cs="Times New Roman"/>
          <w:noProof/>
          <w:sz w:val="24"/>
          <w:szCs w:val="24"/>
        </w:rPr>
      </w:pPr>
      <w:r>
        <w:rPr>
          <w:rFonts w:ascii="Times New Roman" w:hAnsi="Times New Roman" w:cs="Times New Roman"/>
          <w:noProof/>
          <w:sz w:val="24"/>
          <w:szCs w:val="24"/>
        </w:rPr>
        <w:t>conservation measures to keep agricultural areas in suitable ecological condition, thereby responding to pressures from farming, are by far the most common;</w:t>
      </w:r>
    </w:p>
    <w:p>
      <w:pPr>
        <w:spacing w:after="240"/>
        <w:ind w:left="284"/>
        <w:jc w:val="both"/>
        <w:rPr>
          <w:rFonts w:ascii="Times New Roman" w:hAnsi="Times New Roman" w:cs="Times New Roman"/>
          <w:noProof/>
          <w:sz w:val="24"/>
          <w:szCs w:val="24"/>
        </w:rPr>
      </w:pPr>
    </w:p>
    <w:p>
      <w:pPr>
        <w:keepNext/>
        <w:spacing w:after="120" w:line="240" w:lineRule="auto"/>
        <w:jc w:val="both"/>
        <w:rPr>
          <w:rFonts w:ascii="Times New Roman" w:eastAsia="ヒラギノ角ゴ Pro W3" w:hAnsi="Times New Roman" w:cs="Times New Roman"/>
          <w:b/>
          <w:noProof/>
          <w:sz w:val="20"/>
          <w:szCs w:val="20"/>
        </w:rPr>
      </w:pPr>
      <w:r>
        <w:rPr>
          <w:rFonts w:ascii="Times New Roman" w:eastAsia="ヒラギノ角ゴ Pro W3" w:hAnsi="Times New Roman" w:cs="Times New Roman"/>
          <w:b/>
          <w:noProof/>
          <w:sz w:val="20"/>
          <w:szCs w:val="20"/>
        </w:rPr>
        <w:t xml:space="preserve">Figure 10: Implementation status of habitat conservation measures (in % of all habitat type assessment made by Member States) </w:t>
      </w:r>
    </w:p>
    <w:p>
      <w:pPr>
        <w:jc w:val="both"/>
        <w:rPr>
          <w:rFonts w:ascii="Times New Roman" w:hAnsi="Times New Roman" w:cs="Times New Roman"/>
          <w:noProof/>
        </w:rPr>
      </w:pPr>
      <w:r>
        <w:rPr>
          <w:rFonts w:ascii="Times New Roman" w:hAnsi="Times New Roman" w:cs="Times New Roman"/>
          <w:noProof/>
          <w:lang w:eastAsia="en-GB"/>
        </w:rPr>
        <w:drawing>
          <wp:inline distT="0" distB="0" distL="0" distR="0">
            <wp:extent cx="5720316" cy="1569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73429" cy="1584183"/>
                    </a:xfrm>
                    <a:prstGeom prst="rect">
                      <a:avLst/>
                    </a:prstGeom>
                    <a:noFill/>
                  </pic:spPr>
                </pic:pic>
              </a:graphicData>
            </a:graphic>
          </wp:inline>
        </w:drawing>
      </w:r>
    </w:p>
    <w:p>
      <w:pPr>
        <w:spacing w:before="120" w:after="0"/>
        <w:ind w:left="360"/>
        <w:jc w:val="both"/>
        <w:rPr>
          <w:rFonts w:ascii="Times New Roman" w:hAnsi="Times New Roman" w:cs="Times New Roman"/>
          <w:noProof/>
          <w:sz w:val="24"/>
          <w:szCs w:val="24"/>
        </w:rPr>
      </w:pPr>
    </w:p>
    <w:p>
      <w:pPr>
        <w:pStyle w:val="ListParagraph"/>
        <w:numPr>
          <w:ilvl w:val="0"/>
          <w:numId w:val="8"/>
        </w:numPr>
        <w:spacing w:before="120" w:after="0"/>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the situation is similar for </w:t>
      </w:r>
      <w:r>
        <w:rPr>
          <w:rFonts w:ascii="Times New Roman" w:hAnsi="Times New Roman" w:cs="Times New Roman"/>
          <w:noProof/>
          <w:sz w:val="24"/>
          <w:szCs w:val="24"/>
          <w:u w:val="single"/>
        </w:rPr>
        <w:t>species</w:t>
      </w:r>
      <w:r>
        <w:rPr>
          <w:rFonts w:ascii="Times New Roman" w:hAnsi="Times New Roman" w:cs="Times New Roman"/>
          <w:noProof/>
          <w:sz w:val="24"/>
          <w:szCs w:val="24"/>
        </w:rPr>
        <w:t xml:space="preserve">. </w:t>
      </w:r>
      <w:r>
        <w:rPr>
          <w:rFonts w:ascii="Times New Roman" w:eastAsia="MS Mincho" w:hAnsi="Times New Roman" w:cs="Times New Roman"/>
          <w:noProof/>
          <w:sz w:val="24"/>
          <w:szCs w:val="24"/>
          <w:lang w:eastAsia="de-DE"/>
        </w:rPr>
        <w:t xml:space="preserve">Around 40% of the reports for birds and 50% of those for species other than birds indicate that measures were taken. </w:t>
      </w:r>
      <w:r>
        <w:rPr>
          <w:rFonts w:ascii="Times New Roman" w:hAnsi="Times New Roman" w:cs="Times New Roman"/>
          <w:noProof/>
          <w:sz w:val="24"/>
          <w:szCs w:val="24"/>
        </w:rPr>
        <w:t>The biggest part of the measures taken for non-bird species aims to maintain their current status. Restoration measures play a less prominent role.</w:t>
      </w:r>
    </w:p>
    <w:p>
      <w:pPr>
        <w:spacing w:before="120" w:after="0"/>
        <w:ind w:left="360"/>
        <w:jc w:val="both"/>
        <w:rPr>
          <w:rFonts w:ascii="Times New Roman" w:hAnsi="Times New Roman" w:cs="Times New Roman"/>
          <w:noProof/>
          <w:sz w:val="24"/>
          <w:szCs w:val="24"/>
        </w:rPr>
      </w:pPr>
    </w:p>
    <w:p>
      <w:pPr>
        <w:keepNext/>
        <w:spacing w:after="120" w:line="240" w:lineRule="auto"/>
        <w:jc w:val="both"/>
        <w:rPr>
          <w:rFonts w:ascii="Times New Roman" w:eastAsia="ヒラギノ角ゴ Pro W3" w:hAnsi="Times New Roman" w:cs="Times New Roman"/>
          <w:b/>
          <w:noProof/>
          <w:sz w:val="20"/>
          <w:szCs w:val="20"/>
        </w:rPr>
      </w:pPr>
      <w:r>
        <w:rPr>
          <w:rFonts w:ascii="Times New Roman" w:eastAsia="ヒラギノ角ゴ Pro W3" w:hAnsi="Times New Roman" w:cs="Times New Roman"/>
          <w:b/>
          <w:noProof/>
          <w:sz w:val="20"/>
          <w:szCs w:val="20"/>
        </w:rPr>
        <w:t xml:space="preserve">Figure 11: Implementation status of species conservation measures (in % of all species assessments made by Member States for species that require site designation)         </w:t>
      </w:r>
    </w:p>
    <w:p>
      <w:pPr>
        <w:jc w:val="both"/>
        <w:rPr>
          <w:rFonts w:ascii="Times New Roman" w:hAnsi="Times New Roman" w:cs="Times New Roman"/>
          <w:noProof/>
        </w:rPr>
      </w:pPr>
      <w:r>
        <w:rPr>
          <w:rFonts w:ascii="Times New Roman" w:hAnsi="Times New Roman" w:cs="Times New Roman"/>
          <w:noProof/>
          <w:lang w:eastAsia="en-GB"/>
        </w:rPr>
        <w:drawing>
          <wp:inline distT="0" distB="0" distL="0" distR="0">
            <wp:extent cx="5547995" cy="22009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47995" cy="2200910"/>
                    </a:xfrm>
                    <a:prstGeom prst="rect">
                      <a:avLst/>
                    </a:prstGeom>
                    <a:noFill/>
                  </pic:spPr>
                </pic:pic>
              </a:graphicData>
            </a:graphic>
          </wp:inline>
        </w:drawing>
      </w:r>
    </w:p>
    <w:p>
      <w:pPr>
        <w:spacing w:before="240" w:after="240"/>
        <w:jc w:val="both"/>
        <w:rPr>
          <w:rFonts w:ascii="Times New Roman" w:hAnsi="Times New Roman" w:cs="Times New Roman"/>
          <w:noProof/>
          <w:sz w:val="24"/>
          <w:szCs w:val="24"/>
        </w:rPr>
      </w:pPr>
      <w:r>
        <w:rPr>
          <w:rFonts w:ascii="Times New Roman" w:hAnsi="Times New Roman" w:cs="Times New Roman"/>
          <w:noProof/>
          <w:sz w:val="24"/>
          <w:szCs w:val="24"/>
        </w:rPr>
        <w:t xml:space="preserve">In spite of Member States’ measures, conservation status and trends did not improve over the reporting period; in fact, for many species and habitat types (including those for which Natura 2000 designation is a key conservation delivery mechanism) they deteriorated further. It is therefore clear (and confirmed by the reports) that Member States failed to take the necessary conservation measures (at least to the extent required) and in some cases even adequately to identify them.  </w:t>
      </w:r>
    </w:p>
    <w:p>
      <w:pPr>
        <w:spacing w:after="240"/>
        <w:jc w:val="both"/>
        <w:rPr>
          <w:rFonts w:ascii="Times New Roman" w:hAnsi="Times New Roman" w:cs="Times New Roman"/>
          <w:noProof/>
          <w:sz w:val="24"/>
          <w:szCs w:val="24"/>
        </w:rPr>
      </w:pPr>
      <w:r>
        <w:rPr>
          <w:rFonts w:ascii="Times New Roman" w:hAnsi="Times New Roman" w:cs="Times New Roman"/>
          <w:noProof/>
          <w:sz w:val="24"/>
          <w:szCs w:val="24"/>
        </w:rPr>
        <w:t xml:space="preserve">Analysis of the effectiveness of measures shows </w:t>
      </w:r>
      <w:r>
        <w:rPr>
          <w:rFonts w:ascii="Times New Roman" w:eastAsia="ヒラギノ角ゴ Pro W3" w:hAnsi="Times New Roman" w:cs="Times New Roman"/>
          <w:iCs/>
          <w:noProof/>
          <w:sz w:val="24"/>
          <w:szCs w:val="24"/>
          <w:lang w:eastAsia="fr-FR"/>
        </w:rPr>
        <w:t xml:space="preserve">a positive correlation between </w:t>
      </w:r>
      <w:r>
        <w:rPr>
          <w:rFonts w:ascii="Times New Roman" w:eastAsia="Calibri" w:hAnsi="Times New Roman" w:cs="Times New Roman"/>
          <w:noProof/>
          <w:sz w:val="24"/>
          <w:szCs w:val="24"/>
          <w:lang w:eastAsia="fr-FR"/>
        </w:rPr>
        <w:t>measures taken and good conservation status</w:t>
      </w:r>
      <w:r>
        <w:rPr>
          <w:rFonts w:ascii="Times New Roman" w:hAnsi="Times New Roman" w:cs="Times New Roman"/>
          <w:noProof/>
          <w:sz w:val="24"/>
          <w:szCs w:val="24"/>
        </w:rPr>
        <w:t xml:space="preserve"> for </w:t>
      </w:r>
      <w:r>
        <w:rPr>
          <w:rFonts w:ascii="Times New Roman" w:eastAsia="ヒラギノ角ゴ Pro W3" w:hAnsi="Times New Roman" w:cs="Times New Roman"/>
          <w:iCs/>
          <w:noProof/>
          <w:sz w:val="24"/>
          <w:szCs w:val="24"/>
          <w:lang w:eastAsia="fr-FR"/>
        </w:rPr>
        <w:t>most habitats and species groups</w:t>
      </w:r>
      <w:r>
        <w:rPr>
          <w:rFonts w:ascii="Times New Roman" w:eastAsia="Calibri" w:hAnsi="Times New Roman" w:cs="Times New Roman"/>
          <w:noProof/>
          <w:sz w:val="24"/>
          <w:szCs w:val="24"/>
          <w:lang w:eastAsia="fr-FR"/>
        </w:rPr>
        <w:t>. Furthermore, proactive restoration measures (e.g. to restore structure and functions) do lead to improvements.</w:t>
      </w:r>
    </w:p>
    <w:p>
      <w:pPr>
        <w:shd w:val="clear" w:color="auto" w:fill="FFFFFF" w:themeFill="background1"/>
        <w:spacing w:after="240"/>
        <w:jc w:val="both"/>
        <w:rPr>
          <w:rFonts w:ascii="Times New Roman" w:hAnsi="Times New Roman" w:cs="Times New Roman"/>
          <w:b/>
          <w:i/>
          <w:noProof/>
          <w:sz w:val="24"/>
          <w:szCs w:val="24"/>
          <w:u w:val="single"/>
        </w:rPr>
      </w:pPr>
      <w:bookmarkStart w:id="3" w:name="_Toc42152722"/>
      <w:r>
        <w:rPr>
          <w:rFonts w:ascii="Times New Roman" w:hAnsi="Times New Roman" w:cs="Times New Roman"/>
          <w:b/>
          <w:i/>
          <w:noProof/>
          <w:sz w:val="24"/>
          <w:szCs w:val="24"/>
          <w:u w:val="single"/>
        </w:rPr>
        <w:t>4.3 Restoration needs for habitats</w:t>
      </w:r>
      <w:bookmarkEnd w:id="3"/>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For a habitat type, ‘good conservation status’ means that its natural range, the extent of its area, and its structure and functions are all sufficiently large and in good condition; also, its future prospects are positive. In this context, ‘restoration’ refers to:</w:t>
      </w:r>
    </w:p>
    <w:p>
      <w:pPr>
        <w:pStyle w:val="ListParagraph"/>
        <w:numPr>
          <w:ilvl w:val="0"/>
          <w:numId w:val="4"/>
        </w:numPr>
        <w:spacing w:after="120"/>
        <w:ind w:left="681" w:hanging="397"/>
        <w:contextualSpacing w:val="0"/>
        <w:jc w:val="both"/>
        <w:rPr>
          <w:rFonts w:ascii="Times New Roman" w:hAnsi="Times New Roman" w:cs="Times New Roman"/>
          <w:noProof/>
          <w:sz w:val="24"/>
          <w:szCs w:val="24"/>
        </w:rPr>
      </w:pPr>
      <w:r>
        <w:rPr>
          <w:rFonts w:ascii="Times New Roman" w:hAnsi="Times New Roman" w:cs="Times New Roman"/>
          <w:noProof/>
          <w:sz w:val="24"/>
          <w:szCs w:val="24"/>
          <w:u w:val="single"/>
        </w:rPr>
        <w:t>improving the condition</w:t>
      </w:r>
      <w:r>
        <w:rPr>
          <w:rFonts w:ascii="Times New Roman" w:hAnsi="Times New Roman" w:cs="Times New Roman"/>
          <w:noProof/>
          <w:sz w:val="24"/>
          <w:szCs w:val="24"/>
        </w:rPr>
        <w:t xml:space="preserve"> (i.e. quality) of existing areas of the habitat through targeted conservation measures; and</w:t>
      </w:r>
    </w:p>
    <w:p>
      <w:pPr>
        <w:pStyle w:val="ListParagraph"/>
        <w:numPr>
          <w:ilvl w:val="0"/>
          <w:numId w:val="4"/>
        </w:numPr>
        <w:spacing w:after="240"/>
        <w:ind w:left="681" w:hanging="397"/>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ensuring sufficient surface area through </w:t>
      </w:r>
      <w:r>
        <w:rPr>
          <w:rFonts w:ascii="Times New Roman" w:hAnsi="Times New Roman" w:cs="Times New Roman"/>
          <w:noProof/>
          <w:sz w:val="24"/>
          <w:szCs w:val="24"/>
          <w:u w:val="single"/>
        </w:rPr>
        <w:t>habitat (re)creation</w:t>
      </w:r>
      <w:r>
        <w:rPr>
          <w:rFonts w:ascii="Times New Roman" w:hAnsi="Times New Roman" w:cs="Times New Roman"/>
          <w:noProof/>
          <w:sz w:val="24"/>
          <w:szCs w:val="24"/>
        </w:rPr>
        <w:t xml:space="preserve"> (i.e. creating additional areas of a habitat, such as restoring wetland habitat from formerly drained agricultural land or extending the area of native protected woodland habitats)</w:t>
      </w:r>
      <w:r>
        <w:rPr>
          <w:rStyle w:val="CommentReference"/>
          <w:rFonts w:ascii="Times New Roman" w:hAnsi="Times New Roman" w:cs="Times New Roman"/>
          <w:noProof/>
          <w:sz w:val="24"/>
          <w:szCs w:val="24"/>
        </w:rPr>
        <w:t>.</w:t>
      </w:r>
    </w:p>
    <w:p>
      <w:pPr>
        <w:spacing w:after="240"/>
        <w:jc w:val="both"/>
        <w:rPr>
          <w:rFonts w:ascii="Times New Roman" w:hAnsi="Times New Roman" w:cs="Times New Roman"/>
          <w:iCs/>
          <w:noProof/>
          <w:sz w:val="24"/>
          <w:szCs w:val="24"/>
        </w:rPr>
      </w:pPr>
      <w:r>
        <w:rPr>
          <w:rFonts w:ascii="Times New Roman" w:hAnsi="Times New Roman" w:cs="Times New Roman"/>
          <w:iCs/>
          <w:noProof/>
          <w:sz w:val="24"/>
          <w:szCs w:val="24"/>
        </w:rPr>
        <w:t>An assessment of restoration requirements for Annex I habitat types shows that needs vary significantly between habitat groups and biogeographical regions.</w:t>
      </w:r>
    </w:p>
    <w:p>
      <w:pPr>
        <w:rPr>
          <w:rFonts w:ascii="Times New Roman" w:hAnsi="Times New Roman" w:cs="Times New Roman"/>
          <w:iCs/>
          <w:noProof/>
          <w:sz w:val="24"/>
          <w:szCs w:val="24"/>
        </w:rPr>
      </w:pPr>
      <w:r>
        <w:rPr>
          <w:rFonts w:ascii="Times New Roman" w:hAnsi="Times New Roman" w:cs="Times New Roman"/>
          <w:iCs/>
          <w:noProof/>
          <w:sz w:val="24"/>
          <w:szCs w:val="24"/>
        </w:rPr>
        <w:br w:type="page"/>
      </w:r>
    </w:p>
    <w:p>
      <w:pPr>
        <w:spacing w:after="240"/>
        <w:jc w:val="both"/>
        <w:rPr>
          <w:rFonts w:ascii="Times New Roman" w:hAnsi="Times New Roman" w:cs="Times New Roman"/>
          <w:iCs/>
          <w:noProof/>
          <w:sz w:val="24"/>
          <w:szCs w:val="24"/>
        </w:rPr>
      </w:pPr>
    </w:p>
    <w:p>
      <w:pPr>
        <w:spacing w:after="120"/>
        <w:jc w:val="both"/>
        <w:rPr>
          <w:rFonts w:ascii="Times New Roman" w:hAnsi="Times New Roman" w:cs="Times New Roman"/>
          <w:b/>
          <w:noProof/>
          <w:sz w:val="20"/>
          <w:szCs w:val="20"/>
        </w:rPr>
      </w:pPr>
      <w:bookmarkStart w:id="4" w:name="OLE_LINK1"/>
      <w:bookmarkStart w:id="5" w:name="OLE_LINK2"/>
      <w:r>
        <w:rPr>
          <w:rFonts w:ascii="Times New Roman" w:hAnsi="Times New Roman" w:cs="Times New Roman"/>
          <w:b/>
          <w:noProof/>
          <w:sz w:val="20"/>
          <w:szCs w:val="20"/>
        </w:rPr>
        <w:t>Figure 12: Proportions of area covered by Annex I habitat groups that need to be improved, as reported by Member States</w:t>
      </w:r>
    </w:p>
    <w:p>
      <w:pPr>
        <w:jc w:val="both"/>
        <w:rPr>
          <w:rFonts w:ascii="Times New Roman" w:hAnsi="Times New Roman" w:cs="Times New Roman"/>
          <w:b/>
          <w:noProof/>
          <w:sz w:val="18"/>
          <w:szCs w:val="18"/>
        </w:rPr>
      </w:pPr>
      <w:r>
        <w:rPr>
          <w:rFonts w:ascii="Times New Roman" w:hAnsi="Times New Roman" w:cs="Times New Roman"/>
          <w:b/>
          <w:noProof/>
          <w:sz w:val="18"/>
          <w:szCs w:val="18"/>
          <w:lang w:eastAsia="en-GB"/>
        </w:rPr>
        <w:drawing>
          <wp:inline distT="0" distB="0" distL="0" distR="0">
            <wp:extent cx="5372100" cy="2466975"/>
            <wp:effectExtent l="0" t="0" r="0" b="952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7" cstate="screen">
                      <a:extLst>
                        <a:ext uri="{28A0092B-C50C-407E-A947-70E740481C1C}">
                          <a14:useLocalDpi xmlns:a14="http://schemas.microsoft.com/office/drawing/2010/main"/>
                        </a:ext>
                      </a:extLst>
                    </a:blip>
                    <a:srcRect l="703" t="2751" r="1086" b="1797"/>
                    <a:stretch/>
                  </pic:blipFill>
                  <pic:spPr bwMode="auto">
                    <a:xfrm>
                      <a:off x="0" y="0"/>
                      <a:ext cx="5378777" cy="2470041"/>
                    </a:xfrm>
                    <a:prstGeom prst="rect">
                      <a:avLst/>
                    </a:prstGeom>
                    <a:noFill/>
                    <a:ln>
                      <a:noFill/>
                    </a:ln>
                    <a:extLst>
                      <a:ext uri="{53640926-AAD7-44D8-BBD7-CCE9431645EC}">
                        <a14:shadowObscured xmlns:a14="http://schemas.microsoft.com/office/drawing/2010/main"/>
                      </a:ext>
                    </a:extLst>
                  </pic:spPr>
                </pic:pic>
              </a:graphicData>
            </a:graphic>
          </wp:inline>
        </w:drawing>
      </w:r>
    </w:p>
    <w:p>
      <w:pPr>
        <w:spacing w:after="240"/>
        <w:jc w:val="both"/>
        <w:rPr>
          <w:rFonts w:ascii="Times New Roman" w:hAnsi="Times New Roman" w:cs="Times New Roman"/>
          <w:noProof/>
          <w:sz w:val="18"/>
          <w:szCs w:val="18"/>
        </w:rPr>
      </w:pPr>
      <w:r>
        <w:rPr>
          <w:rFonts w:ascii="Times New Roman" w:hAnsi="Times New Roman" w:cs="Times New Roman"/>
          <w:b/>
          <w:noProof/>
          <w:sz w:val="18"/>
          <w:szCs w:val="18"/>
        </w:rPr>
        <w:t xml:space="preserve">Note: </w:t>
      </w:r>
      <w:r>
        <w:rPr>
          <w:rFonts w:ascii="Times New Roman" w:hAnsi="Times New Roman" w:cs="Times New Roman"/>
          <w:noProof/>
          <w:sz w:val="18"/>
          <w:szCs w:val="18"/>
        </w:rPr>
        <w:t>The United Kingdom and habitat 8310 (natural caves) were excluded from the calculations.</w:t>
      </w:r>
      <w:bookmarkEnd w:id="4"/>
      <w:bookmarkEnd w:id="5"/>
    </w:p>
    <w:p>
      <w:pPr>
        <w:rPr>
          <w:rFonts w:ascii="Times New Roman" w:hAnsi="Times New Roman" w:cs="Times New Roman"/>
          <w:noProof/>
          <w:sz w:val="24"/>
          <w:szCs w:val="24"/>
        </w:rPr>
      </w:pPr>
      <w:r>
        <w:rPr>
          <w:rFonts w:ascii="Times New Roman" w:hAnsi="Times New Roman" w:cs="Times New Roman"/>
          <w:noProof/>
          <w:sz w:val="24"/>
          <w:szCs w:val="24"/>
        </w:rPr>
        <w:t>Some key findings of the assessment are that:</w:t>
      </w:r>
    </w:p>
    <w:p>
      <w:pPr>
        <w:pStyle w:val="ListParagraph"/>
        <w:numPr>
          <w:ilvl w:val="0"/>
          <w:numId w:val="6"/>
        </w:numPr>
        <w:spacing w:after="120"/>
        <w:ind w:left="681" w:hanging="397"/>
        <w:contextualSpacing w:val="0"/>
        <w:jc w:val="both"/>
        <w:rPr>
          <w:rFonts w:ascii="Times New Roman" w:hAnsi="Times New Roman" w:cs="Times New Roman"/>
          <w:b/>
          <w:noProof/>
          <w:sz w:val="24"/>
          <w:szCs w:val="24"/>
        </w:rPr>
      </w:pPr>
      <w:r>
        <w:rPr>
          <w:rFonts w:ascii="Times New Roman" w:hAnsi="Times New Roman" w:cs="Times New Roman"/>
          <w:noProof/>
          <w:sz w:val="24"/>
          <w:szCs w:val="24"/>
        </w:rPr>
        <w:t>the area of protected habitats in need of improvement is estimated to be on average about 215</w:t>
      </w:r>
      <w:r>
        <w:rPr>
          <w:rFonts w:ascii="Times New Roman" w:hAnsi="Times New Roman" w:cs="Times New Roman"/>
          <w:noProof/>
          <w:w w:val="50"/>
          <w:sz w:val="24"/>
          <w:szCs w:val="24"/>
        </w:rPr>
        <w:t> </w:t>
      </w:r>
      <w:r>
        <w:rPr>
          <w:rFonts w:ascii="Times New Roman" w:hAnsi="Times New Roman" w:cs="Times New Roman"/>
          <w:noProof/>
          <w:sz w:val="24"/>
          <w:szCs w:val="24"/>
        </w:rPr>
        <w:t>000 km</w:t>
      </w:r>
      <w:r>
        <w:rPr>
          <w:rFonts w:ascii="Times New Roman" w:hAnsi="Times New Roman" w:cs="Times New Roman"/>
          <w:noProof/>
          <w:sz w:val="24"/>
          <w:szCs w:val="24"/>
          <w:vertAlign w:val="superscript"/>
        </w:rPr>
        <w:t>2</w:t>
      </w:r>
      <w:r>
        <w:rPr>
          <w:rFonts w:ascii="Times New Roman" w:hAnsi="Times New Roman" w:cs="Times New Roman"/>
          <w:noProof/>
          <w:sz w:val="24"/>
          <w:szCs w:val="24"/>
        </w:rPr>
        <w:t xml:space="preserve"> (or 5% of EU-27</w:t>
      </w:r>
      <w:r>
        <w:rPr>
          <w:rStyle w:val="FootnoteReference"/>
          <w:rFonts w:ascii="Times New Roman" w:hAnsi="Times New Roman" w:cs="Times New Roman"/>
          <w:noProof/>
          <w:sz w:val="24"/>
          <w:szCs w:val="24"/>
        </w:rPr>
        <w:footnoteReference w:id="21"/>
      </w:r>
      <w:r>
        <w:rPr>
          <w:rFonts w:ascii="Times New Roman" w:hAnsi="Times New Roman" w:cs="Times New Roman"/>
          <w:noProof/>
          <w:sz w:val="24"/>
          <w:szCs w:val="24"/>
        </w:rPr>
        <w:t xml:space="preserve"> territory). Forests have the greatest need, with about 19.5% (about 100</w:t>
      </w:r>
      <w:r>
        <w:rPr>
          <w:rFonts w:ascii="Times New Roman" w:hAnsi="Times New Roman" w:cs="Times New Roman"/>
          <w:noProof/>
          <w:w w:val="50"/>
          <w:sz w:val="24"/>
          <w:szCs w:val="24"/>
        </w:rPr>
        <w:t> </w:t>
      </w:r>
      <w:r>
        <w:rPr>
          <w:rFonts w:ascii="Times New Roman" w:hAnsi="Times New Roman" w:cs="Times New Roman"/>
          <w:noProof/>
          <w:sz w:val="24"/>
          <w:szCs w:val="24"/>
        </w:rPr>
        <w:t>000 km</w:t>
      </w:r>
      <w:r>
        <w:rPr>
          <w:rFonts w:ascii="Times New Roman" w:hAnsi="Times New Roman" w:cs="Times New Roman"/>
          <w:noProof/>
          <w:sz w:val="24"/>
          <w:szCs w:val="24"/>
          <w:vertAlign w:val="superscript"/>
        </w:rPr>
        <w:t>2</w:t>
      </w:r>
      <w:r>
        <w:rPr>
          <w:rFonts w:ascii="Times New Roman" w:hAnsi="Times New Roman" w:cs="Times New Roman"/>
          <w:noProof/>
          <w:sz w:val="24"/>
          <w:szCs w:val="24"/>
        </w:rPr>
        <w:t>) requiring improvement, followed by coastal habitats with 16% (about 46</w:t>
      </w:r>
      <w:r>
        <w:rPr>
          <w:rFonts w:ascii="Times New Roman" w:hAnsi="Times New Roman" w:cs="Times New Roman"/>
          <w:noProof/>
          <w:w w:val="50"/>
          <w:sz w:val="24"/>
          <w:szCs w:val="24"/>
        </w:rPr>
        <w:t> </w:t>
      </w:r>
      <w:r>
        <w:rPr>
          <w:rFonts w:ascii="Times New Roman" w:hAnsi="Times New Roman" w:cs="Times New Roman"/>
          <w:noProof/>
          <w:sz w:val="24"/>
          <w:szCs w:val="24"/>
        </w:rPr>
        <w:t>000 km</w:t>
      </w:r>
      <w:r>
        <w:rPr>
          <w:rFonts w:ascii="Times New Roman" w:hAnsi="Times New Roman" w:cs="Times New Roman"/>
          <w:noProof/>
          <w:sz w:val="24"/>
          <w:szCs w:val="24"/>
          <w:vertAlign w:val="superscript"/>
        </w:rPr>
        <w:t>2</w:t>
      </w:r>
      <w:r>
        <w:rPr>
          <w:rFonts w:ascii="Times New Roman" w:hAnsi="Times New Roman" w:cs="Times New Roman"/>
          <w:noProof/>
          <w:sz w:val="24"/>
          <w:szCs w:val="24"/>
        </w:rPr>
        <w:t>), grasslands with 13.5% (about 33</w:t>
      </w:r>
      <w:r>
        <w:rPr>
          <w:rFonts w:ascii="Times New Roman" w:hAnsi="Times New Roman" w:cs="Times New Roman"/>
          <w:noProof/>
          <w:w w:val="50"/>
          <w:sz w:val="24"/>
          <w:szCs w:val="24"/>
        </w:rPr>
        <w:t> </w:t>
      </w:r>
      <w:r>
        <w:rPr>
          <w:rFonts w:ascii="Times New Roman" w:hAnsi="Times New Roman" w:cs="Times New Roman"/>
          <w:noProof/>
          <w:sz w:val="24"/>
          <w:szCs w:val="24"/>
        </w:rPr>
        <w:t>000 km</w:t>
      </w:r>
      <w:r>
        <w:rPr>
          <w:rFonts w:ascii="Times New Roman" w:hAnsi="Times New Roman" w:cs="Times New Roman"/>
          <w:noProof/>
          <w:sz w:val="24"/>
          <w:szCs w:val="24"/>
          <w:vertAlign w:val="superscript"/>
        </w:rPr>
        <w:t>2</w:t>
      </w:r>
      <w:r>
        <w:rPr>
          <w:rFonts w:ascii="Times New Roman" w:hAnsi="Times New Roman" w:cs="Times New Roman"/>
          <w:noProof/>
          <w:sz w:val="24"/>
          <w:szCs w:val="24"/>
        </w:rPr>
        <w:t>), freshwater habitats with 10.5% (about 13 500 km</w:t>
      </w:r>
      <w:r>
        <w:rPr>
          <w:rFonts w:ascii="Times New Roman" w:hAnsi="Times New Roman" w:cs="Times New Roman"/>
          <w:noProof/>
          <w:sz w:val="24"/>
          <w:szCs w:val="24"/>
          <w:vertAlign w:val="superscript"/>
        </w:rPr>
        <w:t>2</w:t>
      </w:r>
      <w:r>
        <w:rPr>
          <w:rFonts w:ascii="Times New Roman" w:hAnsi="Times New Roman" w:cs="Times New Roman"/>
          <w:noProof/>
          <w:sz w:val="24"/>
          <w:szCs w:val="24"/>
        </w:rPr>
        <w:t>) and bogs, mires and fens with 9% (about 10 900 km</w:t>
      </w:r>
      <w:r>
        <w:rPr>
          <w:rFonts w:ascii="Times New Roman" w:hAnsi="Times New Roman" w:cs="Times New Roman"/>
          <w:noProof/>
          <w:sz w:val="24"/>
          <w:szCs w:val="24"/>
          <w:vertAlign w:val="superscript"/>
        </w:rPr>
        <w:t>2</w:t>
      </w:r>
      <w:r>
        <w:rPr>
          <w:rFonts w:ascii="Times New Roman" w:hAnsi="Times New Roman" w:cs="Times New Roman"/>
          <w:noProof/>
          <w:sz w:val="24"/>
          <w:szCs w:val="24"/>
        </w:rPr>
        <w:t>);</w:t>
      </w:r>
    </w:p>
    <w:p>
      <w:pPr>
        <w:pStyle w:val="ListParagraph"/>
        <w:numPr>
          <w:ilvl w:val="0"/>
          <w:numId w:val="6"/>
        </w:numPr>
        <w:spacing w:after="120"/>
        <w:ind w:left="681" w:hanging="397"/>
        <w:contextualSpacing w:val="0"/>
        <w:jc w:val="both"/>
        <w:rPr>
          <w:rFonts w:ascii="Times New Roman" w:hAnsi="Times New Roman" w:cs="Times New Roman"/>
          <w:noProof/>
          <w:sz w:val="24"/>
          <w:szCs w:val="24"/>
        </w:rPr>
      </w:pPr>
      <w:r>
        <w:rPr>
          <w:rFonts w:ascii="Times New Roman" w:hAnsi="Times New Roman" w:cs="Times New Roman"/>
          <w:noProof/>
          <w:sz w:val="24"/>
          <w:szCs w:val="24"/>
        </w:rPr>
        <w:t>at least 11</w:t>
      </w:r>
      <w:r>
        <w:rPr>
          <w:rFonts w:ascii="Times New Roman" w:hAnsi="Times New Roman" w:cs="Times New Roman"/>
          <w:noProof/>
          <w:w w:val="50"/>
          <w:sz w:val="24"/>
          <w:szCs w:val="24"/>
        </w:rPr>
        <w:t> </w:t>
      </w:r>
      <w:r>
        <w:rPr>
          <w:rFonts w:ascii="Times New Roman" w:hAnsi="Times New Roman" w:cs="Times New Roman"/>
          <w:noProof/>
          <w:sz w:val="24"/>
          <w:szCs w:val="24"/>
        </w:rPr>
        <w:t>000 km</w:t>
      </w:r>
      <w:r>
        <w:rPr>
          <w:rFonts w:ascii="Times New Roman" w:hAnsi="Times New Roman" w:cs="Times New Roman"/>
          <w:noProof/>
          <w:sz w:val="24"/>
          <w:szCs w:val="24"/>
          <w:vertAlign w:val="superscript"/>
        </w:rPr>
        <w:t>2</w:t>
      </w:r>
      <w:r>
        <w:rPr>
          <w:rFonts w:ascii="Times New Roman" w:hAnsi="Times New Roman" w:cs="Times New Roman"/>
          <w:noProof/>
          <w:sz w:val="24"/>
          <w:szCs w:val="24"/>
        </w:rPr>
        <w:t xml:space="preserve"> of Annex I habitats need to be (re)created to add to the existing area in order to ensure the long-term viability of all habitat types. The habitat groups with the largest areas for (re)creation are forests (4</w:t>
      </w:r>
      <w:r>
        <w:rPr>
          <w:rFonts w:ascii="Times New Roman" w:hAnsi="Times New Roman" w:cs="Times New Roman"/>
          <w:noProof/>
          <w:w w:val="50"/>
          <w:sz w:val="24"/>
          <w:szCs w:val="24"/>
        </w:rPr>
        <w:t> </w:t>
      </w:r>
      <w:r>
        <w:rPr>
          <w:rFonts w:ascii="Times New Roman" w:hAnsi="Times New Roman" w:cs="Times New Roman"/>
          <w:noProof/>
          <w:sz w:val="24"/>
          <w:szCs w:val="24"/>
        </w:rPr>
        <w:t>600 km</w:t>
      </w:r>
      <w:r>
        <w:rPr>
          <w:rFonts w:ascii="Times New Roman" w:hAnsi="Times New Roman" w:cs="Times New Roman"/>
          <w:noProof/>
          <w:sz w:val="24"/>
          <w:szCs w:val="24"/>
          <w:vertAlign w:val="superscript"/>
        </w:rPr>
        <w:t>2</w:t>
      </w:r>
      <w:r>
        <w:rPr>
          <w:rFonts w:ascii="Times New Roman" w:hAnsi="Times New Roman" w:cs="Times New Roman"/>
          <w:noProof/>
          <w:sz w:val="24"/>
          <w:szCs w:val="24"/>
        </w:rPr>
        <w:t>), grasslands (1</w:t>
      </w:r>
      <w:r>
        <w:rPr>
          <w:rFonts w:ascii="Times New Roman" w:hAnsi="Times New Roman" w:cs="Times New Roman"/>
          <w:noProof/>
          <w:w w:val="50"/>
          <w:sz w:val="24"/>
          <w:szCs w:val="24"/>
        </w:rPr>
        <w:t> </w:t>
      </w:r>
      <w:r>
        <w:rPr>
          <w:rFonts w:ascii="Times New Roman" w:hAnsi="Times New Roman" w:cs="Times New Roman"/>
          <w:noProof/>
          <w:sz w:val="24"/>
          <w:szCs w:val="24"/>
        </w:rPr>
        <w:t>900 km</w:t>
      </w:r>
      <w:r>
        <w:rPr>
          <w:rFonts w:ascii="Times New Roman" w:hAnsi="Times New Roman" w:cs="Times New Roman"/>
          <w:noProof/>
          <w:sz w:val="24"/>
          <w:szCs w:val="24"/>
          <w:vertAlign w:val="superscript"/>
        </w:rPr>
        <w:t>2</w:t>
      </w:r>
      <w:r>
        <w:rPr>
          <w:rFonts w:ascii="Times New Roman" w:hAnsi="Times New Roman" w:cs="Times New Roman"/>
          <w:noProof/>
          <w:sz w:val="24"/>
          <w:szCs w:val="24"/>
        </w:rPr>
        <w:t>), bogs, mires and fens (1</w:t>
      </w:r>
      <w:r>
        <w:rPr>
          <w:rFonts w:ascii="Times New Roman" w:hAnsi="Times New Roman" w:cs="Times New Roman"/>
          <w:noProof/>
          <w:w w:val="50"/>
          <w:sz w:val="24"/>
          <w:szCs w:val="24"/>
        </w:rPr>
        <w:t> </w:t>
      </w:r>
      <w:r>
        <w:rPr>
          <w:rFonts w:ascii="Times New Roman" w:hAnsi="Times New Roman" w:cs="Times New Roman"/>
          <w:noProof/>
          <w:sz w:val="24"/>
          <w:szCs w:val="24"/>
        </w:rPr>
        <w:t>700 km</w:t>
      </w:r>
      <w:r>
        <w:rPr>
          <w:rFonts w:ascii="Times New Roman" w:hAnsi="Times New Roman" w:cs="Times New Roman"/>
          <w:noProof/>
          <w:sz w:val="24"/>
          <w:szCs w:val="24"/>
          <w:vertAlign w:val="superscript"/>
        </w:rPr>
        <w:t>2</w:t>
      </w:r>
      <w:r>
        <w:rPr>
          <w:rFonts w:ascii="Times New Roman" w:hAnsi="Times New Roman" w:cs="Times New Roman"/>
          <w:noProof/>
          <w:sz w:val="24"/>
          <w:szCs w:val="24"/>
        </w:rPr>
        <w:t>), and coastal habitats (1</w:t>
      </w:r>
      <w:r>
        <w:rPr>
          <w:rFonts w:ascii="Times New Roman" w:hAnsi="Times New Roman" w:cs="Times New Roman"/>
          <w:noProof/>
          <w:w w:val="50"/>
          <w:sz w:val="24"/>
          <w:szCs w:val="24"/>
        </w:rPr>
        <w:t> </w:t>
      </w:r>
      <w:r>
        <w:rPr>
          <w:rFonts w:ascii="Times New Roman" w:hAnsi="Times New Roman" w:cs="Times New Roman"/>
          <w:noProof/>
          <w:sz w:val="24"/>
          <w:szCs w:val="24"/>
        </w:rPr>
        <w:t>400 km</w:t>
      </w:r>
      <w:r>
        <w:rPr>
          <w:rFonts w:ascii="Times New Roman" w:hAnsi="Times New Roman" w:cs="Times New Roman"/>
          <w:noProof/>
          <w:sz w:val="24"/>
          <w:szCs w:val="24"/>
          <w:vertAlign w:val="superscript"/>
        </w:rPr>
        <w:t>2</w:t>
      </w:r>
      <w:r>
        <w:rPr>
          <w:rFonts w:ascii="Times New Roman" w:hAnsi="Times New Roman" w:cs="Times New Roman"/>
          <w:noProof/>
          <w:sz w:val="24"/>
          <w:szCs w:val="24"/>
        </w:rPr>
        <w:t>). Overall, this applies to 1</w:t>
      </w:r>
      <w:r>
        <w:rPr>
          <w:rFonts w:ascii="Times New Roman" w:hAnsi="Times New Roman" w:cs="Times New Roman"/>
          <w:noProof/>
          <w:sz w:val="24"/>
          <w:szCs w:val="24"/>
        </w:rPr>
        <w:noBreakHyphen/>
        <w:t>1.5% of the total existing area of these habitat groups;</w:t>
      </w:r>
    </w:p>
    <w:p>
      <w:pPr>
        <w:pStyle w:val="ListParagraph"/>
        <w:numPr>
          <w:ilvl w:val="0"/>
          <w:numId w:val="6"/>
        </w:numPr>
        <w:spacing w:after="120"/>
        <w:ind w:left="709"/>
        <w:contextualSpacing w:val="0"/>
        <w:jc w:val="both"/>
        <w:rPr>
          <w:rFonts w:ascii="Times New Roman" w:hAnsi="Times New Roman" w:cs="Times New Roman"/>
          <w:noProof/>
          <w:sz w:val="24"/>
          <w:szCs w:val="24"/>
        </w:rPr>
      </w:pPr>
      <w:r>
        <w:rPr>
          <w:rFonts w:ascii="Times New Roman" w:hAnsi="Times New Roman" w:cs="Times New Roman"/>
          <w:noProof/>
          <w:sz w:val="24"/>
          <w:szCs w:val="24"/>
        </w:rPr>
        <w:t>the biogeographical regions with the greatest need to improve the condition of existing habitat areas are the Continental, Mediterranean, Atlantic, marine Atlantic and Boreal regions;</w:t>
      </w:r>
    </w:p>
    <w:p>
      <w:pPr>
        <w:pStyle w:val="ListParagraph"/>
        <w:numPr>
          <w:ilvl w:val="0"/>
          <w:numId w:val="6"/>
        </w:numPr>
        <w:spacing w:after="120"/>
        <w:ind w:left="681" w:hanging="397"/>
        <w:contextualSpacing w:val="0"/>
        <w:jc w:val="both"/>
        <w:rPr>
          <w:rFonts w:ascii="Times New Roman" w:hAnsi="Times New Roman" w:cs="Times New Roman"/>
          <w:noProof/>
          <w:sz w:val="24"/>
          <w:szCs w:val="24"/>
        </w:rPr>
      </w:pPr>
      <w:r>
        <w:rPr>
          <w:rFonts w:ascii="Times New Roman" w:hAnsi="Times New Roman" w:cs="Times New Roman"/>
          <w:noProof/>
          <w:sz w:val="24"/>
          <w:szCs w:val="24"/>
        </w:rPr>
        <w:t>many of the Annex I habitats requiring restoration are particularly carbon-rich, offering significant potential to store and sequestrate carbon in the above- and below</w:t>
      </w:r>
      <w:r>
        <w:rPr>
          <w:rFonts w:ascii="Times New Roman" w:hAnsi="Times New Roman" w:cs="Times New Roman"/>
          <w:noProof/>
          <w:sz w:val="24"/>
          <w:szCs w:val="24"/>
        </w:rPr>
        <w:noBreakHyphen/>
        <w:t>ground biomass and in the soil. About 16% of these carbon-rich areas need to be improved (154</w:t>
      </w:r>
      <w:r>
        <w:rPr>
          <w:rFonts w:ascii="Times New Roman" w:hAnsi="Times New Roman" w:cs="Times New Roman"/>
          <w:noProof/>
          <w:w w:val="50"/>
          <w:sz w:val="24"/>
          <w:szCs w:val="24"/>
        </w:rPr>
        <w:t> </w:t>
      </w:r>
      <w:r>
        <w:rPr>
          <w:rFonts w:ascii="Times New Roman" w:hAnsi="Times New Roman" w:cs="Times New Roman"/>
          <w:noProof/>
          <w:sz w:val="24"/>
          <w:szCs w:val="24"/>
        </w:rPr>
        <w:t>000 km</w:t>
      </w:r>
      <w:r>
        <w:rPr>
          <w:rFonts w:ascii="Times New Roman" w:hAnsi="Times New Roman" w:cs="Times New Roman"/>
          <w:noProof/>
          <w:sz w:val="24"/>
          <w:szCs w:val="24"/>
          <w:vertAlign w:val="superscript"/>
        </w:rPr>
        <w:t>2</w:t>
      </w:r>
      <w:r>
        <w:rPr>
          <w:rFonts w:ascii="Times New Roman" w:hAnsi="Times New Roman" w:cs="Times New Roman"/>
          <w:noProof/>
          <w:sz w:val="24"/>
          <w:szCs w:val="24"/>
        </w:rPr>
        <w:t>). Their restoration and maintenance could contribute significantly to climate change mitigation; and</w:t>
      </w:r>
    </w:p>
    <w:p>
      <w:pPr>
        <w:pStyle w:val="ListParagraph"/>
        <w:numPr>
          <w:ilvl w:val="0"/>
          <w:numId w:val="6"/>
        </w:numPr>
        <w:spacing w:after="240"/>
        <w:ind w:left="681" w:hanging="397"/>
        <w:contextualSpacing w:val="0"/>
        <w:jc w:val="both"/>
        <w:rPr>
          <w:rFonts w:ascii="Times New Roman" w:hAnsi="Times New Roman" w:cs="Times New Roman"/>
          <w:noProof/>
          <w:sz w:val="24"/>
          <w:szCs w:val="24"/>
        </w:rPr>
      </w:pPr>
      <w:r>
        <w:rPr>
          <w:rFonts w:ascii="Times New Roman" w:hAnsi="Times New Roman" w:cs="Times New Roman"/>
          <w:noProof/>
          <w:sz w:val="24"/>
          <w:szCs w:val="24"/>
        </w:rPr>
        <w:t>because the monitoring data are insufficient, the Annex I habitat areas in need of restoration are likely to be much greater than current estimates. Comprehensive mapping of carbon- and nature-rich areas, the effects of management, habitat condition and other factors is needed to inform decision-making on restoration priorities. Restoration needs for birds and other species should also be addressed, but data on these are currently not reported.</w:t>
      </w:r>
    </w:p>
    <w:p>
      <w:pPr>
        <w:spacing w:after="240"/>
        <w:ind w:left="284"/>
        <w:jc w:val="both"/>
        <w:rPr>
          <w:rFonts w:ascii="Times New Roman" w:hAnsi="Times New Roman" w:cs="Times New Roman"/>
          <w:noProof/>
          <w:sz w:val="24"/>
          <w:szCs w:val="24"/>
        </w:rPr>
      </w:pPr>
    </w:p>
    <w:p>
      <w:pPr>
        <w:pStyle w:val="Heading1"/>
        <w:numPr>
          <w:ilvl w:val="0"/>
          <w:numId w:val="10"/>
        </w:numPr>
        <w:spacing w:after="240"/>
        <w:ind w:left="714" w:hanging="357"/>
        <w:rPr>
          <w:rFonts w:eastAsia="Times New Roman"/>
          <w:noProof/>
          <w:color w:val="auto"/>
          <w:lang w:eastAsia="en-GB"/>
        </w:rPr>
      </w:pPr>
      <w:r>
        <w:rPr>
          <w:rFonts w:eastAsia="Times New Roman"/>
          <w:noProof/>
          <w:color w:val="auto"/>
          <w:lang w:eastAsia="en-GB"/>
        </w:rPr>
        <w:t>The role of the Natura 2000 network</w:t>
      </w:r>
    </w:p>
    <w:p>
      <w:pPr>
        <w:spacing w:after="240"/>
        <w:jc w:val="both"/>
        <w:rPr>
          <w:rFonts w:ascii="Times New Roman" w:eastAsia="ヒラギノ角ゴ Pro W3" w:hAnsi="Times New Roman" w:cs="Times New Roman"/>
          <w:iCs/>
          <w:noProof/>
          <w:sz w:val="24"/>
          <w:szCs w:val="24"/>
        </w:rPr>
      </w:pPr>
      <w:r>
        <w:rPr>
          <w:rFonts w:ascii="Times New Roman" w:eastAsia="ヒラギノ角ゴ Pro W3" w:hAnsi="Times New Roman" w:cs="Times New Roman"/>
          <w:iCs/>
          <w:noProof/>
          <w:sz w:val="24"/>
          <w:szCs w:val="24"/>
        </w:rPr>
        <w:t xml:space="preserve">The Natura 2000 network is made up of </w:t>
      </w:r>
      <w:r>
        <w:rPr>
          <w:rFonts w:ascii="Times New Roman" w:hAnsi="Times New Roman" w:cs="Times New Roman"/>
          <w:noProof/>
          <w:sz w:val="24"/>
          <w:szCs w:val="24"/>
        </w:rPr>
        <w:t>special protection areas (SPAs) classified under the Birds Directive and special areas of conservation (SACs) designated under the Habitats Directive</w:t>
      </w:r>
      <w:r>
        <w:rPr>
          <w:rStyle w:val="FootnoteReference"/>
          <w:rFonts w:ascii="Times New Roman" w:hAnsi="Times New Roman" w:cs="Times New Roman"/>
          <w:noProof/>
          <w:sz w:val="24"/>
          <w:szCs w:val="24"/>
        </w:rPr>
        <w:footnoteReference w:id="22"/>
      </w:r>
      <w:r>
        <w:rPr>
          <w:rFonts w:ascii="Times New Roman" w:hAnsi="Times New Roman" w:cs="Times New Roman"/>
          <w:noProof/>
          <w:sz w:val="24"/>
          <w:szCs w:val="24"/>
        </w:rPr>
        <w:t xml:space="preserve">. It </w:t>
      </w:r>
      <w:r>
        <w:rPr>
          <w:rFonts w:ascii="Times New Roman" w:eastAsia="ヒラギノ角ゴ Pro W3" w:hAnsi="Times New Roman" w:cs="Times New Roman"/>
          <w:iCs/>
          <w:noProof/>
          <w:sz w:val="24"/>
          <w:szCs w:val="24"/>
        </w:rPr>
        <w:t>represents the largest coordinated network of protected areas in the world and is the principal tool in the EU for maintaining/restoring the conservation status of protected habitats and species.</w:t>
      </w:r>
    </w:p>
    <w:p>
      <w:pPr>
        <w:autoSpaceDE w:val="0"/>
        <w:autoSpaceDN w:val="0"/>
        <w:adjustRightInd w:val="0"/>
        <w:spacing w:after="24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As of end</w:t>
      </w:r>
      <w:r>
        <w:rPr>
          <w:rFonts w:ascii="Times New Roman" w:eastAsia="Times New Roman" w:hAnsi="Times New Roman" w:cs="Times New Roman"/>
          <w:noProof/>
          <w:sz w:val="24"/>
          <w:szCs w:val="24"/>
        </w:rPr>
        <w:noBreakHyphen/>
        <w:t>2019, Natura 2000 consisted of 27</w:t>
      </w:r>
      <w:r>
        <w:rPr>
          <w:rFonts w:ascii="Times New Roman" w:eastAsia="Times New Roman" w:hAnsi="Times New Roman" w:cs="Times New Roman"/>
          <w:noProof/>
          <w:w w:val="50"/>
          <w:sz w:val="24"/>
          <w:szCs w:val="24"/>
        </w:rPr>
        <w:t> </w:t>
      </w:r>
      <w:r>
        <w:rPr>
          <w:rFonts w:ascii="Times New Roman" w:eastAsia="Times New Roman" w:hAnsi="Times New Roman" w:cs="Times New Roman"/>
          <w:noProof/>
          <w:sz w:val="24"/>
          <w:szCs w:val="24"/>
        </w:rPr>
        <w:t>852 sites with an area of 1</w:t>
      </w:r>
      <w:r>
        <w:rPr>
          <w:rFonts w:ascii="Times New Roman" w:eastAsia="Times New Roman" w:hAnsi="Times New Roman" w:cs="Times New Roman"/>
          <w:noProof/>
          <w:w w:val="50"/>
          <w:sz w:val="24"/>
          <w:szCs w:val="24"/>
        </w:rPr>
        <w:t> </w:t>
      </w:r>
      <w:r>
        <w:rPr>
          <w:rFonts w:ascii="Times New Roman" w:eastAsia="Times New Roman" w:hAnsi="Times New Roman" w:cs="Times New Roman"/>
          <w:noProof/>
          <w:sz w:val="24"/>
          <w:szCs w:val="24"/>
        </w:rPr>
        <w:t>358</w:t>
      </w:r>
      <w:r>
        <w:rPr>
          <w:rFonts w:ascii="Times New Roman" w:eastAsia="Times New Roman" w:hAnsi="Times New Roman" w:cs="Times New Roman"/>
          <w:noProof/>
          <w:w w:val="50"/>
          <w:sz w:val="24"/>
          <w:szCs w:val="24"/>
        </w:rPr>
        <w:t> </w:t>
      </w:r>
      <w:r>
        <w:rPr>
          <w:rFonts w:ascii="Times New Roman" w:eastAsia="Times New Roman" w:hAnsi="Times New Roman" w:cs="Times New Roman"/>
          <w:noProof/>
          <w:sz w:val="24"/>
          <w:szCs w:val="24"/>
        </w:rPr>
        <w:t>125 km</w:t>
      </w:r>
      <w:r>
        <w:rPr>
          <w:rFonts w:ascii="Times New Roman" w:eastAsia="Times New Roman" w:hAnsi="Times New Roman" w:cs="Times New Roman"/>
          <w:noProof/>
          <w:sz w:val="24"/>
          <w:szCs w:val="24"/>
          <w:vertAlign w:val="superscript"/>
        </w:rPr>
        <w:t>2</w:t>
      </w:r>
      <w:r>
        <w:rPr>
          <w:rFonts w:ascii="Times New Roman" w:eastAsia="Times New Roman" w:hAnsi="Times New Roman" w:cs="Times New Roman"/>
          <w:noProof/>
          <w:sz w:val="24"/>
          <w:szCs w:val="24"/>
        </w:rPr>
        <w:t>. It covered 17.9% of the EU’s land territory and 9.7% of its marine waters. The coverage varies significantly between Member States: its terrestrial coverage ranges from 8% in Denmark to 38% in Slovenia and its marine coverage from 2% in Italy to 46% in Germany</w:t>
      </w:r>
      <w:r>
        <w:rPr>
          <w:rStyle w:val="FootnoteReference"/>
          <w:rFonts w:ascii="Times New Roman" w:eastAsia="Times New Roman" w:hAnsi="Times New Roman" w:cs="Times New Roman"/>
          <w:noProof/>
          <w:sz w:val="24"/>
          <w:szCs w:val="24"/>
        </w:rPr>
        <w:footnoteReference w:id="23"/>
      </w:r>
      <w:r>
        <w:rPr>
          <w:rFonts w:ascii="Times New Roman" w:eastAsia="Times New Roman" w:hAnsi="Times New Roman" w:cs="Times New Roman"/>
          <w:noProof/>
          <w:sz w:val="24"/>
          <w:szCs w:val="24"/>
        </w:rPr>
        <w:t>.</w:t>
      </w:r>
    </w:p>
    <w:p>
      <w:pPr>
        <w:autoSpaceDE w:val="0"/>
        <w:autoSpaceDN w:val="0"/>
        <w:adjustRightInd w:val="0"/>
        <w:spacing w:after="1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Since the last reporting period:</w:t>
      </w:r>
    </w:p>
    <w:p>
      <w:pPr>
        <w:pStyle w:val="ListParagraph"/>
        <w:numPr>
          <w:ilvl w:val="0"/>
          <w:numId w:val="11"/>
        </w:numPr>
        <w:autoSpaceDE w:val="0"/>
        <w:autoSpaceDN w:val="0"/>
        <w:adjustRightInd w:val="0"/>
        <w:spacing w:after="120"/>
        <w:contextualSpacing w:val="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marine network has doubled in surface area;</w:t>
      </w:r>
    </w:p>
    <w:p>
      <w:pPr>
        <w:pStyle w:val="ListParagraph"/>
        <w:numPr>
          <w:ilvl w:val="0"/>
          <w:numId w:val="11"/>
        </w:numPr>
        <w:autoSpaceDE w:val="0"/>
        <w:autoSpaceDN w:val="0"/>
        <w:adjustRightInd w:val="0"/>
        <w:spacing w:after="120"/>
        <w:contextualSpacing w:val="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number of designated SACs has more than doubled with 7262 new designations; and</w:t>
      </w:r>
    </w:p>
    <w:p>
      <w:pPr>
        <w:pStyle w:val="ListParagraph"/>
        <w:numPr>
          <w:ilvl w:val="0"/>
          <w:numId w:val="11"/>
        </w:numPr>
        <w:autoSpaceDE w:val="0"/>
        <w:autoSpaceDN w:val="0"/>
        <w:adjustRightInd w:val="0"/>
        <w:spacing w:after="240"/>
        <w:contextualSpacing w:val="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number of sites reported to have comprehensive management plans has increased significantly.</w:t>
      </w:r>
    </w:p>
    <w:p>
      <w:pPr>
        <w:autoSpaceDE w:val="0"/>
        <w:autoSpaceDN w:val="0"/>
        <w:adjustRightInd w:val="0"/>
        <w:spacing w:after="240"/>
        <w:ind w:left="284"/>
        <w:jc w:val="both"/>
        <w:rPr>
          <w:rFonts w:ascii="Times New Roman" w:eastAsia="Times New Roman" w:hAnsi="Times New Roman" w:cs="Times New Roman"/>
          <w:noProof/>
          <w:sz w:val="24"/>
          <w:szCs w:val="24"/>
        </w:rPr>
      </w:pPr>
    </w:p>
    <w:p>
      <w:pPr>
        <w:keepNext/>
        <w:spacing w:after="120" w:line="240" w:lineRule="auto"/>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color w:val="808080" w:themeColor="background1" w:themeShade="80"/>
          <w:szCs w:val="18"/>
          <w:lang w:eastAsia="en-GB"/>
        </w:rPr>
        <w:drawing>
          <wp:anchor distT="0" distB="0" distL="114300" distR="114300" simplePos="0" relativeHeight="251657728" behindDoc="0" locked="0" layoutInCell="1" allowOverlap="1">
            <wp:simplePos x="0" y="0"/>
            <wp:positionH relativeFrom="column">
              <wp:posOffset>0</wp:posOffset>
            </wp:positionH>
            <wp:positionV relativeFrom="paragraph">
              <wp:posOffset>234315</wp:posOffset>
            </wp:positionV>
            <wp:extent cx="5276850" cy="3128010"/>
            <wp:effectExtent l="0" t="0" r="0" b="0"/>
            <wp:wrapTopAndBottom/>
            <wp:docPr id="1011755732" name="Grafik 101175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8" cstate="print">
                      <a:extLst>
                        <a:ext uri="{28A0092B-C50C-407E-A947-70E740481C1C}">
                          <a14:useLocalDpi xmlns:a14="http://schemas.microsoft.com/office/drawing/2010/main"/>
                        </a:ext>
                      </a:extLst>
                    </a:blip>
                    <a:srcRect t="-254"/>
                    <a:stretch/>
                  </pic:blipFill>
                  <pic:spPr bwMode="auto">
                    <a:xfrm>
                      <a:off x="0" y="0"/>
                      <a:ext cx="5276850" cy="3128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ヒラギノ角ゴ Pro W3" w:hAnsi="Times New Roman" w:cs="Times New Roman"/>
          <w:b/>
          <w:noProof/>
          <w:sz w:val="20"/>
          <w:szCs w:val="20"/>
        </w:rPr>
        <w:t>Figure 13: Cumulative surface area of Natura 2000 network in km², 1993</w:t>
      </w:r>
      <w:r>
        <w:rPr>
          <w:rFonts w:ascii="Times New Roman" w:eastAsia="ヒラギノ角ゴ Pro W3" w:hAnsi="Times New Roman" w:cs="Times New Roman"/>
          <w:b/>
          <w:noProof/>
          <w:sz w:val="20"/>
          <w:szCs w:val="20"/>
        </w:rPr>
        <w:noBreakHyphen/>
        <w:t>2019</w:t>
      </w:r>
    </w:p>
    <w:p>
      <w:pPr>
        <w:spacing w:after="0"/>
        <w:jc w:val="both"/>
        <w:rPr>
          <w:rFonts w:ascii="Times New Roman" w:hAnsi="Times New Roman" w:cs="Times New Roman"/>
          <w:noProof/>
          <w:color w:val="0070C0"/>
        </w:rPr>
      </w:pPr>
    </w:p>
    <w:p>
      <w:pPr>
        <w:spacing w:after="0"/>
        <w:jc w:val="both"/>
        <w:rPr>
          <w:rFonts w:ascii="Times New Roman" w:eastAsia="Times New Roman" w:hAnsi="Times New Roman" w:cs="Times New Roman"/>
          <w:b/>
          <w:iCs/>
          <w:noProof/>
          <w:sz w:val="18"/>
          <w:szCs w:val="18"/>
        </w:rPr>
      </w:pPr>
      <w:r>
        <w:rPr>
          <w:rFonts w:ascii="Times New Roman" w:eastAsia="Times New Roman" w:hAnsi="Times New Roman" w:cs="Times New Roman"/>
          <w:b/>
          <w:noProof/>
          <w:sz w:val="18"/>
          <w:szCs w:val="18"/>
        </w:rPr>
        <w:t>Note:</w:t>
      </w:r>
      <w:r>
        <w:rPr>
          <w:rFonts w:ascii="Times New Roman" w:eastAsia="Times New Roman" w:hAnsi="Times New Roman" w:cs="Times New Roman"/>
          <w:noProof/>
          <w:sz w:val="18"/>
          <w:szCs w:val="18"/>
        </w:rPr>
        <w:t xml:space="preserve"> Numbers are for EU-28 and include SPAs, SCIs, SACs and proposed SCIs (together forming the blue SCI line). In many cases, Natura 2000 sites are (partially or totally) both a SPA and a SAC/SCI. Due to GIS data-handling limitations, the Natura 2000 area was only systematically calculated after 2010.</w:t>
      </w:r>
    </w:p>
    <w:p>
      <w:pPr>
        <w:spacing w:after="240"/>
        <w:jc w:val="both"/>
        <w:rPr>
          <w:rFonts w:ascii="Times New Roman" w:eastAsia="Times New Roman" w:hAnsi="Times New Roman" w:cs="Times New Roman"/>
          <w:noProof/>
          <w:sz w:val="18"/>
          <w:szCs w:val="18"/>
        </w:rPr>
      </w:pPr>
      <w:r>
        <w:rPr>
          <w:rFonts w:ascii="Times New Roman" w:eastAsia="Times New Roman" w:hAnsi="Times New Roman" w:cs="Times New Roman"/>
          <w:b/>
          <w:noProof/>
          <w:sz w:val="18"/>
          <w:szCs w:val="18"/>
        </w:rPr>
        <w:t>Source:</w:t>
      </w:r>
      <w:r>
        <w:rPr>
          <w:rFonts w:ascii="Times New Roman" w:eastAsia="Times New Roman" w:hAnsi="Times New Roman" w:cs="Times New Roman"/>
          <w:noProof/>
          <w:sz w:val="18"/>
          <w:szCs w:val="18"/>
        </w:rPr>
        <w:t xml:space="preserve"> Natura 2000 databases</w:t>
      </w:r>
      <w:bookmarkStart w:id="6" w:name="_Toc42152731"/>
    </w:p>
    <w:bookmarkEnd w:id="6"/>
    <w:p>
      <w:pPr>
        <w:spacing w:after="240"/>
        <w:jc w:val="both"/>
        <w:rPr>
          <w:rFonts w:ascii="Times New Roman" w:hAnsi="Times New Roman" w:cs="Times New Roman"/>
          <w:b/>
          <w:i/>
          <w:noProof/>
          <w:sz w:val="24"/>
          <w:szCs w:val="24"/>
          <w:u w:val="single"/>
        </w:rPr>
      </w:pPr>
      <w:r>
        <w:rPr>
          <w:rFonts w:ascii="Times New Roman" w:hAnsi="Times New Roman" w:cs="Times New Roman"/>
          <w:b/>
          <w:i/>
          <w:noProof/>
          <w:sz w:val="24"/>
          <w:szCs w:val="24"/>
          <w:u w:val="single"/>
        </w:rPr>
        <w:t xml:space="preserve">5.1 Effectiveness of Natura 2000 </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Current reporting does not provide information that would allow a direct comparison of the conservation status of species and habitats inside and outside Natura 2000. Therefore, we have examined other potential indicators for effectiveness, such as the link between species’ and habitats’ representation in the network and the proportion of them showing good status or improving trends. The results, based on Member State assessments, show that:</w:t>
      </w:r>
    </w:p>
    <w:p>
      <w:pPr>
        <w:numPr>
          <w:ilvl w:val="0"/>
          <w:numId w:val="5"/>
        </w:numPr>
        <w:kinsoku w:val="0"/>
        <w:overflowPunct w:val="0"/>
        <w:spacing w:after="120"/>
        <w:ind w:left="681" w:hanging="397"/>
        <w:jc w:val="both"/>
        <w:textAlignment w:val="baseline"/>
        <w:rPr>
          <w:rFonts w:ascii="Times New Roman" w:hAnsi="Times New Roman" w:cs="Times New Roman"/>
          <w:noProof/>
          <w:sz w:val="24"/>
          <w:szCs w:val="24"/>
        </w:rPr>
      </w:pPr>
      <w:r>
        <w:rPr>
          <w:rFonts w:ascii="Times New Roman" w:hAnsi="Times New Roman" w:cs="Times New Roman"/>
          <w:noProof/>
          <w:sz w:val="24"/>
          <w:szCs w:val="24"/>
          <w:u w:val="single"/>
        </w:rPr>
        <w:t>species and habitats</w:t>
      </w:r>
      <w:r>
        <w:rPr>
          <w:rFonts w:ascii="Times New Roman" w:hAnsi="Times New Roman" w:cs="Times New Roman"/>
          <w:noProof/>
          <w:sz w:val="24"/>
          <w:szCs w:val="24"/>
        </w:rPr>
        <w:t xml:space="preserve"> are on average more likely to have good conservation status if their habitat area or population is well represented (&gt; 75%) in the network compared to those that are less well represented. This is most obvious for dune habitats and forests, and for amphibians and fish; and</w:t>
      </w:r>
    </w:p>
    <w:p>
      <w:pPr>
        <w:numPr>
          <w:ilvl w:val="0"/>
          <w:numId w:val="5"/>
        </w:numPr>
        <w:kinsoku w:val="0"/>
        <w:overflowPunct w:val="0"/>
        <w:spacing w:after="240"/>
        <w:ind w:left="681" w:hanging="397"/>
        <w:jc w:val="both"/>
        <w:textAlignment w:val="baseline"/>
        <w:rPr>
          <w:rFonts w:ascii="Times New Roman" w:hAnsi="Times New Roman" w:cs="Times New Roman"/>
          <w:noProof/>
          <w:sz w:val="24"/>
          <w:szCs w:val="24"/>
        </w:rPr>
      </w:pPr>
      <w:r>
        <w:rPr>
          <w:rFonts w:ascii="Times New Roman" w:hAnsi="Times New Roman" w:cs="Times New Roman"/>
          <w:noProof/>
          <w:sz w:val="24"/>
          <w:szCs w:val="24"/>
          <w:u w:val="single"/>
        </w:rPr>
        <w:t>habitat types</w:t>
      </w:r>
      <w:r>
        <w:rPr>
          <w:rFonts w:ascii="Times New Roman" w:hAnsi="Times New Roman" w:cs="Times New Roman"/>
          <w:noProof/>
          <w:sz w:val="24"/>
          <w:szCs w:val="24"/>
        </w:rPr>
        <w:t xml:space="preserve"> with a high representation (&gt;75%) in Natura 2000 sites show (slightly) more improvement and less deterioration than those that are less well represented. With reported improvement of over 8%, bogs, mires and fens appear to have particularly benefited from Natura 2000 coverage. The habitats that saw the most significant improvements, e.g. dry Atlantic coastal heaths with </w:t>
      </w:r>
      <w:r>
        <w:rPr>
          <w:rFonts w:ascii="Times New Roman" w:hAnsi="Times New Roman" w:cs="Times New Roman"/>
          <w:i/>
          <w:noProof/>
          <w:sz w:val="24"/>
          <w:szCs w:val="24"/>
        </w:rPr>
        <w:t>Erica vagans</w:t>
      </w:r>
      <w:r>
        <w:rPr>
          <w:rFonts w:ascii="Times New Roman" w:hAnsi="Times New Roman" w:cs="Times New Roman"/>
          <w:noProof/>
          <w:sz w:val="24"/>
          <w:szCs w:val="24"/>
        </w:rPr>
        <w:t xml:space="preserve"> and coastal dunes with </w:t>
      </w:r>
      <w:r>
        <w:rPr>
          <w:rFonts w:ascii="Times New Roman" w:hAnsi="Times New Roman" w:cs="Times New Roman"/>
          <w:i/>
          <w:noProof/>
          <w:sz w:val="24"/>
          <w:szCs w:val="24"/>
        </w:rPr>
        <w:t xml:space="preserve">Juniperus </w:t>
      </w:r>
      <w:r>
        <w:rPr>
          <w:rFonts w:ascii="Times New Roman" w:hAnsi="Times New Roman" w:cs="Times New Roman"/>
          <w:noProof/>
          <w:sz w:val="24"/>
          <w:szCs w:val="24"/>
        </w:rPr>
        <w:t>species, are widely protected in the network.</w:t>
      </w:r>
    </w:p>
    <w:p>
      <w:pPr>
        <w:rPr>
          <w:rFonts w:ascii="Times New Roman" w:hAnsi="Times New Roman" w:cs="Times New Roman"/>
          <w:noProof/>
          <w:sz w:val="24"/>
          <w:szCs w:val="24"/>
        </w:rPr>
      </w:pPr>
      <w:r>
        <w:rPr>
          <w:rFonts w:ascii="Times New Roman" w:hAnsi="Times New Roman" w:cs="Times New Roman"/>
          <w:noProof/>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tc>
          <w:tcPr>
            <w:tcW w:w="9016" w:type="dxa"/>
          </w:tcPr>
          <w:p>
            <w:pPr>
              <w:spacing w:before="120" w:after="120"/>
              <w:rPr>
                <w:rFonts w:ascii="Times New Roman" w:eastAsia="ヒラギノ角ゴ Pro W3" w:hAnsi="Times New Roman" w:cs="Times New Roman"/>
                <w:b/>
                <w:noProof/>
                <w:sz w:val="20"/>
                <w:szCs w:val="20"/>
              </w:rPr>
            </w:pPr>
            <w:r>
              <w:rPr>
                <w:rFonts w:ascii="Times New Roman" w:eastAsia="ヒラギノ角ゴ Pro W3" w:hAnsi="Times New Roman" w:cs="Times New Roman"/>
                <w:b/>
                <w:noProof/>
                <w:sz w:val="20"/>
                <w:szCs w:val="20"/>
              </w:rPr>
              <w:t>Figure 14: Changes in conservation status and trends for Annex I habitats within different Natura 2000 coverage classes (&lt;35 %, 35%-75%, &gt;75%)</w:t>
            </w:r>
          </w:p>
          <w:p>
            <w:pPr>
              <w:spacing w:before="120" w:after="120"/>
              <w:rPr>
                <w:rFonts w:ascii="Times New Roman" w:hAnsi="Times New Roman" w:cs="Times New Roman"/>
                <w:noProof/>
                <w:sz w:val="24"/>
                <w:szCs w:val="24"/>
              </w:rPr>
            </w:pPr>
          </w:p>
        </w:tc>
      </w:tr>
      <w:tr>
        <w:tc>
          <w:tcPr>
            <w:tcW w:w="9016" w:type="dxa"/>
          </w:tcPr>
          <w:p>
            <w:pPr>
              <w:kinsoku w:val="0"/>
              <w:overflowPunct w:val="0"/>
              <w:spacing w:after="240"/>
              <w:jc w:val="both"/>
              <w:textAlignment w:val="baseline"/>
              <w:rPr>
                <w:rFonts w:ascii="Times New Roman" w:hAnsi="Times New Roman" w:cs="Times New Roman"/>
                <w:noProof/>
                <w:sz w:val="24"/>
                <w:szCs w:val="24"/>
              </w:rPr>
            </w:pPr>
            <w:r>
              <w:rPr>
                <w:rFonts w:ascii="Times New Roman" w:hAnsi="Times New Roman" w:cs="Times New Roman"/>
                <w:noProof/>
                <w:sz w:val="24"/>
                <w:szCs w:val="24"/>
                <w:lang w:eastAsia="en-GB"/>
              </w:rPr>
              <w:drawing>
                <wp:inline distT="0" distB="0" distL="0" distR="0">
                  <wp:extent cx="5342210" cy="25781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52119" cy="2582954"/>
                          </a:xfrm>
                          <a:prstGeom prst="rect">
                            <a:avLst/>
                          </a:prstGeom>
                          <a:noFill/>
                        </pic:spPr>
                      </pic:pic>
                    </a:graphicData>
                  </a:graphic>
                </wp:inline>
              </w:drawing>
            </w:r>
          </w:p>
        </w:tc>
      </w:tr>
      <w:tr>
        <w:tc>
          <w:tcPr>
            <w:tcW w:w="9016" w:type="dxa"/>
          </w:tcPr>
          <w:p>
            <w:pPr>
              <w:kinsoku w:val="0"/>
              <w:overflowPunct w:val="0"/>
              <w:spacing w:after="240"/>
              <w:jc w:val="both"/>
              <w:textAlignment w:val="baseline"/>
              <w:rPr>
                <w:rFonts w:ascii="Times New Roman" w:hAnsi="Times New Roman" w:cs="Times New Roman"/>
                <w:noProof/>
                <w:sz w:val="24"/>
                <w:szCs w:val="24"/>
              </w:rPr>
            </w:pPr>
            <w:r>
              <w:rPr>
                <w:rFonts w:ascii="Times New Roman" w:hAnsi="Times New Roman" w:cs="Times New Roman"/>
                <w:b/>
                <w:noProof/>
                <w:sz w:val="18"/>
                <w:szCs w:val="18"/>
              </w:rPr>
              <w:t>Note:</w:t>
            </w:r>
            <w:r>
              <w:rPr>
                <w:rFonts w:ascii="Times New Roman" w:hAnsi="Times New Roman" w:cs="Times New Roman"/>
                <w:noProof/>
                <w:sz w:val="18"/>
                <w:szCs w:val="18"/>
              </w:rPr>
              <w:t xml:space="preserve"> ‘Improvement’ corresponds to poor or bad assessments that improved or became good, ‘remained favourable’ to assessments that kept their good status, ‘no change’ to poor or bad assessments that did not improve or deteriorate, ‘deterioration’ to poor or bad assessments that further deteriorated or changed from good to poor or bad, and ‘unknown’ to assessments without a trend.</w:t>
            </w:r>
            <w:r>
              <w:rPr>
                <w:rFonts w:ascii="Times New Roman" w:hAnsi="Times New Roman" w:cs="Times New Roman"/>
                <w:noProof/>
              </w:rPr>
              <w:t xml:space="preserve"> </w:t>
            </w:r>
            <w:r>
              <w:rPr>
                <w:rFonts w:ascii="Times New Roman" w:hAnsi="Times New Roman" w:cs="Times New Roman"/>
                <w:noProof/>
                <w:sz w:val="18"/>
                <w:szCs w:val="18"/>
              </w:rPr>
              <w:t>The number of assessments per group is indicated in parentheses. The total number of assessments is 2 970.</w:t>
            </w:r>
          </w:p>
        </w:tc>
      </w:tr>
    </w:tbl>
    <w:p>
      <w:pPr>
        <w:spacing w:after="240"/>
        <w:jc w:val="both"/>
        <w:rPr>
          <w:rFonts w:ascii="Times New Roman" w:hAnsi="Times New Roman" w:cs="Times New Roman"/>
          <w:noProof/>
          <w:sz w:val="24"/>
          <w:szCs w:val="24"/>
        </w:rPr>
      </w:pPr>
    </w:p>
    <w:p>
      <w:pPr>
        <w:spacing w:after="240"/>
        <w:jc w:val="both"/>
        <w:rPr>
          <w:rFonts w:ascii="Times New Roman" w:hAnsi="Times New Roman" w:cs="Times New Roman"/>
          <w:noProof/>
          <w:sz w:val="24"/>
          <w:szCs w:val="24"/>
        </w:rPr>
      </w:pPr>
      <w:r>
        <w:rPr>
          <w:rFonts w:ascii="Times New Roman" w:hAnsi="Times New Roman" w:cs="Times New Roman"/>
          <w:noProof/>
          <w:sz w:val="24"/>
          <w:szCs w:val="24"/>
        </w:rPr>
        <w:t>Overall, the reported information does not allow us to draw firm conclusions as to the effectiveness of the Natura 2000 network. This is due especially to limited monitoring, in particular the common practice of monitoring only a sample of Natura 2000 sites. For a satisfactory assessment of the effectiveness of Natura 2000-related measures, monitoring should involve collecting more data on areas inside and outside the network and on the quality of conservation management.</w:t>
      </w:r>
    </w:p>
    <w:p>
      <w:pPr>
        <w:kinsoku w:val="0"/>
        <w:overflowPunct w:val="0"/>
        <w:spacing w:after="240"/>
        <w:jc w:val="both"/>
        <w:textAlignment w:val="baseline"/>
        <w:rPr>
          <w:rFonts w:ascii="Times New Roman" w:hAnsi="Times New Roman" w:cs="Times New Roman"/>
          <w:noProof/>
          <w:sz w:val="24"/>
          <w:szCs w:val="24"/>
        </w:rPr>
      </w:pPr>
      <w:r>
        <w:rPr>
          <w:rFonts w:ascii="Times New Roman" w:hAnsi="Times New Roman" w:cs="Times New Roman"/>
          <w:noProof/>
          <w:sz w:val="24"/>
          <w:szCs w:val="24"/>
        </w:rPr>
        <w:t>Despite some positive indications of the network’s contribution to conservation status, the available information strongly suggests that its full potential has still to be unlocked and that a significant implementation gap remains to be addressed.</w:t>
      </w:r>
    </w:p>
    <w:p>
      <w:pPr>
        <w:kinsoku w:val="0"/>
        <w:overflowPunct w:val="0"/>
        <w:spacing w:after="240"/>
        <w:jc w:val="both"/>
        <w:textAlignment w:val="baseline"/>
        <w:rPr>
          <w:rFonts w:ascii="Times New Roman" w:hAnsi="Times New Roman" w:cs="Times New Roman"/>
          <w:noProof/>
          <w:sz w:val="24"/>
          <w:szCs w:val="24"/>
        </w:rPr>
      </w:pPr>
    </w:p>
    <w:p>
      <w:pPr>
        <w:pStyle w:val="Heading1"/>
        <w:numPr>
          <w:ilvl w:val="0"/>
          <w:numId w:val="10"/>
        </w:numPr>
        <w:spacing w:after="240"/>
        <w:ind w:left="714" w:hanging="357"/>
        <w:rPr>
          <w:rFonts w:eastAsia="Times New Roman"/>
          <w:noProof/>
          <w:color w:val="auto"/>
          <w:lang w:eastAsia="en-GB"/>
        </w:rPr>
      </w:pPr>
      <w:r>
        <w:rPr>
          <w:rFonts w:eastAsia="Times New Roman"/>
          <w:noProof/>
          <w:color w:val="auto"/>
          <w:lang w:eastAsia="en-GB"/>
        </w:rPr>
        <w:t>Conclusions and outlook</w:t>
      </w:r>
    </w:p>
    <w:p>
      <w:pPr>
        <w:spacing w:after="240"/>
        <w:jc w:val="both"/>
        <w:rPr>
          <w:rFonts w:ascii="Times New Roman" w:hAnsi="Times New Roman" w:cs="Times New Roman"/>
          <w:noProof/>
          <w:sz w:val="24"/>
          <w:szCs w:val="24"/>
        </w:rPr>
      </w:pPr>
      <w:r>
        <w:rPr>
          <w:rFonts w:ascii="Times New Roman" w:hAnsi="Times New Roman" w:cs="Times New Roman"/>
          <w:noProof/>
          <w:sz w:val="24"/>
          <w:szCs w:val="24"/>
        </w:rPr>
        <w:t>This conservation status assessment constitutes the largest and most complete health check of nature ever undertaken in the EU. It provides a strong basis on which to evaluate implementation of the nature directives and a robust baseline for measuring progress under the new biodiversity strategy for 2030.</w:t>
      </w:r>
    </w:p>
    <w:p>
      <w:pPr>
        <w:spacing w:after="240"/>
        <w:jc w:val="both"/>
        <w:rPr>
          <w:rFonts w:ascii="Times New Roman" w:hAnsi="Times New Roman" w:cs="Times New Roman"/>
          <w:noProof/>
          <w:sz w:val="24"/>
          <w:szCs w:val="24"/>
        </w:rPr>
      </w:pPr>
      <w:r>
        <w:rPr>
          <w:rFonts w:ascii="Times New Roman" w:hAnsi="Times New Roman" w:cs="Times New Roman"/>
          <w:noProof/>
          <w:sz w:val="24"/>
          <w:szCs w:val="24"/>
        </w:rPr>
        <w:t>The assessment shows that the EU has not yet managed to stem the decline of protected habitat types and species of EU conservation concern. The key land- and water</w:t>
      </w:r>
      <w:r>
        <w:rPr>
          <w:rFonts w:ascii="Times New Roman" w:hAnsi="Times New Roman" w:cs="Times New Roman"/>
          <w:noProof/>
          <w:sz w:val="24"/>
          <w:szCs w:val="24"/>
        </w:rPr>
        <w:noBreakHyphen/>
        <w:t>use pressures that have led to the degradation of nature still persist, resulting in a significant shortfall from the 2020 target of halting and measurably reversing the deterioration in the status of species and habitats.</w:t>
      </w:r>
    </w:p>
    <w:p>
      <w:pPr>
        <w:spacing w:after="240"/>
        <w:jc w:val="both"/>
        <w:rPr>
          <w:rFonts w:ascii="Times New Roman" w:hAnsi="Times New Roman" w:cs="Times New Roman"/>
          <w:noProof/>
          <w:sz w:val="24"/>
          <w:szCs w:val="24"/>
        </w:rPr>
      </w:pPr>
      <w:r>
        <w:rPr>
          <w:rFonts w:ascii="Times New Roman" w:hAnsi="Times New Roman" w:cs="Times New Roman"/>
          <w:noProof/>
          <w:sz w:val="24"/>
          <w:szCs w:val="24"/>
        </w:rPr>
        <w:t>Inspiring success stories from across the Member States show what can be achieved through targeted action, often supported through initiatives under the EU LIFE programme</w:t>
      </w:r>
      <w:r>
        <w:rPr>
          <w:rStyle w:val="FootnoteReference"/>
          <w:rFonts w:ascii="Times New Roman" w:hAnsi="Times New Roman" w:cs="Times New Roman"/>
          <w:noProof/>
          <w:sz w:val="24"/>
          <w:szCs w:val="24"/>
        </w:rPr>
        <w:footnoteReference w:id="24"/>
      </w:r>
      <w:r>
        <w:rPr>
          <w:rFonts w:ascii="Times New Roman" w:hAnsi="Times New Roman" w:cs="Times New Roman"/>
          <w:noProof/>
          <w:sz w:val="24"/>
          <w:szCs w:val="24"/>
        </w:rPr>
        <w:t xml:space="preserve"> or dedicated agri-environment schemes under the common agricultural policy. However, such success is not being achieved on a sufficient scale.</w:t>
      </w:r>
    </w:p>
    <w:p>
      <w:pPr>
        <w:spacing w:after="240"/>
        <w:jc w:val="both"/>
        <w:rPr>
          <w:rFonts w:ascii="Times New Roman" w:hAnsi="Times New Roman" w:cs="Times New Roman"/>
          <w:noProof/>
          <w:sz w:val="24"/>
          <w:szCs w:val="24"/>
        </w:rPr>
      </w:pPr>
      <w:r>
        <w:rPr>
          <w:rFonts w:ascii="Times New Roman" w:hAnsi="Times New Roman" w:cs="Times New Roman"/>
          <w:noProof/>
          <w:sz w:val="24"/>
          <w:szCs w:val="24"/>
        </w:rPr>
        <w:t xml:space="preserve">Progress in implementing both directives over the last 6 years (significant extension of the Natura 2000 network and more sites with management plans) has not been sufficient to improve conservation status. Establishment of a fully functional network of protected areas is still incomplete, especially in the marine environment. Furthermore, the necessary conservation measures, based on clearly defined conservation objectives, have yet to be put in place for many of the sites. The requisite investment in nature, </w:t>
      </w:r>
      <w:r>
        <w:rPr>
          <w:rFonts w:ascii="Times New Roman" w:hAnsi="Times New Roman" w:cs="Times New Roman"/>
          <w:i/>
          <w:noProof/>
          <w:sz w:val="24"/>
          <w:szCs w:val="24"/>
        </w:rPr>
        <w:t>inter alia</w:t>
      </w:r>
      <w:r>
        <w:rPr>
          <w:rFonts w:ascii="Times New Roman" w:hAnsi="Times New Roman" w:cs="Times New Roman"/>
          <w:noProof/>
          <w:sz w:val="24"/>
          <w:szCs w:val="24"/>
        </w:rPr>
        <w:t xml:space="preserve"> as regards restoration within and beyond the protected area network, has not materialised. Nature requirements have not been sufficiently incorporated into key land- and water</w:t>
      </w:r>
      <w:r>
        <w:rPr>
          <w:rFonts w:ascii="Times New Roman" w:hAnsi="Times New Roman" w:cs="Times New Roman"/>
          <w:noProof/>
          <w:sz w:val="24"/>
          <w:szCs w:val="24"/>
        </w:rPr>
        <w:noBreakHyphen/>
        <w:t>use policies to overcome the negative pressures that can arise from sectors such as agriculture and forestry. Fisheries management measures have still to be agreed and put in place for many marine Natura 2000 sites. In addition, climate change is a growing threat, with predictions of a steep rise in pressures and both direct and indirect effects on species and habitats, such as from changes in land use and habitat location or quality.</w:t>
      </w:r>
    </w:p>
    <w:p>
      <w:pPr>
        <w:spacing w:after="240"/>
        <w:jc w:val="both"/>
        <w:rPr>
          <w:rFonts w:ascii="Times New Roman" w:hAnsi="Times New Roman" w:cs="Times New Roman"/>
          <w:noProof/>
          <w:sz w:val="24"/>
          <w:szCs w:val="24"/>
        </w:rPr>
      </w:pPr>
      <w:r>
        <w:rPr>
          <w:rFonts w:ascii="Times New Roman" w:hAnsi="Times New Roman" w:cs="Times New Roman"/>
          <w:noProof/>
          <w:sz w:val="24"/>
          <w:szCs w:val="24"/>
        </w:rPr>
        <w:t>This assessment underlines the need for a step-change in action if we are to have any serious chance of putting Europe’s biodiversity on a path to recovery by 2030, as envisaged in the new biodiversity strategy</w:t>
      </w:r>
      <w:r>
        <w:rPr>
          <w:rStyle w:val="FootnoteReference"/>
          <w:rFonts w:ascii="Times New Roman" w:hAnsi="Times New Roman" w:cs="Times New Roman"/>
          <w:noProof/>
          <w:sz w:val="24"/>
          <w:szCs w:val="24"/>
        </w:rPr>
        <w:footnoteReference w:id="25"/>
      </w:r>
      <w:r>
        <w:rPr>
          <w:rFonts w:ascii="Times New Roman" w:hAnsi="Times New Roman" w:cs="Times New Roman"/>
          <w:noProof/>
          <w:sz w:val="24"/>
          <w:szCs w:val="24"/>
        </w:rPr>
        <w:t>. Failure to do so will mean the continued erosion not only of our shared natural heritage, but also of the vital services it provides, which ultimately underpin human health and prosperity.</w:t>
      </w:r>
    </w:p>
    <w:p>
      <w:pPr>
        <w:spacing w:after="240"/>
        <w:jc w:val="both"/>
        <w:rPr>
          <w:rFonts w:ascii="Times New Roman" w:hAnsi="Times New Roman" w:cs="Times New Roman"/>
          <w:noProof/>
          <w:sz w:val="24"/>
          <w:szCs w:val="24"/>
        </w:rPr>
      </w:pPr>
      <w:r>
        <w:rPr>
          <w:rFonts w:ascii="Times New Roman" w:hAnsi="Times New Roman" w:cs="Times New Roman"/>
          <w:noProof/>
          <w:sz w:val="24"/>
          <w:szCs w:val="24"/>
        </w:rPr>
        <w:t xml:space="preserve">The new biodiversity strategy to 2030 provides the necessary framework for this transformative change. Together with other initiatives under the Green Deal, it sets out a highly ambitious and practical programme of action aimed, </w:t>
      </w:r>
      <w:r>
        <w:rPr>
          <w:rFonts w:ascii="Times New Roman" w:hAnsi="Times New Roman" w:cs="Times New Roman"/>
          <w:i/>
          <w:noProof/>
          <w:sz w:val="24"/>
          <w:szCs w:val="24"/>
        </w:rPr>
        <w:t>inter alia</w:t>
      </w:r>
      <w:r>
        <w:rPr>
          <w:rFonts w:ascii="Times New Roman" w:hAnsi="Times New Roman" w:cs="Times New Roman"/>
          <w:noProof/>
          <w:sz w:val="24"/>
          <w:szCs w:val="24"/>
        </w:rPr>
        <w:t>, at expanding the coverage of legally protected and effectively managed areas, while proposing a plan for restoring the EU’s nature.</w:t>
      </w:r>
    </w:p>
    <w:p>
      <w:pPr>
        <w:spacing w:after="240"/>
        <w:jc w:val="both"/>
        <w:rPr>
          <w:rFonts w:ascii="Times New Roman" w:hAnsi="Times New Roman" w:cs="Times New Roman"/>
          <w:noProof/>
          <w:sz w:val="24"/>
          <w:szCs w:val="24"/>
        </w:rPr>
      </w:pPr>
      <w:r>
        <w:rPr>
          <w:rFonts w:ascii="Times New Roman" w:hAnsi="Times New Roman" w:cs="Times New Roman"/>
          <w:noProof/>
          <w:sz w:val="24"/>
          <w:szCs w:val="24"/>
        </w:rPr>
        <w:t>This nature assessment underlines the significant potential for restoring protected habitats, as regards both their current condition and the additional surface area that is needed to achieve favourable conservation status. This includes restoring carbon</w:t>
      </w:r>
      <w:r>
        <w:rPr>
          <w:rFonts w:ascii="Times New Roman" w:hAnsi="Times New Roman" w:cs="Times New Roman"/>
          <w:noProof/>
          <w:sz w:val="24"/>
          <w:szCs w:val="24"/>
        </w:rPr>
        <w:noBreakHyphen/>
        <w:t>rich habitats that can deliver climate mitigation co-benefits. The assessment is also directly relevant to measuring the success of action under the strategy to address wider key land- and water</w:t>
      </w:r>
      <w:r>
        <w:rPr>
          <w:rFonts w:ascii="Times New Roman" w:hAnsi="Times New Roman" w:cs="Times New Roman"/>
          <w:noProof/>
          <w:sz w:val="24"/>
          <w:szCs w:val="24"/>
        </w:rPr>
        <w:noBreakHyphen/>
        <w:t>use pressures, particularly in relation to agriculture, which gave rise to the highest number of bad species and habitats assessments across the Member States. In combination with the ‘farm to fork’ strategy</w:t>
      </w:r>
      <w:r>
        <w:rPr>
          <w:rStyle w:val="FootnoteReference"/>
          <w:rFonts w:ascii="Times New Roman" w:hAnsi="Times New Roman" w:cs="Times New Roman"/>
          <w:noProof/>
          <w:sz w:val="24"/>
          <w:szCs w:val="24"/>
        </w:rPr>
        <w:footnoteReference w:id="26"/>
      </w:r>
      <w:r>
        <w:rPr>
          <w:rFonts w:ascii="Times New Roman" w:hAnsi="Times New Roman" w:cs="Times New Roman"/>
          <w:noProof/>
          <w:sz w:val="24"/>
          <w:szCs w:val="24"/>
        </w:rPr>
        <w:t>, action to promote organic farming, reduce the use and risk of pesticides, protect and restore soil ecosystems, and increase landscape features on farmland should support the recovery of species and habitats protected under the nature directives, including pollinators and their habitats.</w:t>
      </w:r>
    </w:p>
    <w:p>
      <w:pPr>
        <w:spacing w:after="240"/>
        <w:jc w:val="both"/>
        <w:rPr>
          <w:rFonts w:ascii="Times New Roman" w:hAnsi="Times New Roman" w:cs="Times New Roman"/>
          <w:noProof/>
          <w:sz w:val="24"/>
          <w:szCs w:val="24"/>
        </w:rPr>
      </w:pPr>
      <w:r>
        <w:rPr>
          <w:rFonts w:ascii="Times New Roman" w:hAnsi="Times New Roman" w:cs="Times New Roman"/>
          <w:noProof/>
          <w:sz w:val="24"/>
          <w:szCs w:val="24"/>
        </w:rPr>
        <w:t xml:space="preserve">The new biodiversity strategy emphasises that the fight against biodiversity loss must be based on sound science. Member States should continue to improve the quality and completeness of their monitoring systems to underpin future reporting. Earth observation / remote sensing, other technologies and tools (e.g. modelling), and the outcomes from research/innovation activities and citizen science could complement and support current monitoring and reporting. This potential should be tested and harnessed to facilitate the reporting bodies’ work.  </w:t>
      </w:r>
    </w:p>
    <w:p>
      <w:pPr>
        <w:spacing w:after="240"/>
        <w:jc w:val="both"/>
        <w:rPr>
          <w:rFonts w:ascii="Times New Roman" w:hAnsi="Times New Roman" w:cs="Times New Roman"/>
          <w:noProof/>
        </w:rPr>
      </w:pPr>
      <w:r>
        <w:rPr>
          <w:rFonts w:ascii="Times New Roman" w:hAnsi="Times New Roman" w:cs="Times New Roman"/>
          <w:noProof/>
          <w:sz w:val="24"/>
          <w:szCs w:val="24"/>
        </w:rPr>
        <w:t>The next assessment of the state of nature in the EU, planned for 2026, should make a significant contribution to gauging progress towards the nature targets under the new biodiversity strategy.</w:t>
      </w:r>
    </w:p>
    <w:sectPr>
      <w:headerReference w:type="even" r:id="rId40"/>
      <w:headerReference w:type="default" r:id="rId41"/>
      <w:footerReference w:type="even" r:id="rId42"/>
      <w:footerReference w:type="default" r:id="rId43"/>
      <w:headerReference w:type="first" r:id="rId44"/>
      <w:footerReference w:type="first" r:id="rId45"/>
      <w:pgSz w:w="11906" w:h="16838"/>
      <w:pgMar w:top="1440" w:right="1440" w:bottom="1440" w:left="1440"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93D07" w16cid:durableId="22E77C85"/>
  <w16cid:commentId w16cid:paraId="192262E0" w16cid:durableId="22E7E2AC"/>
  <w16cid:commentId w16cid:paraId="06F94494" w16cid:durableId="22E7E0A0"/>
  <w16cid:commentId w16cid:paraId="5C1A33D1" w16cid:durableId="22EA1F60"/>
  <w16cid:commentId w16cid:paraId="2DC4D1B2" w16cid:durableId="22E7B4D5"/>
  <w16cid:commentId w16cid:paraId="581AC087" w16cid:durableId="22E7B50B"/>
  <w16cid:commentId w16cid:paraId="698D3BA9" w16cid:durableId="22E77C86"/>
  <w16cid:commentId w16cid:paraId="1903F046" w16cid:durableId="22E7F0DB"/>
  <w16cid:commentId w16cid:paraId="3649F7DE" w16cid:durableId="22E77C87"/>
  <w16cid:commentId w16cid:paraId="5EFAC51F" w16cid:durableId="22E7F708"/>
  <w16cid:commentId w16cid:paraId="34FDB027" w16cid:durableId="22E7F829"/>
  <w16cid:commentId w16cid:paraId="1AB4D764" w16cid:durableId="22E7F87A"/>
  <w16cid:commentId w16cid:paraId="3650B08C" w16cid:durableId="22E77C88"/>
  <w16cid:commentId w16cid:paraId="761E97D1" w16cid:durableId="22E80CC9"/>
  <w16cid:commentId w16cid:paraId="265F7902" w16cid:durableId="22E80CEE"/>
  <w16cid:commentId w16cid:paraId="44327280" w16cid:durableId="22E80D45"/>
  <w16cid:commentId w16cid:paraId="0076BC50" w16cid:durableId="22E80DAA"/>
  <w16cid:commentId w16cid:paraId="023B80BE" w16cid:durableId="22E80F5B"/>
  <w16cid:commentId w16cid:paraId="64A27F2D" w16cid:durableId="22E80FD8"/>
  <w16cid:commentId w16cid:paraId="725E8A48" w16cid:durableId="22E80FF5"/>
  <w16cid:commentId w16cid:paraId="7814632E" w16cid:durableId="22E81090"/>
  <w16cid:commentId w16cid:paraId="0EDE59F2" w16cid:durableId="22EA0BCB"/>
  <w16cid:commentId w16cid:paraId="664C3D1B" w16cid:durableId="22EA0C21"/>
  <w16cid:commentId w16cid:paraId="760CF79A" w16cid:durableId="22E92DC5"/>
  <w16cid:commentId w16cid:paraId="11BC476E" w16cid:durableId="22EA0F16"/>
  <w16cid:commentId w16cid:paraId="39C03C8F" w16cid:durableId="22E930EE"/>
  <w16cid:commentId w16cid:paraId="5EDD9FE3" w16cid:durableId="22E93174"/>
  <w16cid:commentId w16cid:paraId="7C8C3782" w16cid:durableId="22E93603"/>
  <w16cid:commentId w16cid:paraId="5FA63117" w16cid:durableId="22E94401"/>
  <w16cid:commentId w16cid:paraId="05638535" w16cid:durableId="22E94499"/>
  <w16cid:commentId w16cid:paraId="4A8A7B36" w16cid:durableId="22E9477B"/>
  <w16cid:commentId w16cid:paraId="46421BD5" w16cid:durableId="22E77C89"/>
  <w16cid:commentId w16cid:paraId="39002642" w16cid:durableId="22E947D4"/>
  <w16cid:commentId w16cid:paraId="1CE41893" w16cid:durableId="22E77C8A"/>
  <w16cid:commentId w16cid:paraId="52D84FD9" w16cid:durableId="22E94E49"/>
  <w16cid:commentId w16cid:paraId="039002BC" w16cid:durableId="22E94E98"/>
  <w16cid:commentId w16cid:paraId="4D3145F6" w16cid:durableId="22E77C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MS Gothic"/>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076003"/>
      <w:docPartObj>
        <w:docPartGallery w:val="Page Numbers (Bottom of Page)"/>
        <w:docPartUnique/>
      </w:docPartObj>
    </w:sdtPr>
    <w:sdtContent>
      <w:p>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t>Directive 2009/147/EC of the European Parliament and of the Council of 30 November 2009 on the conservation of wild birds (OJ L 20, 26.1.2010, p. 7).</w:t>
      </w:r>
    </w:p>
  </w:footnote>
  <w:footnote w:id="2">
    <w:p>
      <w:pPr>
        <w:pStyle w:val="FootnoteText"/>
        <w:ind w:left="284" w:hanging="284"/>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t>Council Directive 92/43/EEC of 21 May 1992 on the conservation of natural habitats and of wild fauna and flora (OJ L 206, 22.7.1992, p. 7).</w:t>
      </w:r>
    </w:p>
  </w:footnote>
  <w:footnote w:id="3">
    <w:p>
      <w:pPr>
        <w:pStyle w:val="FootnoteText"/>
        <w:ind w:left="284" w:hanging="284"/>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t>This report still includes data from the United Kingdom, which left the EU in January 2020. For the first time, it includes data from Croatia, which joined the EU in July 2013. Romania was the only Member State that did not provide a report for birds.</w:t>
      </w:r>
    </w:p>
  </w:footnote>
  <w:footnote w:id="4">
    <w:p>
      <w:pPr>
        <w:pStyle w:val="FootnoteText"/>
        <w:ind w:left="284" w:hanging="284"/>
        <w:rPr>
          <w:rFonts w:ascii="Times New Roman" w:hAnsi="Times New Roman"/>
          <w:sz w:val="20"/>
        </w:rPr>
      </w:pPr>
      <w:r>
        <w:rPr>
          <w:rStyle w:val="FootnoteReference"/>
        </w:rPr>
        <w:t>4</w:t>
      </w:r>
      <w:r>
        <w:rPr>
          <w:rFonts w:ascii="Times New Roman" w:hAnsi="Times New Roman"/>
          <w:sz w:val="20"/>
        </w:rPr>
        <w:t xml:space="preserve"> </w:t>
      </w:r>
      <w:r>
        <w:rPr>
          <w:rFonts w:ascii="Times New Roman" w:hAnsi="Times New Roman"/>
          <w:sz w:val="20"/>
        </w:rPr>
        <w:tab/>
      </w:r>
      <w:r>
        <w:rPr>
          <w:rFonts w:ascii="Times New Roman" w:hAnsi="Times New Roman"/>
          <w:i/>
          <w:sz w:val="20"/>
        </w:rPr>
        <w:t>State of nature in the EU — results from reporting under the nature directives 2013-2018</w:t>
      </w:r>
      <w:r>
        <w:rPr>
          <w:rFonts w:ascii="Times New Roman" w:hAnsi="Times New Roman"/>
          <w:sz w:val="20"/>
        </w:rPr>
        <w:t xml:space="preserve">, European </w:t>
      </w:r>
      <w:r>
        <w:rPr>
          <w:rFonts w:ascii="Times New Roman" w:hAnsi="Times New Roman"/>
          <w:sz w:val="20"/>
        </w:rPr>
        <w:br/>
        <w:t xml:space="preserve">Environmental Agency; available together with additional online materials, including summaries by Member State, at: </w:t>
      </w:r>
      <w:r>
        <w:rPr>
          <w:rFonts w:ascii="Times New Roman" w:hAnsi="Times New Roman"/>
          <w:sz w:val="20"/>
        </w:rPr>
        <w:tab/>
      </w:r>
      <w:r>
        <w:rPr>
          <w:rFonts w:ascii="Times New Roman" w:hAnsi="Times New Roman"/>
          <w:sz w:val="20"/>
        </w:rPr>
        <w:br/>
      </w:r>
      <w:hyperlink r:id="rId1" w:history="1">
        <w:r>
          <w:rPr>
            <w:rStyle w:val="Hyperlink"/>
            <w:rFonts w:ascii="Times New Roman" w:hAnsi="Times New Roman"/>
            <w:sz w:val="20"/>
          </w:rPr>
          <w:t>https://www.eea.europa.eu/themes/biodiversity/state-of-nature-in-the-eu/state-of-nature-2020</w:t>
        </w:r>
      </w:hyperlink>
      <w:r>
        <w:rPr>
          <w:rFonts w:ascii="Times New Roman" w:hAnsi="Times New Roman"/>
          <w:sz w:val="20"/>
        </w:rPr>
        <w:t xml:space="preserve"> </w:t>
      </w:r>
      <w:hyperlink r:id="rId2" w:history="1">
        <w:r>
          <w:rPr>
            <w:rStyle w:val="Hyperlink"/>
            <w:rFonts w:ascii="Times New Roman" w:hAnsi="Times New Roman"/>
            <w:sz w:val="20"/>
          </w:rPr>
          <w:t>https://ec.europa.eu/environment/nature/knowledge/rep_habitats/index_en.htm</w:t>
        </w:r>
      </w:hyperlink>
      <w:r>
        <w:rPr>
          <w:rFonts w:ascii="Times New Roman" w:hAnsi="Times New Roman"/>
          <w:sz w:val="20"/>
        </w:rPr>
        <w:t xml:space="preserve"> </w:t>
      </w:r>
    </w:p>
  </w:footnote>
  <w:footnote w:id="5">
    <w:p>
      <w:pPr>
        <w:pStyle w:val="FootnoteText"/>
        <w:ind w:left="284" w:hanging="284"/>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t>Alpine, Boreal, Mediterranean, Atlantic, Continental, Pannonian, Black Sea, Macaronesian, Steppic.</w:t>
      </w:r>
    </w:p>
  </w:footnote>
  <w:footnote w:id="6">
    <w:p>
      <w:pPr>
        <w:pStyle w:val="FootnoteText"/>
        <w:ind w:left="284" w:hanging="284"/>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t>Atlantic, Baltic, Black Sea, Macaronesian, Mediterranean.</w:t>
      </w:r>
    </w:p>
  </w:footnote>
  <w:footnote w:id="7">
    <w:p>
      <w:pPr>
        <w:pStyle w:val="FootnoteText"/>
        <w:ind w:left="284" w:hanging="284"/>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t>See the EEA report for further details on the assessment methods under the Birds and Habitats Directives.</w:t>
      </w:r>
    </w:p>
  </w:footnote>
  <w:footnote w:id="8">
    <w:p>
      <w:pPr>
        <w:pStyle w:val="FootnoteText"/>
        <w:ind w:left="284" w:hanging="284"/>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r>
      <w:r>
        <w:rPr>
          <w:rFonts w:ascii="Times New Roman" w:hAnsi="Times New Roman"/>
          <w:i/>
          <w:sz w:val="20"/>
        </w:rPr>
        <w:t>State of nature in the EU — results from reporting under the nature directives 2007–2012</w:t>
      </w:r>
      <w:r>
        <w:rPr>
          <w:rFonts w:ascii="Times New Roman" w:hAnsi="Times New Roman"/>
          <w:sz w:val="20"/>
        </w:rPr>
        <w:t>, EEA (2015), Technical report No 2/2015, ISSN 1725-2237, Publications Office of the European Union, 2015.</w:t>
      </w:r>
    </w:p>
  </w:footnote>
  <w:footnote w:id="9">
    <w:p>
      <w:pPr>
        <w:pStyle w:val="FootnoteText"/>
        <w:ind w:left="284" w:hanging="284"/>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t>For details see EEA report;</w:t>
      </w:r>
      <w:r>
        <w:rPr>
          <w:rFonts w:ascii="Times New Roman" w:hAnsi="Times New Roman"/>
          <w:sz w:val="20"/>
        </w:rPr>
        <w:tab/>
      </w:r>
      <w:r>
        <w:rPr>
          <w:rFonts w:ascii="Times New Roman" w:hAnsi="Times New Roman"/>
          <w:sz w:val="20"/>
        </w:rPr>
        <w:br/>
      </w:r>
      <w:hyperlink r:id="rId3" w:history="1">
        <w:r>
          <w:rPr>
            <w:rStyle w:val="Hyperlink"/>
            <w:rFonts w:ascii="Times New Roman" w:hAnsi="Times New Roman"/>
            <w:sz w:val="20"/>
          </w:rPr>
          <w:t>https://www.eea.europa.eu/themes/biodiversity/state-of-nature-in-the-eu/state-of-nature-2020</w:t>
        </w:r>
      </w:hyperlink>
    </w:p>
  </w:footnote>
  <w:footnote w:id="10">
    <w:p>
      <w:pPr>
        <w:pStyle w:val="FootnoteText"/>
        <w:ind w:left="284" w:hanging="284"/>
        <w:rPr>
          <w:rStyle w:val="FootnoteReference"/>
          <w:rFonts w:ascii="Times New Roman" w:hAnsi="Times New Roman"/>
          <w:sz w:val="20"/>
          <w:vertAlign w:val="baseline"/>
        </w:rPr>
      </w:pPr>
      <w:r>
        <w:rPr>
          <w:rStyle w:val="FootnoteReference"/>
          <w:rFonts w:ascii="Times New Roman" w:hAnsi="Times New Roman"/>
          <w:sz w:val="20"/>
        </w:rPr>
        <w:footnoteRef/>
      </w:r>
      <w:r>
        <w:rPr>
          <w:rStyle w:val="FootnoteReference"/>
          <w:rFonts w:ascii="Times New Roman" w:hAnsi="Times New Roman"/>
          <w:sz w:val="20"/>
        </w:rPr>
        <w:t xml:space="preserve"> </w:t>
      </w:r>
      <w:r>
        <w:rPr>
          <w:rFonts w:ascii="Times New Roman" w:hAnsi="Times New Roman"/>
          <w:sz w:val="20"/>
        </w:rPr>
        <w:t xml:space="preserve"> </w:t>
      </w:r>
      <w:r>
        <w:rPr>
          <w:rStyle w:val="FootnoteReference"/>
          <w:rFonts w:ascii="Times New Roman" w:hAnsi="Times New Roman"/>
          <w:sz w:val="20"/>
          <w:vertAlign w:val="baseline"/>
        </w:rPr>
        <w:t>Habitat types of this group include lowland hay meadows (6510) and mountain hay meadows (6520)</w:t>
      </w:r>
    </w:p>
  </w:footnote>
  <w:footnote w:id="11">
    <w:p>
      <w:pPr>
        <w:pStyle w:val="FootnoteText"/>
        <w:ind w:left="284" w:hanging="284"/>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Molinia meadows on calcareous, peaty or clayey-silt-laden soils (Molinion caeruleae) (6410)</w:t>
      </w:r>
    </w:p>
  </w:footnote>
  <w:footnote w:id="12">
    <w:p>
      <w:pPr>
        <w:pStyle w:val="FootnoteText"/>
        <w:ind w:left="284" w:hanging="284"/>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Habitat types of this group include semi-natural dry grasslands and scrubland facies on calcareous substrates (Festuco-Brometalia) (6210) and Nordic alvar and precambrian calcareous flatrocks (6280)</w:t>
      </w:r>
    </w:p>
  </w:footnote>
  <w:footnote w:id="13">
    <w:p>
      <w:pPr>
        <w:pStyle w:val="FootnoteText"/>
        <w:ind w:left="284" w:hanging="284"/>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t xml:space="preserve">Annex II: species requiring designation of SACs (Natura 2000 sites); </w:t>
      </w:r>
      <w:r>
        <w:rPr>
          <w:rFonts w:ascii="Times New Roman" w:hAnsi="Times New Roman"/>
          <w:sz w:val="20"/>
        </w:rPr>
        <w:tab/>
      </w:r>
      <w:r>
        <w:rPr>
          <w:rFonts w:ascii="Times New Roman" w:hAnsi="Times New Roman"/>
          <w:sz w:val="20"/>
        </w:rPr>
        <w:br/>
        <w:t xml:space="preserve">Annex IV: strictly protected species; </w:t>
      </w:r>
      <w:r>
        <w:rPr>
          <w:rFonts w:ascii="Times New Roman" w:hAnsi="Times New Roman"/>
          <w:sz w:val="20"/>
        </w:rPr>
        <w:tab/>
      </w:r>
      <w:r>
        <w:rPr>
          <w:rFonts w:ascii="Times New Roman" w:hAnsi="Times New Roman"/>
          <w:sz w:val="20"/>
        </w:rPr>
        <w:br/>
        <w:t>Annex V: species whose taking in the wild and exploitation may be subject to management measures.</w:t>
      </w:r>
    </w:p>
  </w:footnote>
  <w:footnote w:id="14">
    <w:p>
      <w:pPr>
        <w:pStyle w:val="FootnoteText"/>
        <w:ind w:left="284" w:hanging="284"/>
        <w:rPr>
          <w:rFonts w:ascii="Times New Roman" w:hAnsi="Times New Roman"/>
          <w:sz w:val="20"/>
        </w:rPr>
      </w:pPr>
      <w:r>
        <w:rPr>
          <w:rStyle w:val="FootnoteReference"/>
          <w:sz w:val="20"/>
        </w:rPr>
        <w:footnoteRef/>
      </w:r>
      <w:r>
        <w:rPr>
          <w:sz w:val="20"/>
        </w:rPr>
        <w:t xml:space="preserve"> </w:t>
      </w:r>
      <w:r>
        <w:rPr>
          <w:sz w:val="20"/>
        </w:rPr>
        <w:tab/>
      </w:r>
      <w:r>
        <w:rPr>
          <w:rFonts w:ascii="Times New Roman" w:hAnsi="Times New Roman"/>
          <w:sz w:val="20"/>
        </w:rPr>
        <w:t xml:space="preserve">Communication from the Commission to the European Parliament, the Council, the Economic and Social Committee and the Committee of the Regions, </w:t>
      </w:r>
      <w:r>
        <w:rPr>
          <w:rFonts w:ascii="Times New Roman" w:hAnsi="Times New Roman"/>
          <w:i/>
          <w:sz w:val="20"/>
        </w:rPr>
        <w:t>Our life insurance, our natural capital: an EU biodiversity strategy to 2020</w:t>
      </w:r>
      <w:r>
        <w:rPr>
          <w:rFonts w:ascii="Times New Roman" w:hAnsi="Times New Roman"/>
          <w:sz w:val="20"/>
        </w:rPr>
        <w:t xml:space="preserve"> (COM(2011) 244 final).</w:t>
      </w:r>
    </w:p>
  </w:footnote>
  <w:footnote w:id="15">
    <w:p>
      <w:pPr>
        <w:pStyle w:val="FootnoteText"/>
        <w:ind w:left="284" w:hanging="284"/>
        <w:rPr>
          <w:rFonts w:ascii="Times New Roman" w:hAnsi="Times New Roman"/>
          <w:sz w:val="20"/>
        </w:rPr>
      </w:pPr>
      <w:r>
        <w:rPr>
          <w:rStyle w:val="FootnoteReference"/>
        </w:rPr>
        <w:footnoteRef/>
      </w:r>
      <w:r>
        <w:t xml:space="preserve">   </w:t>
      </w:r>
      <w:r>
        <w:rPr>
          <w:rFonts w:ascii="Times New Roman" w:hAnsi="Times New Roman"/>
          <w:sz w:val="20"/>
        </w:rPr>
        <w:t>covered by the Agreement on the Conservation of African-Eurasian Migratory Waterbirds (AEWA )</w:t>
      </w:r>
    </w:p>
  </w:footnote>
  <w:footnote w:id="16">
    <w:p>
      <w:pPr>
        <w:pStyle w:val="FootnoteText"/>
        <w:ind w:left="284" w:hanging="284"/>
        <w:rPr>
          <w:rFonts w:ascii="Times New Roman" w:hAnsi="Times New Roman"/>
          <w:sz w:val="20"/>
        </w:rPr>
      </w:pPr>
      <w:r>
        <w:rPr>
          <w:rStyle w:val="FootnoteReference"/>
        </w:rPr>
        <w:footnoteRef/>
      </w:r>
      <w:r>
        <w:t xml:space="preserve"> </w:t>
      </w:r>
      <w:r>
        <w:tab/>
      </w:r>
      <w:r>
        <w:rPr>
          <w:rFonts w:ascii="Times New Roman" w:hAnsi="Times New Roman"/>
          <w:sz w:val="20"/>
        </w:rPr>
        <w:t>Halada, L., Evans, D., Romão, C. and Petersen, J. E., 2011, 'Which habitats of European importance depend on agricultural practices?', Biodiversity and Conservation, 20(11) 2 365–2 378.</w:t>
      </w:r>
    </w:p>
  </w:footnote>
  <w:footnote w:id="17">
    <w:p>
      <w:pPr>
        <w:pStyle w:val="NormalWeb"/>
        <w:spacing w:before="0" w:beforeAutospacing="0" w:after="0" w:afterAutospacing="0"/>
        <w:ind w:left="284" w:hanging="284"/>
        <w:jc w:val="both"/>
        <w:rPr>
          <w:sz w:val="20"/>
        </w:rPr>
      </w:pPr>
      <w:r>
        <w:rPr>
          <w:rStyle w:val="FootnoteReference"/>
          <w:sz w:val="20"/>
          <w:szCs w:val="20"/>
        </w:rPr>
        <w:footnoteRef/>
      </w:r>
      <w:r>
        <w:rPr>
          <w:sz w:val="20"/>
          <w:szCs w:val="20"/>
        </w:rPr>
        <w:t xml:space="preserve"> </w:t>
      </w:r>
      <w:r>
        <w:rPr>
          <w:sz w:val="20"/>
          <w:szCs w:val="20"/>
        </w:rPr>
        <w:tab/>
        <w:t xml:space="preserve">Hirschfeld, A. </w:t>
      </w:r>
      <w:r>
        <w:rPr>
          <w:i/>
          <w:sz w:val="20"/>
          <w:szCs w:val="20"/>
        </w:rPr>
        <w:t>et al.</w:t>
      </w:r>
      <w:r>
        <w:rPr>
          <w:sz w:val="20"/>
          <w:szCs w:val="20"/>
        </w:rPr>
        <w:t>, 2019, ‘Bird</w:t>
      </w:r>
      <w:r>
        <w:rPr>
          <w:sz w:val="20"/>
          <w:szCs w:val="20"/>
        </w:rPr>
        <w:noBreakHyphen/>
        <w:t xml:space="preserve">hunting in Europe: an analysis of bag figures and the potential impact on the conservation of threatened species’, </w:t>
      </w:r>
      <w:r>
        <w:rPr>
          <w:i/>
          <w:sz w:val="20"/>
          <w:szCs w:val="20"/>
        </w:rPr>
        <w:t>British Birds:</w:t>
      </w:r>
      <w:r>
        <w:rPr>
          <w:sz w:val="20"/>
          <w:szCs w:val="20"/>
        </w:rPr>
        <w:t xml:space="preserve"> 153-166.</w:t>
      </w:r>
    </w:p>
  </w:footnote>
  <w:footnote w:id="18">
    <w:p>
      <w:pPr>
        <w:pStyle w:val="FootnoteText"/>
        <w:ind w:left="284" w:hanging="284"/>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t>The Habitats Directive hardly covers marine fish (limited to several species of anadromous fish).</w:t>
      </w:r>
    </w:p>
  </w:footnote>
  <w:footnote w:id="19">
    <w:p>
      <w:pPr>
        <w:pStyle w:val="FootnoteText"/>
        <w:ind w:left="284" w:hanging="284"/>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t>Regulation (EU) No 1143/2014 on the prevention and management of the introduction and spread of invasive alien species contains a list of IAS of Union concern (OJ L 317, 4.11.2014, p. 35).</w:t>
      </w:r>
    </w:p>
  </w:footnote>
  <w:footnote w:id="20">
    <w:p>
      <w:pPr>
        <w:pStyle w:val="FootnoteText"/>
        <w:ind w:left="284" w:hanging="284"/>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t xml:space="preserve">See for example: IPBES (2018), </w:t>
      </w:r>
      <w:r>
        <w:rPr>
          <w:rFonts w:ascii="Times New Roman" w:hAnsi="Times New Roman"/>
          <w:i/>
          <w:sz w:val="20"/>
        </w:rPr>
        <w:t>The IPBES regional assessment report on biodiversity and ecosystem services for Europe and Central Asia</w:t>
      </w:r>
      <w:r>
        <w:rPr>
          <w:rFonts w:ascii="Times New Roman" w:hAnsi="Times New Roman"/>
          <w:sz w:val="20"/>
        </w:rPr>
        <w:t xml:space="preserve">, Rounsevell, M. </w:t>
      </w:r>
      <w:r>
        <w:rPr>
          <w:rFonts w:ascii="Times New Roman" w:hAnsi="Times New Roman"/>
          <w:i/>
          <w:sz w:val="20"/>
        </w:rPr>
        <w:t>et al.</w:t>
      </w:r>
      <w:r>
        <w:rPr>
          <w:rFonts w:ascii="Times New Roman" w:hAnsi="Times New Roman"/>
          <w:sz w:val="20"/>
        </w:rPr>
        <w:t xml:space="preserve"> Secretariat of the Intergovernmental Science</w:t>
      </w:r>
      <w:r>
        <w:rPr>
          <w:rFonts w:ascii="Times New Roman" w:hAnsi="Times New Roman"/>
          <w:sz w:val="20"/>
        </w:rPr>
        <w:noBreakHyphen/>
        <w:t>Policy Platform on Biodiversity and Ecosystem Services, Bonn, Germany. 892 pages.</w:t>
      </w:r>
    </w:p>
  </w:footnote>
  <w:footnote w:id="21">
    <w:p>
      <w:pPr>
        <w:pStyle w:val="FootnoteText"/>
        <w:ind w:left="284" w:hanging="284"/>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t>Calculations of restoration needs exclude the UK.</w:t>
      </w:r>
    </w:p>
  </w:footnote>
  <w:footnote w:id="22">
    <w:p>
      <w:pPr>
        <w:pStyle w:val="FootnoteText"/>
        <w:ind w:left="284" w:hanging="284"/>
        <w:rPr>
          <w:rFonts w:ascii="Times New Roman" w:eastAsia="Times New Roman" w:hAnsi="Times New Roman"/>
          <w:iCs w:val="0"/>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r>
      <w:r>
        <w:rPr>
          <w:rFonts w:ascii="Times New Roman" w:eastAsia="Times New Roman" w:hAnsi="Times New Roman"/>
          <w:iCs w:val="0"/>
          <w:sz w:val="20"/>
        </w:rPr>
        <w:t>Under the Habitats Directive, Member States propose ‘sites of Community importance’ (SCIs) that the Commission then includes in biogeographical lists. Member States then have 6 years to designate the SCIs as SACs.</w:t>
      </w:r>
    </w:p>
  </w:footnote>
  <w:footnote w:id="23">
    <w:p>
      <w:pPr>
        <w:pStyle w:val="FootnoteText"/>
        <w:ind w:left="284" w:hanging="284"/>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t>These are the figures for the marine areas within 200 nautical miles of the coastline; they do not include Natura 2000 sites on the extended continental shelf (relevant for Ireland, Portugal and the UK).</w:t>
      </w:r>
    </w:p>
  </w:footnote>
  <w:footnote w:id="24">
    <w:p>
      <w:pPr>
        <w:pStyle w:val="FootnoteText"/>
        <w:ind w:left="284" w:hanging="284"/>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r>
      <w:hyperlink r:id="rId4" w:history="1">
        <w:r>
          <w:rPr>
            <w:rStyle w:val="Hyperlink"/>
            <w:rFonts w:ascii="Times New Roman" w:hAnsi="Times New Roman"/>
            <w:sz w:val="20"/>
          </w:rPr>
          <w:t>https://ec.europa.eu/easme/en/life</w:t>
        </w:r>
      </w:hyperlink>
      <w:r>
        <w:rPr>
          <w:rFonts w:ascii="Times New Roman" w:hAnsi="Times New Roman"/>
          <w:sz w:val="20"/>
        </w:rPr>
        <w:t xml:space="preserve"> </w:t>
      </w:r>
    </w:p>
  </w:footnote>
  <w:footnote w:id="25">
    <w:p>
      <w:pPr>
        <w:pStyle w:val="FootnoteText"/>
        <w:ind w:left="284" w:hanging="284"/>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t xml:space="preserve">Communication from the Commission to the European Parliament, the Council, the European Economic and Social Committee and the Committee of the Regions, </w:t>
      </w:r>
      <w:r>
        <w:rPr>
          <w:rFonts w:ascii="Times New Roman" w:hAnsi="Times New Roman"/>
          <w:i/>
          <w:sz w:val="20"/>
        </w:rPr>
        <w:t>EU biodiversity strategy for 2030 — bringing nature back into our lives</w:t>
      </w:r>
      <w:r>
        <w:rPr>
          <w:rFonts w:ascii="Times New Roman" w:hAnsi="Times New Roman"/>
          <w:sz w:val="20"/>
        </w:rPr>
        <w:t xml:space="preserve"> (COM/2020/380 final);</w:t>
      </w:r>
      <w:r>
        <w:rPr>
          <w:rFonts w:ascii="Times New Roman" w:hAnsi="Times New Roman"/>
          <w:sz w:val="20"/>
        </w:rPr>
        <w:tab/>
      </w:r>
      <w:r>
        <w:rPr>
          <w:rFonts w:ascii="Times New Roman" w:hAnsi="Times New Roman"/>
          <w:sz w:val="20"/>
        </w:rPr>
        <w:br/>
      </w:r>
      <w:hyperlink r:id="rId5" w:history="1">
        <w:r>
          <w:rPr>
            <w:rStyle w:val="Hyperlink"/>
            <w:rFonts w:ascii="Times New Roman" w:hAnsi="Times New Roman"/>
            <w:sz w:val="20"/>
          </w:rPr>
          <w:t>https://eur-lex.europa.eu/legal-content/EN/TXT/?uri=CELEX:52020DC0380</w:t>
        </w:r>
      </w:hyperlink>
    </w:p>
  </w:footnote>
  <w:footnote w:id="26">
    <w:p>
      <w:pPr>
        <w:pStyle w:val="FootnoteText"/>
        <w:ind w:left="284" w:hanging="284"/>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t xml:space="preserve">Communication from the Commission to the European Parliament, the Council, the European Economic and Social Committee and the Committee of the Regions, </w:t>
      </w:r>
      <w:r>
        <w:rPr>
          <w:rFonts w:ascii="Times New Roman" w:hAnsi="Times New Roman"/>
          <w:i/>
          <w:sz w:val="20"/>
        </w:rPr>
        <w:t>A ‘farm to fork’ strategy for a fair, healthy and environmentally-friendly food system</w:t>
      </w:r>
      <w:r>
        <w:rPr>
          <w:rFonts w:ascii="Times New Roman" w:hAnsi="Times New Roman"/>
          <w:sz w:val="20"/>
        </w:rPr>
        <w:t>, (COM/2020/381 final);</w:t>
      </w:r>
      <w:r>
        <w:rPr>
          <w:rFonts w:ascii="Times New Roman" w:hAnsi="Times New Roman"/>
          <w:sz w:val="20"/>
        </w:rPr>
        <w:tab/>
      </w:r>
      <w:r>
        <w:rPr>
          <w:rFonts w:ascii="Times New Roman" w:hAnsi="Times New Roman"/>
          <w:sz w:val="20"/>
        </w:rPr>
        <w:br/>
      </w:r>
      <w:hyperlink r:id="rId6" w:history="1">
        <w:r>
          <w:rPr>
            <w:rStyle w:val="Hyperlink"/>
            <w:rFonts w:ascii="Times New Roman" w:hAnsi="Times New Roman"/>
            <w:sz w:val="20"/>
          </w:rPr>
          <w:t>https://eur-lex.europa.eu/legal-content/EN/TXT/?uri=CELEX:52020DC0381</w:t>
        </w:r>
      </w:hyperlink>
      <w:r>
        <w:rPr>
          <w:rFonts w:ascii="Times New Roman" w:hAnsi="Times New Roman"/>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B71"/>
    <w:multiLevelType w:val="hybridMultilevel"/>
    <w:tmpl w:val="93882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B13E82"/>
    <w:multiLevelType w:val="multilevel"/>
    <w:tmpl w:val="4F2E0D4E"/>
    <w:lvl w:ilvl="0">
      <w:start w:val="1"/>
      <w:numFmt w:val="decimal"/>
      <w:pStyle w:val="Style2-Annex"/>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2EAE7260"/>
    <w:multiLevelType w:val="hybridMultilevel"/>
    <w:tmpl w:val="4DE8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590BE7"/>
    <w:multiLevelType w:val="hybridMultilevel"/>
    <w:tmpl w:val="43E6482E"/>
    <w:lvl w:ilvl="0" w:tplc="9CE0CE52">
      <w:start w:val="1"/>
      <w:numFmt w:val="bullet"/>
      <w:pStyle w:val="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920882"/>
    <w:multiLevelType w:val="hybridMultilevel"/>
    <w:tmpl w:val="30D6C6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DC22BE"/>
    <w:multiLevelType w:val="hybridMultilevel"/>
    <w:tmpl w:val="CCAA494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6">
    <w:nsid w:val="3EF57FC0"/>
    <w:multiLevelType w:val="hybridMultilevel"/>
    <w:tmpl w:val="81CE2F44"/>
    <w:lvl w:ilvl="0" w:tplc="08090001">
      <w:start w:val="1"/>
      <w:numFmt w:val="bullet"/>
      <w:lvlText w:val=""/>
      <w:lvlJc w:val="left"/>
      <w:pPr>
        <w:tabs>
          <w:tab w:val="num" w:pos="720"/>
        </w:tabs>
        <w:ind w:left="720" w:hanging="360"/>
      </w:pPr>
      <w:rPr>
        <w:rFonts w:ascii="Symbol" w:hAnsi="Symbol" w:hint="default"/>
      </w:rPr>
    </w:lvl>
    <w:lvl w:ilvl="1" w:tplc="B62897E2">
      <w:start w:val="146"/>
      <w:numFmt w:val="bullet"/>
      <w:lvlText w:val="•"/>
      <w:lvlJc w:val="left"/>
      <w:pPr>
        <w:tabs>
          <w:tab w:val="num" w:pos="1440"/>
        </w:tabs>
        <w:ind w:left="1440" w:hanging="360"/>
      </w:pPr>
      <w:rPr>
        <w:rFonts w:ascii="Times New Roman" w:hAnsi="Times New Roman" w:hint="default"/>
      </w:rPr>
    </w:lvl>
    <w:lvl w:ilvl="2" w:tplc="3BEAF2B0" w:tentative="1">
      <w:start w:val="1"/>
      <w:numFmt w:val="bullet"/>
      <w:lvlText w:val="•"/>
      <w:lvlJc w:val="left"/>
      <w:pPr>
        <w:tabs>
          <w:tab w:val="num" w:pos="2160"/>
        </w:tabs>
        <w:ind w:left="2160" w:hanging="360"/>
      </w:pPr>
      <w:rPr>
        <w:rFonts w:ascii="Arial" w:hAnsi="Arial" w:hint="default"/>
      </w:rPr>
    </w:lvl>
    <w:lvl w:ilvl="3" w:tplc="C9125EF8" w:tentative="1">
      <w:start w:val="1"/>
      <w:numFmt w:val="bullet"/>
      <w:lvlText w:val="•"/>
      <w:lvlJc w:val="left"/>
      <w:pPr>
        <w:tabs>
          <w:tab w:val="num" w:pos="2880"/>
        </w:tabs>
        <w:ind w:left="2880" w:hanging="360"/>
      </w:pPr>
      <w:rPr>
        <w:rFonts w:ascii="Arial" w:hAnsi="Arial" w:hint="default"/>
      </w:rPr>
    </w:lvl>
    <w:lvl w:ilvl="4" w:tplc="A972FFAA" w:tentative="1">
      <w:start w:val="1"/>
      <w:numFmt w:val="bullet"/>
      <w:lvlText w:val="•"/>
      <w:lvlJc w:val="left"/>
      <w:pPr>
        <w:tabs>
          <w:tab w:val="num" w:pos="3600"/>
        </w:tabs>
        <w:ind w:left="3600" w:hanging="360"/>
      </w:pPr>
      <w:rPr>
        <w:rFonts w:ascii="Arial" w:hAnsi="Arial" w:hint="default"/>
      </w:rPr>
    </w:lvl>
    <w:lvl w:ilvl="5" w:tplc="B4026304" w:tentative="1">
      <w:start w:val="1"/>
      <w:numFmt w:val="bullet"/>
      <w:lvlText w:val="•"/>
      <w:lvlJc w:val="left"/>
      <w:pPr>
        <w:tabs>
          <w:tab w:val="num" w:pos="4320"/>
        </w:tabs>
        <w:ind w:left="4320" w:hanging="360"/>
      </w:pPr>
      <w:rPr>
        <w:rFonts w:ascii="Arial" w:hAnsi="Arial" w:hint="default"/>
      </w:rPr>
    </w:lvl>
    <w:lvl w:ilvl="6" w:tplc="0EDA22A2" w:tentative="1">
      <w:start w:val="1"/>
      <w:numFmt w:val="bullet"/>
      <w:lvlText w:val="•"/>
      <w:lvlJc w:val="left"/>
      <w:pPr>
        <w:tabs>
          <w:tab w:val="num" w:pos="5040"/>
        </w:tabs>
        <w:ind w:left="5040" w:hanging="360"/>
      </w:pPr>
      <w:rPr>
        <w:rFonts w:ascii="Arial" w:hAnsi="Arial" w:hint="default"/>
      </w:rPr>
    </w:lvl>
    <w:lvl w:ilvl="7" w:tplc="1C2C3088" w:tentative="1">
      <w:start w:val="1"/>
      <w:numFmt w:val="bullet"/>
      <w:lvlText w:val="•"/>
      <w:lvlJc w:val="left"/>
      <w:pPr>
        <w:tabs>
          <w:tab w:val="num" w:pos="5760"/>
        </w:tabs>
        <w:ind w:left="5760" w:hanging="360"/>
      </w:pPr>
      <w:rPr>
        <w:rFonts w:ascii="Arial" w:hAnsi="Arial" w:hint="default"/>
      </w:rPr>
    </w:lvl>
    <w:lvl w:ilvl="8" w:tplc="299CBF9C" w:tentative="1">
      <w:start w:val="1"/>
      <w:numFmt w:val="bullet"/>
      <w:lvlText w:val="•"/>
      <w:lvlJc w:val="left"/>
      <w:pPr>
        <w:tabs>
          <w:tab w:val="num" w:pos="6480"/>
        </w:tabs>
        <w:ind w:left="6480" w:hanging="360"/>
      </w:pPr>
      <w:rPr>
        <w:rFonts w:ascii="Arial" w:hAnsi="Arial" w:hint="default"/>
      </w:rPr>
    </w:lvl>
  </w:abstractNum>
  <w:abstractNum w:abstractNumId="7">
    <w:nsid w:val="4ECF2223"/>
    <w:multiLevelType w:val="hybridMultilevel"/>
    <w:tmpl w:val="EF808130"/>
    <w:lvl w:ilvl="0" w:tplc="08090001">
      <w:start w:val="1"/>
      <w:numFmt w:val="bullet"/>
      <w:lvlText w:val=""/>
      <w:lvlJc w:val="left"/>
      <w:pPr>
        <w:tabs>
          <w:tab w:val="num" w:pos="720"/>
        </w:tabs>
        <w:ind w:left="720" w:hanging="360"/>
      </w:pPr>
      <w:rPr>
        <w:rFonts w:ascii="Symbol" w:hAnsi="Symbol" w:hint="default"/>
      </w:rPr>
    </w:lvl>
    <w:lvl w:ilvl="1" w:tplc="27008BF0" w:tentative="1">
      <w:start w:val="1"/>
      <w:numFmt w:val="bullet"/>
      <w:lvlText w:val="•"/>
      <w:lvlJc w:val="left"/>
      <w:pPr>
        <w:tabs>
          <w:tab w:val="num" w:pos="1440"/>
        </w:tabs>
        <w:ind w:left="1440" w:hanging="360"/>
      </w:pPr>
      <w:rPr>
        <w:rFonts w:ascii="Arial" w:hAnsi="Arial" w:hint="default"/>
      </w:rPr>
    </w:lvl>
    <w:lvl w:ilvl="2" w:tplc="0C5A5742" w:tentative="1">
      <w:start w:val="1"/>
      <w:numFmt w:val="bullet"/>
      <w:lvlText w:val="•"/>
      <w:lvlJc w:val="left"/>
      <w:pPr>
        <w:tabs>
          <w:tab w:val="num" w:pos="2160"/>
        </w:tabs>
        <w:ind w:left="2160" w:hanging="360"/>
      </w:pPr>
      <w:rPr>
        <w:rFonts w:ascii="Arial" w:hAnsi="Arial" w:hint="default"/>
      </w:rPr>
    </w:lvl>
    <w:lvl w:ilvl="3" w:tplc="D354CFBA" w:tentative="1">
      <w:start w:val="1"/>
      <w:numFmt w:val="bullet"/>
      <w:lvlText w:val="•"/>
      <w:lvlJc w:val="left"/>
      <w:pPr>
        <w:tabs>
          <w:tab w:val="num" w:pos="2880"/>
        </w:tabs>
        <w:ind w:left="2880" w:hanging="360"/>
      </w:pPr>
      <w:rPr>
        <w:rFonts w:ascii="Arial" w:hAnsi="Arial" w:hint="default"/>
      </w:rPr>
    </w:lvl>
    <w:lvl w:ilvl="4" w:tplc="BABC4F78" w:tentative="1">
      <w:start w:val="1"/>
      <w:numFmt w:val="bullet"/>
      <w:lvlText w:val="•"/>
      <w:lvlJc w:val="left"/>
      <w:pPr>
        <w:tabs>
          <w:tab w:val="num" w:pos="3600"/>
        </w:tabs>
        <w:ind w:left="3600" w:hanging="360"/>
      </w:pPr>
      <w:rPr>
        <w:rFonts w:ascii="Arial" w:hAnsi="Arial" w:hint="default"/>
      </w:rPr>
    </w:lvl>
    <w:lvl w:ilvl="5" w:tplc="20BAEC22" w:tentative="1">
      <w:start w:val="1"/>
      <w:numFmt w:val="bullet"/>
      <w:lvlText w:val="•"/>
      <w:lvlJc w:val="left"/>
      <w:pPr>
        <w:tabs>
          <w:tab w:val="num" w:pos="4320"/>
        </w:tabs>
        <w:ind w:left="4320" w:hanging="360"/>
      </w:pPr>
      <w:rPr>
        <w:rFonts w:ascii="Arial" w:hAnsi="Arial" w:hint="default"/>
      </w:rPr>
    </w:lvl>
    <w:lvl w:ilvl="6" w:tplc="713A1B7E" w:tentative="1">
      <w:start w:val="1"/>
      <w:numFmt w:val="bullet"/>
      <w:lvlText w:val="•"/>
      <w:lvlJc w:val="left"/>
      <w:pPr>
        <w:tabs>
          <w:tab w:val="num" w:pos="5040"/>
        </w:tabs>
        <w:ind w:left="5040" w:hanging="360"/>
      </w:pPr>
      <w:rPr>
        <w:rFonts w:ascii="Arial" w:hAnsi="Arial" w:hint="default"/>
      </w:rPr>
    </w:lvl>
    <w:lvl w:ilvl="7" w:tplc="0E040F96" w:tentative="1">
      <w:start w:val="1"/>
      <w:numFmt w:val="bullet"/>
      <w:lvlText w:val="•"/>
      <w:lvlJc w:val="left"/>
      <w:pPr>
        <w:tabs>
          <w:tab w:val="num" w:pos="5760"/>
        </w:tabs>
        <w:ind w:left="5760" w:hanging="360"/>
      </w:pPr>
      <w:rPr>
        <w:rFonts w:ascii="Arial" w:hAnsi="Arial" w:hint="default"/>
      </w:rPr>
    </w:lvl>
    <w:lvl w:ilvl="8" w:tplc="61684B6E" w:tentative="1">
      <w:start w:val="1"/>
      <w:numFmt w:val="bullet"/>
      <w:lvlText w:val="•"/>
      <w:lvlJc w:val="left"/>
      <w:pPr>
        <w:tabs>
          <w:tab w:val="num" w:pos="6480"/>
        </w:tabs>
        <w:ind w:left="6480" w:hanging="360"/>
      </w:pPr>
      <w:rPr>
        <w:rFonts w:ascii="Arial" w:hAnsi="Arial" w:hint="default"/>
      </w:rPr>
    </w:lvl>
  </w:abstractNum>
  <w:abstractNum w:abstractNumId="8">
    <w:nsid w:val="60097414"/>
    <w:multiLevelType w:val="hybridMultilevel"/>
    <w:tmpl w:val="0546C3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BE920D4"/>
    <w:multiLevelType w:val="hybridMultilevel"/>
    <w:tmpl w:val="052A86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900560C"/>
    <w:multiLevelType w:val="hybridMultilevel"/>
    <w:tmpl w:val="B88A0204"/>
    <w:lvl w:ilvl="0" w:tplc="08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8"/>
  </w:num>
  <w:num w:numId="5">
    <w:abstractNumId w:val="7"/>
  </w:num>
  <w:num w:numId="6">
    <w:abstractNumId w:val="4"/>
  </w:num>
  <w:num w:numId="7">
    <w:abstractNumId w:val="3"/>
  </w:num>
  <w:num w:numId="8">
    <w:abstractNumId w:val="2"/>
  </w:num>
  <w:num w:numId="9">
    <w:abstractNumId w:val="10"/>
  </w:num>
  <w:num w:numId="10">
    <w:abstractNumId w:val="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FD7A2DC-D9D0-4BBC-8B2D-CEC8C3E7CD63"/>
    <w:docVar w:name="LW_COVERPAGE_TYPE" w:val="1"/>
    <w:docVar w:name="LW_CROSSREFERENCE" w:val="&lt;UNUSED&gt;"/>
    <w:docVar w:name="LW_DocType" w:val="NORMAL"/>
    <w:docVar w:name="LW_EMISSION" w:val="15.10.2020"/>
    <w:docVar w:name="LW_EMISSION_ISODATE" w:val="2020-10-15"/>
    <w:docVar w:name="LW_EMISSION_LOCATION" w:val="BRX"/>
    <w:docVar w:name="LW_EMISSION_PREFIX" w:val="Brussels, "/>
    <w:docVar w:name="LW_EMISSION_SUFFIX" w:val=" "/>
    <w:docVar w:name="LW_ID_DOCTYPE_NONLW" w:val="CP-007"/>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20) 6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The state of nature in the European Union _x000b__x000b_Report on the status and trends in 2013 - 2018 of species and habitat types protected by the Birds and Habitats Directives&lt;FMT:Font=Calibri&gt;_x000d_&lt;/FMT&gt;_x000b_"/>
    <w:docVar w:name="LW_TYPE.DOC.CP" w:val="REPORT FROM THE COMMISSION TO THE EUROPEAN PARLIAMENT, THE COUNCIL AND THE EUROPEAN ECONOMIC AND SOCIAL COMMITTEE"/>
    <w:docVar w:name="Stamp" w:val="\\dossiers.dgt.cec.eu.int\dossiers\ENV\ENV-2020-01276\ENV-2020-01276-00-00-EN-EDT-00.20200814150325524594.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120" w:after="120" w:line="240" w:lineRule="auto"/>
      <w:ind w:left="720" w:hanging="720"/>
      <w:jc w:val="both"/>
      <w:outlineLvl w:val="2"/>
    </w:pPr>
    <w:rPr>
      <w:rFonts w:eastAsia="ヒラギノ角ゴ Pro W3" w:cstheme="majorBidi"/>
      <w:b/>
      <w:i/>
      <w:iCs/>
      <w:color w:val="17365D"/>
      <w:sz w:val="24"/>
      <w:szCs w:val="24"/>
    </w:rPr>
  </w:style>
  <w:style w:type="paragraph" w:styleId="Heading8">
    <w:name w:val="heading 8"/>
    <w:basedOn w:val="Normal"/>
    <w:next w:val="Normal"/>
    <w:link w:val="Heading8Char"/>
    <w:uiPriority w:val="9"/>
    <w:semiHidden/>
    <w:unhideWhenUsed/>
    <w:qFormat/>
    <w:pPr>
      <w:keepNext/>
      <w:keepLines/>
      <w:spacing w:before="40" w:after="0" w:line="240" w:lineRule="auto"/>
      <w:ind w:left="1440" w:hanging="1440"/>
      <w:jc w:val="both"/>
      <w:outlineLvl w:val="7"/>
    </w:pPr>
    <w:rPr>
      <w:rFonts w:asciiTheme="majorHAnsi" w:eastAsiaTheme="majorEastAsia" w:hAnsiTheme="majorHAnsi" w:cstheme="majorBidi"/>
      <w:iCs/>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spacing w:before="40" w:after="0" w:line="240" w:lineRule="auto"/>
      <w:ind w:left="1584" w:hanging="1584"/>
      <w:jc w:val="both"/>
      <w:outlineLvl w:val="8"/>
    </w:pPr>
    <w:rPr>
      <w:rFonts w:asciiTheme="majorHAnsi" w:eastAsiaTheme="majorEastAsia" w:hAnsiTheme="majorHAnsi" w:cstheme="majorBidi"/>
      <w: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e de liste 2,Reference list,Bullet List Paragraph,List Paragraph1,Numbered Para 1,Dot pt,No Spacing1,List Paragraph Char Char Char,Indicator Text,Bullet 1,Bullet Points,MAIN CONTENT,List Paragraph12,F5 List Paragraph,Heading 2_sj"/>
    <w:basedOn w:val="Normal"/>
    <w:link w:val="ListParagraphChar"/>
    <w:uiPriority w:val="34"/>
    <w:qFormat/>
    <w:pPr>
      <w:ind w:left="720"/>
      <w:contextualSpacing/>
    </w:pPr>
  </w:style>
  <w:style w:type="table" w:styleId="TableGrid">
    <w:name w:val="Table Grid"/>
    <w:aliases w:val="Table Format 1,HTG"/>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Table legend,Tab_Überschrift,Figure reference,Char Char,Char Char Char,Caption1 Char Char Char Char Char Char Char Char Tegn Tegn Tegn Tegn Tegn,Caption1 Char Char Char Char Char Char Char Char Tegn Tegn Tegn,F10 Table Figure and Chart Tit"/>
    <w:basedOn w:val="Normal"/>
    <w:next w:val="Normal"/>
    <w:link w:val="CaptionChar"/>
    <w:autoRedefine/>
    <w:unhideWhenUsed/>
    <w:qFormat/>
    <w:pPr>
      <w:keepNext/>
      <w:framePr w:hSpace="141" w:wrap="around" w:vAnchor="text" w:hAnchor="margin" w:y="179"/>
      <w:spacing w:after="120" w:line="240" w:lineRule="auto"/>
      <w:jc w:val="center"/>
    </w:pPr>
    <w:rPr>
      <w:rFonts w:ascii="Times New Roman" w:eastAsia="ヒラギノ角ゴ Pro W3" w:hAnsi="Times New Roman" w:cs="Times New Roman"/>
      <w:b/>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CaptionChar">
    <w:name w:val="Caption Char"/>
    <w:aliases w:val="Table legend Char,Tab_Überschrift Char,Figure reference Char,Char Char Char1,Char Char Char Char,Caption1 Char Char Char Char Char Char Char Char Tegn Tegn Tegn Tegn Tegn Char,F10 Table Figure and Chart Tit Char"/>
    <w:basedOn w:val="DefaultParagraphFont"/>
    <w:link w:val="Caption"/>
    <w:locked/>
    <w:rPr>
      <w:rFonts w:ascii="Times New Roman" w:eastAsia="ヒラギノ角ゴ Pro W3" w:hAnsi="Times New Roman" w:cs="Times New Roman"/>
      <w:b/>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pPr>
      <w:spacing w:before="360" w:after="360" w:line="240" w:lineRule="auto"/>
      <w:ind w:left="360"/>
      <w:jc w:val="both"/>
    </w:pPr>
    <w:rPr>
      <w:rFonts w:asciiTheme="minorHAnsi" w:eastAsia="ヒラギノ角ゴ Pro W3" w:hAnsiTheme="minorHAnsi" w:cs="Times New Roman"/>
      <w:b/>
      <w:iCs/>
      <w:color w:val="17365D"/>
      <w:sz w:val="24"/>
      <w:szCs w:val="24"/>
    </w:rPr>
  </w:style>
  <w:style w:type="paragraph" w:customStyle="1" w:styleId="Style2-Annex">
    <w:name w:val="Style2 - Annex"/>
    <w:basedOn w:val="Heading2"/>
    <w:next w:val="Normal"/>
    <w:qFormat/>
    <w:pPr>
      <w:numPr>
        <w:numId w:val="2"/>
      </w:numPr>
      <w:spacing w:before="240" w:after="240" w:line="240" w:lineRule="auto"/>
      <w:ind w:left="1440" w:hanging="360"/>
      <w:jc w:val="both"/>
    </w:pPr>
    <w:rPr>
      <w:rFonts w:asciiTheme="minorHAnsi" w:eastAsia="ヒラギノ角ゴ Pro W3" w:hAnsiTheme="minorHAnsi"/>
      <w:b/>
      <w:iCs/>
      <w:color w:val="17365D"/>
      <w:sz w:val="2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Paragraphe de liste 2 Char,Reference list Char,Bullet List Paragraph Char,List Paragraph1 Char,Numbered Para 1 Char,Dot pt Char,No Spacing1 Char,List Paragraph Char Char Char Char,Indicator Text Char,Bullet 1 Char,Bullet Points Char"/>
    <w:basedOn w:val="DefaultParagraphFont"/>
    <w:link w:val="ListParagraph"/>
    <w:uiPriority w:val="34"/>
    <w:qFormat/>
    <w:locked/>
  </w:style>
  <w:style w:type="character" w:customStyle="1" w:styleId="Heading3Char">
    <w:name w:val="Heading 3 Char"/>
    <w:basedOn w:val="DefaultParagraphFont"/>
    <w:link w:val="Heading3"/>
    <w:uiPriority w:val="9"/>
    <w:rPr>
      <w:rFonts w:eastAsia="ヒラギノ角ゴ Pro W3" w:cstheme="majorBidi"/>
      <w:b/>
      <w:i/>
      <w:iCs/>
      <w:color w:val="17365D"/>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Cs/>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color w:val="272727" w:themeColor="text1" w:themeTint="D8"/>
      <w:sz w:val="21"/>
      <w:szCs w:val="21"/>
    </w:rPr>
  </w:style>
  <w:style w:type="paragraph" w:styleId="FootnoteText">
    <w:name w:val="footnote text"/>
    <w:basedOn w:val="Normal"/>
    <w:uiPriority w:val="99"/>
    <w:unhideWhenUsed/>
    <w:pPr>
      <w:spacing w:after="0" w:line="240" w:lineRule="auto"/>
      <w:jc w:val="both"/>
    </w:pPr>
    <w:rPr>
      <w:rFonts w:eastAsia="ヒラギノ角ゴ Pro W3" w:cs="Times New Roman"/>
      <w:iCs/>
      <w:szCs w:val="20"/>
    </w:rPr>
  </w:style>
  <w:style w:type="character" w:customStyle="1" w:styleId="FootnoteTextChar">
    <w:name w:val="Footnote Text Char"/>
    <w:basedOn w:val="DefaultParagraphFont"/>
    <w:uiPriority w:val="99"/>
    <w:rPr>
      <w:rFonts w:eastAsia="ヒラギノ角ゴ Pro W3" w:cs="Times New Roman"/>
      <w:iCs/>
      <w:szCs w:val="20"/>
    </w:rPr>
  </w:style>
  <w:style w:type="character" w:styleId="FootnoteReference">
    <w:name w:val="footnote reference"/>
    <w:basedOn w:val="DefaultParagraphFont"/>
    <w:uiPriority w:val="99"/>
    <w:unhideWhenUsed/>
    <w:rPr>
      <w:vertAlign w:val="superscript"/>
    </w:rPr>
  </w:style>
  <w:style w:type="table" w:customStyle="1" w:styleId="HTG1">
    <w:name w:val="HTG1"/>
    <w:basedOn w:val="TableNormal"/>
    <w:next w:val="TableGrid"/>
    <w:uiPriority w:val="59"/>
    <w:pPr>
      <w:spacing w:after="0" w:line="240" w:lineRule="auto"/>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HTG2">
    <w:name w:val="HTG2"/>
    <w:basedOn w:val="TableNormal"/>
    <w:next w:val="TableGrid"/>
    <w:uiPriority w:val="59"/>
    <w:pPr>
      <w:spacing w:after="0" w:line="240" w:lineRule="auto"/>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G3">
    <w:name w:val="HTG3"/>
    <w:basedOn w:val="TableNormal"/>
    <w:next w:val="TableGrid"/>
    <w:uiPriority w:val="59"/>
    <w:pPr>
      <w:spacing w:after="0" w:line="240" w:lineRule="auto"/>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G4">
    <w:name w:val="HTG4"/>
    <w:basedOn w:val="TableNormal"/>
    <w:next w:val="TableGrid"/>
    <w:uiPriority w:val="59"/>
    <w:pPr>
      <w:spacing w:after="0" w:line="240" w:lineRule="auto"/>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G5">
    <w:name w:val="HTG5"/>
    <w:basedOn w:val="TableNormal"/>
    <w:next w:val="TableGrid"/>
    <w:uiPriority w:val="59"/>
    <w:pPr>
      <w:spacing w:after="0" w:line="240" w:lineRule="auto"/>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G6">
    <w:name w:val="HTG6"/>
    <w:basedOn w:val="TableNormal"/>
    <w:next w:val="TableGrid"/>
    <w:uiPriority w:val="59"/>
    <w:pPr>
      <w:spacing w:after="0" w:line="240" w:lineRule="auto"/>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odyText">
    <w:name w:val="Body Text"/>
    <w:aliases w:val="EEA - Body Text"/>
    <w:basedOn w:val="Normal"/>
    <w:link w:val="BodyTextChar"/>
    <w:autoRedefine/>
    <w:qFormat/>
    <w:pPr>
      <w:numPr>
        <w:numId w:val="7"/>
      </w:numPr>
      <w:spacing w:after="160" w:line="259" w:lineRule="auto"/>
    </w:pPr>
    <w:rPr>
      <w:rFonts w:eastAsia="ヒラギノ角ゴ Pro W3" w:cs="Times New Roman"/>
      <w:color w:val="000000"/>
      <w:szCs w:val="20"/>
      <w:lang w:eastAsia="en-GB"/>
    </w:rPr>
  </w:style>
  <w:style w:type="character" w:customStyle="1" w:styleId="BodyTextChar">
    <w:name w:val="Body Text Char"/>
    <w:aliases w:val="EEA - Body Text Char"/>
    <w:basedOn w:val="DefaultParagraphFont"/>
    <w:link w:val="BodyText"/>
    <w:rPr>
      <w:rFonts w:eastAsia="ヒラギノ角ゴ Pro W3" w:cs="Times New Roman"/>
      <w:color w:val="000000"/>
      <w:szCs w:val="20"/>
      <w:lang w:eastAsia="en-GB"/>
    </w:rPr>
  </w:style>
  <w:style w:type="table" w:customStyle="1" w:styleId="HTG7">
    <w:name w:val="HTG7"/>
    <w:basedOn w:val="TableNormal"/>
    <w:next w:val="TableGrid"/>
    <w:uiPriority w:val="59"/>
    <w:pPr>
      <w:spacing w:after="0" w:line="240" w:lineRule="auto"/>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contextualSpacing/>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contextualSpacing/>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contextualSpacing/>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contextualSpacing/>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contextualSpacing/>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120" w:after="120" w:line="240" w:lineRule="auto"/>
      <w:ind w:left="720" w:hanging="720"/>
      <w:jc w:val="both"/>
      <w:outlineLvl w:val="2"/>
    </w:pPr>
    <w:rPr>
      <w:rFonts w:eastAsia="ヒラギノ角ゴ Pro W3" w:cstheme="majorBidi"/>
      <w:b/>
      <w:i/>
      <w:iCs/>
      <w:color w:val="17365D"/>
      <w:sz w:val="24"/>
      <w:szCs w:val="24"/>
    </w:rPr>
  </w:style>
  <w:style w:type="paragraph" w:styleId="Heading8">
    <w:name w:val="heading 8"/>
    <w:basedOn w:val="Normal"/>
    <w:next w:val="Normal"/>
    <w:link w:val="Heading8Char"/>
    <w:uiPriority w:val="9"/>
    <w:semiHidden/>
    <w:unhideWhenUsed/>
    <w:qFormat/>
    <w:pPr>
      <w:keepNext/>
      <w:keepLines/>
      <w:spacing w:before="40" w:after="0" w:line="240" w:lineRule="auto"/>
      <w:ind w:left="1440" w:hanging="1440"/>
      <w:jc w:val="both"/>
      <w:outlineLvl w:val="7"/>
    </w:pPr>
    <w:rPr>
      <w:rFonts w:asciiTheme="majorHAnsi" w:eastAsiaTheme="majorEastAsia" w:hAnsiTheme="majorHAnsi" w:cstheme="majorBidi"/>
      <w:iCs/>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spacing w:before="40" w:after="0" w:line="240" w:lineRule="auto"/>
      <w:ind w:left="1584" w:hanging="1584"/>
      <w:jc w:val="both"/>
      <w:outlineLvl w:val="8"/>
    </w:pPr>
    <w:rPr>
      <w:rFonts w:asciiTheme="majorHAnsi" w:eastAsiaTheme="majorEastAsia" w:hAnsiTheme="majorHAnsi" w:cstheme="majorBidi"/>
      <w: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e de liste 2,Reference list,Bullet List Paragraph,List Paragraph1,Numbered Para 1,Dot pt,No Spacing1,List Paragraph Char Char Char,Indicator Text,Bullet 1,Bullet Points,MAIN CONTENT,List Paragraph12,F5 List Paragraph,Heading 2_sj"/>
    <w:basedOn w:val="Normal"/>
    <w:link w:val="ListParagraphChar"/>
    <w:uiPriority w:val="34"/>
    <w:qFormat/>
    <w:pPr>
      <w:ind w:left="720"/>
      <w:contextualSpacing/>
    </w:pPr>
  </w:style>
  <w:style w:type="table" w:styleId="TableGrid">
    <w:name w:val="Table Grid"/>
    <w:aliases w:val="Table Format 1,HTG"/>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Table legend,Tab_Überschrift,Figure reference,Char Char,Char Char Char,Caption1 Char Char Char Char Char Char Char Char Tegn Tegn Tegn Tegn Tegn,Caption1 Char Char Char Char Char Char Char Char Tegn Tegn Tegn,F10 Table Figure and Chart Tit"/>
    <w:basedOn w:val="Normal"/>
    <w:next w:val="Normal"/>
    <w:link w:val="CaptionChar"/>
    <w:autoRedefine/>
    <w:unhideWhenUsed/>
    <w:qFormat/>
    <w:pPr>
      <w:keepNext/>
      <w:framePr w:hSpace="141" w:wrap="around" w:vAnchor="text" w:hAnchor="margin" w:y="179"/>
      <w:spacing w:after="120" w:line="240" w:lineRule="auto"/>
      <w:jc w:val="center"/>
    </w:pPr>
    <w:rPr>
      <w:rFonts w:ascii="Times New Roman" w:eastAsia="ヒラギノ角ゴ Pro W3" w:hAnsi="Times New Roman" w:cs="Times New Roman"/>
      <w:b/>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CaptionChar">
    <w:name w:val="Caption Char"/>
    <w:aliases w:val="Table legend Char,Tab_Überschrift Char,Figure reference Char,Char Char Char1,Char Char Char Char,Caption1 Char Char Char Char Char Char Char Char Tegn Tegn Tegn Tegn Tegn Char,F10 Table Figure and Chart Tit Char"/>
    <w:basedOn w:val="DefaultParagraphFont"/>
    <w:link w:val="Caption"/>
    <w:locked/>
    <w:rPr>
      <w:rFonts w:ascii="Times New Roman" w:eastAsia="ヒラギノ角ゴ Pro W3" w:hAnsi="Times New Roman" w:cs="Times New Roman"/>
      <w:b/>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pPr>
      <w:spacing w:before="360" w:after="360" w:line="240" w:lineRule="auto"/>
      <w:ind w:left="360"/>
      <w:jc w:val="both"/>
    </w:pPr>
    <w:rPr>
      <w:rFonts w:asciiTheme="minorHAnsi" w:eastAsia="ヒラギノ角ゴ Pro W3" w:hAnsiTheme="minorHAnsi" w:cs="Times New Roman"/>
      <w:b/>
      <w:iCs/>
      <w:color w:val="17365D"/>
      <w:sz w:val="24"/>
      <w:szCs w:val="24"/>
    </w:rPr>
  </w:style>
  <w:style w:type="paragraph" w:customStyle="1" w:styleId="Style2-Annex">
    <w:name w:val="Style2 - Annex"/>
    <w:basedOn w:val="Heading2"/>
    <w:next w:val="Normal"/>
    <w:qFormat/>
    <w:pPr>
      <w:numPr>
        <w:numId w:val="2"/>
      </w:numPr>
      <w:spacing w:before="240" w:after="240" w:line="240" w:lineRule="auto"/>
      <w:ind w:left="1440" w:hanging="360"/>
      <w:jc w:val="both"/>
    </w:pPr>
    <w:rPr>
      <w:rFonts w:asciiTheme="minorHAnsi" w:eastAsia="ヒラギノ角ゴ Pro W3" w:hAnsiTheme="minorHAnsi"/>
      <w:b/>
      <w:iCs/>
      <w:color w:val="17365D"/>
      <w:sz w:val="2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Paragraphe de liste 2 Char,Reference list Char,Bullet List Paragraph Char,List Paragraph1 Char,Numbered Para 1 Char,Dot pt Char,No Spacing1 Char,List Paragraph Char Char Char Char,Indicator Text Char,Bullet 1 Char,Bullet Points Char"/>
    <w:basedOn w:val="DefaultParagraphFont"/>
    <w:link w:val="ListParagraph"/>
    <w:uiPriority w:val="34"/>
    <w:qFormat/>
    <w:locked/>
  </w:style>
  <w:style w:type="character" w:customStyle="1" w:styleId="Heading3Char">
    <w:name w:val="Heading 3 Char"/>
    <w:basedOn w:val="DefaultParagraphFont"/>
    <w:link w:val="Heading3"/>
    <w:uiPriority w:val="9"/>
    <w:rPr>
      <w:rFonts w:eastAsia="ヒラギノ角ゴ Pro W3" w:cstheme="majorBidi"/>
      <w:b/>
      <w:i/>
      <w:iCs/>
      <w:color w:val="17365D"/>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Cs/>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color w:val="272727" w:themeColor="text1" w:themeTint="D8"/>
      <w:sz w:val="21"/>
      <w:szCs w:val="21"/>
    </w:rPr>
  </w:style>
  <w:style w:type="paragraph" w:styleId="FootnoteText">
    <w:name w:val="footnote text"/>
    <w:basedOn w:val="Normal"/>
    <w:uiPriority w:val="99"/>
    <w:unhideWhenUsed/>
    <w:pPr>
      <w:spacing w:after="0" w:line="240" w:lineRule="auto"/>
      <w:jc w:val="both"/>
    </w:pPr>
    <w:rPr>
      <w:rFonts w:eastAsia="ヒラギノ角ゴ Pro W3" w:cs="Times New Roman"/>
      <w:iCs/>
      <w:szCs w:val="20"/>
    </w:rPr>
  </w:style>
  <w:style w:type="character" w:customStyle="1" w:styleId="FootnoteTextChar">
    <w:name w:val="Footnote Text Char"/>
    <w:basedOn w:val="DefaultParagraphFont"/>
    <w:uiPriority w:val="99"/>
    <w:rPr>
      <w:rFonts w:eastAsia="ヒラギノ角ゴ Pro W3" w:cs="Times New Roman"/>
      <w:iCs/>
      <w:szCs w:val="20"/>
    </w:rPr>
  </w:style>
  <w:style w:type="character" w:styleId="FootnoteReference">
    <w:name w:val="footnote reference"/>
    <w:basedOn w:val="DefaultParagraphFont"/>
    <w:uiPriority w:val="99"/>
    <w:unhideWhenUsed/>
    <w:rPr>
      <w:vertAlign w:val="superscript"/>
    </w:rPr>
  </w:style>
  <w:style w:type="table" w:customStyle="1" w:styleId="HTG1">
    <w:name w:val="HTG1"/>
    <w:basedOn w:val="TableNormal"/>
    <w:next w:val="TableGrid"/>
    <w:uiPriority w:val="59"/>
    <w:pPr>
      <w:spacing w:after="0" w:line="240" w:lineRule="auto"/>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HTG2">
    <w:name w:val="HTG2"/>
    <w:basedOn w:val="TableNormal"/>
    <w:next w:val="TableGrid"/>
    <w:uiPriority w:val="59"/>
    <w:pPr>
      <w:spacing w:after="0" w:line="240" w:lineRule="auto"/>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G3">
    <w:name w:val="HTG3"/>
    <w:basedOn w:val="TableNormal"/>
    <w:next w:val="TableGrid"/>
    <w:uiPriority w:val="59"/>
    <w:pPr>
      <w:spacing w:after="0" w:line="240" w:lineRule="auto"/>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G4">
    <w:name w:val="HTG4"/>
    <w:basedOn w:val="TableNormal"/>
    <w:next w:val="TableGrid"/>
    <w:uiPriority w:val="59"/>
    <w:pPr>
      <w:spacing w:after="0" w:line="240" w:lineRule="auto"/>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G5">
    <w:name w:val="HTG5"/>
    <w:basedOn w:val="TableNormal"/>
    <w:next w:val="TableGrid"/>
    <w:uiPriority w:val="59"/>
    <w:pPr>
      <w:spacing w:after="0" w:line="240" w:lineRule="auto"/>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G6">
    <w:name w:val="HTG6"/>
    <w:basedOn w:val="TableNormal"/>
    <w:next w:val="TableGrid"/>
    <w:uiPriority w:val="59"/>
    <w:pPr>
      <w:spacing w:after="0" w:line="240" w:lineRule="auto"/>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odyText">
    <w:name w:val="Body Text"/>
    <w:aliases w:val="EEA - Body Text"/>
    <w:basedOn w:val="Normal"/>
    <w:link w:val="BodyTextChar"/>
    <w:autoRedefine/>
    <w:qFormat/>
    <w:pPr>
      <w:numPr>
        <w:numId w:val="7"/>
      </w:numPr>
      <w:spacing w:after="160" w:line="259" w:lineRule="auto"/>
    </w:pPr>
    <w:rPr>
      <w:rFonts w:eastAsia="ヒラギノ角ゴ Pro W3" w:cs="Times New Roman"/>
      <w:color w:val="000000"/>
      <w:szCs w:val="20"/>
      <w:lang w:eastAsia="en-GB"/>
    </w:rPr>
  </w:style>
  <w:style w:type="character" w:customStyle="1" w:styleId="BodyTextChar">
    <w:name w:val="Body Text Char"/>
    <w:aliases w:val="EEA - Body Text Char"/>
    <w:basedOn w:val="DefaultParagraphFont"/>
    <w:link w:val="BodyText"/>
    <w:rPr>
      <w:rFonts w:eastAsia="ヒラギノ角ゴ Pro W3" w:cs="Times New Roman"/>
      <w:color w:val="000000"/>
      <w:szCs w:val="20"/>
      <w:lang w:eastAsia="en-GB"/>
    </w:rPr>
  </w:style>
  <w:style w:type="table" w:customStyle="1" w:styleId="HTG7">
    <w:name w:val="HTG7"/>
    <w:basedOn w:val="TableNormal"/>
    <w:next w:val="TableGrid"/>
    <w:uiPriority w:val="59"/>
    <w:pPr>
      <w:spacing w:after="0" w:line="240" w:lineRule="auto"/>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contextualSpacing/>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contextualSpacing/>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contextualSpacing/>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contextualSpacing/>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contextualSpacing/>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0593">
      <w:bodyDiv w:val="1"/>
      <w:marLeft w:val="0"/>
      <w:marRight w:val="0"/>
      <w:marTop w:val="0"/>
      <w:marBottom w:val="0"/>
      <w:divBdr>
        <w:top w:val="none" w:sz="0" w:space="0" w:color="auto"/>
        <w:left w:val="none" w:sz="0" w:space="0" w:color="auto"/>
        <w:bottom w:val="none" w:sz="0" w:space="0" w:color="auto"/>
        <w:right w:val="none" w:sz="0" w:space="0" w:color="auto"/>
      </w:divBdr>
      <w:divsChild>
        <w:div w:id="1396275877">
          <w:marLeft w:val="547"/>
          <w:marRight w:val="0"/>
          <w:marTop w:val="115"/>
          <w:marBottom w:val="0"/>
          <w:divBdr>
            <w:top w:val="none" w:sz="0" w:space="0" w:color="auto"/>
            <w:left w:val="none" w:sz="0" w:space="0" w:color="auto"/>
            <w:bottom w:val="none" w:sz="0" w:space="0" w:color="auto"/>
            <w:right w:val="none" w:sz="0" w:space="0" w:color="auto"/>
          </w:divBdr>
        </w:div>
        <w:div w:id="1548640616">
          <w:marLeft w:val="547"/>
          <w:marRight w:val="0"/>
          <w:marTop w:val="115"/>
          <w:marBottom w:val="0"/>
          <w:divBdr>
            <w:top w:val="none" w:sz="0" w:space="0" w:color="auto"/>
            <w:left w:val="none" w:sz="0" w:space="0" w:color="auto"/>
            <w:bottom w:val="none" w:sz="0" w:space="0" w:color="auto"/>
            <w:right w:val="none" w:sz="0" w:space="0" w:color="auto"/>
          </w:divBdr>
        </w:div>
      </w:divsChild>
    </w:div>
    <w:div w:id="144862763">
      <w:bodyDiv w:val="1"/>
      <w:marLeft w:val="0"/>
      <w:marRight w:val="0"/>
      <w:marTop w:val="0"/>
      <w:marBottom w:val="0"/>
      <w:divBdr>
        <w:top w:val="none" w:sz="0" w:space="0" w:color="auto"/>
        <w:left w:val="none" w:sz="0" w:space="0" w:color="auto"/>
        <w:bottom w:val="none" w:sz="0" w:space="0" w:color="auto"/>
        <w:right w:val="none" w:sz="0" w:space="0" w:color="auto"/>
      </w:divBdr>
      <w:divsChild>
        <w:div w:id="545064902">
          <w:marLeft w:val="547"/>
          <w:marRight w:val="0"/>
          <w:marTop w:val="86"/>
          <w:marBottom w:val="0"/>
          <w:divBdr>
            <w:top w:val="none" w:sz="0" w:space="0" w:color="auto"/>
            <w:left w:val="none" w:sz="0" w:space="0" w:color="auto"/>
            <w:bottom w:val="none" w:sz="0" w:space="0" w:color="auto"/>
            <w:right w:val="none" w:sz="0" w:space="0" w:color="auto"/>
          </w:divBdr>
        </w:div>
        <w:div w:id="1278416364">
          <w:marLeft w:val="547"/>
          <w:marRight w:val="0"/>
          <w:marTop w:val="86"/>
          <w:marBottom w:val="0"/>
          <w:divBdr>
            <w:top w:val="none" w:sz="0" w:space="0" w:color="auto"/>
            <w:left w:val="none" w:sz="0" w:space="0" w:color="auto"/>
            <w:bottom w:val="none" w:sz="0" w:space="0" w:color="auto"/>
            <w:right w:val="none" w:sz="0" w:space="0" w:color="auto"/>
          </w:divBdr>
        </w:div>
        <w:div w:id="1326938521">
          <w:marLeft w:val="547"/>
          <w:marRight w:val="0"/>
          <w:marTop w:val="86"/>
          <w:marBottom w:val="0"/>
          <w:divBdr>
            <w:top w:val="none" w:sz="0" w:space="0" w:color="auto"/>
            <w:left w:val="none" w:sz="0" w:space="0" w:color="auto"/>
            <w:bottom w:val="none" w:sz="0" w:space="0" w:color="auto"/>
            <w:right w:val="none" w:sz="0" w:space="0" w:color="auto"/>
          </w:divBdr>
        </w:div>
        <w:div w:id="1916235343">
          <w:marLeft w:val="547"/>
          <w:marRight w:val="0"/>
          <w:marTop w:val="86"/>
          <w:marBottom w:val="0"/>
          <w:divBdr>
            <w:top w:val="none" w:sz="0" w:space="0" w:color="auto"/>
            <w:left w:val="none" w:sz="0" w:space="0" w:color="auto"/>
            <w:bottom w:val="none" w:sz="0" w:space="0" w:color="auto"/>
            <w:right w:val="none" w:sz="0" w:space="0" w:color="auto"/>
          </w:divBdr>
        </w:div>
      </w:divsChild>
    </w:div>
    <w:div w:id="200896669">
      <w:bodyDiv w:val="1"/>
      <w:marLeft w:val="0"/>
      <w:marRight w:val="0"/>
      <w:marTop w:val="0"/>
      <w:marBottom w:val="0"/>
      <w:divBdr>
        <w:top w:val="none" w:sz="0" w:space="0" w:color="auto"/>
        <w:left w:val="none" w:sz="0" w:space="0" w:color="auto"/>
        <w:bottom w:val="none" w:sz="0" w:space="0" w:color="auto"/>
        <w:right w:val="none" w:sz="0" w:space="0" w:color="auto"/>
      </w:divBdr>
      <w:divsChild>
        <w:div w:id="510337513">
          <w:marLeft w:val="547"/>
          <w:marRight w:val="0"/>
          <w:marTop w:val="86"/>
          <w:marBottom w:val="0"/>
          <w:divBdr>
            <w:top w:val="none" w:sz="0" w:space="0" w:color="auto"/>
            <w:left w:val="none" w:sz="0" w:space="0" w:color="auto"/>
            <w:bottom w:val="none" w:sz="0" w:space="0" w:color="auto"/>
            <w:right w:val="none" w:sz="0" w:space="0" w:color="auto"/>
          </w:divBdr>
        </w:div>
        <w:div w:id="939870130">
          <w:marLeft w:val="547"/>
          <w:marRight w:val="0"/>
          <w:marTop w:val="86"/>
          <w:marBottom w:val="0"/>
          <w:divBdr>
            <w:top w:val="none" w:sz="0" w:space="0" w:color="auto"/>
            <w:left w:val="none" w:sz="0" w:space="0" w:color="auto"/>
            <w:bottom w:val="none" w:sz="0" w:space="0" w:color="auto"/>
            <w:right w:val="none" w:sz="0" w:space="0" w:color="auto"/>
          </w:divBdr>
        </w:div>
        <w:div w:id="1377852902">
          <w:marLeft w:val="547"/>
          <w:marRight w:val="0"/>
          <w:marTop w:val="86"/>
          <w:marBottom w:val="0"/>
          <w:divBdr>
            <w:top w:val="none" w:sz="0" w:space="0" w:color="auto"/>
            <w:left w:val="none" w:sz="0" w:space="0" w:color="auto"/>
            <w:bottom w:val="none" w:sz="0" w:space="0" w:color="auto"/>
            <w:right w:val="none" w:sz="0" w:space="0" w:color="auto"/>
          </w:divBdr>
        </w:div>
        <w:div w:id="2039156541">
          <w:marLeft w:val="547"/>
          <w:marRight w:val="0"/>
          <w:marTop w:val="86"/>
          <w:marBottom w:val="0"/>
          <w:divBdr>
            <w:top w:val="none" w:sz="0" w:space="0" w:color="auto"/>
            <w:left w:val="none" w:sz="0" w:space="0" w:color="auto"/>
            <w:bottom w:val="none" w:sz="0" w:space="0" w:color="auto"/>
            <w:right w:val="none" w:sz="0" w:space="0" w:color="auto"/>
          </w:divBdr>
        </w:div>
      </w:divsChild>
    </w:div>
    <w:div w:id="249657218">
      <w:bodyDiv w:val="1"/>
      <w:marLeft w:val="0"/>
      <w:marRight w:val="0"/>
      <w:marTop w:val="0"/>
      <w:marBottom w:val="0"/>
      <w:divBdr>
        <w:top w:val="none" w:sz="0" w:space="0" w:color="auto"/>
        <w:left w:val="none" w:sz="0" w:space="0" w:color="auto"/>
        <w:bottom w:val="none" w:sz="0" w:space="0" w:color="auto"/>
        <w:right w:val="none" w:sz="0" w:space="0" w:color="auto"/>
      </w:divBdr>
      <w:divsChild>
        <w:div w:id="30113353">
          <w:marLeft w:val="547"/>
          <w:marRight w:val="0"/>
          <w:marTop w:val="115"/>
          <w:marBottom w:val="0"/>
          <w:divBdr>
            <w:top w:val="none" w:sz="0" w:space="0" w:color="auto"/>
            <w:left w:val="none" w:sz="0" w:space="0" w:color="auto"/>
            <w:bottom w:val="none" w:sz="0" w:space="0" w:color="auto"/>
            <w:right w:val="none" w:sz="0" w:space="0" w:color="auto"/>
          </w:divBdr>
        </w:div>
        <w:div w:id="860321644">
          <w:marLeft w:val="547"/>
          <w:marRight w:val="0"/>
          <w:marTop w:val="115"/>
          <w:marBottom w:val="0"/>
          <w:divBdr>
            <w:top w:val="none" w:sz="0" w:space="0" w:color="auto"/>
            <w:left w:val="none" w:sz="0" w:space="0" w:color="auto"/>
            <w:bottom w:val="none" w:sz="0" w:space="0" w:color="auto"/>
            <w:right w:val="none" w:sz="0" w:space="0" w:color="auto"/>
          </w:divBdr>
        </w:div>
        <w:div w:id="1640962737">
          <w:marLeft w:val="547"/>
          <w:marRight w:val="0"/>
          <w:marTop w:val="115"/>
          <w:marBottom w:val="0"/>
          <w:divBdr>
            <w:top w:val="none" w:sz="0" w:space="0" w:color="auto"/>
            <w:left w:val="none" w:sz="0" w:space="0" w:color="auto"/>
            <w:bottom w:val="none" w:sz="0" w:space="0" w:color="auto"/>
            <w:right w:val="none" w:sz="0" w:space="0" w:color="auto"/>
          </w:divBdr>
        </w:div>
      </w:divsChild>
    </w:div>
    <w:div w:id="325283249">
      <w:bodyDiv w:val="1"/>
      <w:marLeft w:val="0"/>
      <w:marRight w:val="0"/>
      <w:marTop w:val="0"/>
      <w:marBottom w:val="0"/>
      <w:divBdr>
        <w:top w:val="none" w:sz="0" w:space="0" w:color="auto"/>
        <w:left w:val="none" w:sz="0" w:space="0" w:color="auto"/>
        <w:bottom w:val="none" w:sz="0" w:space="0" w:color="auto"/>
        <w:right w:val="none" w:sz="0" w:space="0" w:color="auto"/>
      </w:divBdr>
    </w:div>
    <w:div w:id="336231972">
      <w:bodyDiv w:val="1"/>
      <w:marLeft w:val="0"/>
      <w:marRight w:val="0"/>
      <w:marTop w:val="0"/>
      <w:marBottom w:val="0"/>
      <w:divBdr>
        <w:top w:val="none" w:sz="0" w:space="0" w:color="auto"/>
        <w:left w:val="none" w:sz="0" w:space="0" w:color="auto"/>
        <w:bottom w:val="none" w:sz="0" w:space="0" w:color="auto"/>
        <w:right w:val="none" w:sz="0" w:space="0" w:color="auto"/>
      </w:divBdr>
      <w:divsChild>
        <w:div w:id="23217114">
          <w:marLeft w:val="547"/>
          <w:marRight w:val="0"/>
          <w:marTop w:val="115"/>
          <w:marBottom w:val="0"/>
          <w:divBdr>
            <w:top w:val="none" w:sz="0" w:space="0" w:color="auto"/>
            <w:left w:val="none" w:sz="0" w:space="0" w:color="auto"/>
            <w:bottom w:val="none" w:sz="0" w:space="0" w:color="auto"/>
            <w:right w:val="none" w:sz="0" w:space="0" w:color="auto"/>
          </w:divBdr>
        </w:div>
        <w:div w:id="171919333">
          <w:marLeft w:val="547"/>
          <w:marRight w:val="0"/>
          <w:marTop w:val="115"/>
          <w:marBottom w:val="0"/>
          <w:divBdr>
            <w:top w:val="none" w:sz="0" w:space="0" w:color="auto"/>
            <w:left w:val="none" w:sz="0" w:space="0" w:color="auto"/>
            <w:bottom w:val="none" w:sz="0" w:space="0" w:color="auto"/>
            <w:right w:val="none" w:sz="0" w:space="0" w:color="auto"/>
          </w:divBdr>
        </w:div>
        <w:div w:id="401099658">
          <w:marLeft w:val="547"/>
          <w:marRight w:val="0"/>
          <w:marTop w:val="115"/>
          <w:marBottom w:val="0"/>
          <w:divBdr>
            <w:top w:val="none" w:sz="0" w:space="0" w:color="auto"/>
            <w:left w:val="none" w:sz="0" w:space="0" w:color="auto"/>
            <w:bottom w:val="none" w:sz="0" w:space="0" w:color="auto"/>
            <w:right w:val="none" w:sz="0" w:space="0" w:color="auto"/>
          </w:divBdr>
        </w:div>
        <w:div w:id="1676109372">
          <w:marLeft w:val="547"/>
          <w:marRight w:val="0"/>
          <w:marTop w:val="115"/>
          <w:marBottom w:val="0"/>
          <w:divBdr>
            <w:top w:val="none" w:sz="0" w:space="0" w:color="auto"/>
            <w:left w:val="none" w:sz="0" w:space="0" w:color="auto"/>
            <w:bottom w:val="none" w:sz="0" w:space="0" w:color="auto"/>
            <w:right w:val="none" w:sz="0" w:space="0" w:color="auto"/>
          </w:divBdr>
        </w:div>
      </w:divsChild>
    </w:div>
    <w:div w:id="453331561">
      <w:bodyDiv w:val="1"/>
      <w:marLeft w:val="0"/>
      <w:marRight w:val="0"/>
      <w:marTop w:val="0"/>
      <w:marBottom w:val="0"/>
      <w:divBdr>
        <w:top w:val="none" w:sz="0" w:space="0" w:color="auto"/>
        <w:left w:val="none" w:sz="0" w:space="0" w:color="auto"/>
        <w:bottom w:val="none" w:sz="0" w:space="0" w:color="auto"/>
        <w:right w:val="none" w:sz="0" w:space="0" w:color="auto"/>
      </w:divBdr>
      <w:divsChild>
        <w:div w:id="1973553213">
          <w:marLeft w:val="547"/>
          <w:marRight w:val="0"/>
          <w:marTop w:val="106"/>
          <w:marBottom w:val="0"/>
          <w:divBdr>
            <w:top w:val="none" w:sz="0" w:space="0" w:color="auto"/>
            <w:left w:val="none" w:sz="0" w:space="0" w:color="auto"/>
            <w:bottom w:val="none" w:sz="0" w:space="0" w:color="auto"/>
            <w:right w:val="none" w:sz="0" w:space="0" w:color="auto"/>
          </w:divBdr>
        </w:div>
        <w:div w:id="2004313609">
          <w:marLeft w:val="547"/>
          <w:marRight w:val="0"/>
          <w:marTop w:val="106"/>
          <w:marBottom w:val="0"/>
          <w:divBdr>
            <w:top w:val="none" w:sz="0" w:space="0" w:color="auto"/>
            <w:left w:val="none" w:sz="0" w:space="0" w:color="auto"/>
            <w:bottom w:val="none" w:sz="0" w:space="0" w:color="auto"/>
            <w:right w:val="none" w:sz="0" w:space="0" w:color="auto"/>
          </w:divBdr>
        </w:div>
      </w:divsChild>
    </w:div>
    <w:div w:id="482502114">
      <w:bodyDiv w:val="1"/>
      <w:marLeft w:val="0"/>
      <w:marRight w:val="0"/>
      <w:marTop w:val="0"/>
      <w:marBottom w:val="0"/>
      <w:divBdr>
        <w:top w:val="none" w:sz="0" w:space="0" w:color="auto"/>
        <w:left w:val="none" w:sz="0" w:space="0" w:color="auto"/>
        <w:bottom w:val="none" w:sz="0" w:space="0" w:color="auto"/>
        <w:right w:val="none" w:sz="0" w:space="0" w:color="auto"/>
      </w:divBdr>
      <w:divsChild>
        <w:div w:id="40180027">
          <w:marLeft w:val="547"/>
          <w:marRight w:val="0"/>
          <w:marTop w:val="86"/>
          <w:marBottom w:val="0"/>
          <w:divBdr>
            <w:top w:val="none" w:sz="0" w:space="0" w:color="auto"/>
            <w:left w:val="none" w:sz="0" w:space="0" w:color="auto"/>
            <w:bottom w:val="none" w:sz="0" w:space="0" w:color="auto"/>
            <w:right w:val="none" w:sz="0" w:space="0" w:color="auto"/>
          </w:divBdr>
        </w:div>
        <w:div w:id="128057585">
          <w:marLeft w:val="547"/>
          <w:marRight w:val="0"/>
          <w:marTop w:val="86"/>
          <w:marBottom w:val="0"/>
          <w:divBdr>
            <w:top w:val="none" w:sz="0" w:space="0" w:color="auto"/>
            <w:left w:val="none" w:sz="0" w:space="0" w:color="auto"/>
            <w:bottom w:val="none" w:sz="0" w:space="0" w:color="auto"/>
            <w:right w:val="none" w:sz="0" w:space="0" w:color="auto"/>
          </w:divBdr>
        </w:div>
        <w:div w:id="1065764765">
          <w:marLeft w:val="547"/>
          <w:marRight w:val="0"/>
          <w:marTop w:val="86"/>
          <w:marBottom w:val="0"/>
          <w:divBdr>
            <w:top w:val="none" w:sz="0" w:space="0" w:color="auto"/>
            <w:left w:val="none" w:sz="0" w:space="0" w:color="auto"/>
            <w:bottom w:val="none" w:sz="0" w:space="0" w:color="auto"/>
            <w:right w:val="none" w:sz="0" w:space="0" w:color="auto"/>
          </w:divBdr>
        </w:div>
        <w:div w:id="1819611068">
          <w:marLeft w:val="547"/>
          <w:marRight w:val="0"/>
          <w:marTop w:val="86"/>
          <w:marBottom w:val="0"/>
          <w:divBdr>
            <w:top w:val="none" w:sz="0" w:space="0" w:color="auto"/>
            <w:left w:val="none" w:sz="0" w:space="0" w:color="auto"/>
            <w:bottom w:val="none" w:sz="0" w:space="0" w:color="auto"/>
            <w:right w:val="none" w:sz="0" w:space="0" w:color="auto"/>
          </w:divBdr>
        </w:div>
      </w:divsChild>
    </w:div>
    <w:div w:id="631591434">
      <w:bodyDiv w:val="1"/>
      <w:marLeft w:val="0"/>
      <w:marRight w:val="0"/>
      <w:marTop w:val="0"/>
      <w:marBottom w:val="0"/>
      <w:divBdr>
        <w:top w:val="none" w:sz="0" w:space="0" w:color="auto"/>
        <w:left w:val="none" w:sz="0" w:space="0" w:color="auto"/>
        <w:bottom w:val="none" w:sz="0" w:space="0" w:color="auto"/>
        <w:right w:val="none" w:sz="0" w:space="0" w:color="auto"/>
      </w:divBdr>
      <w:divsChild>
        <w:div w:id="653536133">
          <w:marLeft w:val="446"/>
          <w:marRight w:val="0"/>
          <w:marTop w:val="77"/>
          <w:marBottom w:val="0"/>
          <w:divBdr>
            <w:top w:val="none" w:sz="0" w:space="0" w:color="auto"/>
            <w:left w:val="none" w:sz="0" w:space="0" w:color="auto"/>
            <w:bottom w:val="none" w:sz="0" w:space="0" w:color="auto"/>
            <w:right w:val="none" w:sz="0" w:space="0" w:color="auto"/>
          </w:divBdr>
        </w:div>
      </w:divsChild>
    </w:div>
    <w:div w:id="690108345">
      <w:bodyDiv w:val="1"/>
      <w:marLeft w:val="0"/>
      <w:marRight w:val="0"/>
      <w:marTop w:val="0"/>
      <w:marBottom w:val="0"/>
      <w:divBdr>
        <w:top w:val="none" w:sz="0" w:space="0" w:color="auto"/>
        <w:left w:val="none" w:sz="0" w:space="0" w:color="auto"/>
        <w:bottom w:val="none" w:sz="0" w:space="0" w:color="auto"/>
        <w:right w:val="none" w:sz="0" w:space="0" w:color="auto"/>
      </w:divBdr>
      <w:divsChild>
        <w:div w:id="424763518">
          <w:marLeft w:val="547"/>
          <w:marRight w:val="0"/>
          <w:marTop w:val="106"/>
          <w:marBottom w:val="0"/>
          <w:divBdr>
            <w:top w:val="none" w:sz="0" w:space="0" w:color="auto"/>
            <w:left w:val="none" w:sz="0" w:space="0" w:color="auto"/>
            <w:bottom w:val="none" w:sz="0" w:space="0" w:color="auto"/>
            <w:right w:val="none" w:sz="0" w:space="0" w:color="auto"/>
          </w:divBdr>
        </w:div>
        <w:div w:id="1799689502">
          <w:marLeft w:val="547"/>
          <w:marRight w:val="0"/>
          <w:marTop w:val="106"/>
          <w:marBottom w:val="0"/>
          <w:divBdr>
            <w:top w:val="none" w:sz="0" w:space="0" w:color="auto"/>
            <w:left w:val="none" w:sz="0" w:space="0" w:color="auto"/>
            <w:bottom w:val="none" w:sz="0" w:space="0" w:color="auto"/>
            <w:right w:val="none" w:sz="0" w:space="0" w:color="auto"/>
          </w:divBdr>
        </w:div>
        <w:div w:id="2100591369">
          <w:marLeft w:val="547"/>
          <w:marRight w:val="0"/>
          <w:marTop w:val="106"/>
          <w:marBottom w:val="0"/>
          <w:divBdr>
            <w:top w:val="none" w:sz="0" w:space="0" w:color="auto"/>
            <w:left w:val="none" w:sz="0" w:space="0" w:color="auto"/>
            <w:bottom w:val="none" w:sz="0" w:space="0" w:color="auto"/>
            <w:right w:val="none" w:sz="0" w:space="0" w:color="auto"/>
          </w:divBdr>
        </w:div>
      </w:divsChild>
    </w:div>
    <w:div w:id="692264281">
      <w:bodyDiv w:val="1"/>
      <w:marLeft w:val="0"/>
      <w:marRight w:val="0"/>
      <w:marTop w:val="0"/>
      <w:marBottom w:val="0"/>
      <w:divBdr>
        <w:top w:val="none" w:sz="0" w:space="0" w:color="auto"/>
        <w:left w:val="none" w:sz="0" w:space="0" w:color="auto"/>
        <w:bottom w:val="none" w:sz="0" w:space="0" w:color="auto"/>
        <w:right w:val="none" w:sz="0" w:space="0" w:color="auto"/>
      </w:divBdr>
      <w:divsChild>
        <w:div w:id="17390937">
          <w:marLeft w:val="720"/>
          <w:marRight w:val="0"/>
          <w:marTop w:val="96"/>
          <w:marBottom w:val="0"/>
          <w:divBdr>
            <w:top w:val="none" w:sz="0" w:space="0" w:color="auto"/>
            <w:left w:val="none" w:sz="0" w:space="0" w:color="auto"/>
            <w:bottom w:val="none" w:sz="0" w:space="0" w:color="auto"/>
            <w:right w:val="none" w:sz="0" w:space="0" w:color="auto"/>
          </w:divBdr>
        </w:div>
        <w:div w:id="534079233">
          <w:marLeft w:val="720"/>
          <w:marRight w:val="0"/>
          <w:marTop w:val="96"/>
          <w:marBottom w:val="0"/>
          <w:divBdr>
            <w:top w:val="none" w:sz="0" w:space="0" w:color="auto"/>
            <w:left w:val="none" w:sz="0" w:space="0" w:color="auto"/>
            <w:bottom w:val="none" w:sz="0" w:space="0" w:color="auto"/>
            <w:right w:val="none" w:sz="0" w:space="0" w:color="auto"/>
          </w:divBdr>
        </w:div>
        <w:div w:id="1340502661">
          <w:marLeft w:val="720"/>
          <w:marRight w:val="0"/>
          <w:marTop w:val="96"/>
          <w:marBottom w:val="0"/>
          <w:divBdr>
            <w:top w:val="none" w:sz="0" w:space="0" w:color="auto"/>
            <w:left w:val="none" w:sz="0" w:space="0" w:color="auto"/>
            <w:bottom w:val="none" w:sz="0" w:space="0" w:color="auto"/>
            <w:right w:val="none" w:sz="0" w:space="0" w:color="auto"/>
          </w:divBdr>
        </w:div>
      </w:divsChild>
    </w:div>
    <w:div w:id="725950733">
      <w:bodyDiv w:val="1"/>
      <w:marLeft w:val="0"/>
      <w:marRight w:val="0"/>
      <w:marTop w:val="0"/>
      <w:marBottom w:val="0"/>
      <w:divBdr>
        <w:top w:val="none" w:sz="0" w:space="0" w:color="auto"/>
        <w:left w:val="none" w:sz="0" w:space="0" w:color="auto"/>
        <w:bottom w:val="none" w:sz="0" w:space="0" w:color="auto"/>
        <w:right w:val="none" w:sz="0" w:space="0" w:color="auto"/>
      </w:divBdr>
      <w:divsChild>
        <w:div w:id="14501414">
          <w:marLeft w:val="547"/>
          <w:marRight w:val="0"/>
          <w:marTop w:val="115"/>
          <w:marBottom w:val="0"/>
          <w:divBdr>
            <w:top w:val="none" w:sz="0" w:space="0" w:color="auto"/>
            <w:left w:val="none" w:sz="0" w:space="0" w:color="auto"/>
            <w:bottom w:val="none" w:sz="0" w:space="0" w:color="auto"/>
            <w:right w:val="none" w:sz="0" w:space="0" w:color="auto"/>
          </w:divBdr>
        </w:div>
        <w:div w:id="159467209">
          <w:marLeft w:val="547"/>
          <w:marRight w:val="0"/>
          <w:marTop w:val="115"/>
          <w:marBottom w:val="0"/>
          <w:divBdr>
            <w:top w:val="none" w:sz="0" w:space="0" w:color="auto"/>
            <w:left w:val="none" w:sz="0" w:space="0" w:color="auto"/>
            <w:bottom w:val="none" w:sz="0" w:space="0" w:color="auto"/>
            <w:right w:val="none" w:sz="0" w:space="0" w:color="auto"/>
          </w:divBdr>
        </w:div>
        <w:div w:id="292565799">
          <w:marLeft w:val="547"/>
          <w:marRight w:val="0"/>
          <w:marTop w:val="115"/>
          <w:marBottom w:val="0"/>
          <w:divBdr>
            <w:top w:val="none" w:sz="0" w:space="0" w:color="auto"/>
            <w:left w:val="none" w:sz="0" w:space="0" w:color="auto"/>
            <w:bottom w:val="none" w:sz="0" w:space="0" w:color="auto"/>
            <w:right w:val="none" w:sz="0" w:space="0" w:color="auto"/>
          </w:divBdr>
        </w:div>
        <w:div w:id="1409767493">
          <w:marLeft w:val="547"/>
          <w:marRight w:val="0"/>
          <w:marTop w:val="115"/>
          <w:marBottom w:val="0"/>
          <w:divBdr>
            <w:top w:val="none" w:sz="0" w:space="0" w:color="auto"/>
            <w:left w:val="none" w:sz="0" w:space="0" w:color="auto"/>
            <w:bottom w:val="none" w:sz="0" w:space="0" w:color="auto"/>
            <w:right w:val="none" w:sz="0" w:space="0" w:color="auto"/>
          </w:divBdr>
        </w:div>
      </w:divsChild>
    </w:div>
    <w:div w:id="833759114">
      <w:bodyDiv w:val="1"/>
      <w:marLeft w:val="0"/>
      <w:marRight w:val="0"/>
      <w:marTop w:val="0"/>
      <w:marBottom w:val="0"/>
      <w:divBdr>
        <w:top w:val="none" w:sz="0" w:space="0" w:color="auto"/>
        <w:left w:val="none" w:sz="0" w:space="0" w:color="auto"/>
        <w:bottom w:val="none" w:sz="0" w:space="0" w:color="auto"/>
        <w:right w:val="none" w:sz="0" w:space="0" w:color="auto"/>
      </w:divBdr>
      <w:divsChild>
        <w:div w:id="10306345">
          <w:marLeft w:val="547"/>
          <w:marRight w:val="0"/>
          <w:marTop w:val="96"/>
          <w:marBottom w:val="0"/>
          <w:divBdr>
            <w:top w:val="none" w:sz="0" w:space="0" w:color="auto"/>
            <w:left w:val="none" w:sz="0" w:space="0" w:color="auto"/>
            <w:bottom w:val="none" w:sz="0" w:space="0" w:color="auto"/>
            <w:right w:val="none" w:sz="0" w:space="0" w:color="auto"/>
          </w:divBdr>
        </w:div>
        <w:div w:id="143665433">
          <w:marLeft w:val="547"/>
          <w:marRight w:val="0"/>
          <w:marTop w:val="96"/>
          <w:marBottom w:val="0"/>
          <w:divBdr>
            <w:top w:val="none" w:sz="0" w:space="0" w:color="auto"/>
            <w:left w:val="none" w:sz="0" w:space="0" w:color="auto"/>
            <w:bottom w:val="none" w:sz="0" w:space="0" w:color="auto"/>
            <w:right w:val="none" w:sz="0" w:space="0" w:color="auto"/>
          </w:divBdr>
        </w:div>
        <w:div w:id="1185173507">
          <w:marLeft w:val="547"/>
          <w:marRight w:val="0"/>
          <w:marTop w:val="96"/>
          <w:marBottom w:val="0"/>
          <w:divBdr>
            <w:top w:val="none" w:sz="0" w:space="0" w:color="auto"/>
            <w:left w:val="none" w:sz="0" w:space="0" w:color="auto"/>
            <w:bottom w:val="none" w:sz="0" w:space="0" w:color="auto"/>
            <w:right w:val="none" w:sz="0" w:space="0" w:color="auto"/>
          </w:divBdr>
        </w:div>
        <w:div w:id="1677538199">
          <w:marLeft w:val="547"/>
          <w:marRight w:val="0"/>
          <w:marTop w:val="96"/>
          <w:marBottom w:val="0"/>
          <w:divBdr>
            <w:top w:val="none" w:sz="0" w:space="0" w:color="auto"/>
            <w:left w:val="none" w:sz="0" w:space="0" w:color="auto"/>
            <w:bottom w:val="none" w:sz="0" w:space="0" w:color="auto"/>
            <w:right w:val="none" w:sz="0" w:space="0" w:color="auto"/>
          </w:divBdr>
        </w:div>
      </w:divsChild>
    </w:div>
    <w:div w:id="968512392">
      <w:bodyDiv w:val="1"/>
      <w:marLeft w:val="0"/>
      <w:marRight w:val="0"/>
      <w:marTop w:val="0"/>
      <w:marBottom w:val="0"/>
      <w:divBdr>
        <w:top w:val="none" w:sz="0" w:space="0" w:color="auto"/>
        <w:left w:val="none" w:sz="0" w:space="0" w:color="auto"/>
        <w:bottom w:val="none" w:sz="0" w:space="0" w:color="auto"/>
        <w:right w:val="none" w:sz="0" w:space="0" w:color="auto"/>
      </w:divBdr>
      <w:divsChild>
        <w:div w:id="8220587">
          <w:marLeft w:val="446"/>
          <w:marRight w:val="0"/>
          <w:marTop w:val="86"/>
          <w:marBottom w:val="0"/>
          <w:divBdr>
            <w:top w:val="none" w:sz="0" w:space="0" w:color="auto"/>
            <w:left w:val="none" w:sz="0" w:space="0" w:color="auto"/>
            <w:bottom w:val="none" w:sz="0" w:space="0" w:color="auto"/>
            <w:right w:val="none" w:sz="0" w:space="0" w:color="auto"/>
          </w:divBdr>
        </w:div>
        <w:div w:id="26297765">
          <w:marLeft w:val="446"/>
          <w:marRight w:val="0"/>
          <w:marTop w:val="0"/>
          <w:marBottom w:val="0"/>
          <w:divBdr>
            <w:top w:val="none" w:sz="0" w:space="0" w:color="auto"/>
            <w:left w:val="none" w:sz="0" w:space="0" w:color="auto"/>
            <w:bottom w:val="none" w:sz="0" w:space="0" w:color="auto"/>
            <w:right w:val="none" w:sz="0" w:space="0" w:color="auto"/>
          </w:divBdr>
        </w:div>
        <w:div w:id="604193114">
          <w:marLeft w:val="446"/>
          <w:marRight w:val="0"/>
          <w:marTop w:val="86"/>
          <w:marBottom w:val="0"/>
          <w:divBdr>
            <w:top w:val="none" w:sz="0" w:space="0" w:color="auto"/>
            <w:left w:val="none" w:sz="0" w:space="0" w:color="auto"/>
            <w:bottom w:val="none" w:sz="0" w:space="0" w:color="auto"/>
            <w:right w:val="none" w:sz="0" w:space="0" w:color="auto"/>
          </w:divBdr>
        </w:div>
        <w:div w:id="891380635">
          <w:marLeft w:val="446"/>
          <w:marRight w:val="0"/>
          <w:marTop w:val="86"/>
          <w:marBottom w:val="0"/>
          <w:divBdr>
            <w:top w:val="none" w:sz="0" w:space="0" w:color="auto"/>
            <w:left w:val="none" w:sz="0" w:space="0" w:color="auto"/>
            <w:bottom w:val="none" w:sz="0" w:space="0" w:color="auto"/>
            <w:right w:val="none" w:sz="0" w:space="0" w:color="auto"/>
          </w:divBdr>
        </w:div>
        <w:div w:id="1326855853">
          <w:marLeft w:val="446"/>
          <w:marRight w:val="0"/>
          <w:marTop w:val="86"/>
          <w:marBottom w:val="0"/>
          <w:divBdr>
            <w:top w:val="none" w:sz="0" w:space="0" w:color="auto"/>
            <w:left w:val="none" w:sz="0" w:space="0" w:color="auto"/>
            <w:bottom w:val="none" w:sz="0" w:space="0" w:color="auto"/>
            <w:right w:val="none" w:sz="0" w:space="0" w:color="auto"/>
          </w:divBdr>
        </w:div>
        <w:div w:id="1652755591">
          <w:marLeft w:val="446"/>
          <w:marRight w:val="0"/>
          <w:marTop w:val="0"/>
          <w:marBottom w:val="0"/>
          <w:divBdr>
            <w:top w:val="none" w:sz="0" w:space="0" w:color="auto"/>
            <w:left w:val="none" w:sz="0" w:space="0" w:color="auto"/>
            <w:bottom w:val="none" w:sz="0" w:space="0" w:color="auto"/>
            <w:right w:val="none" w:sz="0" w:space="0" w:color="auto"/>
          </w:divBdr>
        </w:div>
      </w:divsChild>
    </w:div>
    <w:div w:id="992488102">
      <w:bodyDiv w:val="1"/>
      <w:marLeft w:val="0"/>
      <w:marRight w:val="0"/>
      <w:marTop w:val="0"/>
      <w:marBottom w:val="0"/>
      <w:divBdr>
        <w:top w:val="none" w:sz="0" w:space="0" w:color="auto"/>
        <w:left w:val="none" w:sz="0" w:space="0" w:color="auto"/>
        <w:bottom w:val="none" w:sz="0" w:space="0" w:color="auto"/>
        <w:right w:val="none" w:sz="0" w:space="0" w:color="auto"/>
      </w:divBdr>
      <w:divsChild>
        <w:div w:id="118306263">
          <w:marLeft w:val="547"/>
          <w:marRight w:val="0"/>
          <w:marTop w:val="82"/>
          <w:marBottom w:val="0"/>
          <w:divBdr>
            <w:top w:val="none" w:sz="0" w:space="0" w:color="auto"/>
            <w:left w:val="none" w:sz="0" w:space="0" w:color="auto"/>
            <w:bottom w:val="none" w:sz="0" w:space="0" w:color="auto"/>
            <w:right w:val="none" w:sz="0" w:space="0" w:color="auto"/>
          </w:divBdr>
        </w:div>
        <w:div w:id="306446346">
          <w:marLeft w:val="446"/>
          <w:marRight w:val="0"/>
          <w:marTop w:val="82"/>
          <w:marBottom w:val="0"/>
          <w:divBdr>
            <w:top w:val="none" w:sz="0" w:space="0" w:color="auto"/>
            <w:left w:val="none" w:sz="0" w:space="0" w:color="auto"/>
            <w:bottom w:val="none" w:sz="0" w:space="0" w:color="auto"/>
            <w:right w:val="none" w:sz="0" w:space="0" w:color="auto"/>
          </w:divBdr>
        </w:div>
        <w:div w:id="413090796">
          <w:marLeft w:val="547"/>
          <w:marRight w:val="0"/>
          <w:marTop w:val="82"/>
          <w:marBottom w:val="0"/>
          <w:divBdr>
            <w:top w:val="none" w:sz="0" w:space="0" w:color="auto"/>
            <w:left w:val="none" w:sz="0" w:space="0" w:color="auto"/>
            <w:bottom w:val="none" w:sz="0" w:space="0" w:color="auto"/>
            <w:right w:val="none" w:sz="0" w:space="0" w:color="auto"/>
          </w:divBdr>
        </w:div>
        <w:div w:id="505051249">
          <w:marLeft w:val="547"/>
          <w:marRight w:val="0"/>
          <w:marTop w:val="82"/>
          <w:marBottom w:val="0"/>
          <w:divBdr>
            <w:top w:val="none" w:sz="0" w:space="0" w:color="auto"/>
            <w:left w:val="none" w:sz="0" w:space="0" w:color="auto"/>
            <w:bottom w:val="none" w:sz="0" w:space="0" w:color="auto"/>
            <w:right w:val="none" w:sz="0" w:space="0" w:color="auto"/>
          </w:divBdr>
        </w:div>
        <w:div w:id="560796562">
          <w:marLeft w:val="547"/>
          <w:marRight w:val="0"/>
          <w:marTop w:val="82"/>
          <w:marBottom w:val="0"/>
          <w:divBdr>
            <w:top w:val="none" w:sz="0" w:space="0" w:color="auto"/>
            <w:left w:val="none" w:sz="0" w:space="0" w:color="auto"/>
            <w:bottom w:val="none" w:sz="0" w:space="0" w:color="auto"/>
            <w:right w:val="none" w:sz="0" w:space="0" w:color="auto"/>
          </w:divBdr>
        </w:div>
        <w:div w:id="666443388">
          <w:marLeft w:val="547"/>
          <w:marRight w:val="0"/>
          <w:marTop w:val="82"/>
          <w:marBottom w:val="0"/>
          <w:divBdr>
            <w:top w:val="none" w:sz="0" w:space="0" w:color="auto"/>
            <w:left w:val="none" w:sz="0" w:space="0" w:color="auto"/>
            <w:bottom w:val="none" w:sz="0" w:space="0" w:color="auto"/>
            <w:right w:val="none" w:sz="0" w:space="0" w:color="auto"/>
          </w:divBdr>
        </w:div>
        <w:div w:id="1540821205">
          <w:marLeft w:val="547"/>
          <w:marRight w:val="0"/>
          <w:marTop w:val="82"/>
          <w:marBottom w:val="0"/>
          <w:divBdr>
            <w:top w:val="none" w:sz="0" w:space="0" w:color="auto"/>
            <w:left w:val="none" w:sz="0" w:space="0" w:color="auto"/>
            <w:bottom w:val="none" w:sz="0" w:space="0" w:color="auto"/>
            <w:right w:val="none" w:sz="0" w:space="0" w:color="auto"/>
          </w:divBdr>
        </w:div>
      </w:divsChild>
    </w:div>
    <w:div w:id="1042248920">
      <w:bodyDiv w:val="1"/>
      <w:marLeft w:val="0"/>
      <w:marRight w:val="0"/>
      <w:marTop w:val="0"/>
      <w:marBottom w:val="0"/>
      <w:divBdr>
        <w:top w:val="none" w:sz="0" w:space="0" w:color="auto"/>
        <w:left w:val="none" w:sz="0" w:space="0" w:color="auto"/>
        <w:bottom w:val="none" w:sz="0" w:space="0" w:color="auto"/>
        <w:right w:val="none" w:sz="0" w:space="0" w:color="auto"/>
      </w:divBdr>
    </w:div>
    <w:div w:id="1046761426">
      <w:bodyDiv w:val="1"/>
      <w:marLeft w:val="0"/>
      <w:marRight w:val="0"/>
      <w:marTop w:val="0"/>
      <w:marBottom w:val="0"/>
      <w:divBdr>
        <w:top w:val="none" w:sz="0" w:space="0" w:color="auto"/>
        <w:left w:val="none" w:sz="0" w:space="0" w:color="auto"/>
        <w:bottom w:val="none" w:sz="0" w:space="0" w:color="auto"/>
        <w:right w:val="none" w:sz="0" w:space="0" w:color="auto"/>
      </w:divBdr>
      <w:divsChild>
        <w:div w:id="1200240395">
          <w:marLeft w:val="547"/>
          <w:marRight w:val="0"/>
          <w:marTop w:val="106"/>
          <w:marBottom w:val="0"/>
          <w:divBdr>
            <w:top w:val="none" w:sz="0" w:space="0" w:color="auto"/>
            <w:left w:val="none" w:sz="0" w:space="0" w:color="auto"/>
            <w:bottom w:val="none" w:sz="0" w:space="0" w:color="auto"/>
            <w:right w:val="none" w:sz="0" w:space="0" w:color="auto"/>
          </w:divBdr>
        </w:div>
        <w:div w:id="1835100537">
          <w:marLeft w:val="547"/>
          <w:marRight w:val="0"/>
          <w:marTop w:val="106"/>
          <w:marBottom w:val="0"/>
          <w:divBdr>
            <w:top w:val="none" w:sz="0" w:space="0" w:color="auto"/>
            <w:left w:val="none" w:sz="0" w:space="0" w:color="auto"/>
            <w:bottom w:val="none" w:sz="0" w:space="0" w:color="auto"/>
            <w:right w:val="none" w:sz="0" w:space="0" w:color="auto"/>
          </w:divBdr>
        </w:div>
      </w:divsChild>
    </w:div>
    <w:div w:id="1239176036">
      <w:bodyDiv w:val="1"/>
      <w:marLeft w:val="0"/>
      <w:marRight w:val="0"/>
      <w:marTop w:val="0"/>
      <w:marBottom w:val="0"/>
      <w:divBdr>
        <w:top w:val="none" w:sz="0" w:space="0" w:color="auto"/>
        <w:left w:val="none" w:sz="0" w:space="0" w:color="auto"/>
        <w:bottom w:val="none" w:sz="0" w:space="0" w:color="auto"/>
        <w:right w:val="none" w:sz="0" w:space="0" w:color="auto"/>
      </w:divBdr>
    </w:div>
    <w:div w:id="1261135173">
      <w:bodyDiv w:val="1"/>
      <w:marLeft w:val="0"/>
      <w:marRight w:val="0"/>
      <w:marTop w:val="0"/>
      <w:marBottom w:val="0"/>
      <w:divBdr>
        <w:top w:val="none" w:sz="0" w:space="0" w:color="auto"/>
        <w:left w:val="none" w:sz="0" w:space="0" w:color="auto"/>
        <w:bottom w:val="none" w:sz="0" w:space="0" w:color="auto"/>
        <w:right w:val="none" w:sz="0" w:space="0" w:color="auto"/>
      </w:divBdr>
      <w:divsChild>
        <w:div w:id="632835312">
          <w:marLeft w:val="547"/>
          <w:marRight w:val="0"/>
          <w:marTop w:val="115"/>
          <w:marBottom w:val="0"/>
          <w:divBdr>
            <w:top w:val="none" w:sz="0" w:space="0" w:color="auto"/>
            <w:left w:val="none" w:sz="0" w:space="0" w:color="auto"/>
            <w:bottom w:val="none" w:sz="0" w:space="0" w:color="auto"/>
            <w:right w:val="none" w:sz="0" w:space="0" w:color="auto"/>
          </w:divBdr>
        </w:div>
        <w:div w:id="803737343">
          <w:marLeft w:val="547"/>
          <w:marRight w:val="0"/>
          <w:marTop w:val="115"/>
          <w:marBottom w:val="0"/>
          <w:divBdr>
            <w:top w:val="none" w:sz="0" w:space="0" w:color="auto"/>
            <w:left w:val="none" w:sz="0" w:space="0" w:color="auto"/>
            <w:bottom w:val="none" w:sz="0" w:space="0" w:color="auto"/>
            <w:right w:val="none" w:sz="0" w:space="0" w:color="auto"/>
          </w:divBdr>
        </w:div>
        <w:div w:id="1463572182">
          <w:marLeft w:val="547"/>
          <w:marRight w:val="0"/>
          <w:marTop w:val="115"/>
          <w:marBottom w:val="0"/>
          <w:divBdr>
            <w:top w:val="none" w:sz="0" w:space="0" w:color="auto"/>
            <w:left w:val="none" w:sz="0" w:space="0" w:color="auto"/>
            <w:bottom w:val="none" w:sz="0" w:space="0" w:color="auto"/>
            <w:right w:val="none" w:sz="0" w:space="0" w:color="auto"/>
          </w:divBdr>
        </w:div>
      </w:divsChild>
    </w:div>
    <w:div w:id="1332874663">
      <w:bodyDiv w:val="1"/>
      <w:marLeft w:val="0"/>
      <w:marRight w:val="0"/>
      <w:marTop w:val="0"/>
      <w:marBottom w:val="0"/>
      <w:divBdr>
        <w:top w:val="none" w:sz="0" w:space="0" w:color="auto"/>
        <w:left w:val="none" w:sz="0" w:space="0" w:color="auto"/>
        <w:bottom w:val="none" w:sz="0" w:space="0" w:color="auto"/>
        <w:right w:val="none" w:sz="0" w:space="0" w:color="auto"/>
      </w:divBdr>
    </w:div>
    <w:div w:id="1448085942">
      <w:bodyDiv w:val="1"/>
      <w:marLeft w:val="0"/>
      <w:marRight w:val="0"/>
      <w:marTop w:val="0"/>
      <w:marBottom w:val="0"/>
      <w:divBdr>
        <w:top w:val="none" w:sz="0" w:space="0" w:color="auto"/>
        <w:left w:val="none" w:sz="0" w:space="0" w:color="auto"/>
        <w:bottom w:val="none" w:sz="0" w:space="0" w:color="auto"/>
        <w:right w:val="none" w:sz="0" w:space="0" w:color="auto"/>
      </w:divBdr>
      <w:divsChild>
        <w:div w:id="125240172">
          <w:marLeft w:val="547"/>
          <w:marRight w:val="0"/>
          <w:marTop w:val="106"/>
          <w:marBottom w:val="0"/>
          <w:divBdr>
            <w:top w:val="none" w:sz="0" w:space="0" w:color="auto"/>
            <w:left w:val="none" w:sz="0" w:space="0" w:color="auto"/>
            <w:bottom w:val="none" w:sz="0" w:space="0" w:color="auto"/>
            <w:right w:val="none" w:sz="0" w:space="0" w:color="auto"/>
          </w:divBdr>
        </w:div>
        <w:div w:id="391125269">
          <w:marLeft w:val="547"/>
          <w:marRight w:val="0"/>
          <w:marTop w:val="106"/>
          <w:marBottom w:val="0"/>
          <w:divBdr>
            <w:top w:val="none" w:sz="0" w:space="0" w:color="auto"/>
            <w:left w:val="none" w:sz="0" w:space="0" w:color="auto"/>
            <w:bottom w:val="none" w:sz="0" w:space="0" w:color="auto"/>
            <w:right w:val="none" w:sz="0" w:space="0" w:color="auto"/>
          </w:divBdr>
        </w:div>
        <w:div w:id="503086300">
          <w:marLeft w:val="547"/>
          <w:marRight w:val="0"/>
          <w:marTop w:val="106"/>
          <w:marBottom w:val="0"/>
          <w:divBdr>
            <w:top w:val="none" w:sz="0" w:space="0" w:color="auto"/>
            <w:left w:val="none" w:sz="0" w:space="0" w:color="auto"/>
            <w:bottom w:val="none" w:sz="0" w:space="0" w:color="auto"/>
            <w:right w:val="none" w:sz="0" w:space="0" w:color="auto"/>
          </w:divBdr>
        </w:div>
        <w:div w:id="1162623435">
          <w:marLeft w:val="547"/>
          <w:marRight w:val="0"/>
          <w:marTop w:val="106"/>
          <w:marBottom w:val="0"/>
          <w:divBdr>
            <w:top w:val="none" w:sz="0" w:space="0" w:color="auto"/>
            <w:left w:val="none" w:sz="0" w:space="0" w:color="auto"/>
            <w:bottom w:val="none" w:sz="0" w:space="0" w:color="auto"/>
            <w:right w:val="none" w:sz="0" w:space="0" w:color="auto"/>
          </w:divBdr>
        </w:div>
        <w:div w:id="2095546269">
          <w:marLeft w:val="547"/>
          <w:marRight w:val="0"/>
          <w:marTop w:val="106"/>
          <w:marBottom w:val="0"/>
          <w:divBdr>
            <w:top w:val="none" w:sz="0" w:space="0" w:color="auto"/>
            <w:left w:val="none" w:sz="0" w:space="0" w:color="auto"/>
            <w:bottom w:val="none" w:sz="0" w:space="0" w:color="auto"/>
            <w:right w:val="none" w:sz="0" w:space="0" w:color="auto"/>
          </w:divBdr>
        </w:div>
      </w:divsChild>
    </w:div>
    <w:div w:id="1485002361">
      <w:bodyDiv w:val="1"/>
      <w:marLeft w:val="0"/>
      <w:marRight w:val="0"/>
      <w:marTop w:val="0"/>
      <w:marBottom w:val="0"/>
      <w:divBdr>
        <w:top w:val="none" w:sz="0" w:space="0" w:color="auto"/>
        <w:left w:val="none" w:sz="0" w:space="0" w:color="auto"/>
        <w:bottom w:val="none" w:sz="0" w:space="0" w:color="auto"/>
        <w:right w:val="none" w:sz="0" w:space="0" w:color="auto"/>
      </w:divBdr>
      <w:divsChild>
        <w:div w:id="319895932">
          <w:marLeft w:val="547"/>
          <w:marRight w:val="0"/>
          <w:marTop w:val="134"/>
          <w:marBottom w:val="0"/>
          <w:divBdr>
            <w:top w:val="none" w:sz="0" w:space="0" w:color="auto"/>
            <w:left w:val="none" w:sz="0" w:space="0" w:color="auto"/>
            <w:bottom w:val="none" w:sz="0" w:space="0" w:color="auto"/>
            <w:right w:val="none" w:sz="0" w:space="0" w:color="auto"/>
          </w:divBdr>
        </w:div>
        <w:div w:id="820582436">
          <w:marLeft w:val="547"/>
          <w:marRight w:val="0"/>
          <w:marTop w:val="134"/>
          <w:marBottom w:val="0"/>
          <w:divBdr>
            <w:top w:val="none" w:sz="0" w:space="0" w:color="auto"/>
            <w:left w:val="none" w:sz="0" w:space="0" w:color="auto"/>
            <w:bottom w:val="none" w:sz="0" w:space="0" w:color="auto"/>
            <w:right w:val="none" w:sz="0" w:space="0" w:color="auto"/>
          </w:divBdr>
        </w:div>
        <w:div w:id="2121217883">
          <w:marLeft w:val="547"/>
          <w:marRight w:val="0"/>
          <w:marTop w:val="134"/>
          <w:marBottom w:val="0"/>
          <w:divBdr>
            <w:top w:val="none" w:sz="0" w:space="0" w:color="auto"/>
            <w:left w:val="none" w:sz="0" w:space="0" w:color="auto"/>
            <w:bottom w:val="none" w:sz="0" w:space="0" w:color="auto"/>
            <w:right w:val="none" w:sz="0" w:space="0" w:color="auto"/>
          </w:divBdr>
        </w:div>
      </w:divsChild>
    </w:div>
    <w:div w:id="1584877481">
      <w:bodyDiv w:val="1"/>
      <w:marLeft w:val="0"/>
      <w:marRight w:val="0"/>
      <w:marTop w:val="0"/>
      <w:marBottom w:val="0"/>
      <w:divBdr>
        <w:top w:val="none" w:sz="0" w:space="0" w:color="auto"/>
        <w:left w:val="none" w:sz="0" w:space="0" w:color="auto"/>
        <w:bottom w:val="none" w:sz="0" w:space="0" w:color="auto"/>
        <w:right w:val="none" w:sz="0" w:space="0" w:color="auto"/>
      </w:divBdr>
      <w:divsChild>
        <w:div w:id="286744003">
          <w:marLeft w:val="547"/>
          <w:marRight w:val="0"/>
          <w:marTop w:val="115"/>
          <w:marBottom w:val="0"/>
          <w:divBdr>
            <w:top w:val="none" w:sz="0" w:space="0" w:color="auto"/>
            <w:left w:val="none" w:sz="0" w:space="0" w:color="auto"/>
            <w:bottom w:val="none" w:sz="0" w:space="0" w:color="auto"/>
            <w:right w:val="none" w:sz="0" w:space="0" w:color="auto"/>
          </w:divBdr>
        </w:div>
        <w:div w:id="289897360">
          <w:marLeft w:val="1166"/>
          <w:marRight w:val="0"/>
          <w:marTop w:val="96"/>
          <w:marBottom w:val="0"/>
          <w:divBdr>
            <w:top w:val="none" w:sz="0" w:space="0" w:color="auto"/>
            <w:left w:val="none" w:sz="0" w:space="0" w:color="auto"/>
            <w:bottom w:val="none" w:sz="0" w:space="0" w:color="auto"/>
            <w:right w:val="none" w:sz="0" w:space="0" w:color="auto"/>
          </w:divBdr>
        </w:div>
        <w:div w:id="321470567">
          <w:marLeft w:val="1166"/>
          <w:marRight w:val="0"/>
          <w:marTop w:val="96"/>
          <w:marBottom w:val="0"/>
          <w:divBdr>
            <w:top w:val="none" w:sz="0" w:space="0" w:color="auto"/>
            <w:left w:val="none" w:sz="0" w:space="0" w:color="auto"/>
            <w:bottom w:val="none" w:sz="0" w:space="0" w:color="auto"/>
            <w:right w:val="none" w:sz="0" w:space="0" w:color="auto"/>
          </w:divBdr>
        </w:div>
        <w:div w:id="327640973">
          <w:marLeft w:val="547"/>
          <w:marRight w:val="0"/>
          <w:marTop w:val="115"/>
          <w:marBottom w:val="0"/>
          <w:divBdr>
            <w:top w:val="none" w:sz="0" w:space="0" w:color="auto"/>
            <w:left w:val="none" w:sz="0" w:space="0" w:color="auto"/>
            <w:bottom w:val="none" w:sz="0" w:space="0" w:color="auto"/>
            <w:right w:val="none" w:sz="0" w:space="0" w:color="auto"/>
          </w:divBdr>
        </w:div>
        <w:div w:id="517353795">
          <w:marLeft w:val="1166"/>
          <w:marRight w:val="0"/>
          <w:marTop w:val="96"/>
          <w:marBottom w:val="0"/>
          <w:divBdr>
            <w:top w:val="none" w:sz="0" w:space="0" w:color="auto"/>
            <w:left w:val="none" w:sz="0" w:space="0" w:color="auto"/>
            <w:bottom w:val="none" w:sz="0" w:space="0" w:color="auto"/>
            <w:right w:val="none" w:sz="0" w:space="0" w:color="auto"/>
          </w:divBdr>
        </w:div>
        <w:div w:id="866719950">
          <w:marLeft w:val="547"/>
          <w:marRight w:val="0"/>
          <w:marTop w:val="115"/>
          <w:marBottom w:val="0"/>
          <w:divBdr>
            <w:top w:val="none" w:sz="0" w:space="0" w:color="auto"/>
            <w:left w:val="none" w:sz="0" w:space="0" w:color="auto"/>
            <w:bottom w:val="none" w:sz="0" w:space="0" w:color="auto"/>
            <w:right w:val="none" w:sz="0" w:space="0" w:color="auto"/>
          </w:divBdr>
        </w:div>
        <w:div w:id="1631520220">
          <w:marLeft w:val="547"/>
          <w:marRight w:val="0"/>
          <w:marTop w:val="115"/>
          <w:marBottom w:val="0"/>
          <w:divBdr>
            <w:top w:val="none" w:sz="0" w:space="0" w:color="auto"/>
            <w:left w:val="none" w:sz="0" w:space="0" w:color="auto"/>
            <w:bottom w:val="none" w:sz="0" w:space="0" w:color="auto"/>
            <w:right w:val="none" w:sz="0" w:space="0" w:color="auto"/>
          </w:divBdr>
        </w:div>
      </w:divsChild>
    </w:div>
    <w:div w:id="1588880712">
      <w:bodyDiv w:val="1"/>
      <w:marLeft w:val="0"/>
      <w:marRight w:val="0"/>
      <w:marTop w:val="0"/>
      <w:marBottom w:val="0"/>
      <w:divBdr>
        <w:top w:val="none" w:sz="0" w:space="0" w:color="auto"/>
        <w:left w:val="none" w:sz="0" w:space="0" w:color="auto"/>
        <w:bottom w:val="none" w:sz="0" w:space="0" w:color="auto"/>
        <w:right w:val="none" w:sz="0" w:space="0" w:color="auto"/>
      </w:divBdr>
      <w:divsChild>
        <w:div w:id="888876115">
          <w:marLeft w:val="547"/>
          <w:marRight w:val="0"/>
          <w:marTop w:val="115"/>
          <w:marBottom w:val="0"/>
          <w:divBdr>
            <w:top w:val="none" w:sz="0" w:space="0" w:color="auto"/>
            <w:left w:val="none" w:sz="0" w:space="0" w:color="auto"/>
            <w:bottom w:val="none" w:sz="0" w:space="0" w:color="auto"/>
            <w:right w:val="none" w:sz="0" w:space="0" w:color="auto"/>
          </w:divBdr>
        </w:div>
        <w:div w:id="1565529455">
          <w:marLeft w:val="547"/>
          <w:marRight w:val="0"/>
          <w:marTop w:val="115"/>
          <w:marBottom w:val="0"/>
          <w:divBdr>
            <w:top w:val="none" w:sz="0" w:space="0" w:color="auto"/>
            <w:left w:val="none" w:sz="0" w:space="0" w:color="auto"/>
            <w:bottom w:val="none" w:sz="0" w:space="0" w:color="auto"/>
            <w:right w:val="none" w:sz="0" w:space="0" w:color="auto"/>
          </w:divBdr>
        </w:div>
        <w:div w:id="2053311756">
          <w:marLeft w:val="547"/>
          <w:marRight w:val="0"/>
          <w:marTop w:val="115"/>
          <w:marBottom w:val="0"/>
          <w:divBdr>
            <w:top w:val="none" w:sz="0" w:space="0" w:color="auto"/>
            <w:left w:val="none" w:sz="0" w:space="0" w:color="auto"/>
            <w:bottom w:val="none" w:sz="0" w:space="0" w:color="auto"/>
            <w:right w:val="none" w:sz="0" w:space="0" w:color="auto"/>
          </w:divBdr>
        </w:div>
      </w:divsChild>
    </w:div>
    <w:div w:id="1588997875">
      <w:bodyDiv w:val="1"/>
      <w:marLeft w:val="0"/>
      <w:marRight w:val="0"/>
      <w:marTop w:val="0"/>
      <w:marBottom w:val="0"/>
      <w:divBdr>
        <w:top w:val="none" w:sz="0" w:space="0" w:color="auto"/>
        <w:left w:val="none" w:sz="0" w:space="0" w:color="auto"/>
        <w:bottom w:val="none" w:sz="0" w:space="0" w:color="auto"/>
        <w:right w:val="none" w:sz="0" w:space="0" w:color="auto"/>
      </w:divBdr>
      <w:divsChild>
        <w:div w:id="405222825">
          <w:marLeft w:val="547"/>
          <w:marRight w:val="0"/>
          <w:marTop w:val="96"/>
          <w:marBottom w:val="0"/>
          <w:divBdr>
            <w:top w:val="none" w:sz="0" w:space="0" w:color="auto"/>
            <w:left w:val="none" w:sz="0" w:space="0" w:color="auto"/>
            <w:bottom w:val="none" w:sz="0" w:space="0" w:color="auto"/>
            <w:right w:val="none" w:sz="0" w:space="0" w:color="auto"/>
          </w:divBdr>
        </w:div>
        <w:div w:id="650405471">
          <w:marLeft w:val="547"/>
          <w:marRight w:val="0"/>
          <w:marTop w:val="96"/>
          <w:marBottom w:val="0"/>
          <w:divBdr>
            <w:top w:val="none" w:sz="0" w:space="0" w:color="auto"/>
            <w:left w:val="none" w:sz="0" w:space="0" w:color="auto"/>
            <w:bottom w:val="none" w:sz="0" w:space="0" w:color="auto"/>
            <w:right w:val="none" w:sz="0" w:space="0" w:color="auto"/>
          </w:divBdr>
        </w:div>
        <w:div w:id="1577087608">
          <w:marLeft w:val="547"/>
          <w:marRight w:val="0"/>
          <w:marTop w:val="96"/>
          <w:marBottom w:val="0"/>
          <w:divBdr>
            <w:top w:val="none" w:sz="0" w:space="0" w:color="auto"/>
            <w:left w:val="none" w:sz="0" w:space="0" w:color="auto"/>
            <w:bottom w:val="none" w:sz="0" w:space="0" w:color="auto"/>
            <w:right w:val="none" w:sz="0" w:space="0" w:color="auto"/>
          </w:divBdr>
        </w:div>
        <w:div w:id="1602838319">
          <w:marLeft w:val="547"/>
          <w:marRight w:val="0"/>
          <w:marTop w:val="96"/>
          <w:marBottom w:val="0"/>
          <w:divBdr>
            <w:top w:val="none" w:sz="0" w:space="0" w:color="auto"/>
            <w:left w:val="none" w:sz="0" w:space="0" w:color="auto"/>
            <w:bottom w:val="none" w:sz="0" w:space="0" w:color="auto"/>
            <w:right w:val="none" w:sz="0" w:space="0" w:color="auto"/>
          </w:divBdr>
        </w:div>
        <w:div w:id="1947998292">
          <w:marLeft w:val="547"/>
          <w:marRight w:val="0"/>
          <w:marTop w:val="96"/>
          <w:marBottom w:val="0"/>
          <w:divBdr>
            <w:top w:val="none" w:sz="0" w:space="0" w:color="auto"/>
            <w:left w:val="none" w:sz="0" w:space="0" w:color="auto"/>
            <w:bottom w:val="none" w:sz="0" w:space="0" w:color="auto"/>
            <w:right w:val="none" w:sz="0" w:space="0" w:color="auto"/>
          </w:divBdr>
        </w:div>
      </w:divsChild>
    </w:div>
    <w:div w:id="1634406327">
      <w:bodyDiv w:val="1"/>
      <w:marLeft w:val="0"/>
      <w:marRight w:val="0"/>
      <w:marTop w:val="0"/>
      <w:marBottom w:val="0"/>
      <w:divBdr>
        <w:top w:val="none" w:sz="0" w:space="0" w:color="auto"/>
        <w:left w:val="none" w:sz="0" w:space="0" w:color="auto"/>
        <w:bottom w:val="none" w:sz="0" w:space="0" w:color="auto"/>
        <w:right w:val="none" w:sz="0" w:space="0" w:color="auto"/>
      </w:divBdr>
      <w:divsChild>
        <w:div w:id="494690533">
          <w:marLeft w:val="1627"/>
          <w:marRight w:val="0"/>
          <w:marTop w:val="0"/>
          <w:marBottom w:val="0"/>
          <w:divBdr>
            <w:top w:val="none" w:sz="0" w:space="0" w:color="auto"/>
            <w:left w:val="none" w:sz="0" w:space="0" w:color="auto"/>
            <w:bottom w:val="none" w:sz="0" w:space="0" w:color="auto"/>
            <w:right w:val="none" w:sz="0" w:space="0" w:color="auto"/>
          </w:divBdr>
        </w:div>
        <w:div w:id="1701779363">
          <w:marLeft w:val="1627"/>
          <w:marRight w:val="0"/>
          <w:marTop w:val="0"/>
          <w:marBottom w:val="0"/>
          <w:divBdr>
            <w:top w:val="none" w:sz="0" w:space="0" w:color="auto"/>
            <w:left w:val="none" w:sz="0" w:space="0" w:color="auto"/>
            <w:bottom w:val="none" w:sz="0" w:space="0" w:color="auto"/>
            <w:right w:val="none" w:sz="0" w:space="0" w:color="auto"/>
          </w:divBdr>
        </w:div>
      </w:divsChild>
    </w:div>
    <w:div w:id="1727800202">
      <w:bodyDiv w:val="1"/>
      <w:marLeft w:val="0"/>
      <w:marRight w:val="0"/>
      <w:marTop w:val="0"/>
      <w:marBottom w:val="0"/>
      <w:divBdr>
        <w:top w:val="none" w:sz="0" w:space="0" w:color="auto"/>
        <w:left w:val="none" w:sz="0" w:space="0" w:color="auto"/>
        <w:bottom w:val="none" w:sz="0" w:space="0" w:color="auto"/>
        <w:right w:val="none" w:sz="0" w:space="0" w:color="auto"/>
      </w:divBdr>
      <w:divsChild>
        <w:div w:id="559093533">
          <w:marLeft w:val="547"/>
          <w:marRight w:val="0"/>
          <w:marTop w:val="106"/>
          <w:marBottom w:val="0"/>
          <w:divBdr>
            <w:top w:val="none" w:sz="0" w:space="0" w:color="auto"/>
            <w:left w:val="none" w:sz="0" w:space="0" w:color="auto"/>
            <w:bottom w:val="none" w:sz="0" w:space="0" w:color="auto"/>
            <w:right w:val="none" w:sz="0" w:space="0" w:color="auto"/>
          </w:divBdr>
        </w:div>
        <w:div w:id="1326737168">
          <w:marLeft w:val="547"/>
          <w:marRight w:val="0"/>
          <w:marTop w:val="106"/>
          <w:marBottom w:val="0"/>
          <w:divBdr>
            <w:top w:val="none" w:sz="0" w:space="0" w:color="auto"/>
            <w:left w:val="none" w:sz="0" w:space="0" w:color="auto"/>
            <w:bottom w:val="none" w:sz="0" w:space="0" w:color="auto"/>
            <w:right w:val="none" w:sz="0" w:space="0" w:color="auto"/>
          </w:divBdr>
        </w:div>
        <w:div w:id="1839802627">
          <w:marLeft w:val="547"/>
          <w:marRight w:val="0"/>
          <w:marTop w:val="106"/>
          <w:marBottom w:val="0"/>
          <w:divBdr>
            <w:top w:val="none" w:sz="0" w:space="0" w:color="auto"/>
            <w:left w:val="none" w:sz="0" w:space="0" w:color="auto"/>
            <w:bottom w:val="none" w:sz="0" w:space="0" w:color="auto"/>
            <w:right w:val="none" w:sz="0" w:space="0" w:color="auto"/>
          </w:divBdr>
        </w:div>
      </w:divsChild>
    </w:div>
    <w:div w:id="1728991325">
      <w:bodyDiv w:val="1"/>
      <w:marLeft w:val="0"/>
      <w:marRight w:val="0"/>
      <w:marTop w:val="0"/>
      <w:marBottom w:val="0"/>
      <w:divBdr>
        <w:top w:val="none" w:sz="0" w:space="0" w:color="auto"/>
        <w:left w:val="none" w:sz="0" w:space="0" w:color="auto"/>
        <w:bottom w:val="none" w:sz="0" w:space="0" w:color="auto"/>
        <w:right w:val="none" w:sz="0" w:space="0" w:color="auto"/>
      </w:divBdr>
      <w:divsChild>
        <w:div w:id="202834277">
          <w:marLeft w:val="547"/>
          <w:marRight w:val="0"/>
          <w:marTop w:val="106"/>
          <w:marBottom w:val="0"/>
          <w:divBdr>
            <w:top w:val="none" w:sz="0" w:space="0" w:color="auto"/>
            <w:left w:val="none" w:sz="0" w:space="0" w:color="auto"/>
            <w:bottom w:val="none" w:sz="0" w:space="0" w:color="auto"/>
            <w:right w:val="none" w:sz="0" w:space="0" w:color="auto"/>
          </w:divBdr>
        </w:div>
        <w:div w:id="1237474950">
          <w:marLeft w:val="547"/>
          <w:marRight w:val="0"/>
          <w:marTop w:val="106"/>
          <w:marBottom w:val="0"/>
          <w:divBdr>
            <w:top w:val="none" w:sz="0" w:space="0" w:color="auto"/>
            <w:left w:val="none" w:sz="0" w:space="0" w:color="auto"/>
            <w:bottom w:val="none" w:sz="0" w:space="0" w:color="auto"/>
            <w:right w:val="none" w:sz="0" w:space="0" w:color="auto"/>
          </w:divBdr>
        </w:div>
        <w:div w:id="1482304554">
          <w:marLeft w:val="547"/>
          <w:marRight w:val="0"/>
          <w:marTop w:val="106"/>
          <w:marBottom w:val="0"/>
          <w:divBdr>
            <w:top w:val="none" w:sz="0" w:space="0" w:color="auto"/>
            <w:left w:val="none" w:sz="0" w:space="0" w:color="auto"/>
            <w:bottom w:val="none" w:sz="0" w:space="0" w:color="auto"/>
            <w:right w:val="none" w:sz="0" w:space="0" w:color="auto"/>
          </w:divBdr>
        </w:div>
        <w:div w:id="1486362340">
          <w:marLeft w:val="547"/>
          <w:marRight w:val="0"/>
          <w:marTop w:val="106"/>
          <w:marBottom w:val="0"/>
          <w:divBdr>
            <w:top w:val="none" w:sz="0" w:space="0" w:color="auto"/>
            <w:left w:val="none" w:sz="0" w:space="0" w:color="auto"/>
            <w:bottom w:val="none" w:sz="0" w:space="0" w:color="auto"/>
            <w:right w:val="none" w:sz="0" w:space="0" w:color="auto"/>
          </w:divBdr>
        </w:div>
      </w:divsChild>
    </w:div>
    <w:div w:id="1730575521">
      <w:bodyDiv w:val="1"/>
      <w:marLeft w:val="0"/>
      <w:marRight w:val="0"/>
      <w:marTop w:val="0"/>
      <w:marBottom w:val="0"/>
      <w:divBdr>
        <w:top w:val="none" w:sz="0" w:space="0" w:color="auto"/>
        <w:left w:val="none" w:sz="0" w:space="0" w:color="auto"/>
        <w:bottom w:val="none" w:sz="0" w:space="0" w:color="auto"/>
        <w:right w:val="none" w:sz="0" w:space="0" w:color="auto"/>
      </w:divBdr>
    </w:div>
    <w:div w:id="1739399391">
      <w:bodyDiv w:val="1"/>
      <w:marLeft w:val="0"/>
      <w:marRight w:val="0"/>
      <w:marTop w:val="0"/>
      <w:marBottom w:val="0"/>
      <w:divBdr>
        <w:top w:val="none" w:sz="0" w:space="0" w:color="auto"/>
        <w:left w:val="none" w:sz="0" w:space="0" w:color="auto"/>
        <w:bottom w:val="none" w:sz="0" w:space="0" w:color="auto"/>
        <w:right w:val="none" w:sz="0" w:space="0" w:color="auto"/>
      </w:divBdr>
    </w:div>
    <w:div w:id="1774786044">
      <w:bodyDiv w:val="1"/>
      <w:marLeft w:val="0"/>
      <w:marRight w:val="0"/>
      <w:marTop w:val="0"/>
      <w:marBottom w:val="0"/>
      <w:divBdr>
        <w:top w:val="none" w:sz="0" w:space="0" w:color="auto"/>
        <w:left w:val="none" w:sz="0" w:space="0" w:color="auto"/>
        <w:bottom w:val="none" w:sz="0" w:space="0" w:color="auto"/>
        <w:right w:val="none" w:sz="0" w:space="0" w:color="auto"/>
      </w:divBdr>
    </w:div>
    <w:div w:id="1801919690">
      <w:bodyDiv w:val="1"/>
      <w:marLeft w:val="0"/>
      <w:marRight w:val="0"/>
      <w:marTop w:val="0"/>
      <w:marBottom w:val="0"/>
      <w:divBdr>
        <w:top w:val="none" w:sz="0" w:space="0" w:color="auto"/>
        <w:left w:val="none" w:sz="0" w:space="0" w:color="auto"/>
        <w:bottom w:val="none" w:sz="0" w:space="0" w:color="auto"/>
        <w:right w:val="none" w:sz="0" w:space="0" w:color="auto"/>
      </w:divBdr>
    </w:div>
    <w:div w:id="1813713233">
      <w:bodyDiv w:val="1"/>
      <w:marLeft w:val="0"/>
      <w:marRight w:val="0"/>
      <w:marTop w:val="0"/>
      <w:marBottom w:val="0"/>
      <w:divBdr>
        <w:top w:val="none" w:sz="0" w:space="0" w:color="auto"/>
        <w:left w:val="none" w:sz="0" w:space="0" w:color="auto"/>
        <w:bottom w:val="none" w:sz="0" w:space="0" w:color="auto"/>
        <w:right w:val="none" w:sz="0" w:space="0" w:color="auto"/>
      </w:divBdr>
      <w:divsChild>
        <w:div w:id="113914022">
          <w:marLeft w:val="547"/>
          <w:marRight w:val="0"/>
          <w:marTop w:val="115"/>
          <w:marBottom w:val="0"/>
          <w:divBdr>
            <w:top w:val="none" w:sz="0" w:space="0" w:color="auto"/>
            <w:left w:val="none" w:sz="0" w:space="0" w:color="auto"/>
            <w:bottom w:val="none" w:sz="0" w:space="0" w:color="auto"/>
            <w:right w:val="none" w:sz="0" w:space="0" w:color="auto"/>
          </w:divBdr>
        </w:div>
        <w:div w:id="177894506">
          <w:marLeft w:val="547"/>
          <w:marRight w:val="0"/>
          <w:marTop w:val="115"/>
          <w:marBottom w:val="0"/>
          <w:divBdr>
            <w:top w:val="none" w:sz="0" w:space="0" w:color="auto"/>
            <w:left w:val="none" w:sz="0" w:space="0" w:color="auto"/>
            <w:bottom w:val="none" w:sz="0" w:space="0" w:color="auto"/>
            <w:right w:val="none" w:sz="0" w:space="0" w:color="auto"/>
          </w:divBdr>
        </w:div>
        <w:div w:id="327174833">
          <w:marLeft w:val="547"/>
          <w:marRight w:val="0"/>
          <w:marTop w:val="115"/>
          <w:marBottom w:val="0"/>
          <w:divBdr>
            <w:top w:val="none" w:sz="0" w:space="0" w:color="auto"/>
            <w:left w:val="none" w:sz="0" w:space="0" w:color="auto"/>
            <w:bottom w:val="none" w:sz="0" w:space="0" w:color="auto"/>
            <w:right w:val="none" w:sz="0" w:space="0" w:color="auto"/>
          </w:divBdr>
        </w:div>
        <w:div w:id="1888029491">
          <w:marLeft w:val="547"/>
          <w:marRight w:val="0"/>
          <w:marTop w:val="115"/>
          <w:marBottom w:val="0"/>
          <w:divBdr>
            <w:top w:val="none" w:sz="0" w:space="0" w:color="auto"/>
            <w:left w:val="none" w:sz="0" w:space="0" w:color="auto"/>
            <w:bottom w:val="none" w:sz="0" w:space="0" w:color="auto"/>
            <w:right w:val="none" w:sz="0" w:space="0" w:color="auto"/>
          </w:divBdr>
        </w:div>
      </w:divsChild>
    </w:div>
    <w:div w:id="1854369524">
      <w:bodyDiv w:val="1"/>
      <w:marLeft w:val="0"/>
      <w:marRight w:val="0"/>
      <w:marTop w:val="0"/>
      <w:marBottom w:val="0"/>
      <w:divBdr>
        <w:top w:val="none" w:sz="0" w:space="0" w:color="auto"/>
        <w:left w:val="none" w:sz="0" w:space="0" w:color="auto"/>
        <w:bottom w:val="none" w:sz="0" w:space="0" w:color="auto"/>
        <w:right w:val="none" w:sz="0" w:space="0" w:color="auto"/>
      </w:divBdr>
      <w:divsChild>
        <w:div w:id="383482024">
          <w:marLeft w:val="547"/>
          <w:marRight w:val="0"/>
          <w:marTop w:val="115"/>
          <w:marBottom w:val="0"/>
          <w:divBdr>
            <w:top w:val="none" w:sz="0" w:space="0" w:color="auto"/>
            <w:left w:val="none" w:sz="0" w:space="0" w:color="auto"/>
            <w:bottom w:val="none" w:sz="0" w:space="0" w:color="auto"/>
            <w:right w:val="none" w:sz="0" w:space="0" w:color="auto"/>
          </w:divBdr>
        </w:div>
        <w:div w:id="1406296078">
          <w:marLeft w:val="547"/>
          <w:marRight w:val="0"/>
          <w:marTop w:val="115"/>
          <w:marBottom w:val="0"/>
          <w:divBdr>
            <w:top w:val="none" w:sz="0" w:space="0" w:color="auto"/>
            <w:left w:val="none" w:sz="0" w:space="0" w:color="auto"/>
            <w:bottom w:val="none" w:sz="0" w:space="0" w:color="auto"/>
            <w:right w:val="none" w:sz="0" w:space="0" w:color="auto"/>
          </w:divBdr>
        </w:div>
        <w:div w:id="1709913112">
          <w:marLeft w:val="547"/>
          <w:marRight w:val="0"/>
          <w:marTop w:val="115"/>
          <w:marBottom w:val="0"/>
          <w:divBdr>
            <w:top w:val="none" w:sz="0" w:space="0" w:color="auto"/>
            <w:left w:val="none" w:sz="0" w:space="0" w:color="auto"/>
            <w:bottom w:val="none" w:sz="0" w:space="0" w:color="auto"/>
            <w:right w:val="none" w:sz="0" w:space="0" w:color="auto"/>
          </w:divBdr>
        </w:div>
      </w:divsChild>
    </w:div>
    <w:div w:id="1898583516">
      <w:bodyDiv w:val="1"/>
      <w:marLeft w:val="0"/>
      <w:marRight w:val="0"/>
      <w:marTop w:val="0"/>
      <w:marBottom w:val="0"/>
      <w:divBdr>
        <w:top w:val="none" w:sz="0" w:space="0" w:color="auto"/>
        <w:left w:val="none" w:sz="0" w:space="0" w:color="auto"/>
        <w:bottom w:val="none" w:sz="0" w:space="0" w:color="auto"/>
        <w:right w:val="none" w:sz="0" w:space="0" w:color="auto"/>
      </w:divBdr>
    </w:div>
    <w:div w:id="1928610624">
      <w:bodyDiv w:val="1"/>
      <w:marLeft w:val="0"/>
      <w:marRight w:val="0"/>
      <w:marTop w:val="0"/>
      <w:marBottom w:val="0"/>
      <w:divBdr>
        <w:top w:val="none" w:sz="0" w:space="0" w:color="auto"/>
        <w:left w:val="none" w:sz="0" w:space="0" w:color="auto"/>
        <w:bottom w:val="none" w:sz="0" w:space="0" w:color="auto"/>
        <w:right w:val="none" w:sz="0" w:space="0" w:color="auto"/>
      </w:divBdr>
      <w:divsChild>
        <w:div w:id="1369406299">
          <w:marLeft w:val="0"/>
          <w:marRight w:val="0"/>
          <w:marTop w:val="0"/>
          <w:marBottom w:val="0"/>
          <w:divBdr>
            <w:top w:val="none" w:sz="0" w:space="0" w:color="auto"/>
            <w:left w:val="none" w:sz="0" w:space="0" w:color="auto"/>
            <w:bottom w:val="none" w:sz="0" w:space="0" w:color="auto"/>
            <w:right w:val="none" w:sz="0" w:space="0" w:color="auto"/>
          </w:divBdr>
          <w:divsChild>
            <w:div w:id="1932422864">
              <w:marLeft w:val="0"/>
              <w:marRight w:val="0"/>
              <w:marTop w:val="0"/>
              <w:marBottom w:val="0"/>
              <w:divBdr>
                <w:top w:val="none" w:sz="0" w:space="0" w:color="auto"/>
                <w:left w:val="none" w:sz="0" w:space="0" w:color="auto"/>
                <w:bottom w:val="none" w:sz="0" w:space="0" w:color="auto"/>
                <w:right w:val="none" w:sz="0" w:space="0" w:color="auto"/>
              </w:divBdr>
              <w:divsChild>
                <w:div w:id="1175730700">
                  <w:marLeft w:val="0"/>
                  <w:marRight w:val="0"/>
                  <w:marTop w:val="0"/>
                  <w:marBottom w:val="0"/>
                  <w:divBdr>
                    <w:top w:val="none" w:sz="0" w:space="0" w:color="auto"/>
                    <w:left w:val="none" w:sz="0" w:space="0" w:color="auto"/>
                    <w:bottom w:val="none" w:sz="0" w:space="0" w:color="auto"/>
                    <w:right w:val="none" w:sz="0" w:space="0" w:color="auto"/>
                  </w:divBdr>
                </w:div>
              </w:divsChild>
            </w:div>
            <w:div w:id="153302029">
              <w:marLeft w:val="0"/>
              <w:marRight w:val="0"/>
              <w:marTop w:val="0"/>
              <w:marBottom w:val="0"/>
              <w:divBdr>
                <w:top w:val="none" w:sz="0" w:space="0" w:color="auto"/>
                <w:left w:val="none" w:sz="0" w:space="0" w:color="auto"/>
                <w:bottom w:val="none" w:sz="0" w:space="0" w:color="auto"/>
                <w:right w:val="none" w:sz="0" w:space="0" w:color="auto"/>
              </w:divBdr>
            </w:div>
            <w:div w:id="2280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06177">
      <w:bodyDiv w:val="1"/>
      <w:marLeft w:val="0"/>
      <w:marRight w:val="0"/>
      <w:marTop w:val="0"/>
      <w:marBottom w:val="0"/>
      <w:divBdr>
        <w:top w:val="none" w:sz="0" w:space="0" w:color="auto"/>
        <w:left w:val="none" w:sz="0" w:space="0" w:color="auto"/>
        <w:bottom w:val="none" w:sz="0" w:space="0" w:color="auto"/>
        <w:right w:val="none" w:sz="0" w:space="0" w:color="auto"/>
      </w:divBdr>
    </w:div>
    <w:div w:id="1980957063">
      <w:bodyDiv w:val="1"/>
      <w:marLeft w:val="0"/>
      <w:marRight w:val="0"/>
      <w:marTop w:val="0"/>
      <w:marBottom w:val="0"/>
      <w:divBdr>
        <w:top w:val="none" w:sz="0" w:space="0" w:color="auto"/>
        <w:left w:val="none" w:sz="0" w:space="0" w:color="auto"/>
        <w:bottom w:val="none" w:sz="0" w:space="0" w:color="auto"/>
        <w:right w:val="none" w:sz="0" w:space="0" w:color="auto"/>
      </w:divBdr>
      <w:divsChild>
        <w:div w:id="1388336437">
          <w:marLeft w:val="547"/>
          <w:marRight w:val="0"/>
          <w:marTop w:val="115"/>
          <w:marBottom w:val="0"/>
          <w:divBdr>
            <w:top w:val="none" w:sz="0" w:space="0" w:color="auto"/>
            <w:left w:val="none" w:sz="0" w:space="0" w:color="auto"/>
            <w:bottom w:val="none" w:sz="0" w:space="0" w:color="auto"/>
            <w:right w:val="none" w:sz="0" w:space="0" w:color="auto"/>
          </w:divBdr>
        </w:div>
        <w:div w:id="2012757756">
          <w:marLeft w:val="547"/>
          <w:marRight w:val="0"/>
          <w:marTop w:val="115"/>
          <w:marBottom w:val="0"/>
          <w:divBdr>
            <w:top w:val="none" w:sz="0" w:space="0" w:color="auto"/>
            <w:left w:val="none" w:sz="0" w:space="0" w:color="auto"/>
            <w:bottom w:val="none" w:sz="0" w:space="0" w:color="auto"/>
            <w:right w:val="none" w:sz="0" w:space="0" w:color="auto"/>
          </w:divBdr>
        </w:div>
      </w:divsChild>
    </w:div>
    <w:div w:id="1994212487">
      <w:bodyDiv w:val="1"/>
      <w:marLeft w:val="0"/>
      <w:marRight w:val="0"/>
      <w:marTop w:val="0"/>
      <w:marBottom w:val="0"/>
      <w:divBdr>
        <w:top w:val="none" w:sz="0" w:space="0" w:color="auto"/>
        <w:left w:val="none" w:sz="0" w:space="0" w:color="auto"/>
        <w:bottom w:val="none" w:sz="0" w:space="0" w:color="auto"/>
        <w:right w:val="none" w:sz="0" w:space="0" w:color="auto"/>
      </w:divBdr>
      <w:divsChild>
        <w:div w:id="274097945">
          <w:marLeft w:val="547"/>
          <w:marRight w:val="0"/>
          <w:marTop w:val="96"/>
          <w:marBottom w:val="0"/>
          <w:divBdr>
            <w:top w:val="none" w:sz="0" w:space="0" w:color="auto"/>
            <w:left w:val="none" w:sz="0" w:space="0" w:color="auto"/>
            <w:bottom w:val="none" w:sz="0" w:space="0" w:color="auto"/>
            <w:right w:val="none" w:sz="0" w:space="0" w:color="auto"/>
          </w:divBdr>
        </w:div>
        <w:div w:id="1052924997">
          <w:marLeft w:val="547"/>
          <w:marRight w:val="0"/>
          <w:marTop w:val="96"/>
          <w:marBottom w:val="0"/>
          <w:divBdr>
            <w:top w:val="none" w:sz="0" w:space="0" w:color="auto"/>
            <w:left w:val="none" w:sz="0" w:space="0" w:color="auto"/>
            <w:bottom w:val="none" w:sz="0" w:space="0" w:color="auto"/>
            <w:right w:val="none" w:sz="0" w:space="0" w:color="auto"/>
          </w:divBdr>
        </w:div>
        <w:div w:id="1218856753">
          <w:marLeft w:val="547"/>
          <w:marRight w:val="0"/>
          <w:marTop w:val="96"/>
          <w:marBottom w:val="0"/>
          <w:divBdr>
            <w:top w:val="none" w:sz="0" w:space="0" w:color="auto"/>
            <w:left w:val="none" w:sz="0" w:space="0" w:color="auto"/>
            <w:bottom w:val="none" w:sz="0" w:space="0" w:color="auto"/>
            <w:right w:val="none" w:sz="0" w:space="0" w:color="auto"/>
          </w:divBdr>
        </w:div>
        <w:div w:id="1710757699">
          <w:marLeft w:val="547"/>
          <w:marRight w:val="0"/>
          <w:marTop w:val="96"/>
          <w:marBottom w:val="0"/>
          <w:divBdr>
            <w:top w:val="none" w:sz="0" w:space="0" w:color="auto"/>
            <w:left w:val="none" w:sz="0" w:space="0" w:color="auto"/>
            <w:bottom w:val="none" w:sz="0" w:space="0" w:color="auto"/>
            <w:right w:val="none" w:sz="0" w:space="0" w:color="auto"/>
          </w:divBdr>
        </w:div>
      </w:divsChild>
    </w:div>
    <w:div w:id="2122873602">
      <w:bodyDiv w:val="1"/>
      <w:marLeft w:val="0"/>
      <w:marRight w:val="0"/>
      <w:marTop w:val="0"/>
      <w:marBottom w:val="0"/>
      <w:divBdr>
        <w:top w:val="none" w:sz="0" w:space="0" w:color="auto"/>
        <w:left w:val="none" w:sz="0" w:space="0" w:color="auto"/>
        <w:bottom w:val="none" w:sz="0" w:space="0" w:color="auto"/>
        <w:right w:val="none" w:sz="0" w:space="0" w:color="auto"/>
      </w:divBdr>
    </w:div>
    <w:div w:id="2139913564">
      <w:bodyDiv w:val="1"/>
      <w:marLeft w:val="0"/>
      <w:marRight w:val="0"/>
      <w:marTop w:val="0"/>
      <w:marBottom w:val="0"/>
      <w:divBdr>
        <w:top w:val="none" w:sz="0" w:space="0" w:color="auto"/>
        <w:left w:val="none" w:sz="0" w:space="0" w:color="auto"/>
        <w:bottom w:val="none" w:sz="0" w:space="0" w:color="auto"/>
        <w:right w:val="none" w:sz="0" w:space="0" w:color="auto"/>
      </w:divBdr>
      <w:divsChild>
        <w:div w:id="139002335">
          <w:marLeft w:val="547"/>
          <w:marRight w:val="0"/>
          <w:marTop w:val="115"/>
          <w:marBottom w:val="0"/>
          <w:divBdr>
            <w:top w:val="none" w:sz="0" w:space="0" w:color="auto"/>
            <w:left w:val="none" w:sz="0" w:space="0" w:color="auto"/>
            <w:bottom w:val="none" w:sz="0" w:space="0" w:color="auto"/>
            <w:right w:val="none" w:sz="0" w:space="0" w:color="auto"/>
          </w:divBdr>
        </w:div>
        <w:div w:id="530611131">
          <w:marLeft w:val="547"/>
          <w:marRight w:val="0"/>
          <w:marTop w:val="115"/>
          <w:marBottom w:val="0"/>
          <w:divBdr>
            <w:top w:val="none" w:sz="0" w:space="0" w:color="auto"/>
            <w:left w:val="none" w:sz="0" w:space="0" w:color="auto"/>
            <w:bottom w:val="none" w:sz="0" w:space="0" w:color="auto"/>
            <w:right w:val="none" w:sz="0" w:space="0" w:color="auto"/>
          </w:divBdr>
        </w:div>
        <w:div w:id="559098873">
          <w:marLeft w:val="547"/>
          <w:marRight w:val="0"/>
          <w:marTop w:val="115"/>
          <w:marBottom w:val="0"/>
          <w:divBdr>
            <w:top w:val="none" w:sz="0" w:space="0" w:color="auto"/>
            <w:left w:val="none" w:sz="0" w:space="0" w:color="auto"/>
            <w:bottom w:val="none" w:sz="0" w:space="0" w:color="auto"/>
            <w:right w:val="none" w:sz="0" w:space="0" w:color="auto"/>
          </w:divBdr>
        </w:div>
        <w:div w:id="834295794">
          <w:marLeft w:val="547"/>
          <w:marRight w:val="0"/>
          <w:marTop w:val="115"/>
          <w:marBottom w:val="0"/>
          <w:divBdr>
            <w:top w:val="none" w:sz="0" w:space="0" w:color="auto"/>
            <w:left w:val="none" w:sz="0" w:space="0" w:color="auto"/>
            <w:bottom w:val="none" w:sz="0" w:space="0" w:color="auto"/>
            <w:right w:val="none" w:sz="0" w:space="0" w:color="auto"/>
          </w:divBdr>
        </w:div>
        <w:div w:id="1667394274">
          <w:marLeft w:val="547"/>
          <w:marRight w:val="0"/>
          <w:marTop w:val="115"/>
          <w:marBottom w:val="0"/>
          <w:divBdr>
            <w:top w:val="none" w:sz="0" w:space="0" w:color="auto"/>
            <w:left w:val="none" w:sz="0" w:space="0" w:color="auto"/>
            <w:bottom w:val="none" w:sz="0" w:space="0" w:color="auto"/>
            <w:right w:val="none" w:sz="0" w:space="0" w:color="auto"/>
          </w:divBdr>
        </w:div>
      </w:divsChild>
    </w:div>
    <w:div w:id="2140831149">
      <w:bodyDiv w:val="1"/>
      <w:marLeft w:val="0"/>
      <w:marRight w:val="0"/>
      <w:marTop w:val="0"/>
      <w:marBottom w:val="0"/>
      <w:divBdr>
        <w:top w:val="none" w:sz="0" w:space="0" w:color="auto"/>
        <w:left w:val="none" w:sz="0" w:space="0" w:color="auto"/>
        <w:bottom w:val="none" w:sz="0" w:space="0" w:color="auto"/>
        <w:right w:val="none" w:sz="0" w:space="0" w:color="auto"/>
      </w:divBdr>
      <w:divsChild>
        <w:div w:id="515776070">
          <w:marLeft w:val="446"/>
          <w:marRight w:val="0"/>
          <w:marTop w:val="77"/>
          <w:marBottom w:val="0"/>
          <w:divBdr>
            <w:top w:val="none" w:sz="0" w:space="0" w:color="auto"/>
            <w:left w:val="none" w:sz="0" w:space="0" w:color="auto"/>
            <w:bottom w:val="none" w:sz="0" w:space="0" w:color="auto"/>
            <w:right w:val="none" w:sz="0" w:space="0" w:color="auto"/>
          </w:divBdr>
        </w:div>
        <w:div w:id="1725370188">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footer" Target="footer4.xml"/><Relationship Id="rId47" Type="http://schemas.openxmlformats.org/officeDocument/2006/relationships/theme" Target="theme/theme1.xml"/><Relationship Id="rId50"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header" Target="header4.xml"/><Relationship Id="rId45"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www.eea.europa.eu/themes/biodiversity/state-of-nature-in-the-eu/state-of-nature-2020" TargetMode="External"/><Relationship Id="rId2" Type="http://schemas.openxmlformats.org/officeDocument/2006/relationships/hyperlink" Target="https://ec.europa.eu/environment/nature/knowledge/rep_habitats/index_en.htm" TargetMode="External"/><Relationship Id="rId1" Type="http://schemas.openxmlformats.org/officeDocument/2006/relationships/hyperlink" Target="https://www.eea.europa.eu/themes/biodiversity/state-of-nature-in-the-eu/state-of-nature-2020" TargetMode="External"/><Relationship Id="rId6" Type="http://schemas.openxmlformats.org/officeDocument/2006/relationships/hyperlink" Target="https://eur-lex.europa.eu/legal-content/EN/TXT/?uri=CELEX:52020DC0381" TargetMode="External"/><Relationship Id="rId5" Type="http://schemas.openxmlformats.org/officeDocument/2006/relationships/hyperlink" Target="https://eur-lex.europa.eu/legal-content/EN/TXT/?uri=CELEX:52020DC0380" TargetMode="External"/><Relationship Id="rId4" Type="http://schemas.openxmlformats.org/officeDocument/2006/relationships/hyperlink" Target="https://ec.europa.eu/easme/en/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05B3421-F3C5-413E-A1B3-101B33880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6027</Words>
  <Characters>32969</Characters>
  <Application>Microsoft Office Word</Application>
  <DocSecurity>0</DocSecurity>
  <Lines>610</Lines>
  <Paragraphs>178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14</cp:revision>
  <dcterms:created xsi:type="dcterms:W3CDTF">2020-09-07T14:49:00Z</dcterms:created>
  <dcterms:modified xsi:type="dcterms:W3CDTF">2020-10-12T14:24:00Z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CP-007</vt:lpwstr>
  </property>
  <property fmtid="{D5CDD505-2E9C-101B-9397-08002B2CF9AE}" pid="7" name="Last edited using">
    <vt:lpwstr>LW 7.0.1, Build 20190916</vt:lpwstr>
  </property>
  <property fmtid="{D5CDD505-2E9C-101B-9397-08002B2CF9AE}" pid="8" name="Created using">
    <vt:lpwstr>LW 7.0.1, Build 20190916</vt:lpwstr>
  </property>
</Properties>
</file>