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C31B554-1C6B-41F7-8E20-63269AD1CBDE" style="width:451.25pt;height:365.8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deċiżjoni li tistabbilixxi l-pożizzjoni li għandha tittieħed f’isem l-Unjoni, waqt l-erbgħin laqgħa annwali tal-Kumitat Permanenti tal-Konvenzjoni dwar il-konservazzjoni tal-ħajja ferjali Ewropea u tal-abitati naturali, fi Strasburgu, Franza, bejn l-1 u l-4 ta’ Diċembru 2020, b’rabta mal-adozzjoni prevista mill-Kumitat Permanenti ta’ żewġ deċiżjonijiet li jikkonċernaw l-emenda tal-Konvenzjoni, u l-istabbiliment ta’ ftehim parzjali estiż.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dwar il-konservazzjoni tal-ħajja ferjali Ewropea u tal-abitati naturali (Konvenzjoni ta’ Berna)</w:t>
      </w:r>
    </w:p>
    <w:p>
      <w:pPr>
        <w:rPr>
          <w:rFonts w:eastAsia="Arial Unicode MS"/>
          <w:noProof/>
        </w:rPr>
      </w:pPr>
      <w:r>
        <w:rPr>
          <w:noProof/>
        </w:rPr>
        <w:t>Il-Konvenzjoni dwar il-konservazzjoni tal-ħajja ferjali Ewropea u tal-abitati naturali (“il-Konvenzjoni”) għandha bħala għan il-konservazzjoni tal-fawna u tal-flora selvaġġa Ewropej u tal-ħabitats naturali tagħhom, speċjalment dawk li l-konservazzjoni tagħhom teħtieġ il-kooperazzjoni ta’ diversi Stati Membri. Hija trattat intergovernattiv, konkluż taħt l-awspiċi tal-Kunsill tal-Ewropa. Il-Konvenzjoni daħlet fis-seħħ fl-1 ta’ Ġunju 1982.</w:t>
      </w:r>
    </w:p>
    <w:p>
      <w:pPr>
        <w:rPr>
          <w:rFonts w:eastAsia="Arial Unicode MS"/>
          <w:noProof/>
        </w:rPr>
      </w:pPr>
      <w:r>
        <w:rPr>
          <w:noProof/>
        </w:rPr>
        <w:t>L-Unjoni Ewropea ilha Parti Kontraenti għal din il-Konvenzjoni mill-1 ta’ Settembru 1982</w:t>
      </w:r>
      <w:r>
        <w:rPr>
          <w:rStyle w:val="FootnoteReference"/>
          <w:noProof/>
        </w:rPr>
        <w:footnoteReference w:id="1"/>
      </w:r>
      <w:r>
        <w:rPr>
          <w:noProof/>
        </w:rPr>
        <w:t>. Bħalissa hemm 51 Parti Kontraenti għall-Konvenzjoni, inklużi l-Istati Membri kollha tal-UE.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Il-Kumitat Permanenti</w:t>
      </w:r>
    </w:p>
    <w:p>
      <w:pPr>
        <w:rPr>
          <w:noProof/>
          <w:szCs w:val="24"/>
        </w:rPr>
      </w:pPr>
      <w:r>
        <w:rPr>
          <w:noProof/>
        </w:rPr>
        <w:t xml:space="preserve">Il-Kumitat Permanenti huwa l-korp deċiżjonali tal-Konvenzjoni.  Huwa responsabbli biex isegwi l-applikazzjoni tal-Konvenzjoni. </w:t>
      </w:r>
      <w:r>
        <w:rPr>
          <w:noProof/>
          <w:color w:val="222222"/>
          <w:shd w:val="clear" w:color="auto" w:fill="FFFFFF"/>
        </w:rPr>
        <w:t xml:space="preserve">Il-funzjonijiet tiegħu huma elenkati fl-Artikoli 13 sa 15 tal-Konvenzjoni. </w:t>
      </w:r>
      <w:r>
        <w:rPr>
          <w:noProof/>
        </w:rPr>
        <w:t>Dan jiltaqa’ mill-anqas darba kull sentejn u kull meta maġġoranza tal-Partijiet Kontraenti titlob hekk. Saret drawwa għall-Kumitat Permanenti li jiltaqa’ kull sena.</w:t>
      </w:r>
    </w:p>
    <w:p>
      <w:pPr>
        <w:rPr>
          <w:noProof/>
          <w:szCs w:val="24"/>
        </w:rPr>
      </w:pPr>
      <w:r>
        <w:rPr>
          <w:noProof/>
        </w:rPr>
        <w:t xml:space="preserve">Skont l-Artikolu 16 tal-Konvenzjoni, emenda tal-Artikoli 13 sa 24 tal-Konvenzjoni għandha tiġi adottata minn maġġoranza ta’ tliet kwarti tal-Partijiet fil-Kumitat Permanenti, u wara dan għandha tiġi ppreżentata lill-Kumitat tal-Ministri għall-approvazzjoni.  </w:t>
      </w:r>
    </w:p>
    <w:p>
      <w:pPr>
        <w:rPr>
          <w:rFonts w:eastAsia="Arial Unicode MS"/>
          <w:noProof/>
        </w:rPr>
      </w:pPr>
      <w:r>
        <w:rPr>
          <w:noProof/>
        </w:rPr>
        <w:t>Skont l-Artikolu 14 tal-Konvenzjoni, il-Kumitat Permanenti jista’ jagħmel proposti għat-titjib tal-effettività tal-Konvenzjoni. Sussegwentement, il-Kumitat Permanenti jista’ jiddeċiedi li jipproponi lill-Kumitat tal-Ministri l-adozzjoni ta’ Ftehim Parzjali Estiż għat-titjib tal-applikazzjoni tal-Konvenzjoni.  Skont ir-regola 8b tar-Regoli ta’ Proċedura, din id-deċiżjoni tal-Kumitat Permanenti għandha tittieħed b’maġġoranza ta’ żewġ terzi tal-voti mitfugħa.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tal-Kumitat Permanenti</w:t>
      </w:r>
    </w:p>
    <w:p>
      <w:pPr>
        <w:rPr>
          <w:rFonts w:eastAsia="Arial Unicode MS"/>
          <w:noProof/>
        </w:rPr>
      </w:pPr>
      <w:r>
        <w:rPr>
          <w:noProof/>
        </w:rPr>
        <w:t>Bejn l-1 u l-4 ta’ Diċembru 2020, fi Strasburgu, Franza, matul l-erbgħin laqgħa tiegħu, il-Kumitat Permanenti huwa mistenni jadotta deċiżjonijiet rigward: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>L-Emenda tal-Konvenzjoni biex jiġu introdotti klawżoli finanzjarji (“l-ewwel att previst”) u</w:t>
      </w:r>
    </w:p>
    <w:p>
      <w:pPr>
        <w:pStyle w:val="Bullet0"/>
        <w:rPr>
          <w:noProof/>
        </w:rPr>
      </w:pPr>
      <w:r>
        <w:rPr>
          <w:noProof/>
        </w:rPr>
        <w:t>L-Istabbiliment ta’ Ftehim Parzjali Estiż dwar il-Fond għall-implimentazzjoni tal-Konvenzjoni dwar il-Konservazzjoni tal-Ħajja Ferjali Ewropea u tal-Abitati Naturali (“it-tieni att previst”).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L-iskop tal-ewwel att previst huwa li jemenda l-Konvenzjoni biex jiġi introdott mekkaniżmu finanzjarju li permezz tiegħu l-Kumitat Permanenti jiddetermina skala ta’ kontribuzzjonijiet finanzjarji obbligatorji mill-Partijiet li jikkumplimentaw l-allokazzjoni tal-baġit ordinarju tal-Kunsill tal-Ewropa.</w:t>
      </w:r>
    </w:p>
    <w:p>
      <w:pPr>
        <w:rPr>
          <w:rFonts w:eastAsia="Arial Unicode MS"/>
          <w:noProof/>
        </w:rPr>
      </w:pPr>
      <w:r>
        <w:rPr>
          <w:noProof/>
        </w:rPr>
        <w:t>Skont l-Artikolu 16 tal-Konvenzjoni, l-ewwel att previst għandu jidħol fis-seħħ għall-Partijiet kollha wara l-approvazzjoni mill-Kumitat tal-Ministri u sussegwentement fit-tletin jum wara li l-Partijiet Kontraenti kollha jkunu nnotifikaw l-aċċettazzjoni tagħhom.</w:t>
      </w:r>
    </w:p>
    <w:p>
      <w:pPr>
        <w:rPr>
          <w:rFonts w:eastAsia="Arial Unicode MS"/>
          <w:noProof/>
        </w:rPr>
      </w:pPr>
      <w:r>
        <w:rPr>
          <w:noProof/>
        </w:rPr>
        <w:t>L-għan tat-tieni att previst huwa li tissaħħaħ il-kooperazzjoni intergovernattiva għall-implimentazzjoni tal-Konvenzjoni ta’ Berna, inkluż billi tiġi stabbilita kontribuzzjoni finanzjarja obbligatorja għall-partijiet għall-Ftehim Parzjali Estiż.</w:t>
      </w:r>
    </w:p>
    <w:p>
      <w:pPr>
        <w:rPr>
          <w:rFonts w:eastAsia="Arial Unicode MS"/>
          <w:noProof/>
        </w:rPr>
      </w:pPr>
      <w:r>
        <w:rPr>
          <w:noProof/>
        </w:rPr>
        <w:t>Skont l-Artikolu 20.d tal-Istatut tal-Kunsill tal-Ewropa u l-Artikolu 2 tal-Gwida tal-Kumitat tal-Ministri tal-Kunsill tal-Ewropa dwar il-proċeduri u l-Metodi ta’ Ħidma, wara d-deċiżjoni mill-Kumitat Permanenti, it-tieni att previst għandu jidħol fis-seħħ għall-Partijiet kollha tal-Ftehim Parzjali Estiż wara l-adozzjoni mill-Kumitat tal-Ministri b’maġġoranza ta’ żewġ terzi tar-Rappreżentanti li jitfgħu vot u maġġoranza tar-Rappreżentanti li jitfgħu vot u maġġoranza tar-Rappreżentanti intitolati li jippresjedu fil-Kumitat tal-Ministri, u sussegwentement wara li jintlaħaq limitu minimu ta’ firmatarji. Sakemm ma jiġix deċiż mod ieħor mill-Kumitat tal-Ministri, il-limitu minimu tas-sħubija huwa stabbilit għal terz tal-Istati Membri tal-Kunsill tal-Ewropa, li fil-preżent ikun jikkonsisti minn 16-il pajjiż.</w:t>
      </w:r>
      <w:r>
        <w:t xml:space="preserve">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noProof/>
          <w:szCs w:val="24"/>
        </w:rPr>
      </w:pPr>
      <w:r>
        <w:rPr>
          <w:noProof/>
        </w:rPr>
        <w:t>Skont ir-Riżoluzzjoni Nru 9 (2019) tad-disa’ u tletin laqgħa tal-Kumitat Permanenti, adottata fis-6 ta’ Diċembru 2019, dwar il-finanzjament tal-Konvenzjoni ta’ Berna dwar l-istabbiliment ta’ sistema ġdida ta’ kontribuzzjonijiet finanzjarji obbligatorji mill-Partijiet, ġie stabbilit grupp ta’ ħidma tal-esperti intersessjonali biex jassisti lis-Segretarjat jippreżenta proposti għall-inklużjoni ta’ klawżoli finanzjarji billi jemenda l-artikoli tal-Konvenzjoni ta’ Berna u biex jistabbilixxi Ftehim Parzjali Estiż, għall-konsiderazzjoni fl-erbgħin laqgħa tal-Kumitat Permanenti.</w:t>
      </w:r>
    </w:p>
    <w:p>
      <w:pPr>
        <w:rPr>
          <w:noProof/>
          <w:szCs w:val="24"/>
        </w:rPr>
      </w:pPr>
      <w:r>
        <w:rPr>
          <w:noProof/>
        </w:rPr>
        <w:t>L-allokazzjoni ordinarja tal-Kunsill tal-Ewropa għall-Konvenzjoni ta’ Berna naqset progressivament matul is-snin sal-punt li l-funzjonijiet tal-Konvenzjoni ta’ Berna ma jistgħux jiġu żgurati mingħajr kontribuzzjonijiet volontarji mill-partijiet, li qed jonqsu wkoll.  Għalhekk, huwa essenzjali li jiġi stabbilit sors affidabbli ta’ finanzjament għall-Konvenzjoni.</w:t>
      </w:r>
    </w:p>
    <w:p>
      <w:pPr>
        <w:rPr>
          <w:noProof/>
          <w:szCs w:val="24"/>
        </w:rPr>
      </w:pPr>
      <w:r>
        <w:rPr>
          <w:noProof/>
        </w:rPr>
        <w:t xml:space="preserve">Għalhekk, il-proposta biex tiġi emendata l-Konvenzjoni biex tinkludi mekkaniżmu għall-istabbiliment ta’ kontribut obbligatorju allinjat mad-dispożizzjonijiet tal-biċċa l-kbira tal-ftehimiet ambjentali multilaterali, jenħtieġ li tiġi appoġġata fil-prinċipju.  Madankollu, fil-kuntest ta’ ftehimiet ambjentali multilaterali oħra, normalment ikun hemm distinzjoni bejn il-baġit ewlieni u l-baġit programmatiku, fejn tal-ewwel biss ikun suġġett għal kontribuzzjonijiet obbligatorji.  L-emenda proposta għall-Konvenzjoni ma tikkjarifikax li l-mekkaniżmu li għandu jiġi stabbilit isegwi dan il-preċedent.  L-emenda proposta lanqas tispeċifika l-iskala tal-kontribuzzjonijiet li għandhom jiġu applikati.  Għalhekk, l-Unjoni ma għandhiex tappoġġa l-emenda fil-format preżenti tagħha, iżda tappoġġa l-posponiment tal-vot dwar din il-kwistjoni biex jitħalla perjodu ta’ negozjar biex jiġi rfinat it-test tal-emenda proposta sabiex tiġi żgurata ċ-ċarezza dwar dawn il-kwistjonijiet. </w:t>
      </w:r>
    </w:p>
    <w:p>
      <w:r>
        <w:rPr>
          <w:noProof/>
        </w:rPr>
        <w:t xml:space="preserve">Meta jitqies it-tul ta’ żmien meħtieġ biex l-emenda proposta tiġi nnegozjata u tidħol fis-seħħ, hija meħtieġa wkoll soluzzjoni aktar immedjata.  Għalhekk, l-Unjoni għandha tappoġġa l-proposta li jiġi stabbilit Ftehim Parzjali Estiż, li jippermetti lil dawk il-Partijiet u lil dawk li </w:t>
      </w:r>
      <w:r>
        <w:rPr>
          <w:noProof/>
        </w:rPr>
        <w:lastRenderedPageBreak/>
        <w:t>mhumiex membri iżda li jixtiequ jaderixxu ma’ dan il-ftehim u jappoġġaw b’hekk l-attivitajiet marbuta mal-implimentazzjoni tal-Konvenzjoni.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(it-TFUE) jipprevedi deċiżjonijiet li jistabbilixxu “</w:t>
      </w:r>
      <w:r>
        <w:rPr>
          <w:i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tal-ftehim.</w:t>
      </w:r>
      <w:r>
        <w:rPr>
          <w:noProof/>
        </w:rPr>
        <w:t>”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legali bis-saħħa tar-regoli tad-dritt internazzjonali li jirregolaw is-sede kkonċernata. Jinkludi wkoll strumenti li ma jkollhomx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Il-Kumitat Permanenti huwa korp imwaqqaf permezz tal-Konvenzjoni</w:t>
      </w:r>
      <w:r>
        <w:t>.</w:t>
      </w:r>
    </w:p>
    <w:p>
      <w:r>
        <w:rPr>
          <w:noProof/>
        </w:rPr>
        <w:t>L-atti li l-Kumitat Permanenti huwa mitlub jadotta, jikkostitwixxu atti li jkollhom effetti legali. L-atti previsti se jkunu vinkolanti skont id-dritt internazzjonali skont l-Artikolu 6 tal-Konvenzjoni</w:t>
      </w:r>
      <w:r>
        <w:rPr>
          <w:rStyle w:val="normal10"/>
          <w:noProof/>
        </w:rPr>
        <w:t>.</w:t>
      </w:r>
    </w:p>
    <w:p>
      <w:pPr>
        <w:rPr>
          <w:noProof/>
        </w:rPr>
      </w:pPr>
      <w:r>
        <w:rPr>
          <w:noProof/>
        </w:rPr>
        <w:t>L-atti previsti ma jissupplimentawx jew ma jemendawx il-qafas istituzzjonali tal-Konvenzjoni.</w:t>
      </w:r>
    </w:p>
    <w:p>
      <w:pPr>
        <w:rPr>
          <w:noProof/>
        </w:rPr>
      </w:pPr>
      <w:r>
        <w:rPr>
          <w:noProof/>
        </w:rPr>
        <w:t>Għalhekk, il-bażi ġuridika proċedurali għad-deċiżjoni proposta hi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tat-TFUE tiddependi primarjament fuq l-għan u fuq il-kontenut tal-att previst li fir-rigward tiegħu tittieħed pożizzjoni f’isem l-Unjoni. Jekk l-att previst ikollu żewġ għanijiet jew żewġ komponenti, u jekk wieħed minn dawk l-għanijiet jew minn dawk il-komponenti jkun jista’ jiġi identifikat bħala dak ewlieni, filwaqt li l-ieħor ikun biss wieħed inċidentali, id-deċiżjoni skont l-Artikolu 218(9) tat-TFUE trid tissejjes fuq bażi ġuridika sostantiva waħda, jiġifieri dik mitluba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r>
        <w:rPr>
          <w:noProof/>
        </w:rPr>
        <w:t>L-objettiv ewlieni u l-kontenut tal-att previst jirrigwardaw l-ambjent.</w:t>
      </w:r>
    </w:p>
    <w:p>
      <w:pPr>
        <w:rPr>
          <w:i/>
          <w:noProof/>
        </w:rPr>
      </w:pPr>
      <w:r>
        <w:rPr>
          <w:noProof/>
        </w:rPr>
        <w:t>Għaldaqstant, il-bażi ġuridika sostantiva tad-deċiżjoni proposta hija l-Artikolu 192(1)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l-Artikolu 192(1) flimkien mal-Artikolu 218(9) tat-TFUE.</w:t>
      </w:r>
    </w:p>
    <w:p>
      <w:pPr>
        <w:pStyle w:val="ManualHeading1"/>
        <w:rPr>
          <w:noProof/>
        </w:rPr>
      </w:pPr>
      <w:r>
        <w:lastRenderedPageBreak/>
        <w:t>5.</w:t>
      </w:r>
      <w:r>
        <w:tab/>
      </w:r>
      <w:r>
        <w:rPr>
          <w:noProof/>
        </w:rPr>
        <w:t>Il-pubblikazzjoni tal-att previst</w:t>
      </w:r>
    </w:p>
    <w:p>
      <w:pPr>
        <w:rPr>
          <w:noProof/>
        </w:rPr>
      </w:pPr>
      <w:r>
        <w:rPr>
          <w:noProof/>
        </w:rPr>
        <w:t>Billi l-atti previsti tal-Kumitat Permanenti jeħtieġu approvazzjoni ulterjuri mill-Kumitat tal-Ministri, mhuwiex xieraq li jiġu ppubblikati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wara l-adozzjoni tagħhom.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2020/0293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waqt l-erbgħin laqgħa tal-Kumitat Permanenti tal-Konvenzjoni dwar il-Konservazzjoni tal-Ħajja Ferjali Ewropea u tal-Abitati Naturali (il-Konvenzjoni ta’ Berna)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192(1),</w:t>
      </w:r>
      <w:r>
        <w:t xml:space="preserve"> </w:t>
      </w:r>
      <w:r>
        <w:rPr>
          <w:noProof/>
        </w:rPr>
        <w:t>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dwar il-konservazzjoni tal-ħajja ferjali Ewropea u tal-abitati naturali (“il-Konvenzjoni”) kienet konkluża mill-Unjoni bid-Deċiżjoni tal-Kunsill 82/72/KEE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daħlet fis-seħħ fl-1 ta’ Settembru 1982.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 16 tal-Konvenzjoni, il-Kumitat Permanenti jista’ jadotta emendi għall-Konvenzjoni li jiġu ppreżentati lill-Kumitat tal-Ministri għall-approvazzjoni.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l-Artikolu 14 tal-Konvenzjoni, filwaqt li l-Kumitat Permanenti tal-Partijiet Kontraenti għall-Konvenzjoni ta’ Berna huwa responsabbli biex isegwi l-applikazzjoni għall-Konvenzjoni, u jista’ b’mod partikolari jagħmel kwalunkwe proposta biex tittejjeb l-effettività tal-Konvenzjoni, il-Kumitat Permanenti jista’ jiddeċiedi li jipproponi lill-Kumitat tal-Ministri li jiġi stabbilit Ftehim Parzjali Estiż għat-titjib tal-applikazzjoni tal-Konvenzjoni.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Il-Kumitat Permanenti, matul l-erbgħin</w:t>
      </w:r>
      <w:r>
        <w:t xml:space="preserve"> </w:t>
      </w:r>
      <w:r>
        <w:rPr>
          <w:noProof/>
        </w:rPr>
        <w:t>laqgħa tiegħu bejn l-1 u l-4 ta’ Diċembru 2020, se jadotta deċiżjonijiet</w:t>
      </w:r>
      <w:r>
        <w:rPr>
          <w:i/>
          <w:noProof/>
        </w:rPr>
        <w:t xml:space="preserve"> </w:t>
      </w:r>
      <w:r>
        <w:rPr>
          <w:noProof/>
        </w:rPr>
        <w:t>dwar l-emenda tal-Konvenzjoni biex jiġu introdotti klawżoli finanzjarji u dwar l-istabbiliment ta’ Ftehim Parzjali Estiż dwar il-Fond għall-implimentazzjoni tal-Konvenzjoni dwar il-Konservazzjoni tal-Ħajja Ferjali Ewropea u tal-Abitati Naturali.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Huwa xieraq li tiġi stabbilita l-pożizzjoni li trid tittieħed f’isem l-Unjoni fil-Kumitat Permanenti, billi d-deċiżjonijiet tiegħu se jkun vinkolanti għall-Unjoni.</w:t>
      </w:r>
    </w:p>
    <w:p>
      <w:pPr>
        <w:pStyle w:val="ManualConsidrant"/>
        <w:rPr>
          <w:rFonts w:eastAsia="Arial Unicode MS"/>
          <w:noProof/>
        </w:rPr>
      </w:pPr>
      <w:r>
        <w:t>(6)</w:t>
      </w:r>
      <w:r>
        <w:tab/>
      </w:r>
      <w:r>
        <w:rPr>
          <w:noProof/>
        </w:rPr>
        <w:t>Is-Segretarjat ippreżenta proposta biex tiġi emendata l-Konvenzjoni u jiġi introdott mekkaniżmu finanzjarju li permezz tiegħu l-Kumitat Permanenti jiddetermina skala ta’ kontribuzzjonijiet finanzjarji obbligatorji mill-Partijiet li jikkumplimentaw l-allokazzjoni tal-baġit ordinarju tal-Kunsill tal-Ewropa.</w:t>
      </w:r>
    </w:p>
    <w:p>
      <w:pPr>
        <w:pStyle w:val="ManualConsidrant"/>
        <w:rPr>
          <w:rFonts w:eastAsia="Arial Unicode MS"/>
          <w:noProof/>
        </w:rPr>
      </w:pPr>
      <w:r>
        <w:t>(7)</w:t>
      </w:r>
      <w:r>
        <w:tab/>
      </w:r>
      <w:r>
        <w:rPr>
          <w:noProof/>
        </w:rPr>
        <w:t>Skont l-Artikolu 16 tal-Konvenzjoni, din l-emenda għandha tidħol fis-seħħ għall-Partijiet wara l-approvazzjoni mill-Kumitat tal-Ministri u sussegwentement fit-tletin jum wara li l-Partijiet kollha jkunu nnotifikaw l-aċċettazzjoni tagħhom.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Is-Segretarjat ippreżenta wkoll proposta biex tissaħħaħ il-kooperazzjoni intergovernattiva għall-implimentazzjoni tal-Konvenzjoni ta’ Berna permezz tal-</w:t>
      </w:r>
      <w:r>
        <w:rPr>
          <w:noProof/>
        </w:rPr>
        <w:lastRenderedPageBreak/>
        <w:t>istabbiliment ta’ Ftehim Parzjali Estiż, li jkun jinkludi kontribuzzjoni finanzjarja obbligatorja għall-partijiet tal-Ftehim Parzjali Estiż.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Skont l-Artikolu 20.d tal-Istatut tal-Kunsill tal-Ewropa u l-Artikolu 2 tal-Gwida tal-Kumitat tal-Ministri tal-Kunsill tal-Ewropa dwar il-Proċeduri u l-Metodi ta’ Ħidma, wara deċiżjoni mill-Kumitat Permanenti, il-Ftehim Parzjali Estiż propost għandu jidħol fis-seħħ għall-Partijiet kollha tal-Ftehim Parzjali Estiż wara l-adozzjoni mill-Kumitat tal-Ministri b’maġġoranza ta’ żewġ terzi tar-Rappreżentanti li jitfgħu vot u maġġoranza tar-Rappreżentanti li jitfgħu vot u maġġoranza tar-Rappreżentanti intitolati li jippresjedu fil-Kumitat tal-Ministri, u sussegwentement wara li jintlaħaq limitu minimu ta’ firmatarji.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Hemm ħtieġa urġenti li jiġi stabbilit sors ta’ finanzjament għall-funzjonament tal-Konvenzjoni ta’ Berna, meta jitqies it-tnaqqis fil-finanzi pprovduti permezz tal-kontribuzzjoni ordinarja tal-Kunsill tal-Ewropa, kif ukoll it-tnaqqis fil-kontribuzzjonijiet volontarji mill-Partijiet.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L-emenda tal-Konvenzjoni biex jiġi introdott mekkaniżmu finanzjarju hija allinjata ma’ kif jiġu ffinanzjati ftehimiet ambjentali multilaterali oħra u tiżgura kontribuzzjoni ġusta mill-Partijiet kollha għall-Konvenzjoni. Madankollu, it-test propost għall-emenda tal-Konvenzjoni jħalli inċertezza fir-rigward tal-mekkaniżmu finanzjarju li jrid jiġi stabbilit, b’mod partikolari fir-rigward tad-distinzjoni bejn il-baġits ewlenin u dawk programmatiċi, u fir-rigward tal-livell ta’ kontribuzzjonijiet li għandhom jiġu meħtieġa.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L-appoġġ għal emenda tal-Konvenzjoni biex jiġi introdott mekkaniżmu finanzjarju jrid isegwi l-proċedura stabbilita fl-Artikolu 218 (2) u (4) tat-Trattat.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It-tul taż-żmien meħtieġ għan-negozjar u d-dħul fis-seħħ ta’ emenda għall-Konvenzjoni jindika l-ħtieġa għal soluzzjoni aktar immedjata, li tkun issodisfata permezz tal-Ftehim Parzjali Estiż propost.</w:t>
      </w:r>
    </w:p>
    <w:p>
      <w:pPr>
        <w:pStyle w:val="ManualConsidrant"/>
        <w:rPr>
          <w:noProof/>
          <w:szCs w:val="24"/>
        </w:rPr>
      </w:pPr>
      <w:r>
        <w:t>(14)</w:t>
      </w:r>
      <w:r>
        <w:tab/>
      </w:r>
      <w:r>
        <w:rPr>
          <w:noProof/>
        </w:rPr>
        <w:t>Il-Ftehimiet Parzjali Estiżi mhumiex trattati internazzjonali minnhom infushom, iżda huma forma ta’ kooperazzjoni fil-Kunsill tal-Ewropa.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Fid-dawl tal-obbligi tat-trattat għal kooperazzjoni leali, dawk l-Istati Membri li jsiru parti għall-Ftehim Parzjali Estiż se jkunu marbuta jiżguraw li l-applikazzjoni ta’ dan il-ftehim tkun allinjata mal-interessi tal-Unjoni fil-kuntest tal-Konvenzjoni ta’ Berna, 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trid tiġi adottata f’isem l-Unjoni fl-erbgħin laqgħa tal-Kumitat Permanenti tal-Konvenzjoni dwar il-konservazzjoni tal-ħajja ferjali Ewropea u tal-abitati naturali, għandha tkun:</w:t>
      </w:r>
    </w:p>
    <w:p>
      <w:pPr>
        <w:pStyle w:val="Bullet0"/>
        <w:rPr>
          <w:noProof/>
        </w:rPr>
      </w:pPr>
      <w:r>
        <w:rPr>
          <w:noProof/>
        </w:rPr>
        <w:t xml:space="preserve">Li tiġi proposta mozzjoni biex tiġi posposta l-votazzjoni dwar il-proposta li tiġi emendata l-Konvenzjoni sal-wieħed u erbgħin laqgħa tal-Kumitat Permanenti; </w:t>
      </w:r>
    </w:p>
    <w:p>
      <w:pPr>
        <w:pStyle w:val="Bullet0"/>
        <w:rPr>
          <w:noProof/>
        </w:rPr>
      </w:pPr>
      <w:r>
        <w:rPr>
          <w:noProof/>
        </w:rPr>
        <w:t>Li tiġi appoġġata l-proposta biex jiġi stabbilit Ftehim Parzjali Estiż.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 2</w:t>
      </w:r>
    </w:p>
    <w:p>
      <w:pPr>
        <w:keepNext/>
        <w:keepLines/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F’isem il-Kunsill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82/72/KEE tat-3 ta’ Diċembru 1981 dwar il-konklużjoni tal-Konvenzjoni dwar il-konservazzjoni tal-ħajja ferjali Ewropea u tal-abitati naturali, ĠU L 38, 10.2.1982,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 fil-Kawża C-399/12, Il-Ġermanja vs Il-Kunsill, ECLI:EU:C:2014:2258, il-paragrafi 61 sa 64.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L 38, 10.2.1982, p. 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2D801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A2424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68AB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16AF4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A50D2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41820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29E3E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4EC0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0-15 10:18:2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C31B554-1C6B-41F7-8E20-63269AD1CBDE"/>
    <w:docVar w:name="LW_COVERPAGE_TYPE" w:val="1"/>
    <w:docVar w:name="LW_CROSSREFERENCE" w:val="&lt;UNUSED&gt;"/>
    <w:docVar w:name="LW_DocType" w:val="COM"/>
    <w:docVar w:name="LW_EMISSION" w:val="16.10.2020"/>
    <w:docVar w:name="LW_EMISSION_ISODATE" w:val="2020-10-16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93"/>
    <w:docVar w:name="LW_REF.II.NEW.CP_YEAR" w:val="2020"/>
    <w:docVar w:name="LW_REF.INST.NEW" w:val="COM"/>
    <w:docVar w:name="LW_REF.INST.NEW_ADOPTED" w:val="final"/>
    <w:docVar w:name="LW_REF.INST.NEW_TEXT" w:val="(2020) 6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waqt l-erbg\u295?in laqg\u295?a tal-Kumitat Permanenti tal-Konvenzjoni dwar il-Konservazzjoni tal-\u294?ajja Ferjali Ewropea u tal-Abitati Naturali (il-Konvenzjoni ta\u8217? Berna)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character" w:customStyle="1" w:styleId="normal10">
    <w:name w:val="normal10"/>
    <w:basedOn w:val="DefaultParagraphFont"/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character" w:customStyle="1" w:styleId="normal10">
    <w:name w:val="normal10"/>
    <w:basedOn w:val="DefaultParagraphFont"/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8</Pages>
  <Words>1715</Words>
  <Characters>13279</Characters>
  <Application>Microsoft Office Word</Application>
  <DocSecurity>0</DocSecurity>
  <Lines>214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2020-10-14T11:57:00Z</dcterms:created>
  <dcterms:modified xsi:type="dcterms:W3CDTF">2020-10-15T08:18:00Z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