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06F2B64D-E3D1-497E-9A21-6C7D1D60041B" style="width:451.05pt;height:406.8pt">
            <v:imagedata r:id="rId9" o:title=""/>
          </v:shape>
        </w:pict>
      </w:r>
    </w:p>
    <w:bookmarkEnd w:id="0"/>
    <w:p>
      <w:pPr>
        <w:ind w:right="-24"/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after="240" w:line="240" w:lineRule="auto"/>
        <w:ind w:right="-24"/>
        <w:jc w:val="center"/>
        <w:rPr>
          <w:rFonts w:cstheme="minorHAnsi"/>
          <w:noProof/>
        </w:rPr>
      </w:pPr>
      <w:bookmarkStart w:id="1" w:name="_GoBack"/>
      <w:bookmarkEnd w:id="1"/>
      <w:r>
        <w:rPr>
          <w:rFonts w:ascii="Times New Roman" w:hAnsi="Times New Roman"/>
          <w:b/>
          <w:noProof/>
        </w:rPr>
        <w:lastRenderedPageBreak/>
        <w:t>Allegato 1: Orientamenti per la pianificazione e l'attuazione dei quadri strategici nazionali per i Rom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>
        <w:tc>
          <w:tcPr>
            <w:tcW w:w="9322" w:type="dxa"/>
          </w:tcPr>
          <w:p>
            <w:pPr>
              <w:spacing w:before="60" w:after="60"/>
              <w:ind w:right="-24"/>
              <w:jc w:val="center"/>
              <w:rPr>
                <w:rFonts w:ascii="Times New Roman" w:hAnsi="Times New Roman" w:cs="Times New Roman"/>
                <w:b/>
                <w:smallCaps/>
                <w:noProof/>
                <w:color w:val="0070C0"/>
              </w:rPr>
            </w:pPr>
            <w:r>
              <w:rPr>
                <w:rFonts w:ascii="Times New Roman" w:hAnsi="Times New Roman"/>
                <w:b/>
                <w:smallCaps/>
                <w:noProof/>
                <w:color w:val="0070C0"/>
              </w:rPr>
              <w:t>Lotta contro l'antiziganismo</w:t>
            </w:r>
          </w:p>
          <w:p>
            <w:pPr>
              <w:spacing w:before="60" w:after="60"/>
              <w:ind w:right="-24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Grazie al lavoro svolto dall'Alleanza contro l'antiziganismo, dal Parlamento europeo e dal Consiglio d'Europa</w:t>
            </w:r>
            <w:r>
              <w:rPr>
                <w:rStyle w:val="FootnoteReference"/>
                <w:rFonts w:ascii="Times New Roman" w:hAnsi="Times New Roman" w:cs="Times New Roman"/>
                <w:noProof/>
              </w:rPr>
              <w:footnoteReference w:id="1"/>
            </w:r>
            <w:r>
              <w:rPr>
                <w:rFonts w:ascii="Times New Roman" w:hAnsi="Times New Roman"/>
                <w:noProof/>
              </w:rPr>
              <w:t>, si sta sempre più affermando la convinzione che l'antiziganismo (una forma specifica di razzismo nei confronti dei Rom) contribuisca al persistere dell'esclusione dei Rom. Poiché l'antiziganismo e l'esclusione costituiscono un circolo vizioso, occorre affrontarli congiuntamente. La lotta contro la discriminazione e l'antiziganismo contribuirà al successo delle misure di inclusione, che a loro volta favoriranno una maggiore apertura e accettazione nella società. Per combattere l'antiziganismo e promuovere la diversità e l'inclusione è necessaria la partecipazione dell'intera società, tanto delle comunità Rom quanto di quelle non Rom. A tal fine occorre responsabilizzare i Rom e contrastare atteggiamenti e comportamenti tradizionali (compresi quelli istituzionali). Gli organismi per la parità potrebbero rappresentare partner privilegiati per i punti di contatto nazionali per i Rom nell'elaborazione di norme di attuazione e nella promozione di una maggiore attenzione alla lotta contro la discriminazione nelle strategie.</w:t>
            </w:r>
          </w:p>
          <w:p>
            <w:pPr>
              <w:spacing w:before="60" w:after="60"/>
              <w:ind w:right="-24"/>
              <w:jc w:val="both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I quadri strategici nazionali per i Rom dovrebbero: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4"/>
              <w:contextualSpacing w:val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dedicare un'attenzione specifica alla lotta contro l'antiziganismo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, al fine di:</w:t>
            </w:r>
          </w:p>
          <w:p>
            <w:pPr>
              <w:pStyle w:val="ListParagraph"/>
              <w:spacing w:after="0"/>
              <w:ind w:left="641" w:right="-23" w:hanging="284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1) </w:t>
            </w:r>
            <w:r>
              <w:rPr>
                <w:noProof/>
              </w:rPr>
              <w:tab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riconoscere l'antiziganismo e la responsabilità di intervenire per contrastarlo; </w:t>
            </w:r>
          </w:p>
          <w:p>
            <w:pPr>
              <w:pStyle w:val="ListParagraph"/>
              <w:spacing w:after="0"/>
              <w:ind w:left="641" w:right="-23" w:hanging="284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2) </w:t>
            </w:r>
            <w:r>
              <w:rPr>
                <w:noProof/>
              </w:rPr>
              <w:tab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riconoscere le dimensioni storiche dell'antiziganismo, in particolare l'Olocausto dei Rom; condurre attività di sensibilizzazione relative alla storia dei Rom e promuovere la riconciliazione; </w:t>
            </w:r>
          </w:p>
          <w:p>
            <w:pPr>
              <w:pStyle w:val="ListParagraph"/>
              <w:spacing w:after="0"/>
              <w:ind w:left="641" w:right="-23" w:hanging="284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3) </w:t>
            </w:r>
            <w:r>
              <w:rPr>
                <w:noProof/>
              </w:rPr>
              <w:tab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suscitare la consapevolezza dei vantaggi reciproci derivanti dalla diversità e dall'inclusione; costruire narrazioni positive; promuovere modelli di riferimento; sostenere gli incontri intercomunitari e l'apprendimento interculturale per combattere gli stereotipi e la disinformazione nei confronti dei Rom nell'istruzione, nei media, nelle arti, nella cultura e nella storia; </w:t>
            </w:r>
          </w:p>
          <w:p>
            <w:pPr>
              <w:pStyle w:val="ListParagraph"/>
              <w:spacing w:after="0"/>
              <w:ind w:left="641" w:right="-23" w:hanging="284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4) </w:t>
            </w:r>
            <w:r>
              <w:rPr>
                <w:noProof/>
              </w:rPr>
              <w:tab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combattere la discriminazione come manifestazione di antiziganismo; </w:t>
            </w:r>
          </w:p>
          <w:p>
            <w:pPr>
              <w:pStyle w:val="ListParagraph"/>
              <w:spacing w:after="0"/>
              <w:ind w:left="641" w:right="-23" w:hanging="284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5) </w:t>
            </w:r>
            <w:r>
              <w:rPr>
                <w:noProof/>
              </w:rPr>
              <w:tab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combattere l'incitamento all'odio e i reati generati dall'odio come manifestazioni di antiziganismo e</w:t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incoraggiare la segnalazione di reati, molestie e violenze motivati da pregiudizi; </w:t>
            </w:r>
          </w:p>
          <w:p>
            <w:pPr>
              <w:pStyle w:val="ListParagraph"/>
              <w:spacing w:after="0"/>
              <w:ind w:left="641" w:right="-23" w:hanging="284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6) </w:t>
            </w:r>
            <w:r>
              <w:rPr>
                <w:noProof/>
              </w:rPr>
              <w:tab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promuovere l'accesso alla giustizia per le vittime di antiziganismo e discriminazione; </w:t>
            </w:r>
          </w:p>
          <w:p>
            <w:pPr>
              <w:pStyle w:val="ListParagraph"/>
              <w:spacing w:after="0"/>
              <w:ind w:left="641" w:right="-23" w:hanging="284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7) </w:t>
            </w:r>
            <w:r>
              <w:rPr>
                <w:noProof/>
              </w:rPr>
              <w:tab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sensibilizzare i Rom riguardo ai loro diritti; e </w:t>
            </w:r>
          </w:p>
          <w:p>
            <w:pPr>
              <w:pStyle w:val="ListParagraph"/>
              <w:spacing w:before="60" w:after="60"/>
              <w:ind w:left="644" w:right="-23" w:hanging="284"/>
              <w:contextualSpacing w:val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8) </w:t>
            </w:r>
            <w:r>
              <w:rPr>
                <w:noProof/>
              </w:rPr>
              <w:tab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smantellare e prevenire la discriminazione sistemica/istituzionale/strutturale</w:t>
            </w:r>
            <w:r>
              <w:rPr>
                <w:rStyle w:val="FootnoteReference"/>
                <w:rFonts w:ascii="Times New Roman" w:hAnsi="Times New Roman"/>
                <w:noProof/>
                <w:sz w:val="22"/>
                <w:szCs w:val="22"/>
              </w:rPr>
              <w:footnoteReference w:id="2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vissuta dai Rom;</w:t>
            </w:r>
          </w:p>
          <w:p>
            <w:pPr>
              <w:pStyle w:val="ListParagraph"/>
              <w:spacing w:before="60" w:after="60"/>
              <w:ind w:left="644" w:right="-23" w:hanging="284"/>
              <w:contextualSpacing w:val="0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>
            <w:pPr>
              <w:pStyle w:val="ListParagraph"/>
              <w:spacing w:before="60" w:after="60"/>
              <w:ind w:left="644" w:right="-23" w:hanging="284"/>
              <w:contextualSpacing w:val="0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60" w:after="0" w:line="240" w:lineRule="auto"/>
              <w:ind w:right="-24"/>
              <w:contextualSpacing w:val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lastRenderedPageBreak/>
              <w:t>prevenire e combattere l'antiziganismo quale priorità trasversale/orizzontale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in tutti gli ambiti settoriali, al fine di: </w:t>
            </w:r>
          </w:p>
          <w:p>
            <w:pPr>
              <w:pStyle w:val="ListParagraph"/>
              <w:keepNext/>
              <w:keepLines/>
              <w:spacing w:after="0"/>
              <w:ind w:left="641" w:right="-23" w:hanging="284"/>
              <w:contextualSpacing w:val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1) </w:t>
            </w:r>
            <w:r>
              <w:rPr>
                <w:noProof/>
              </w:rPr>
              <w:tab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combattere la segregazione, il bullismo e le molestie nell'istruzione; sensibilizzare il personale scolastico; </w:t>
            </w:r>
          </w:p>
          <w:p>
            <w:pPr>
              <w:pStyle w:val="ListParagraph"/>
              <w:keepNext/>
              <w:keepLines/>
              <w:spacing w:after="0"/>
              <w:ind w:left="641" w:right="-23" w:hanging="284"/>
              <w:contextualSpacing w:val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2) </w:t>
            </w:r>
            <w:r>
              <w:rPr>
                <w:noProof/>
              </w:rPr>
              <w:tab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combattere la discriminazione in materia di occupazione (e accesso all'occupazione) e sensibilizzare i datori di lavoro; </w:t>
            </w:r>
          </w:p>
          <w:p>
            <w:pPr>
              <w:pStyle w:val="ListParagraph"/>
              <w:spacing w:after="0"/>
              <w:ind w:left="641" w:right="-23" w:hanging="284"/>
              <w:contextualSpacing w:val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3) </w:t>
            </w:r>
            <w:r>
              <w:rPr>
                <w:noProof/>
              </w:rPr>
              <w:tab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combattere la discriminazione in materia di accesso a un'assistenza sanitaria di qualità; eliminare i servizi paralleli e segregati; prevenire le violazioni dei diritti umani (ad esempio l'aborto forzato e la sterilizzazione forzata); sensibilizzare gli operatori sanitari; </w:t>
            </w:r>
          </w:p>
          <w:p>
            <w:pPr>
              <w:pStyle w:val="ListParagraph"/>
              <w:spacing w:after="0"/>
              <w:ind w:left="641" w:right="-23" w:hanging="284"/>
              <w:contextualSpacing w:val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4) </w:t>
            </w:r>
            <w:r>
              <w:rPr>
                <w:noProof/>
              </w:rPr>
              <w:tab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combattere la segregazione spaziale; prevenire gli sgomberi senza disponibilità di alloggi alternativi; sensibilizzare le autorità; e</w:t>
            </w:r>
          </w:p>
          <w:p>
            <w:pPr>
              <w:pStyle w:val="ListParagraph"/>
              <w:spacing w:after="0"/>
              <w:ind w:left="641" w:right="-23" w:hanging="284"/>
              <w:contextualSpacing w:val="0"/>
              <w:rPr>
                <w:rFonts w:ascii="Times New Roman" w:hAnsi="Times New Roman"/>
                <w:noProof/>
                <w:sz w:val="21"/>
                <w:szCs w:val="21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5) </w:t>
            </w:r>
            <w:r>
              <w:rPr>
                <w:noProof/>
              </w:rPr>
              <w:tab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raccogliere regolarmente dati in materia di uguaglianza (dati sulle esperienze di discriminazione; dati degli organismi per la parità relativi a episodi di discriminazione).</w:t>
            </w:r>
          </w:p>
        </w:tc>
      </w:tr>
    </w:tbl>
    <w:p>
      <w:pPr>
        <w:rPr>
          <w:noProof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>
        <w:tc>
          <w:tcPr>
            <w:tcW w:w="9322" w:type="dxa"/>
          </w:tcPr>
          <w:p>
            <w:pPr>
              <w:spacing w:before="60" w:after="60"/>
              <w:ind w:right="-23"/>
              <w:jc w:val="center"/>
              <w:rPr>
                <w:rFonts w:ascii="Times New Roman" w:eastAsia="MS Mincho" w:hAnsi="Times New Roman" w:cs="Times New Roman"/>
                <w:bCs/>
                <w:noProof/>
                <w:color w:val="0070C0"/>
              </w:rPr>
            </w:pPr>
            <w:r>
              <w:rPr>
                <w:rFonts w:ascii="Times New Roman Bold" w:hAnsi="Times New Roman Bold"/>
                <w:b/>
                <w:bCs/>
                <w:smallCaps/>
                <w:noProof/>
                <w:color w:val="0070C0"/>
              </w:rPr>
              <w:t>Lotta contro la povertà multigenerazionale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Times New Roman" w:hAnsi="Times New Roman"/>
                <w:bCs/>
                <w:noProof/>
                <w:color w:val="0070C0"/>
              </w:rPr>
              <w:t>(con particolare attenzione alla protezione dei minori e un migliore uso dei fondi dell'UE)</w:t>
            </w:r>
          </w:p>
          <w:p>
            <w:pPr>
              <w:spacing w:before="60" w:after="60"/>
              <w:ind w:right="-24"/>
              <w:jc w:val="both"/>
              <w:rPr>
                <w:rFonts w:ascii="Times New Roman" w:eastAsia="MS Mincho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Affrontare il problema della povertà e dell'esclusione multigenerazionale è fondamentale per migliorare la situazione dei Rom emarginati. L'esclusione e la discriminazione nell'accesso all'istruzione, all'occupazione, all'assistenza sanitaria e all'alloggio incidono sullo sviluppo dei minori e possono a loro volta incidere sulla loro futura genitorialità,</w:t>
            </w:r>
            <w:r>
              <w:rPr>
                <w:rFonts w:ascii="Times New Roman" w:hAnsi="Times New Roman"/>
                <w:noProof/>
                <w:color w:val="000000"/>
              </w:rPr>
              <w:t xml:space="preserve"> causando ulteriori svantaggi per i loro figli</w:t>
            </w:r>
            <w:r>
              <w:rPr>
                <w:rFonts w:ascii="Times New Roman" w:hAnsi="Times New Roman"/>
                <w:noProof/>
              </w:rPr>
              <w:t>.</w:t>
            </w:r>
            <w:r>
              <w:rPr>
                <w:rFonts w:ascii="Times New Roman" w:hAnsi="Times New Roman"/>
                <w:noProof/>
                <w:color w:val="000000"/>
              </w:rPr>
              <w:t xml:space="preserve"> Il circolo vizioso dell'esclusione e della discriminazione è destinato a protrarsi, a meno che non si intervenga con decisione per affrontare globalmente le dinamiche profonde e</w:t>
            </w:r>
            <w:r>
              <w:rPr>
                <w:rFonts w:ascii="Times New Roman" w:hAnsi="Times New Roman"/>
                <w:noProof/>
              </w:rPr>
              <w:t xml:space="preserve"> pianificare un futuro migliore per la prossima generazione. A tal fine occorre dedicare un'</w:t>
            </w:r>
            <w:r>
              <w:rPr>
                <w:rFonts w:ascii="Times New Roman" w:hAnsi="Times New Roman"/>
                <w:b/>
                <w:noProof/>
              </w:rPr>
              <w:t>attenzione particolare ai minori</w:t>
            </w:r>
            <w:r>
              <w:rPr>
                <w:rFonts w:ascii="Times New Roman" w:hAnsi="Times New Roman"/>
                <w:noProof/>
              </w:rPr>
              <w:t>, che deve essere mantenuta nel tempo.</w:t>
            </w:r>
          </w:p>
          <w:p>
            <w:pPr>
              <w:spacing w:before="60" w:after="60"/>
              <w:ind w:right="-24"/>
              <w:jc w:val="both"/>
              <w:rPr>
                <w:rFonts w:ascii="Times New Roman" w:eastAsia="MS Mincho" w:hAnsi="Times New Roman" w:cs="Times New Roman"/>
                <w:b/>
                <w:bCs/>
                <w:noProof/>
                <w:color w:val="212121"/>
              </w:rPr>
            </w:pPr>
            <w:r>
              <w:rPr>
                <w:rFonts w:ascii="Times New Roman" w:hAnsi="Times New Roman"/>
                <w:b/>
                <w:bCs/>
                <w:noProof/>
                <w:color w:val="212121"/>
              </w:rPr>
              <w:t>I quadri strategici nazionali per i Rom dovrebbero:</w:t>
            </w:r>
          </w:p>
          <w:p>
            <w:pPr>
              <w:numPr>
                <w:ilvl w:val="0"/>
                <w:numId w:val="5"/>
              </w:numPr>
              <w:spacing w:before="60" w:after="60"/>
              <w:ind w:left="360" w:right="-24"/>
              <w:jc w:val="both"/>
              <w:rPr>
                <w:rFonts w:ascii="Times New Roman" w:eastAsia="MS Mincho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 xml:space="preserve">mobilitare le competenze pertinenti a tutti i livelli di governance per elaborare misure di protezione dei minori; </w:t>
            </w:r>
            <w:r>
              <w:rPr>
                <w:rFonts w:ascii="Times New Roman" w:hAnsi="Times New Roman"/>
                <w:noProof/>
                <w:color w:val="000000"/>
              </w:rPr>
              <w:t>assegnare risorse adeguate per l'educazione e la cura della prima infanzia (ad esempio, borse di studio, tutoraggio, sostegno nel doposcuola), la nutrizione, lo sviluppo personale e il lavoro con le famiglie;</w:t>
            </w:r>
          </w:p>
          <w:p>
            <w:pPr>
              <w:numPr>
                <w:ilvl w:val="0"/>
                <w:numId w:val="5"/>
              </w:numPr>
              <w:spacing w:before="60" w:after="60"/>
              <w:ind w:left="360" w:right="-24"/>
              <w:jc w:val="both"/>
              <w:rPr>
                <w:rFonts w:ascii="Times New Roman" w:eastAsia="MS Mincho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incoraggiare la partecipazione all'educazione e cura della prima infanzia;</w:t>
            </w:r>
          </w:p>
          <w:p>
            <w:pPr>
              <w:numPr>
                <w:ilvl w:val="0"/>
                <w:numId w:val="5"/>
              </w:numPr>
              <w:spacing w:before="60" w:after="60"/>
              <w:ind w:left="360" w:right="-24"/>
              <w:jc w:val="both"/>
              <w:rPr>
                <w:rFonts w:ascii="Times New Roman" w:eastAsia="MS Mincho" w:hAnsi="Times New Roman" w:cs="Times New Roman"/>
                <w:noProof/>
                <w:color w:val="000000"/>
                <w:u w:val="single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proteggere donne, bambini e giovani mediante strategie di lotta a reati quali la tratta degli esseri umani, compresa ogni eventuale forma di sfruttamento (sfruttamento sessuale, sfruttamento della manodopera, accattonaggio forzato e uso di attività criminali per matrimoni fittizi forzati e di sfruttamento) e consentire che accedano a forme di assistenza, sostegno e protezione;</w:t>
            </w:r>
          </w:p>
          <w:p>
            <w:pPr>
              <w:numPr>
                <w:ilvl w:val="0"/>
                <w:numId w:val="5"/>
              </w:numPr>
              <w:spacing w:before="60" w:after="60"/>
              <w:ind w:left="360" w:right="-24"/>
              <w:jc w:val="both"/>
              <w:rPr>
                <w:rFonts w:ascii="Times New Roman" w:eastAsia="MS Mincho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migliorare l'accesso ai servizi su base comunitaria e familiare per le persone con disabilità e per i minori privati delle cure genitoriali; rafforzare le misure volte a prevenire l'istituzionalizzazione aiutando le famiglie in situazioni di precarietà e le persone con disabilità;</w:t>
            </w:r>
          </w:p>
          <w:p>
            <w:pPr>
              <w:numPr>
                <w:ilvl w:val="0"/>
                <w:numId w:val="5"/>
              </w:numPr>
              <w:spacing w:before="60" w:after="60"/>
              <w:ind w:left="360" w:right="-24"/>
              <w:jc w:val="both"/>
              <w:rPr>
                <w:rFonts w:ascii="Times New Roman" w:eastAsia="MS Mincho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garantire la sostenibilità a lungo termine delle misure di sostegno per i minori e le loro famiglie, in modo da migliorare le condizioni delle future generazioni;</w:t>
            </w:r>
          </w:p>
          <w:p>
            <w:pPr>
              <w:numPr>
                <w:ilvl w:val="0"/>
                <w:numId w:val="5"/>
              </w:numPr>
              <w:spacing w:before="60" w:after="60"/>
              <w:ind w:left="360" w:right="-24"/>
              <w:jc w:val="both"/>
              <w:rPr>
                <w:rFonts w:ascii="Times New Roman" w:eastAsia="MS Mincho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basare la pianificazione del sostegno finanziario e degli investimenti su un'analisi accurata delle cause profonde dell'emarginazione (esclusione socioeconomica e discriminazione); raccogliere prove più granulari attraverso valutazioni e analisi sistematiche dei tipi di intervento nazionale, regionale e locale che (non) funzionano e della relativa motivazione, per approfondire la comprensione degli ostacoli all'inclusione; coinvolgere nel lavoro di analisi tutti i portatori di interessi (autorità locali, società civile, portatori di interessi Rom e non Rom con opinioni eventualmente divergenti);</w:t>
            </w:r>
          </w:p>
          <w:p>
            <w:pPr>
              <w:numPr>
                <w:ilvl w:val="0"/>
                <w:numId w:val="5"/>
              </w:numPr>
              <w:spacing w:before="60" w:after="60"/>
              <w:ind w:left="360" w:right="-24"/>
              <w:jc w:val="both"/>
              <w:rPr>
                <w:rFonts w:ascii="Times New Roman" w:eastAsia="MS Mincho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analizzare l'uso dei fondi dell'UE in collaborazione con le autorità di gestione; se le dalle relazioni di monitoraggio si evince che i fondi non sono stati utilizzati efficacemente per conseguire gli obiettivi di inclusione, avviare un dialogo con le autorità locali/di gestione e i portatori di interessi per comprenderne la ragione e affrontare eventuali ostacoli individuati; e</w:t>
            </w:r>
          </w:p>
          <w:p>
            <w:pPr>
              <w:numPr>
                <w:ilvl w:val="0"/>
                <w:numId w:val="5"/>
              </w:numPr>
              <w:spacing w:before="60" w:after="60"/>
              <w:ind w:left="360" w:right="-24"/>
              <w:jc w:val="both"/>
              <w:rPr>
                <w:rFonts w:ascii="Times New Roman" w:eastAsia="MS Mincho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w:t>stabilire stretti legami tra i punti di contatto nazionali per i Rom e le autorità responsabili del monitoraggio dei fondi dell'UE; garantire che l'uso dei fondi dell'UE a favore dei Rom generi reali opportunità di partecipazione e produca l'effetto desiderato sulla loro quotidianità, anziché favorire altri interessi.</w:t>
            </w:r>
          </w:p>
        </w:tc>
      </w:tr>
    </w:tbl>
    <w:p>
      <w:pPr>
        <w:rPr>
          <w:noProof/>
        </w:rPr>
      </w:pPr>
      <w:r>
        <w:rPr>
          <w:noProof/>
        </w:rPr>
        <w:lastRenderedPageBreak/>
        <w:br w:type="page"/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>
        <w:tc>
          <w:tcPr>
            <w:tcW w:w="9322" w:type="dxa"/>
          </w:tcPr>
          <w:p>
            <w:pPr>
              <w:spacing w:before="60" w:after="60"/>
              <w:ind w:right="-24"/>
              <w:jc w:val="center"/>
              <w:rPr>
                <w:rFonts w:ascii="Times New Roman" w:hAnsi="Times New Roman" w:cs="Times New Roman"/>
                <w:b/>
                <w:smallCaps/>
                <w:noProof/>
                <w:color w:val="0070C0"/>
              </w:rPr>
            </w:pPr>
            <w:r>
              <w:rPr>
                <w:rFonts w:ascii="Times New Roman" w:hAnsi="Times New Roman"/>
                <w:b/>
                <w:smallCaps/>
                <w:noProof/>
                <w:color w:val="0070C0"/>
              </w:rPr>
              <w:lastRenderedPageBreak/>
              <w:t>Promuovere la partecipazione dei Rom</w:t>
            </w:r>
          </w:p>
          <w:p>
            <w:pPr>
              <w:spacing w:before="60" w:after="60"/>
              <w:ind w:right="-24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La partecipazione dei Rom alla definizione delle politiche pubbliche rappresenta un prerequisito e un fattore decisivo per l'uguaglianza e l'inclusione e promuove una governance democratica ed efficiente. Per favorire la partecipazione e l'emancipazione dei Rom occorre dar voce alle persone e consentire loro di agire in modi nuovi che consentano loro di affermarsi. L'inclusione apre la strada all'azione e offre alle persone la possibilità di partecipare. La partecipazione e l'emancipazione sono principi e processi volti a migliorare le condizioni di vita delle persone e i risultati conseguiti nel corso della vita. Sostenere la partecipazione significativa dei Rom alla definizione delle politiche a livello locale, nazionale e dell'UE rappresenta un prerequisito per contrastare l'esclusione. Le organizzazioni della società civile guidate dai Rom e che sostengono i Rom sono attori di particolare rilievo. Nel coordinare lo sviluppo di </w:t>
            </w:r>
            <w:r>
              <w:rPr>
                <w:rFonts w:ascii="Times New Roman" w:hAnsi="Times New Roman"/>
                <w:bCs/>
                <w:noProof/>
                <w:color w:val="212121"/>
              </w:rPr>
              <w:t>quadri s</w:t>
            </w:r>
            <w:r>
              <w:rPr>
                <w:rFonts w:ascii="Times New Roman" w:hAnsi="Times New Roman"/>
                <w:noProof/>
              </w:rPr>
              <w:t>trategici nazionali, i punti di contatto nazionali per i Rom sono incoraggiati a promuovere modelli partecipativi, ad esempio agevolando gruppi di lavoro tematici che si occupano di valutare le esigenze, definire priorità, obiettivi, interventi in settori chiave, riunendo attori nazionali, regionali, locali e non governativi e garantendo la partecipazione dei Rom. Tali modelli e strutture potrebbero successivamente essere utilizzati per il monitoraggio e la valutazione dell'attuazione.</w:t>
            </w:r>
          </w:p>
          <w:p>
            <w:pPr>
              <w:keepNext/>
              <w:keepLines/>
              <w:spacing w:before="60" w:after="60"/>
              <w:ind w:right="-24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noProof/>
                <w:color w:val="212121"/>
              </w:rPr>
              <w:t>quadri</w:t>
            </w:r>
            <w:r>
              <w:rPr>
                <w:rFonts w:ascii="Times New Roman" w:hAnsi="Times New Roman"/>
                <w:b/>
                <w:noProof/>
              </w:rPr>
              <w:t xml:space="preserve"> strategici nazionali per i Rom dovrebbero:</w:t>
            </w:r>
          </w:p>
          <w:p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60" w:after="60" w:line="240" w:lineRule="auto"/>
              <w:ind w:right="-24"/>
              <w:contextualSpacing w:val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definire gli aspetti e i canali minimi obbligatori di partecipazione dei Rom all'elaborazione, all'attuazione e al monitoraggio delle politiche e alla programmazione dei fondi UE, anche mediante protocolli scritti di partecipazione che definiscono il mandato (portata e natura dell'impegno), la composizione (principi per la selezione dei membri), i metodi di lavoro e i risultati previsti degli organismi di consultazione e partecipazione, al fine di garantire una cooperazione efficace, fiducia e responsabilità</w:t>
            </w:r>
            <w:r>
              <w:rPr>
                <w:rStyle w:val="FootnoteReference"/>
                <w:rFonts w:ascii="Times New Roman" w:hAnsi="Times New Roman"/>
                <w:noProof/>
                <w:sz w:val="22"/>
                <w:szCs w:val="22"/>
              </w:rPr>
              <w:footnoteReference w:id="3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;</w:t>
            </w:r>
          </w:p>
          <w:p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60" w:after="60" w:line="240" w:lineRule="auto"/>
              <w:ind w:right="-24"/>
              <w:contextualSpacing w:val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creare opportunità per l'emancipazione delle comunità Rom a livello locale per consentire la titolarità e l'intervento delle comunità al fine di promuovere esplicitamente il cambiamento sociale e politico; la mobilitazione delle comunità dovrebbe essere considerata un processo intenzionale inclusivo e partecipativo che coinvolge i Rom, le autorità locali e le organizzazioni;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24"/>
              <w:contextualSpacing w:val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fare in modo che i Rom siano rappresentati in tutte le loro diversità (cittadini dello Stato membro in cui vivono e cittadini di altri Stati, emarginati e integrati, donne, bambini e giovani) nei processi di elaborazione delle politiche e di consultazione;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24"/>
              <w:contextualSpacing w:val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migliorare l'azione locale coinvolgendo un maggior numero di professionisti Rom che fungano da mediatori e contribuire al superamento della persistente mancanza di fiducia tra i Rom e le comunità maggioritarie;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24"/>
              <w:contextualSpacing w:val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promuovere la cooperazione con la società civile tra le organizzazioni incentrate sui Rom e quelle che rappresentano la popolazione in generale, in particolare quelle che si occupano di diritti dei bambini, dei giovani e delle donne;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60" w:after="60" w:line="240" w:lineRule="auto"/>
              <w:ind w:right="-24"/>
              <w:contextualSpacing w:val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usare i fondi dell'UE e altri fondi per fornire regolarmente sostegno allo sviluppo di capacità (screening in materia di uguaglianza, partecipazione, ecc.), in particolare per la società civile a livello di base e locale; 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="60" w:after="60" w:line="240" w:lineRule="auto"/>
              <w:ind w:right="-24"/>
              <w:contextualSpacing w:val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noProof/>
                <w:sz w:val="22"/>
                <w:szCs w:val="22"/>
              </w:rPr>
              <w:t>nei paesi con una popolazione Rom significativa:</w:t>
            </w:r>
          </w:p>
          <w:p>
            <w:pPr>
              <w:pStyle w:val="ListParagraph"/>
              <w:numPr>
                <w:ilvl w:val="1"/>
                <w:numId w:val="1"/>
              </w:numPr>
              <w:shd w:val="clear" w:color="auto" w:fill="FFFFFF" w:themeFill="background1"/>
              <w:spacing w:before="60" w:after="60" w:line="240" w:lineRule="auto"/>
              <w:ind w:left="851" w:right="-23" w:hanging="284"/>
              <w:contextualSpacing w:val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promuovere azioni positive per aumentare la partecipazione dei Rom all'amministrazione nazionale e locale nei settori dell'uguaglianza e dell'inclusione, della ricerca ecc.; e</w:t>
            </w:r>
          </w:p>
          <w:p>
            <w:pPr>
              <w:pStyle w:val="ListParagraph"/>
              <w:numPr>
                <w:ilvl w:val="1"/>
                <w:numId w:val="1"/>
              </w:numPr>
              <w:shd w:val="clear" w:color="auto" w:fill="FFFFFF" w:themeFill="background1"/>
              <w:spacing w:before="60" w:after="60" w:line="240" w:lineRule="auto"/>
              <w:ind w:left="851" w:right="-23" w:hanging="284"/>
              <w:contextualSpacing w:val="0"/>
              <w:rPr>
                <w:rFonts w:ascii="Times New Roman" w:hAnsi="Times New Roman"/>
                <w:noProof/>
                <w:sz w:val="21"/>
                <w:szCs w:val="21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prendere in considerazione la possibilità di istituire organizzazioni generali Rom a livello nazionale per garantire una consultazione e una partecipazione costanti nelle discussioni politiche. Tali organizzazioni dovrebbero ricevere sovvenzioni istituzionali di base da parte dei governi nazionali o fondi regolari di sostegno alla società civile.</w:t>
            </w:r>
          </w:p>
        </w:tc>
      </w:tr>
    </w:tbl>
    <w:p>
      <w:pPr>
        <w:rPr>
          <w:noProof/>
        </w:rPr>
      </w:pPr>
      <w:r>
        <w:rPr>
          <w:noProof/>
        </w:rPr>
        <w:br w:type="page"/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>
        <w:tc>
          <w:tcPr>
            <w:tcW w:w="9322" w:type="dxa"/>
          </w:tcPr>
          <w:p>
            <w:pPr>
              <w:spacing w:before="60" w:after="60"/>
              <w:ind w:right="-24"/>
              <w:jc w:val="center"/>
              <w:rPr>
                <w:rFonts w:ascii="Times New Roman" w:hAnsi="Times New Roman" w:cs="Times New Roman"/>
                <w:b/>
                <w:smallCaps/>
                <w:noProof/>
                <w:color w:val="0070C0"/>
              </w:rPr>
            </w:pPr>
            <w:r>
              <w:rPr>
                <w:rFonts w:ascii="Times New Roman" w:hAnsi="Times New Roman"/>
                <w:b/>
                <w:smallCaps/>
                <w:noProof/>
                <w:color w:val="0070C0"/>
              </w:rPr>
              <w:lastRenderedPageBreak/>
              <w:t>Rispecchiare la diversità</w:t>
            </w:r>
          </w:p>
          <w:p>
            <w:pPr>
              <w:spacing w:before="60" w:after="60"/>
              <w:ind w:right="-24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Nell'elaborazione dei quadri strategici nazionali è fondamentale riconoscere la diversità tra le popolazioni e le comunità Rom. Il quadro strategico dell'UE per i Rom promuove un approccio che conferisce alle donne, ai giovani e ai bambini (e alle persone con disabilità, agli anziani, ai LGTBI+ e ai cittadini mobili dell'UE) Rom la facoltà di colmare i divari socioeconomici, esercitare pienamente i loro diritti, realizzare il loro potenziale ed essere attori attivi del cambiamento.</w:t>
            </w:r>
          </w:p>
          <w:p>
            <w:pPr>
              <w:spacing w:before="60" w:after="60"/>
              <w:ind w:right="-24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I quadri strategici nazionali per i Rom dovrebbero: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24"/>
              <w:contextualSpacing w:val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valutare le esigenze e la situazione di tutti i Rom (anche cittadini di altri Stati membri, cittadini di paesi terzi e apolidi);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24"/>
              <w:contextualSpacing w:val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affrontare la discriminazione multipla e l'intersezionalità, che aumentano la gravità dell'esclusione;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24"/>
              <w:contextualSpacing w:val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rivolgersi ai gruppi Rom più emarginati con misure di inclusione e anti-povertà (senza escludere altri gruppi in condizioni analoghe), rivolgersi a tutti i Rom con misure che promuovono la partecipazione, e rivolgersi sia ai Rom che alla popolazione non Rom con misure volte a prevenire e combattere l'antiziganismo e la discriminazione;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24"/>
              <w:contextualSpacing w:val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stabilire obiettivi specifici e misure mirate per le donne, i bambini e i giovani,</w:t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gli anziani, le persone con disabilità, i cittadini mobili dell'UE, gli apolidi e i cittadini di paesi terzi (se del caso) Rom e suddividere gli indicatori per genere ed età;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24"/>
              <w:contextualSpacing w:val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affrontare la questione della dimensione di genere in tutti i settori, in particolare l'istruzione, l'occupazione, l'assistenza sanitaria, l'assistenza all'infanzia e la lotta contro la discriminazione (multipla), compresa la violenza (domestica) e lo sfruttamento; promuovere la partecipazione e garantire che le misure tengano conto della dimensione di genere;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24"/>
              <w:contextualSpacing w:val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sostenere l'accesso delle donne Rom alla giustizia per prevenire/superare la violenza domestica e altre violazioni dei diritti umani;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24"/>
              <w:contextualSpacing w:val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avviare una cooperazione transnazionale per affrontare le sfide e cogliere le opportunità derivanti dalla mobilità transnazionale dei Rom in modo più efficace, garantendo l'accesso all'istruzione, all'occupazione, all'alloggio, all'assistenza sanitaria e ad altri servizi sociali; e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24"/>
              <w:contextualSpacing w:val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porre fine all'apolidia dei Rom garantendo la registrazione universale delle nascite e l'accesso ai documenti di identità, procedure formali di determinazione dell'apolidia e l'accesso universale ai servizi. </w:t>
            </w:r>
          </w:p>
        </w:tc>
      </w:tr>
    </w:tbl>
    <w:p>
      <w:pPr>
        <w:rPr>
          <w:noProof/>
        </w:rPr>
      </w:pPr>
      <w:r>
        <w:rPr>
          <w:noProof/>
        </w:rPr>
        <w:br w:type="page"/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>
        <w:tc>
          <w:tcPr>
            <w:tcW w:w="9322" w:type="dxa"/>
          </w:tcPr>
          <w:p>
            <w:pPr>
              <w:spacing w:before="60" w:after="60"/>
              <w:ind w:right="-24"/>
              <w:jc w:val="center"/>
              <w:rPr>
                <w:rFonts w:ascii="Times New Roman" w:hAnsi="Times New Roman" w:cs="Times New Roman"/>
                <w:b/>
                <w:smallCaps/>
                <w:noProof/>
                <w:color w:val="0070C0"/>
              </w:rPr>
            </w:pPr>
            <w:r>
              <w:rPr>
                <w:rFonts w:ascii="Times New Roman" w:hAnsi="Times New Roman"/>
                <w:b/>
                <w:smallCaps/>
                <w:noProof/>
                <w:color w:val="0070C0"/>
              </w:rPr>
              <w:t>Coniugare approcci di portata generale e approcci mirati</w:t>
            </w:r>
          </w:p>
          <w:p>
            <w:pPr>
              <w:keepNext/>
              <w:keepLines/>
              <w:shd w:val="clear" w:color="auto" w:fill="FFFFFF" w:themeFill="background1"/>
              <w:spacing w:before="60" w:after="60"/>
              <w:ind w:right="-24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Anche se la discriminazione e l'esclusione dei Rom giustificano un approccio costantemente mirato, l'obiettivo è quello di promuovere l'effettiva inclusione e l'uguaglianza dei Rom in tutti gli ambiti della vita. Ciò presuppone una riforma inclusiva delle politiche generali, con una combinazione intelligente di approcci mirati e approcci di portata generale. Le politiche mirate dovrebbero essere temporanee e volte ad attenuare gli svantaggi supplementari e la discriminazione cui sono soggetti i Rom. L'orientamento dovrebbe essere esplicito (anche se non necessariamente basato sull'origine etnica), ma non esclusivo, ossia non escludere persone non Rom nelle medesime condizioni.</w:t>
            </w:r>
          </w:p>
          <w:p>
            <w:pPr>
              <w:spacing w:before="60" w:after="60"/>
              <w:ind w:right="-24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I quadri strategici nazionali per i Rom dovrebbero: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before="60" w:after="60" w:line="240" w:lineRule="auto"/>
              <w:ind w:right="-24"/>
              <w:contextualSpacing w:val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definire le modalità in cui</w:t>
            </w: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le specifiche misure (di salvaguardia) affrontano gli ostacoli che impediscono ai Rom di accedere alle politiche di portata generale e di beneficiarne, e in che modo le politiche pubbliche sono rese più inclusive nei confronti dei Rom;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before="60" w:after="60" w:line="240" w:lineRule="auto"/>
              <w:ind w:right="-24"/>
              <w:contextualSpacing w:val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promuovere l'accesso ai diritti e ai servizi generali per i Rom con un sostegno mirato supplementare, ma senza creare strutture parallele permanenti;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before="60" w:after="60" w:line="240" w:lineRule="auto"/>
              <w:ind w:right="-24"/>
              <w:contextualSpacing w:val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orientare gli interventi a livello territoriale affinché tengano conto delle condizioni locali; combinare l'orientamento territoriale e quello rivolto ai gruppi sociali in interventi di ampio respiro (ad esempio per affrontare la povertà estrema) garantendo che raggiungano la popolazione Rom;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before="60" w:after="60" w:line="240" w:lineRule="auto"/>
              <w:ind w:right="-24"/>
              <w:contextualSpacing w:val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noProof/>
                <w:sz w:val="22"/>
                <w:szCs w:val="22"/>
              </w:rPr>
              <w:t>nei paesi con una popolazione Rom significativa:</w:t>
            </w:r>
          </w:p>
          <w:p>
            <w:pPr>
              <w:pStyle w:val="ListParagraph"/>
              <w:numPr>
                <w:ilvl w:val="1"/>
                <w:numId w:val="2"/>
              </w:numPr>
              <w:shd w:val="clear" w:color="auto" w:fill="FFFFFF" w:themeFill="background1"/>
              <w:spacing w:before="60" w:after="60" w:line="240" w:lineRule="auto"/>
              <w:ind w:left="851" w:right="-23" w:hanging="284"/>
              <w:contextualSpacing w:val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sottoporre le principali misure politiche generali a processi di screening/audit per valutarne l'impatto sull'uguaglianza e l'inclusione dei Rom;</w:t>
            </w:r>
          </w:p>
          <w:p>
            <w:pPr>
              <w:pStyle w:val="ListParagraph"/>
              <w:numPr>
                <w:ilvl w:val="1"/>
                <w:numId w:val="2"/>
              </w:numPr>
              <w:shd w:val="clear" w:color="auto" w:fill="FFFFFF" w:themeFill="background1"/>
              <w:spacing w:before="60" w:after="60" w:line="240" w:lineRule="auto"/>
              <w:ind w:left="851" w:right="-23" w:hanging="284"/>
              <w:contextualSpacing w:val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definire in che modo i fondi dell'UE saranno utilizzati per una riforma inclusiva delle politiche generali (ad esempio desegregazione nell'istruzione o nell'edilizia abitativa) e per interventi mirati; e</w:t>
            </w:r>
          </w:p>
          <w:p>
            <w:pPr>
              <w:pStyle w:val="ListParagraph"/>
              <w:numPr>
                <w:ilvl w:val="1"/>
                <w:numId w:val="2"/>
              </w:numPr>
              <w:shd w:val="clear" w:color="auto" w:fill="FFFFFF" w:themeFill="background1"/>
              <w:spacing w:before="60" w:after="60" w:line="240" w:lineRule="auto"/>
              <w:ind w:left="851" w:right="-23" w:hanging="284"/>
              <w:contextualSpacing w:val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definire le modalità di integrazione dell'uguaglianza, dell'inclusione e della partecipazione dei Rom a livello regionale e locale.</w:t>
            </w:r>
          </w:p>
        </w:tc>
      </w:tr>
    </w:tbl>
    <w:p>
      <w:pPr>
        <w:rPr>
          <w:noProof/>
        </w:rPr>
      </w:pPr>
      <w:r>
        <w:rPr>
          <w:noProof/>
        </w:rPr>
        <w:br w:type="page"/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>
        <w:tc>
          <w:tcPr>
            <w:tcW w:w="9322" w:type="dxa"/>
          </w:tcPr>
          <w:p>
            <w:pPr>
              <w:spacing w:before="60" w:after="60"/>
              <w:ind w:right="-24"/>
              <w:jc w:val="center"/>
              <w:rPr>
                <w:rFonts w:ascii="Times New Roman" w:hAnsi="Times New Roman" w:cs="Times New Roman"/>
                <w:b/>
                <w:smallCaps/>
                <w:noProof/>
                <w:color w:val="0070C0"/>
              </w:rPr>
            </w:pPr>
            <w:r>
              <w:rPr>
                <w:rFonts w:ascii="Times New Roman" w:hAnsi="Times New Roman"/>
                <w:b/>
                <w:smallCaps/>
                <w:noProof/>
                <w:color w:val="0070C0"/>
              </w:rPr>
              <w:t>Migliorare le misure volte a prevenire/mitigare l'impatto sproporzionato delle crisi sui Rom</w:t>
            </w:r>
          </w:p>
          <w:p>
            <w:pPr>
              <w:spacing w:before="60" w:after="60"/>
              <w:ind w:right="-24"/>
              <w:jc w:val="both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w:t>Tutte le sfide principali che l'UE si trova attualmente ad affrontare (tra cui la pandemia di coronavirus, i cambiamenti climatici e le transizioni verde e digitale) presentano una dimensione relativa all'uguaglianza e all'inclusione dei Rom. Occorre prestare particolare attenzione affinché i gruppi discriminati ed emarginati, in particolare tra i Rom, non siano costretti a sostenere una quota sproporzionata degli oneri derivanti dalle crisi e dalle transizioni, e affinché le risposte di emergenza e le strategie di crescita a lungo termine prevedano un sostegno mirato supplementare alla loro inclusione. È opportuno trarre insegnamenti dalla pandemia di coronavirus, che ha colpito le comunità Rom emarginate in modo sproporzionato esponendole agli impatti peggiori per la salute a breve termine e per l'economia a medio/lungo termine. I quadri strategici nazionali per i Rom dovrebbero contribuire ad attenuare gli effetti della crisi causata dal coronavirus e dovrebbero permetterci di affrontare meglio tali eventi in futuro.</w:t>
            </w:r>
          </w:p>
          <w:p>
            <w:pPr>
              <w:spacing w:before="60" w:after="60"/>
              <w:ind w:right="-24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</w:rPr>
              <w:t>I quadri strategici nazionali per i Rom dovrebbero: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426" w:right="-24" w:hanging="426"/>
              <w:contextualSpacing w:val="0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  <w:t>pianificare una raccolta dei dati efficace e il monitoraggio degli impatti socioeconomici (per età, sesso e necessità mediche) al fine di garantire misure politiche efficaci e su misura che rispondano alle pandemie esistenti/future;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426" w:right="-24" w:hanging="426"/>
              <w:contextualSpacing w:val="0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  <w:t>tener conto delle esigenze a breve, medio e lungo termine e coinvolgere i soggetti interessati nello sviluppo e nell'attuazione delle misure;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426" w:right="-24" w:hanging="426"/>
              <w:contextualSpacing w:val="0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  <w:t>sostenere gli sforzi delle autorità locali per rispondere alle esigenze più immediate delle comunità Rom (ad es. accesso ad alloggi, con fornitura di cibo e acqua, accesso ai servizi sanitari gratuiti e sostegno finanziario alle famiglie Rom in situazioni di precarietà economica);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426" w:right="-24" w:hanging="426"/>
              <w:contextualSpacing w:val="0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  <w:t>dare priorità agli sforzi volti ad affrontare le disuguaglianze strutturali e la mancanza di accesso ai servizi e alle infrastrutture di base per le comunità Rom;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426" w:right="-24" w:hanging="426"/>
              <w:contextualSpacing w:val="0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  <w:t>garantire che le misure e/o gli interventi che usufruiscono di finanziamenti nazionali e dell'UE e nazionali rispondano alle esigenze delle comunità più emarginate e svantaggiate;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426" w:right="-24" w:hanging="426"/>
              <w:contextualSpacing w:val="0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  <w:t>promuovere l'accesso ad acqua potabile sicura e pulita per i Rom</w:t>
            </w:r>
            <w:r>
              <w:rPr>
                <w:rStyle w:val="FootnoteReference"/>
                <w:rFonts w:ascii="Times New Roman" w:hAnsi="Times New Roman"/>
                <w:noProof/>
                <w:sz w:val="22"/>
                <w:szCs w:val="22"/>
              </w:rPr>
              <w:footnoteReference w:id="4"/>
            </w:r>
            <w:r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  <w:t>;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426" w:right="-24" w:hanging="426"/>
              <w:contextualSpacing w:val="0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  <w:t>migliorare l'accesso ai servizi igienico-sanitari e garantire la continuità dei servizi di base in caso di pandemia;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426" w:right="-24" w:hanging="426"/>
              <w:contextualSpacing w:val="0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  <w:t>promuovere l'alfabetizzazione sanitaria della popolazione Rom;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426" w:right="-24" w:hanging="426"/>
              <w:contextualSpacing w:val="0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  <w:t>promuovere la diffusione di informazioni accurate, chiare e basate su dati concreti e campagne di sensibilizzazione quali strumenti efficaci contro la discriminazione e la xenofobia;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426" w:right="-24" w:hanging="426"/>
              <w:contextualSpacing w:val="0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  <w:t>svolgere un monitoraggio regolare delle condizioni e dei rischi ambientali che colpiscono nello specifico le comunità Rom svantaggiate e intervenire per porre rimedio a condizioni pericolose o non igieniche; e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426" w:right="-24" w:hanging="426"/>
              <w:contextualSpacing w:val="0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  <w:t>promuovere la coerenza tra le misure di emergenza e di ripresa e le iniziative di portata generale come il ''green deal'', la digitalizzazione, il pilastro europeo dei diritti sociali, gli obiettivi di sviluppo sostenibile, il semestre europeo e le strategie, i programmi e le riforme di portata generale.</w:t>
            </w:r>
          </w:p>
        </w:tc>
      </w:tr>
    </w:tbl>
    <w:p>
      <w:pPr>
        <w:rPr>
          <w:noProof/>
        </w:rPr>
      </w:pPr>
      <w:r>
        <w:rPr>
          <w:noProof/>
        </w:rPr>
        <w:br w:type="page"/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>
        <w:trPr>
          <w:trHeight w:val="6511"/>
        </w:trPr>
        <w:tc>
          <w:tcPr>
            <w:tcW w:w="9322" w:type="dxa"/>
          </w:tcPr>
          <w:p>
            <w:pPr>
              <w:spacing w:before="60" w:after="60"/>
              <w:ind w:right="-24"/>
              <w:jc w:val="center"/>
              <w:rPr>
                <w:rFonts w:ascii="Times New Roman" w:hAnsi="Times New Roman" w:cs="Times New Roman"/>
                <w:b/>
                <w:smallCaps/>
                <w:noProof/>
                <w:color w:val="0070C0"/>
              </w:rPr>
            </w:pPr>
            <w:r>
              <w:rPr>
                <w:rFonts w:ascii="Times New Roman" w:hAnsi="Times New Roman"/>
                <w:b/>
                <w:smallCaps/>
                <w:noProof/>
                <w:color w:val="0070C0"/>
              </w:rPr>
              <w:t>Garantire l'inclusione digitale</w:t>
            </w:r>
          </w:p>
          <w:p>
            <w:pPr>
              <w:spacing w:before="60" w:after="60"/>
              <w:ind w:right="-24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Quando la pandemia di coronavirus ha costretto le scuole, i campus e gli uffici a chiudere, tutti si sono rivolti a Internet come ancora di salvezza. Il passaggio di massa all'istruzione online e alla telemedicina, ecc., presuppone che tutti abbiano accesso a Internet. Tuttavia, la crisi ha messo in luce incredibili </w:t>
            </w:r>
            <w:hyperlink r:id="rId16" w:history="1">
              <w:r>
                <w:rPr>
                  <w:rStyle w:val="Hyperlink"/>
                  <w:rFonts w:ascii="Times New Roman" w:hAnsi="Times New Roman"/>
                  <w:noProof/>
                </w:rPr>
                <w:t>disparità a livello mondiale</w:t>
              </w:r>
            </w:hyperlink>
            <w:r>
              <w:rPr>
                <w:rFonts w:ascii="Times New Roman" w:hAnsi="Times New Roman"/>
                <w:noProof/>
              </w:rPr>
              <w:t xml:space="preserve"> per quanto riguarda l'apprendimento online e a distanza. I Rom vivono spesso in zone rurali, nelle quali l'accesso a infrastrutture a banda larga ad alta velocità è ancora lontano dal realizzarsi. Per i gruppi emarginati come i Rom, con accesso limitato o inesistente alle infrastrutture informatiche e all'alfabetizzazione digitale, l'impatto della crisi ha portato alla luce disuguaglianze strutturali radicate, che si traducono nel rischio per i bambini Rom di conseguire risultati insoddisfacenti e di restare indietro nel lavoro scolastico, e nel rischio per gli adulti di essere privati di informazioni in tempo reale e di opportunità di lavoro. Occorre affrontare le sfide alla base delle disuguaglianze, della discriminazione e dell'esclusione nell'era digitale, affinché nessuno sia lasciato indietro. Il successo della diffusione delle tecnologie digitali, la resilienza e l'equità sociale in Europa dipendono dalla possibilità che i cittadini accedano alle infrastrutture, agli strumenti e alle competenze digitali necessari.</w:t>
            </w:r>
          </w:p>
          <w:p>
            <w:pPr>
              <w:spacing w:before="60" w:after="60"/>
              <w:ind w:right="-24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I quadri strategici nazionali per i Rom dovrebbero: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24"/>
              <w:contextualSpacing w:val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affrontare l'esclusione digitale dei Rom fornendo accesso alle tecnologie digitali, in particolare l'accesso e il sostegno all'apprendimento online/a distanza in caso di chiusura delle strutture di istruzione e di formazione, come è avvenuto durante la pandemia di coronavirus;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24"/>
              <w:contextualSpacing w:val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incoraggiare sinergie con altre iniziative politiche (in particolare quelle riguardanti i servizi pubblici, commerciali e di e-government online), per facilitare l'uso dei servizi pubblici e promuovere l'e-government inclusivo, con misure specifiche per fornire servizi pubblici ai Rom e connettersi con loro e un'attenzione particolare alle zone rurali;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right="-24"/>
              <w:contextualSpacing w:val="0"/>
              <w:rPr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rafforzare le abilità e le competenze digitali</w:t>
            </w:r>
            <w:r>
              <w:rPr>
                <w:rStyle w:val="FootnoteReference"/>
                <w:rFonts w:ascii="Times New Roman" w:hAnsi="Times New Roman"/>
                <w:noProof/>
                <w:sz w:val="22"/>
                <w:szCs w:val="22"/>
              </w:rPr>
              <w:footnoteReference w:id="5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tra i Rom: </w:t>
            </w:r>
          </w:p>
          <w:p>
            <w:pPr>
              <w:spacing w:before="60" w:after="60"/>
              <w:ind w:left="851" w:right="-23" w:hanging="284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1) </w:t>
            </w:r>
            <w:r>
              <w:rPr>
                <w:noProof/>
              </w:rPr>
              <w:tab/>
            </w:r>
            <w:r>
              <w:rPr>
                <w:rFonts w:ascii="Times New Roman" w:hAnsi="Times New Roman"/>
                <w:noProof/>
              </w:rPr>
              <w:t>migliorando l'accesso alle apparecchiature digitali e ai collegamenti di rete (ad es. punti di accesso pubblici a Internet nelle aree svantaggiate);</w:t>
            </w:r>
          </w:p>
          <w:p>
            <w:pPr>
              <w:spacing w:before="60" w:after="60"/>
              <w:ind w:left="851" w:right="-23" w:hanging="284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2) </w:t>
            </w:r>
            <w:r>
              <w:rPr>
                <w:noProof/>
              </w:rPr>
              <w:tab/>
            </w:r>
            <w:r>
              <w:rPr>
                <w:rFonts w:ascii="Times New Roman" w:hAnsi="Times New Roman"/>
                <w:noProof/>
              </w:rPr>
              <w:t xml:space="preserve">promuovendo abilità e competenze digitali di base in una prospettiva di apprendimento lungo tutto l'arco della vita e offrendo appositi corsi di formazione; </w:t>
            </w:r>
          </w:p>
          <w:p>
            <w:pPr>
              <w:spacing w:before="60" w:after="60"/>
              <w:ind w:left="851" w:right="-23" w:hanging="284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3) </w:t>
            </w:r>
            <w:r>
              <w:rPr>
                <w:noProof/>
              </w:rPr>
              <w:tab/>
            </w:r>
            <w:r>
              <w:rPr>
                <w:rFonts w:ascii="Times New Roman" w:hAnsi="Times New Roman"/>
                <w:noProof/>
              </w:rPr>
              <w:t xml:space="preserve">migliorando la qualità dell'uso e della partecipazione dei Rom alla società dell'informazione; </w:t>
            </w:r>
          </w:p>
          <w:p>
            <w:pPr>
              <w:spacing w:before="60" w:after="60"/>
              <w:ind w:left="851" w:right="-23" w:hanging="284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4) </w:t>
            </w:r>
            <w:r>
              <w:rPr>
                <w:noProof/>
              </w:rPr>
              <w:tab/>
            </w:r>
            <w:r>
              <w:rPr>
                <w:rFonts w:ascii="Times New Roman" w:hAnsi="Times New Roman"/>
                <w:noProof/>
              </w:rPr>
              <w:t>promuovendo la segnalazione di pratiche discriminatorie online riguardanti l'accesso ai servizi e il relativo utilizzo;</w:t>
            </w:r>
          </w:p>
          <w:p>
            <w:pPr>
              <w:spacing w:before="60" w:after="60"/>
              <w:ind w:left="851" w:right="-23" w:hanging="284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5) integrando le iniziative di alfabetizzazione digitale nei contesti socioeconomici locali, adattandole alle esigenze e alle condizioni specifiche delle comunità Rom;</w:t>
            </w:r>
          </w:p>
          <w:p>
            <w:pPr>
              <w:spacing w:before="60" w:after="60"/>
              <w:ind w:left="851" w:right="-23" w:hanging="284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6) incoraggiando e sostenendo iniziative di alfabetizzazione digitale</w:t>
            </w:r>
            <w:r>
              <w:rPr>
                <w:rStyle w:val="FootnoteReference"/>
                <w:rFonts w:ascii="Times New Roman" w:hAnsi="Times New Roman"/>
                <w:noProof/>
              </w:rPr>
              <w:footnoteReference w:id="6"/>
            </w:r>
            <w:r>
              <w:rPr>
                <w:rFonts w:ascii="Times New Roman" w:hAnsi="Times New Roman"/>
                <w:noProof/>
              </w:rPr>
              <w:t xml:space="preserve"> che:</w:t>
            </w:r>
          </w:p>
          <w:p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851" w:right="-23" w:hanging="284"/>
              <w:contextualSpacing w:val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stimolino motivazione e consapevolezza in merito all'uso di Internet; </w:t>
            </w:r>
          </w:p>
          <w:p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851" w:right="-23" w:hanging="284"/>
              <w:contextualSpacing w:val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siano economicamente accessibili e sostenibili; </w:t>
            </w:r>
          </w:p>
          <w:p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851" w:right="-23" w:hanging="284"/>
              <w:contextualSpacing w:val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prevedano contenuti e modalità di erogazione adeguati ai Rom (nuovi metodi di insegnamento, apprendimento informale, ecc.); e </w:t>
            </w:r>
          </w:p>
          <w:p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851" w:right="-23" w:hanging="284"/>
              <w:contextualSpacing w:val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siano accessibili e utilizzabili; 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24"/>
              <w:contextualSpacing w:val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incoraggiare l'uso di soluzioni digitali per l'assistenza sanitaria, sia per i pazienti che per gli operatori sanitari, al fine di garantire la continuità delle cure e modalità di trattamento sicure; e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24"/>
              <w:contextualSpacing w:val="0"/>
              <w:rPr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rivedere i quadri strategici per l'inclusione digitale al fine di valutare gli ostacoli incontrati dai Rom.</w:t>
            </w:r>
          </w:p>
        </w:tc>
      </w:tr>
      <w:tr>
        <w:trPr>
          <w:trHeight w:val="416"/>
        </w:trPr>
        <w:tc>
          <w:tcPr>
            <w:tcW w:w="9322" w:type="dxa"/>
          </w:tcPr>
          <w:p>
            <w:pPr>
              <w:spacing w:before="60" w:after="60"/>
              <w:ind w:right="-24"/>
              <w:jc w:val="center"/>
              <w:rPr>
                <w:rFonts w:ascii="Times New Roman" w:hAnsi="Times New Roman" w:cs="Times New Roman"/>
                <w:b/>
                <w:smallCaps/>
                <w:noProof/>
                <w:color w:val="0070C0"/>
              </w:rPr>
            </w:pPr>
            <w:r>
              <w:rPr>
                <w:rFonts w:ascii="Times New Roman" w:hAnsi="Times New Roman"/>
                <w:b/>
                <w:smallCaps/>
                <w:noProof/>
                <w:color w:val="0070C0"/>
              </w:rPr>
              <w:t>Garantire la giustizia ambientale</w:t>
            </w:r>
          </w:p>
          <w:p>
            <w:pPr>
              <w:spacing w:before="60" w:after="60"/>
              <w:ind w:right="-24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La discriminazione ambientale</w:t>
            </w:r>
            <w:r>
              <w:rPr>
                <w:rStyle w:val="FootnoteReference"/>
                <w:rFonts w:ascii="Times New Roman" w:hAnsi="Times New Roman" w:cs="Times New Roman"/>
                <w:smallCaps/>
                <w:noProof/>
                <w:color w:val="0070C0"/>
              </w:rPr>
              <w:footnoteReference w:id="7"/>
            </w:r>
            <w:r>
              <w:rPr>
                <w:rFonts w:ascii="Times New Roman" w:hAnsi="Times New Roman"/>
                <w:noProof/>
              </w:rPr>
              <w:t xml:space="preserve"> subita da numerose comunità Rom sta diventando oggetto di attenzione pubblica. Questa realtà a lungo trascurata ha manifestato effetti sproporzionati durante la pandemia di coronavirus, laddove le comunità emarginate sono risultate più vulnerabili al contagio e ad altri problemi di salute connessi. I rischi per la salute sono aggravati da condizioni di vita inadeguate e dalla segregazione, che espongono ulteriormente i Rom all'esclusione socioeconomica. </w:t>
            </w:r>
          </w:p>
          <w:p>
            <w:pPr>
              <w:spacing w:before="60" w:after="60"/>
              <w:ind w:right="-24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</w:rPr>
              <w:t>I quadri strategici nazionali per i Rom dovrebbero: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4"/>
              <w:contextualSpacing w:val="0"/>
              <w:rPr>
                <w:rFonts w:ascii="Times New Roman" w:hAnsi="Times New Roman"/>
                <w:b/>
                <w:smallCaps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  <w:t>riconoscere e affrontare la discriminazione ambientale, soprattutto nella misura in cui colpisce comunità Rom emarginate in zone segregate (quale espressione dell'antiziganismo); promuovere la comprensione del modo in cui la discriminazione ambientale e la mancanza di servizi ambientali costringono i Rom emarginati a vivere in zone caratterizzate dal degrado ambientale;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4"/>
              <w:contextualSpacing w:val="0"/>
              <w:rPr>
                <w:rFonts w:ascii="Times New Roman" w:hAnsi="Times New Roman"/>
                <w:b/>
                <w:smallCaps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  <w:t>concentrarsi sull'accesso all'acqua, sui servizi igienico-sanitari adeguati, sui servizi di raccolta e gestione dei rifiuti, e contrastare la segregazione spaziale persistente come causa di discriminazione ambientale nel settore degli alloggi e dei servizi essenziali;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4"/>
              <w:contextualSpacing w:val="0"/>
              <w:rPr>
                <w:rFonts w:ascii="Times New Roman" w:hAnsi="Times New Roman"/>
                <w:b/>
                <w:smallCaps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  <w:t>affrontare il problema dell'accesso insufficiente dei Rom alle aree verdi con valore ricreativo;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4"/>
              <w:contextualSpacing w:val="0"/>
              <w:rPr>
                <w:rFonts w:ascii="Times New Roman" w:hAnsi="Times New Roman"/>
                <w:b/>
                <w:smallCaps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  <w:t>prevenire i rischi per la salute ambientale e contrastare l'impatto sanitario dell'esposizione all'inquinamento e alla contaminazione; e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4"/>
              <w:contextualSpacing w:val="0"/>
              <w:rPr>
                <w:rFonts w:ascii="Times New Roman" w:hAnsi="Times New Roman"/>
                <w:b/>
                <w:smallCaps/>
                <w:noProof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  <w:t>garantire la salute e la sicurezza sul lavoro per chi lavora in condizioni ambientali meno favorevoli.</w:t>
            </w:r>
          </w:p>
        </w:tc>
      </w:tr>
    </w:tbl>
    <w:p>
      <w:pPr>
        <w:rPr>
          <w:noProof/>
        </w:rPr>
      </w:pPr>
      <w:r>
        <w:rPr>
          <w:noProof/>
        </w:rPr>
        <w:br w:type="page"/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>
        <w:trPr>
          <w:trHeight w:val="691"/>
        </w:trPr>
        <w:tc>
          <w:tcPr>
            <w:tcW w:w="9322" w:type="dxa"/>
          </w:tcPr>
          <w:p>
            <w:pPr>
              <w:spacing w:before="60" w:after="60"/>
              <w:ind w:right="-24"/>
              <w:jc w:val="center"/>
              <w:rPr>
                <w:rFonts w:ascii="Times New Roman" w:hAnsi="Times New Roman" w:cs="Times New Roman"/>
                <w:b/>
                <w:smallCaps/>
                <w:noProof/>
                <w:color w:val="0070C0"/>
              </w:rPr>
            </w:pPr>
            <w:r>
              <w:rPr>
                <w:rFonts w:ascii="Times New Roman" w:hAnsi="Times New Roman"/>
                <w:b/>
                <w:smallCaps/>
                <w:noProof/>
                <w:color w:val="0070C0"/>
              </w:rPr>
              <w:t>Promuovere le arti, la storia e la cultura Rom (e la conoscenza delle stesse)</w:t>
            </w:r>
          </w:p>
          <w:p>
            <w:pPr>
              <w:keepNext/>
              <w:keepLines/>
              <w:shd w:val="clear" w:color="auto" w:fill="FFFFFF" w:themeFill="background1"/>
              <w:spacing w:before="60" w:after="60"/>
              <w:ind w:right="-24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L'arte, la storia e la cultura Rom sono parte integrante dei paesaggi europei e nazionali. Tuttavia, nel corso dei secoli le rappresentazioni della cultura e dell'identità dei Rom sono state romanticizzate e stereotipate, e ciò ha esacerbato l'alienazione delle comunità Rom dal resto della società. Il riconoscimento culturale dovrebbe essere costruito attraverso la narrativa Rom. </w:t>
            </w:r>
          </w:p>
          <w:p>
            <w:pPr>
              <w:keepNext/>
              <w:keepLines/>
              <w:shd w:val="clear" w:color="auto" w:fill="FFFFFF" w:themeFill="background1"/>
              <w:spacing w:before="60" w:after="60"/>
              <w:ind w:right="-24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I quadri strategici nazionali per i Rom dovrebbero: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24"/>
              <w:contextualSpacing w:val="0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  <w:t>riconoscere il contributo fornito dall'arte e dalla cultura Rom al patrimonio nazionale ed europeo, accrescere la relativa consapevolezza e la titolarità dei Rom;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24"/>
              <w:contextualSpacing w:val="0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  <w:t>sostenere le piattaforme per agevolare i contatti tra Rom e non Rom a livello locale attraverso la promozione delle arti, dell'artigianato e della cultura Rom tradizionali e moderni e la conoscenza della storia dei Rom;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24"/>
              <w:contextualSpacing w:val="0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  <w:t xml:space="preserve">promuovere attività di sensibilizzazione in collaborazione con gli operatori dei media affinché i Rom costruiscano autonomamente la loro identità e il loro patrimonio culturale; 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24"/>
              <w:contextualSpacing w:val="0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  <w:t xml:space="preserve">combattere i pregiudizi e gli stereotipi sui Rom; 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24"/>
              <w:contextualSpacing w:val="0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  <w:t>proclamare e celebrare il 2 agosto come Giornata europea di commemorazione dell'Olocausto dei Rom, per commemorare le vittime del genocidio dei Rom durante la Seconda guerra mondiale;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24"/>
              <w:contextualSpacing w:val="0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  <w:t>promuovere un approccio integrato alla commemorazione dell'Olocausto, ricordando la sorte dei Rom in occasione della Giornata internazionale di commemorazione delle vittime dell'Olocausto (27 gennaio, il giorno in cui è stato liberato il campo di concentramento di Auschwitz-Birkenau);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24"/>
              <w:contextualSpacing w:val="0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  <w:t>integrare le comunità Rom nella narrativa culturale nazionale, includendo le arti, la storia e la cultura Rom nelle collezioni degli archivi, dei musei e delle mostre d'arte permanenti nazionali; assegnare risorse adeguate per preservare, conservare e sviluppare le arti e la cultura Rom, anche attraverso la promozione di festival;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24"/>
              <w:contextualSpacing w:val="0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  <w:t>includere la lingua Rom e la storia Rom nei programmi scolastici e nei libri di testo sia per gli studenti Rom sia per gli studenti non Rom; promuovere attività e campagne di sensibilizzazione multiculturali nelle scuole; e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24"/>
              <w:contextualSpacing w:val="0"/>
              <w:rPr>
                <w:rFonts w:ascii="Times New Roman" w:hAnsi="Times New Roman"/>
                <w:b/>
                <w:smallCaps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  <w:t>offrire opportunità per responsabilizzare e sostenere gli imprenditori e i lavoratori autonomi Rom che operano in imprese locali che promuovono le tradizioni e la cultura Rom.</w:t>
            </w:r>
          </w:p>
        </w:tc>
      </w:tr>
    </w:tbl>
    <w:p>
      <w:pPr>
        <w:rPr>
          <w:noProof/>
        </w:rPr>
      </w:pPr>
      <w:r>
        <w:rPr>
          <w:noProof/>
        </w:rPr>
        <w:br w:type="page"/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>
        <w:trPr>
          <w:trHeight w:val="691"/>
        </w:trPr>
        <w:tc>
          <w:tcPr>
            <w:tcW w:w="9322" w:type="dxa"/>
          </w:tcPr>
          <w:p>
            <w:pPr>
              <w:spacing w:before="60" w:after="60"/>
              <w:ind w:right="-24"/>
              <w:jc w:val="center"/>
              <w:rPr>
                <w:rFonts w:ascii="Times New Roman" w:hAnsi="Times New Roman" w:cs="Times New Roman"/>
                <w:b/>
                <w:smallCaps/>
                <w:noProof/>
                <w:color w:val="0070C0"/>
              </w:rPr>
            </w:pPr>
            <w:r>
              <w:rPr>
                <w:rFonts w:ascii="Times New Roman" w:hAnsi="Times New Roman"/>
                <w:b/>
                <w:smallCaps/>
                <w:noProof/>
                <w:color w:val="0070C0"/>
              </w:rPr>
              <w:t>Promuovere l'innovazione sociale e la sperimentazione di politiche</w:t>
            </w:r>
          </w:p>
          <w:p>
            <w:pPr>
              <w:keepNext/>
              <w:keepLines/>
              <w:shd w:val="clear" w:color="auto" w:fill="FFFFFF" w:themeFill="background1"/>
              <w:spacing w:before="60" w:after="60"/>
              <w:ind w:right="-24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L'innovazione sociale e la sperimentazione di politiche costituiscono nuovi approcci nel campo del cambiamento sociale comprendenti idee, pratiche e iniziative che intervengono ai diversi livelli di un sistema per catalizzare cambiamenti profondi ed effetti positivi a lungo termine. In quanto tali, possono costituire strumenti utili per promuovere l'uguaglianza, l'inclusione, la partecipazione e la responsabilizzazione dei Rom. </w:t>
            </w:r>
          </w:p>
          <w:p>
            <w:pPr>
              <w:keepNext/>
              <w:keepLines/>
              <w:shd w:val="clear" w:color="auto" w:fill="FFFFFF" w:themeFill="background1"/>
              <w:spacing w:before="60" w:after="60"/>
              <w:ind w:right="-24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Nel campo delle politiche dell'UE, per "innovazioni sociali" si intendono le attività che hanno sia finalità sia mezzi sociali e fanno riferimento allo sviluppo e all'attuazione di nuove idee (riguardanti prodotti, servizi e modelli) che rispondono a esigenze sociali e, contemporaneamente, creano nuovi rapporti o collaborazioni sociali, fornendo un beneficio alla società e promuovendo la capacità di agire della stessa</w:t>
            </w:r>
            <w:r>
              <w:rPr>
                <w:rStyle w:val="FootnoteReference"/>
                <w:rFonts w:ascii="Times New Roman" w:hAnsi="Times New Roman" w:cs="Times New Roman"/>
                <w:noProof/>
              </w:rPr>
              <w:footnoteReference w:id="8"/>
            </w:r>
            <w:r>
              <w:rPr>
                <w:rFonts w:ascii="Times New Roman" w:hAnsi="Times New Roman"/>
                <w:noProof/>
              </w:rPr>
              <w:t>. Per "sperimentazioni sociali" si intendono gli interventi programmatici che offrono una risposta innovativa alle esigenze sociali, attuati su piccola scala e in condizioni che garantiscono la possibilità di misurarne l'impatto, prima che siano attuati in altri contesti o su scala più ampia in caso di risultati convincenti</w:t>
            </w:r>
            <w:r>
              <w:rPr>
                <w:rStyle w:val="FootnoteReference"/>
                <w:rFonts w:ascii="Times New Roman" w:hAnsi="Times New Roman" w:cs="Times New Roman"/>
                <w:noProof/>
              </w:rPr>
              <w:footnoteReference w:id="9"/>
            </w:r>
            <w:r>
              <w:rPr>
                <w:rFonts w:ascii="Times New Roman" w:hAnsi="Times New Roman"/>
                <w:noProof/>
              </w:rPr>
              <w:t>.</w:t>
            </w:r>
          </w:p>
          <w:p>
            <w:pPr>
              <w:keepNext/>
              <w:keepLines/>
              <w:shd w:val="clear" w:color="auto" w:fill="FFFFFF" w:themeFill="background1"/>
              <w:spacing w:before="60" w:after="60"/>
              <w:ind w:right="-24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I quadri strategici nazionali per i Rom dovrebbero: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24"/>
              <w:contextualSpacing w:val="0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  <w:t>favorire la nascita di alleanze nazionali per l'apprendimento e l'innovazione ai fini dell'inclusione, riunendo soggetti che operano in tutto l'ecosistema (organizzazioni di categoria Rom competenti insieme al settore imprenditoriale, incubatori sociali e reti di innovatori, ambasciate e organizzazioni di ricerca);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24"/>
              <w:contextualSpacing w:val="0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  <w:t>avviare processi di creazione congiunta con portatori di interessi nazionali/regionali, il settore della filantropia e organizzazioni a fini sociali, per individuare le esigenze, le risorse disponibili e le opportunità di un'azione congiunta sistematica (anche con le forme di consulenza dell'UE disponibili);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24"/>
              <w:contextualSpacing w:val="0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  <w:t>sostenere la nascita di progetti orientati ai risultati in aree cruciali di servizio sociale (accesso agli alloggi, alle strutture, alle infrastrutture e ai servizi pubblici di base ecc.);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24"/>
              <w:contextualSpacing w:val="0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  <w:t>catalizzare e accumulare insegnamenti su metodi di lavoro nei diversi argomenti/settori, attivando e fornendo capacità a soggetti cruciali dei diversi settori (pubblico, privato, civile) per una collaborazione congiunta;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24"/>
              <w:contextualSpacing w:val="0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  <w:t>sperimentare politiche sociali (ad es. fornire un reddito minimo di inserimento) per generare modelli e sperimentare meccanismi di erogazione alternativi delle prestazioni sociali;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24"/>
              <w:contextualSpacing w:val="0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  <w:t>esplorare le possibilità di mobilitazione del capitale sociale e condivisione con, ad esempio, organizzazioni filantropiche tramite possibili programmi per l'incontro tra domanda e offerta, per rispondere alle esigenze persistenti delle persone più vulnerabili;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24"/>
              <w:contextualSpacing w:val="0"/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  <w:t>studiare nuovi modelli di servizio o erogazione e coperture ampliate tramite partenariati diretti al risultato;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24"/>
              <w:contextualSpacing w:val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sostenere la condivisione e l'integrazione di finanziamenti mirati e flessibili; e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right="-24"/>
              <w:contextualSpacing w:val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favorire l'istituzione di centri di competenza per l'innovazione sociale (da sostenere tramite le attività transnazionali del FES+) e incaricarli di sostenere i bisogni di inclusione dei Rom.</w:t>
            </w:r>
          </w:p>
        </w:tc>
      </w:tr>
    </w:tbl>
    <w:p>
      <w:pPr>
        <w:ind w:right="-24"/>
        <w:rPr>
          <w:rFonts w:cstheme="minorHAnsi"/>
          <w:noProof/>
        </w:rPr>
      </w:pPr>
    </w:p>
    <w:sectPr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13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48750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>
        <w:pPr>
          <w:pStyle w:val="Footer"/>
          <w:jc w:val="center"/>
          <w:rPr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2</w:t>
        </w:r>
        <w:r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rStyle w:val="FootnoteReference"/>
          <w:rFonts w:ascii="Times New Roman" w:hAnsi="Times New Roman" w:cs="Times New Roman"/>
          <w:sz w:val="19"/>
          <w:szCs w:val="19"/>
        </w:rPr>
        <w:footnoteRef/>
      </w:r>
      <w:r>
        <w:rPr>
          <w:rFonts w:ascii="Times New Roman" w:hAnsi="Times New Roman"/>
          <w:sz w:val="19"/>
          <w:szCs w:val="19"/>
        </w:rPr>
        <w:t xml:space="preserve"> </w:t>
      </w:r>
      <w:r>
        <w:tab/>
      </w:r>
      <w:hyperlink r:id="rId1" w:history="1">
        <w:r>
          <w:rPr>
            <w:rStyle w:val="Hyperlink"/>
            <w:rFonts w:ascii="Times New Roman" w:hAnsi="Times New Roman"/>
            <w:i/>
            <w:sz w:val="19"/>
            <w:szCs w:val="19"/>
          </w:rPr>
          <w:t>Antigypsyism — a reference paper</w:t>
        </w:r>
      </w:hyperlink>
      <w:r>
        <w:rPr>
          <w:rFonts w:ascii="Times New Roman" w:hAnsi="Times New Roman"/>
          <w:sz w:val="19"/>
          <w:szCs w:val="19"/>
        </w:rPr>
        <w:t xml:space="preserve"> (antiziganismo — documento di riferimento), Berlino/Budapest, 2017; </w:t>
      </w:r>
      <w:hyperlink r:id="rId2" w:history="1">
        <w:r>
          <w:rPr>
            <w:rStyle w:val="Hyperlink"/>
            <w:rFonts w:ascii="Times New Roman" w:hAnsi="Times New Roman"/>
            <w:sz w:val="19"/>
            <w:szCs w:val="19"/>
          </w:rPr>
          <w:t>Risoluzione del Parlamento europeo del 15 aprile 2015 in occasione della Giornata internazionale dei rom — antiziganismo in Europa e riconoscimento, da parte dell'UE, della giornata commemorativa del genocidio dei rom durante la Seconda guerra mondiale</w:t>
        </w:r>
      </w:hyperlink>
      <w:r>
        <w:rPr>
          <w:rFonts w:ascii="Times New Roman" w:hAnsi="Times New Roman"/>
          <w:sz w:val="19"/>
          <w:szCs w:val="19"/>
        </w:rPr>
        <w:t xml:space="preserve">; </w:t>
      </w:r>
      <w:hyperlink r:id="rId3" w:history="1">
        <w:r>
          <w:rPr>
            <w:rStyle w:val="Hyperlink"/>
            <w:rFonts w:ascii="Times New Roman" w:hAnsi="Times New Roman"/>
            <w:sz w:val="19"/>
            <w:szCs w:val="19"/>
          </w:rPr>
          <w:t>Relazione del Parlamento europeo sugli aspetti relativi ai diritti fondamentali nell'integrazione dei rom nell'Unione europea: lotta all'antiziganismo (2017/2038(INI))</w:t>
        </w:r>
      </w:hyperlink>
      <w:r>
        <w:rPr>
          <w:rFonts w:ascii="Times New Roman" w:hAnsi="Times New Roman"/>
          <w:sz w:val="19"/>
          <w:szCs w:val="19"/>
        </w:rPr>
        <w:t xml:space="preserve">; </w:t>
      </w:r>
      <w:hyperlink r:id="rId4" w:history="1">
        <w:r>
          <w:rPr>
            <w:rStyle w:val="Hyperlink"/>
            <w:rFonts w:ascii="Times New Roman" w:hAnsi="Times New Roman"/>
            <w:sz w:val="19"/>
            <w:szCs w:val="19"/>
          </w:rPr>
          <w:t>Risoluzione del Parlamento europeo del 12 febbraio 2019 sulla necessità di rafforzare il quadro strategico dell'UE per il periodo successivo al 2020 per le strategie nazionali di integrazione dei Rom e intensificare la lotta contro l'antiziganismo</w:t>
        </w:r>
      </w:hyperlink>
      <w:r>
        <w:rPr>
          <w:rFonts w:ascii="Times New Roman" w:hAnsi="Times New Roman"/>
          <w:sz w:val="19"/>
          <w:szCs w:val="19"/>
        </w:rPr>
        <w:t xml:space="preserve">; </w:t>
      </w:r>
      <w:hyperlink r:id="rId5" w:history="1">
        <w:r>
          <w:rPr>
            <w:rStyle w:val="Hyperlink"/>
            <w:rFonts w:ascii="Times New Roman" w:hAnsi="Times New Roman"/>
            <w:sz w:val="19"/>
            <w:szCs w:val="19"/>
          </w:rPr>
          <w:t>ECRI 2012 General Policy Recommendation No 13 on combating anti-Gypsyism and discrimination against Roma (commissione europea contro il razzismo e l'intolleranza, raccomandazione di politica generale n. 13 sulla lotta contro l'antiziganismo e le discriminazioni nei confronti dei Rom)</w:t>
        </w:r>
      </w:hyperlink>
      <w:r>
        <w:rPr>
          <w:rFonts w:ascii="Times New Roman" w:hAnsi="Times New Roman"/>
          <w:sz w:val="19"/>
          <w:szCs w:val="19"/>
        </w:rPr>
        <w:t xml:space="preserve">; </w:t>
      </w:r>
      <w:hyperlink r:id="rId6" w:history="1">
        <w:r>
          <w:rPr>
            <w:rStyle w:val="Hyperlink"/>
            <w:rFonts w:ascii="Times New Roman" w:hAnsi="Times New Roman"/>
            <w:sz w:val="19"/>
            <w:szCs w:val="19"/>
          </w:rPr>
          <w:t>Consiglio d'Europa, Declaration of the Committee of Ministers on the Rise of Anti-Gypsyism and Racist Violence against Roma in Europe (dichiarazione del comitato dei ministri sulla recrudescenza dell'antiziganismo e della violenza razzista nei confronti dei Rom in Europa)</w:t>
        </w:r>
      </w:hyperlink>
      <w:r>
        <w:rPr>
          <w:rStyle w:val="Hyperlink"/>
          <w:rFonts w:ascii="Times New Roman" w:hAnsi="Times New Roman"/>
          <w:sz w:val="19"/>
          <w:szCs w:val="19"/>
          <w:u w:val="none"/>
        </w:rPr>
        <w:t>.</w:t>
      </w:r>
    </w:p>
  </w:footnote>
  <w:footnote w:id="2">
    <w:p>
      <w:pPr>
        <w:pStyle w:val="FootnoteText"/>
        <w:ind w:left="284" w:hanging="284"/>
        <w:jc w:val="both"/>
        <w:rPr>
          <w:rFonts w:ascii="Times New Roman" w:hAnsi="Times New Roman" w:cs="Times New Roman"/>
          <w:sz w:val="19"/>
          <w:szCs w:val="19"/>
          <w:lang w:val="en-US"/>
        </w:rPr>
      </w:pPr>
      <w:r>
        <w:rPr>
          <w:rStyle w:val="FootnoteReference"/>
          <w:rFonts w:ascii="Times New Roman" w:hAnsi="Times New Roman" w:cs="Times New Roman"/>
          <w:sz w:val="19"/>
          <w:szCs w:val="19"/>
        </w:rPr>
        <w:footnoteRef/>
      </w:r>
      <w:r>
        <w:rPr>
          <w:rFonts w:ascii="Times New Roman" w:hAnsi="Times New Roman"/>
          <w:sz w:val="19"/>
          <w:szCs w:val="19"/>
        </w:rPr>
        <w:t xml:space="preserve"> </w:t>
      </w:r>
      <w:r>
        <w:tab/>
      </w:r>
      <w:r>
        <w:rPr>
          <w:rFonts w:ascii="Times New Roman" w:hAnsi="Times New Roman"/>
          <w:sz w:val="19"/>
          <w:szCs w:val="19"/>
        </w:rPr>
        <w:t xml:space="preserve">La discriminazione sistematica deriva dalle disuguaglianze inerenti alla legislazione, alle politiche e alle prassi. Spesso non è intenzionale ma dovuta a una serie di fattori istituzionali che intervengono nella formulazione, nell'attuazione e nel riesame di legislazioni, politiche e prassi. </w:t>
      </w:r>
      <w:r>
        <w:rPr>
          <w:rFonts w:ascii="Times New Roman" w:hAnsi="Times New Roman"/>
          <w:sz w:val="19"/>
          <w:szCs w:val="19"/>
          <w:lang w:val="en-US"/>
        </w:rPr>
        <w:t xml:space="preserve">Cfr. </w:t>
      </w:r>
      <w:hyperlink r:id="rId7" w:history="1">
        <w:r>
          <w:rPr>
            <w:rStyle w:val="Hyperlink"/>
            <w:rFonts w:ascii="Times New Roman" w:hAnsi="Times New Roman"/>
            <w:sz w:val="19"/>
            <w:szCs w:val="19"/>
            <w:lang w:val="en-US"/>
          </w:rPr>
          <w:t>Roma and traveller inclusion:</w:t>
        </w:r>
      </w:hyperlink>
      <w:hyperlink r:id="rId8" w:history="1">
        <w:r>
          <w:rPr>
            <w:rStyle w:val="Hyperlink"/>
            <w:rFonts w:ascii="Times New Roman" w:hAnsi="Times New Roman"/>
            <w:sz w:val="19"/>
            <w:szCs w:val="19"/>
            <w:lang w:val="en-US"/>
          </w:rPr>
          <w:t xml:space="preserve"> towards a new EU framework, learning from the work of equality bodies</w:t>
        </w:r>
      </w:hyperlink>
      <w:r>
        <w:rPr>
          <w:rStyle w:val="Hyperlink"/>
          <w:rFonts w:ascii="Times New Roman" w:hAnsi="Times New Roman"/>
          <w:sz w:val="19"/>
          <w:szCs w:val="19"/>
          <w:u w:val="none"/>
          <w:lang w:val="en-US"/>
        </w:rPr>
        <w:t>.</w:t>
      </w:r>
    </w:p>
  </w:footnote>
  <w:footnote w:id="3">
    <w:p>
      <w:pPr>
        <w:pStyle w:val="FootnoteText"/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Style w:val="FootnoteReference"/>
          <w:rFonts w:ascii="Times New Roman" w:hAnsi="Times New Roman" w:cs="Times New Roman"/>
          <w:sz w:val="19"/>
          <w:szCs w:val="19"/>
        </w:rPr>
        <w:footnoteRef/>
      </w:r>
      <w:r>
        <w:rPr>
          <w:rFonts w:ascii="Times New Roman" w:hAnsi="Times New Roman"/>
          <w:sz w:val="19"/>
          <w:szCs w:val="19"/>
        </w:rPr>
        <w:t xml:space="preserve"> </w:t>
      </w:r>
      <w:r>
        <w:tab/>
      </w:r>
      <w:r>
        <w:rPr>
          <w:rFonts w:ascii="Times New Roman" w:hAnsi="Times New Roman"/>
          <w:sz w:val="19"/>
          <w:szCs w:val="19"/>
        </w:rPr>
        <w:t xml:space="preserve">Violetta Zentai, Georgeta Munteanu e Simona Torotcoi, </w:t>
      </w:r>
      <w:hyperlink r:id="rId9" w:history="1">
        <w:r>
          <w:rPr>
            <w:rStyle w:val="Hyperlink"/>
            <w:rFonts w:ascii="Times New Roman" w:hAnsi="Times New Roman"/>
            <w:i/>
            <w:sz w:val="19"/>
            <w:szCs w:val="19"/>
          </w:rPr>
          <w:t>The quality of participation in a post-2020 EU initiative for Roma equality and inclusion</w:t>
        </w:r>
      </w:hyperlink>
      <w:r>
        <w:rPr>
          <w:rFonts w:ascii="Times New Roman" w:hAnsi="Times New Roman"/>
          <w:sz w:val="19"/>
          <w:szCs w:val="19"/>
        </w:rPr>
        <w:t>, relazioni di esperti basate sugli aspetti a lungo termine della valutazione del quadro dell'UE per le strategie nazionali di integrazione dei Rom, 2020, pagg. 41, 59-60.</w:t>
      </w:r>
    </w:p>
  </w:footnote>
  <w:footnote w:id="4">
    <w:p>
      <w:pPr>
        <w:pStyle w:val="FootnoteText"/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Style w:val="FootnoteReference"/>
          <w:rFonts w:ascii="Times New Roman" w:hAnsi="Times New Roman" w:cs="Times New Roman"/>
          <w:sz w:val="19"/>
          <w:szCs w:val="19"/>
        </w:rPr>
        <w:footnoteRef/>
      </w:r>
      <w:r>
        <w:rPr>
          <w:rFonts w:ascii="Times New Roman" w:hAnsi="Times New Roman"/>
          <w:sz w:val="19"/>
          <w:szCs w:val="19"/>
        </w:rPr>
        <w:t xml:space="preserve"> </w:t>
      </w:r>
      <w:r>
        <w:tab/>
      </w:r>
      <w:r>
        <w:rPr>
          <w:rFonts w:ascii="Times New Roman" w:hAnsi="Times New Roman"/>
          <w:sz w:val="19"/>
          <w:szCs w:val="19"/>
        </w:rPr>
        <w:t xml:space="preserve">La </w:t>
      </w:r>
      <w:hyperlink r:id="rId10" w:history="1">
        <w:r>
          <w:rPr>
            <w:rStyle w:val="Hyperlink"/>
            <w:rFonts w:ascii="Times New Roman" w:hAnsi="Times New Roman"/>
            <w:sz w:val="19"/>
            <w:szCs w:val="19"/>
          </w:rPr>
          <w:t>direttiva sull'acqua potabile</w:t>
        </w:r>
      </w:hyperlink>
      <w:r>
        <w:rPr>
          <w:rFonts w:ascii="Times New Roman" w:hAnsi="Times New Roman"/>
          <w:sz w:val="19"/>
          <w:szCs w:val="19"/>
        </w:rPr>
        <w:t xml:space="preserve"> (considerando 31 e articolo 16) impone agli Stati membri di tener conto della specifica situazione delle culture minoritarie, quali i Rom e i Travellers, che siano stanziali o meno, adottando le misure necessarie a migliorarne l'accesso all'acqua destinata al consumo umano.</w:t>
      </w:r>
    </w:p>
  </w:footnote>
  <w:footnote w:id="5">
    <w:p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Times New Roman" w:hAnsi="Times New Roman"/>
          <w:sz w:val="18"/>
          <w:szCs w:val="18"/>
        </w:rPr>
        <w:t xml:space="preserve">  Il </w:t>
      </w:r>
      <w:hyperlink r:id="rId11" w:history="1">
        <w:r>
          <w:rPr>
            <w:rStyle w:val="Hyperlink"/>
            <w:rFonts w:ascii="Times New Roman" w:hAnsi="Times New Roman"/>
            <w:sz w:val="18"/>
            <w:szCs w:val="18"/>
          </w:rPr>
          <w:t>quadro europeo delle competenze digitali per i cittadini</w:t>
        </w:r>
      </w:hyperlink>
      <w:r>
        <w:rPr>
          <w:rFonts w:ascii="Times New Roman" w:hAnsi="Times New Roman"/>
          <w:sz w:val="18"/>
          <w:szCs w:val="18"/>
        </w:rPr>
        <w:t xml:space="preserve"> elenca cinque componenti della competenza digitale: l'alfabetizzazione informatica e digitale, la comunicazione e la collaborazione, l'alfabetizzazione mediatica, la creazione di contenuti digitali, la sicurezza e la risoluzione di problemi.</w:t>
      </w:r>
    </w:p>
  </w:footnote>
  <w:footnote w:id="6">
    <w:p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   </w:t>
      </w:r>
      <w:r>
        <w:rPr>
          <w:rFonts w:ascii="Times New Roman" w:hAnsi="Times New Roman"/>
          <w:sz w:val="18"/>
          <w:szCs w:val="18"/>
        </w:rPr>
        <w:t xml:space="preserve">Il </w:t>
      </w:r>
      <w:hyperlink r:id="rId12" w:history="1">
        <w:r>
          <w:rPr>
            <w:rStyle w:val="Hyperlink"/>
            <w:rFonts w:ascii="Times New Roman" w:hAnsi="Times New Roman"/>
            <w:sz w:val="18"/>
            <w:szCs w:val="18"/>
          </w:rPr>
          <w:t>quadro europeo delle competenze digitali per i cittadini</w:t>
        </w:r>
      </w:hyperlink>
      <w:r>
        <w:rPr>
          <w:rFonts w:ascii="Times New Roman" w:hAnsi="Times New Roman"/>
          <w:sz w:val="18"/>
          <w:szCs w:val="18"/>
        </w:rPr>
        <w:t xml:space="preserve"> definisce l'alfabetizzazione informatica e digitale come l'abilità di esprimere i bisogni di informazione,</w:t>
      </w:r>
      <w:r>
        <w:rPr>
          <w:rFonts w:ascii="Times New Roman" w:hAnsi="Times New Roman"/>
          <w:color w:val="000000"/>
          <w:sz w:val="18"/>
          <w:szCs w:val="18"/>
        </w:rPr>
        <w:t xml:space="preserve"> localizzare e recuperare dati, informazioni e contenuti digitali, giudicare la pertinenza della fonte e del suo contenuto, e conservare, gestire e organizzare dati, informazioni e contenuti digitali.</w:t>
      </w:r>
    </w:p>
  </w:footnote>
  <w:footnote w:id="7">
    <w:p>
      <w:pPr>
        <w:pStyle w:val="FootnoteText"/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Style w:val="FootnoteReference"/>
          <w:rFonts w:ascii="Times New Roman" w:hAnsi="Times New Roman" w:cs="Times New Roman"/>
          <w:sz w:val="19"/>
          <w:szCs w:val="19"/>
        </w:rPr>
        <w:footnoteRef/>
      </w:r>
      <w:r>
        <w:rPr>
          <w:rFonts w:ascii="Times New Roman" w:hAnsi="Times New Roman"/>
          <w:sz w:val="19"/>
          <w:szCs w:val="19"/>
        </w:rPr>
        <w:t xml:space="preserve"> </w:t>
      </w:r>
      <w:r>
        <w:tab/>
      </w:r>
      <w:r>
        <w:rPr>
          <w:rFonts w:ascii="Times New Roman" w:hAnsi="Times New Roman"/>
          <w:sz w:val="19"/>
          <w:szCs w:val="19"/>
        </w:rPr>
        <w:t xml:space="preserve">La discriminazione ambientale affligge i Rom che vivono in insediamenti segregati in condizioni pericolose dal punto di vista ambientale (in prossimità di discariche, stabilimenti industriali dismessi o aree a rischio di inondazioni) senza la possibilità di soddisfare esigenze ambientali di base quali l'approvvigionamento idrico e la gestione dei rifiuti. </w:t>
      </w:r>
      <w:r>
        <w:rPr>
          <w:rFonts w:ascii="Times New Roman" w:hAnsi="Times New Roman"/>
          <w:sz w:val="19"/>
          <w:szCs w:val="19"/>
          <w:lang w:val="en-US"/>
        </w:rPr>
        <w:t xml:space="preserve">Cfr. </w:t>
      </w:r>
      <w:hyperlink r:id="rId13" w:history="1">
        <w:r>
          <w:rPr>
            <w:rStyle w:val="Hyperlink"/>
            <w:rFonts w:ascii="Times New Roman" w:hAnsi="Times New Roman"/>
            <w:i/>
            <w:sz w:val="19"/>
            <w:szCs w:val="19"/>
            <w:lang w:val="en-US"/>
          </w:rPr>
          <w:t>Pushed to the wastelands:</w:t>
        </w:r>
      </w:hyperlink>
      <w:hyperlink r:id="rId14" w:history="1">
        <w:r>
          <w:rPr>
            <w:rStyle w:val="Hyperlink"/>
            <w:rFonts w:ascii="Times New Roman" w:hAnsi="Times New Roman"/>
            <w:i/>
            <w:sz w:val="19"/>
            <w:szCs w:val="19"/>
            <w:lang w:val="en-US"/>
          </w:rPr>
          <w:t xml:space="preserve"> environmental racism against Roma communities in central and Eastern Europe</w:t>
        </w:r>
      </w:hyperlink>
      <w:r>
        <w:rPr>
          <w:rFonts w:ascii="Times New Roman" w:hAnsi="Times New Roman"/>
          <w:sz w:val="19"/>
          <w:szCs w:val="19"/>
          <w:lang w:val="en-US"/>
        </w:rPr>
        <w:t xml:space="preserve">. </w:t>
      </w:r>
      <w:r>
        <w:rPr>
          <w:rFonts w:ascii="Times New Roman" w:hAnsi="Times New Roman"/>
          <w:sz w:val="19"/>
          <w:szCs w:val="19"/>
        </w:rPr>
        <w:t xml:space="preserve">Per spiegazioni e risorse concettuali, consultare il sito web della </w:t>
      </w:r>
      <w:hyperlink r:id="rId15" w:history="1">
        <w:r>
          <w:rPr>
            <w:rStyle w:val="Hyperlink"/>
            <w:rFonts w:ascii="Times New Roman" w:hAnsi="Times New Roman"/>
            <w:sz w:val="19"/>
            <w:szCs w:val="19"/>
          </w:rPr>
          <w:t>rete per la giustizia dell'energia</w:t>
        </w:r>
      </w:hyperlink>
      <w:r>
        <w:rPr>
          <w:rFonts w:ascii="Times New Roman" w:hAnsi="Times New Roman"/>
          <w:sz w:val="19"/>
          <w:szCs w:val="19"/>
        </w:rPr>
        <w:t>.</w:t>
      </w:r>
    </w:p>
  </w:footnote>
  <w:footnote w:id="8">
    <w:p>
      <w:pPr>
        <w:pStyle w:val="FootnoteTex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Style w:val="FootnoteReference"/>
          <w:rFonts w:ascii="Times New Roman" w:hAnsi="Times New Roman" w:cs="Times New Roman"/>
          <w:sz w:val="19"/>
          <w:szCs w:val="19"/>
        </w:rPr>
        <w:footnoteRef/>
      </w:r>
      <w:r>
        <w:rPr>
          <w:rFonts w:ascii="Times New Roman" w:hAnsi="Times New Roman"/>
          <w:sz w:val="19"/>
          <w:szCs w:val="19"/>
        </w:rPr>
        <w:t xml:space="preserve">    Cfr. la proposta della Commissione di regolamento del Parlamento europeo e del Consiglio relativo al Fondo sociale europeo Plus (FSE+), 2018/0206 COD (</w:t>
      </w:r>
      <w:hyperlink r:id="rId16" w:history="1">
        <w:r>
          <w:rPr>
            <w:rStyle w:val="Hyperlink"/>
            <w:rFonts w:ascii="Times New Roman" w:hAnsi="Times New Roman"/>
            <w:sz w:val="19"/>
            <w:szCs w:val="19"/>
          </w:rPr>
          <w:t>COM(2018) 382 final</w:t>
        </w:r>
      </w:hyperlink>
      <w:r>
        <w:rPr>
          <w:rFonts w:ascii="Times New Roman" w:hAnsi="Times New Roman"/>
          <w:sz w:val="19"/>
          <w:szCs w:val="19"/>
        </w:rPr>
        <w:t>), 30.5.2018, articolo 2, punto 16.</w:t>
      </w:r>
    </w:p>
  </w:footnote>
  <w:footnote w:id="9">
    <w:p>
      <w:pPr>
        <w:pStyle w:val="FootnoteText"/>
        <w:jc w:val="both"/>
      </w:pPr>
      <w:r>
        <w:rPr>
          <w:rStyle w:val="FootnoteReference"/>
          <w:rFonts w:ascii="Times New Roman" w:hAnsi="Times New Roman" w:cs="Times New Roman"/>
          <w:sz w:val="19"/>
          <w:szCs w:val="19"/>
        </w:rPr>
        <w:footnoteRef/>
      </w:r>
      <w:r>
        <w:rPr>
          <w:rFonts w:ascii="Times New Roman" w:hAnsi="Times New Roman"/>
          <w:sz w:val="19"/>
          <w:szCs w:val="19"/>
        </w:rPr>
        <w:t xml:space="preserve">     Ibidem, articolo 2, punto 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83680" cy="1645920"/>
              <wp:effectExtent l="0" t="1771650" r="0" b="16973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83680" cy="16459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Progetto interno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518.4pt;height:129.6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Progetto interno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83680" cy="1645920"/>
              <wp:effectExtent l="0" t="1771650" r="0" b="16973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83680" cy="16459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Progetto interno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18.4pt;height:129.6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Progetto interno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58B7"/>
    <w:multiLevelType w:val="hybridMultilevel"/>
    <w:tmpl w:val="7C508B4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F83ED7"/>
    <w:multiLevelType w:val="hybridMultilevel"/>
    <w:tmpl w:val="FC7A96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66082"/>
    <w:multiLevelType w:val="hybridMultilevel"/>
    <w:tmpl w:val="72AC9D3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AA1ED9"/>
    <w:multiLevelType w:val="hybridMultilevel"/>
    <w:tmpl w:val="BAF82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600B9"/>
    <w:multiLevelType w:val="hybridMultilevel"/>
    <w:tmpl w:val="F07419FA"/>
    <w:lvl w:ilvl="0" w:tplc="01EC09C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0A365C1"/>
    <w:multiLevelType w:val="hybridMultilevel"/>
    <w:tmpl w:val="F74CC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36B5B"/>
    <w:multiLevelType w:val="hybridMultilevel"/>
    <w:tmpl w:val="85A6ADE6"/>
    <w:lvl w:ilvl="0" w:tplc="01EC09C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6C7D5596"/>
    <w:multiLevelType w:val="hybridMultilevel"/>
    <w:tmpl w:val="4ABC6AF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0A4F56"/>
    <w:multiLevelType w:val="hybridMultilevel"/>
    <w:tmpl w:val="A92CA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ella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06F2B64D-E3D1-497E-9A21-6C7D1D60041B"/>
    <w:docVar w:name="LW_COVERPAGE_TYPE" w:val="1"/>
    <w:docVar w:name="LW_CROSSREFERENCE" w:val="{SWD(2020) 530 final}"/>
    <w:docVar w:name="LW_DocType" w:val="NORMAL"/>
    <w:docVar w:name="LW_EMISSION" w:val="7.10.2020"/>
    <w:docVar w:name="LW_EMISSION_ISODATE" w:val="2020-10-07"/>
    <w:docVar w:name="LW_EMISSION_LOCATION" w:val="BRX"/>
    <w:docVar w:name="LW_EMISSION_PREFIX" w:val="Bruxelles, "/>
    <w:docVar w:name="LW_EMISSION_SUFFIX" w:val=" "/>
    <w:docVar w:name="LW_ID_DOCTYPE_NONLW" w:val="CP-039"/>
    <w:docVar w:name="LW_LANGUE" w:val="IT"/>
    <w:docVar w:name="LW_LEVEL_OF_SENSITIVITY" w:val="Standard treatment"/>
    <w:docVar w:name="LW_NOM.INST" w:val="COMMISSIONE EUROPEA"/>
    <w:docVar w:name="LW_NOM.INST_JOINTDOC" w:val="&lt;EMPTY&gt;"/>
    <w:docVar w:name="LW_OBJETACTEPRINCIPAL.CP" w:val="Un\u8217?Unione dell\u8217?uguaglianza:_x000d__x000d__x000d__x000d__x000d__x000d__x000d__x000d__x000b_quadro strategico dell\u8217?UE per l\u8217?uguaglianza, l\u8217?inclusione e la partecipazione dei Rom"/>
    <w:docVar w:name="LW_PART_NBR" w:val="1"/>
    <w:docVar w:name="LW_PART_NBR_TOTAL" w:val="1"/>
    <w:docVar w:name="LW_REF.INST.NEW" w:val="COM"/>
    <w:docVar w:name="LW_REF.INST.NEW_ADOPTED" w:val="final"/>
    <w:docVar w:name="LW_REF.INST.NEW_TEXT" w:val="(2020) 62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ALLEGATO_x000b_"/>
    <w:docVar w:name="LW_TYPEACTEPRINCIPAL.CP" w:val="COMUNICAZIONE DELLA COMMISSIONE EUROPEA AL PARLAMENTO EUROPEO E AL CONSIGLIO"/>
    <w:docVar w:name="Stamp" w:val="\\dossiers.dgt.cec.eu.int\dossiers\JUST\JUST-2020-03278\JUST-2020-03278-00-01-EN-EDT-00.202007070940194183075.DOCX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paragraph" w:styleId="ListParagraph">
    <w:name w:val="List Paragraph"/>
    <w:aliases w:val="1st level - Bullet List Paragraph,List Paragraph1,Lettre d'introduction,Paragrafo elenco,Medium Grid 1 - Accent 21,Fiche List Paragraph,body,Odsek zoznamu2,Odsek zoznamu1,3,Bullet 1,Bullet Points,Colorful List - Accent 11,Dot pt,Bulle,2"/>
    <w:basedOn w:val="Normal"/>
    <w:link w:val="ListParagraphChar"/>
    <w:uiPriority w:val="34"/>
    <w:qFormat/>
    <w:pPr>
      <w:spacing w:after="120" w:line="259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0"/>
      <w:lang w:eastAsia="en-GB"/>
    </w:rPr>
  </w:style>
  <w:style w:type="character" w:styleId="FootnoteReference">
    <w:name w:val="footnote reference"/>
    <w:aliases w:val="Footnote Reference Superscript,Footnote Reference/,Footnote symbol,Odwołanie przypisu,Times 10 Point,Exposant 3 Point,footnote ref, Exposant 3 Point,EN Footnote Reference,number,SUPERS,ftref,Footnote reference number,Ref,B2,BVI fnr,fr"/>
    <w:basedOn w:val="DefaultParagraphFont"/>
    <w:link w:val="BVIfnrCarCarCarCarCharCharCharCharCar"/>
    <w:uiPriority w:val="99"/>
    <w:qFormat/>
    <w:rPr>
      <w:vertAlign w:val="superscript"/>
    </w:rPr>
  </w:style>
  <w:style w:type="paragraph" w:styleId="FootnoteText">
    <w:name w:val="footnote text"/>
    <w:aliases w:val="Char,Fußnote,Carattere,fn,Footnotes,Footnote ak,Footnote Text Char1,Footnote Text Char Char,fn Char Char,footnote text Char Char,Footnotes Char Char,Footnote ak Char Char,fn Char1,footnote text Char1,Footnotes Char1,ft,Footnote Text_EP-LC"/>
    <w:basedOn w:val="Normal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Char Char,Fußnote Char,Carattere Char,fn Char,Footnotes Char,Footnote ak Char,Footnote Text Char1 Char,Footnote Text Char Char Char,fn Char Char Char,footnote text Char Char Char,Footnotes Char Char Char,Footnote ak Char Char Char"/>
    <w:basedOn w:val="DefaultParagraphFont"/>
    <w:uiPriority w:val="99"/>
    <w:qFormat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BVIfnrCarCarCarCarCharCharCharCharCar">
    <w:name w:val="BVI fnr Car Car Car Car Char Char Char Char Car"/>
    <w:aliases w:val="BVI fnr Car Car Car Car Char Char Car,BVI fnr Car Car Car Car Char Char Char Char Char Char Char Char Char Car"/>
    <w:basedOn w:val="Normal"/>
    <w:link w:val="FootnoteReference"/>
    <w:qFormat/>
    <w:pPr>
      <w:spacing w:after="160" w:line="240" w:lineRule="exact"/>
      <w:jc w:val="both"/>
    </w:pPr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1st level - Bullet List Paragraph Char,List Paragraph1 Char,Lettre d'introduction Char,Paragrafo elenco Char,Medium Grid 1 - Accent 21 Char,Fiche List Paragraph Char,body Char,Odsek zoznamu2 Char,Odsek zoznamu1 Char,3 Char,Bulle Char"/>
    <w:link w:val="ListParagraph"/>
    <w:uiPriority w:val="34"/>
    <w:qFormat/>
    <w:locked/>
    <w:rPr>
      <w:rFonts w:ascii="Verdana" w:eastAsia="Times New Roman" w:hAnsi="Verdana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paragraph" w:styleId="ListParagraph">
    <w:name w:val="List Paragraph"/>
    <w:aliases w:val="1st level - Bullet List Paragraph,List Paragraph1,Lettre d'introduction,Paragrafo elenco,Medium Grid 1 - Accent 21,Fiche List Paragraph,body,Odsek zoznamu2,Odsek zoznamu1,3,Bullet 1,Bullet Points,Colorful List - Accent 11,Dot pt,Bulle,2"/>
    <w:basedOn w:val="Normal"/>
    <w:link w:val="ListParagraphChar"/>
    <w:uiPriority w:val="34"/>
    <w:qFormat/>
    <w:pPr>
      <w:spacing w:after="120" w:line="259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0"/>
      <w:lang w:eastAsia="en-GB"/>
    </w:rPr>
  </w:style>
  <w:style w:type="character" w:styleId="FootnoteReference">
    <w:name w:val="footnote reference"/>
    <w:aliases w:val="Footnote Reference Superscript,Footnote Reference/,Footnote symbol,Odwołanie przypisu,Times 10 Point,Exposant 3 Point,footnote ref, Exposant 3 Point,EN Footnote Reference,number,SUPERS,ftref,Footnote reference number,Ref,B2,BVI fnr,fr"/>
    <w:basedOn w:val="DefaultParagraphFont"/>
    <w:link w:val="BVIfnrCarCarCarCarCharCharCharCharCar"/>
    <w:uiPriority w:val="99"/>
    <w:qFormat/>
    <w:rPr>
      <w:vertAlign w:val="superscript"/>
    </w:rPr>
  </w:style>
  <w:style w:type="paragraph" w:styleId="FootnoteText">
    <w:name w:val="footnote text"/>
    <w:aliases w:val="Char,Fußnote,Carattere,fn,Footnotes,Footnote ak,Footnote Text Char1,Footnote Text Char Char,fn Char Char,footnote text Char Char,Footnotes Char Char,Footnote ak Char Char,fn Char1,footnote text Char1,Footnotes Char1,ft,Footnote Text_EP-LC"/>
    <w:basedOn w:val="Normal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Char Char,Fußnote Char,Carattere Char,fn Char,Footnotes Char,Footnote ak Char,Footnote Text Char1 Char,Footnote Text Char Char Char,fn Char Char Char,footnote text Char Char Char,Footnotes Char Char Char,Footnote ak Char Char Char"/>
    <w:basedOn w:val="DefaultParagraphFont"/>
    <w:uiPriority w:val="99"/>
    <w:qFormat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BVIfnrCarCarCarCarCharCharCharCharCar">
    <w:name w:val="BVI fnr Car Car Car Car Char Char Char Char Car"/>
    <w:aliases w:val="BVI fnr Car Car Car Car Char Char Car,BVI fnr Car Car Car Car Char Char Char Char Char Char Char Char Char Car"/>
    <w:basedOn w:val="Normal"/>
    <w:link w:val="FootnoteReference"/>
    <w:qFormat/>
    <w:pPr>
      <w:spacing w:after="160" w:line="240" w:lineRule="exact"/>
      <w:jc w:val="both"/>
    </w:pPr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1st level - Bullet List Paragraph Char,List Paragraph1 Char,Lettre d'introduction Char,Paragrafo elenco Char,Medium Grid 1 - Accent 21 Char,Fiche List Paragraph Char,body Char,Odsek zoznamu2 Char,Odsek zoznamu1 Char,3 Char,Bulle Char"/>
    <w:link w:val="ListParagraph"/>
    <w:uiPriority w:val="34"/>
    <w:qFormat/>
    <w:locked/>
    <w:rPr>
      <w:rFonts w:ascii="Verdana" w:eastAsia="Times New Roman" w:hAnsi="Verdana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news.un.org/en/story/2020/04/1062232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quineteurope.org/2020/roma-and-traveller-inclusion-towards-a-new-eu-framework/" TargetMode="External"/><Relationship Id="rId13" Type="http://schemas.openxmlformats.org/officeDocument/2006/relationships/hyperlink" Target="https://eeb.org/library/pushed-to-the-wastelands-environmental-racism-against-roma-communities-in-central-and-eastern-europe/" TargetMode="External"/><Relationship Id="rId3" Type="http://schemas.openxmlformats.org/officeDocument/2006/relationships/hyperlink" Target="https://www.europarl.europa.eu/doceo/document/A-8-2017-0294_IT.html" TargetMode="External"/><Relationship Id="rId7" Type="http://schemas.openxmlformats.org/officeDocument/2006/relationships/hyperlink" Target="https://equineteurope.org/2020/roma-and-traveller-inclusion-towards-a-new-eu-framework/" TargetMode="External"/><Relationship Id="rId12" Type="http://schemas.openxmlformats.org/officeDocument/2006/relationships/hyperlink" Target="https://ec.europa.eu/jrc/en/publication/eur-scientific-and-technical-research-reports/digcomp-21-digital-competence-framework-citizens-eight-proficiency-levels-and-examples-usehttps:/ec.europa.eu/jrc/en/publication/eur-scientific-and-technical-research-reports/digcomp-21-digital-competence-framework-citizens-eight-proficiency-levels-and-examples-use" TargetMode="External"/><Relationship Id="rId2" Type="http://schemas.openxmlformats.org/officeDocument/2006/relationships/hyperlink" Target="https://eur-lex.europa.eu/legal-content/IT/TXT/?uri=CELEX:52015IP0095" TargetMode="External"/><Relationship Id="rId16" Type="http://schemas.openxmlformats.org/officeDocument/2006/relationships/hyperlink" Target="https://eur-lex.europa.eu/legal-content/it/TXT/?uri=CELEX:52018PC0382" TargetMode="External"/><Relationship Id="rId1" Type="http://schemas.openxmlformats.org/officeDocument/2006/relationships/hyperlink" Target="https://www.antigypsyism.eu/?page_id=17" TargetMode="External"/><Relationship Id="rId6" Type="http://schemas.openxmlformats.org/officeDocument/2006/relationships/hyperlink" Target="https://rm.coe.int/16800c0adc" TargetMode="External"/><Relationship Id="rId11" Type="http://schemas.openxmlformats.org/officeDocument/2006/relationships/hyperlink" Target="https://ec.europa.eu/jrc/en/publication/eur-scientific-and-technical-research-reports/digcomp-21-digital-competence-framework-citizens-eight-proficiency-levels-and-examples-usehttps:/ec.europa.eu/jrc/en/publication/eur-scientific-and-technical-research-reports/digcomp-21-digital-competence-framework-citizens-eight-proficiency-levels-and-examples-use" TargetMode="External"/><Relationship Id="rId5" Type="http://schemas.openxmlformats.org/officeDocument/2006/relationships/hyperlink" Target="https://www.coe.int/en/web/european-commission-against-racism-and-intolerance/recommendation-no.13" TargetMode="External"/><Relationship Id="rId15" Type="http://schemas.openxmlformats.org/officeDocument/2006/relationships/hyperlink" Target="https://www.ejnet.org/ej/" TargetMode="External"/><Relationship Id="rId10" Type="http://schemas.openxmlformats.org/officeDocument/2006/relationships/hyperlink" Target="https://eur-lex.europa.eu/legal-content/IT/TXT/?qid=1583491875802&amp;uri=CONSIL%3AST_6060_2020_REV_1" TargetMode="External"/><Relationship Id="rId4" Type="http://schemas.openxmlformats.org/officeDocument/2006/relationships/hyperlink" Target="http://www.europarl.europa.eu/doceo/document/TA-8-2019-0075_IT.html" TargetMode="External"/><Relationship Id="rId9" Type="http://schemas.openxmlformats.org/officeDocument/2006/relationships/hyperlink" Target="https://ec.europa.eu/info/policies/justice-and-fundamental-rights/combatting-discrimination/roma-and-eu/preparing-post-2020-initiative-roma-equality-and-inclusion_en" TargetMode="External"/><Relationship Id="rId14" Type="http://schemas.openxmlformats.org/officeDocument/2006/relationships/hyperlink" Target="https://eeb.org/library/pushed-to-the-wastelands-environmental-racism-against-roma-communities-in-central-and-eastern-europ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1E483-14A8-434B-9A5E-93C618C9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4061</Words>
  <Characters>25097</Characters>
  <Application>Microsoft Office Word</Application>
  <DocSecurity>0</DocSecurity>
  <Lines>363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GEDEI Ottilia (JUST)</dc:creator>
  <cp:keywords/>
  <dc:description/>
  <cp:lastModifiedBy>WES PDFC Administrator</cp:lastModifiedBy>
  <cp:revision>14</cp:revision>
  <cp:lastPrinted>2020-07-02T14:49:00Z</cp:lastPrinted>
  <dcterms:created xsi:type="dcterms:W3CDTF">2020-10-06T07:51:00Z</dcterms:created>
  <dcterms:modified xsi:type="dcterms:W3CDTF">2020-10-16T15:53:00Z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PTemplateID">
    <vt:lpwstr>CP-039</vt:lpwstr>
  </property>
  <property fmtid="{D5CDD505-2E9C-101B-9397-08002B2CF9AE}" pid="10" name="Last edited using">
    <vt:lpwstr>LW 7.0.1, Build 20190916</vt:lpwstr>
  </property>
  <property fmtid="{D5CDD505-2E9C-101B-9397-08002B2CF9AE}" pid="11" name="Created using">
    <vt:lpwstr>LW 7.0, Build 20190717</vt:lpwstr>
  </property>
</Properties>
</file>