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23289C6-EB6E-4023-90B3-B6269D7DC4C0" style="width:450.15pt;height:406.8pt">
            <v:imagedata r:id="rId9" o:title=""/>
          </v:shape>
        </w:pict>
      </w:r>
    </w:p>
    <w:bookmarkEnd w:id="0"/>
    <w:p>
      <w:pPr>
        <w:ind w:right="-24"/>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ind w:right="-24"/>
        <w:jc w:val="center"/>
        <w:rPr>
          <w:rFonts w:cstheme="minorHAnsi"/>
          <w:noProof/>
        </w:rPr>
      </w:pPr>
      <w:bookmarkStart w:id="1" w:name="_GoBack"/>
      <w:bookmarkEnd w:id="1"/>
      <w:r>
        <w:rPr>
          <w:rFonts w:ascii="Times New Roman" w:hAnsi="Times New Roman"/>
          <w:b/>
          <w:noProof/>
        </w:rPr>
        <w:lastRenderedPageBreak/>
        <w:t>Παράρτημα 1: Κατευθυντήριες γραμμές για τον σχεδιασμό και την εφαρμογή των εθνικών στρατηγικών πλαισίων για τους Ρομά</w:t>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Αντιμετώπιση του αντιτσιγγανισμού</w:t>
            </w:r>
          </w:p>
          <w:p>
            <w:pPr>
              <w:spacing w:before="60" w:after="60"/>
              <w:ind w:right="-24"/>
              <w:jc w:val="both"/>
              <w:rPr>
                <w:rFonts w:ascii="Times New Roman" w:hAnsi="Times New Roman" w:cs="Times New Roman"/>
                <w:noProof/>
              </w:rPr>
            </w:pPr>
            <w:r>
              <w:rPr>
                <w:rFonts w:ascii="Times New Roman" w:hAnsi="Times New Roman"/>
                <w:noProof/>
              </w:rPr>
              <w:t>Χάρη στο έργο τόσο της Συμμαχίας κατά του αντιτσιγγανισμού, όσο και του Ευρωπαϊκού Κοινοβουλίου και του Συμβουλίου της Ευρώπης</w:t>
            </w:r>
            <w:r>
              <w:rPr>
                <w:rStyle w:val="FootnoteReference"/>
                <w:rFonts w:ascii="Times New Roman" w:hAnsi="Times New Roman" w:cs="Times New Roman"/>
                <w:noProof/>
              </w:rPr>
              <w:footnoteReference w:id="1"/>
            </w:r>
            <w:r>
              <w:rPr>
                <w:rFonts w:ascii="Times New Roman" w:hAnsi="Times New Roman"/>
                <w:noProof/>
              </w:rPr>
              <w:t>, υπάρχει κοινή συναίνεση ότι ο αντιτσιγγανισμός (μια συγκεκριμένη μορφή ρατσισμού κατά των Ρομά) συμβάλλει στον συνεχιζόμενο αποκλεισμό των Ρομά. Καθώς ο αντιτσιγγανισμός και ο αποκλεισμός αποτελούν φαύλο κύκλο, θα πρέπει να αντιμετωπιστούν από κοινού. Η καταπολέμηση των διακρίσεων και του αντιτσιγγανισμού θα συμβάλει στην επιτυχία των μέτρων ένταξης, τα οποία με τη σειρά τους θα προωθήσουν μεγαλύτερο άνοιγμα και αποδοχή στην κοινωνία. Για την καταπολέμηση του αντιτσιγγανισμού και την προώθηση της πολυμορφίας και της ένταξης απαιτείται η συμμετοχή της κοινωνίας στο σύνολό της, τόσο των κοινοτήτων των Ρομά, όσο και των μη Ρομά. Στα μέτρα αυτά περιλαμβάνονται η ενδυνάμωση των Ρομά και η αντιμετώπιση των γενικών (συμπεριλαμβανομένων των θεσμικών) στάσεων και συμπεριφορών. Οι φορείς ισότητας θα μπορούσαν να είναι προνομιακοί εταίροι για τα εθνικά σημεία επαφής για τους Ρομά (στο εξής: ΕΣΕΡ) όσον αφορά την παροχή προτύπων για την εφαρμογή και την προάσπιση της εντονότερης εστίασης των στρατηγικών στην καταπολέμηση των διακρίσεων.</w:t>
            </w:r>
          </w:p>
          <w:p>
            <w:pPr>
              <w:spacing w:before="60" w:after="60"/>
              <w:ind w:right="-24"/>
              <w:jc w:val="both"/>
              <w:rPr>
                <w:rFonts w:ascii="Times New Roman" w:hAnsi="Times New Roman"/>
                <w:b/>
                <w:noProof/>
              </w:rPr>
            </w:pPr>
            <w:r>
              <w:rPr>
                <w:rFonts w:ascii="Times New Roman" w:hAnsi="Times New Roman"/>
                <w:b/>
                <w:noProof/>
              </w:rPr>
              <w:t>Τα εθνικά στρατηγικά πλαίσια για τους Ρομά θα πρέπει:</w:t>
            </w:r>
          </w:p>
          <w:p>
            <w:pPr>
              <w:pStyle w:val="ListParagraph"/>
              <w:numPr>
                <w:ilvl w:val="0"/>
                <w:numId w:val="1"/>
              </w:numPr>
              <w:spacing w:after="0" w:line="240" w:lineRule="auto"/>
              <w:ind w:right="-24"/>
              <w:contextualSpacing w:val="0"/>
              <w:rPr>
                <w:rFonts w:ascii="Times New Roman" w:hAnsi="Times New Roman"/>
                <w:noProof/>
                <w:sz w:val="22"/>
                <w:szCs w:val="22"/>
              </w:rPr>
            </w:pPr>
            <w:r>
              <w:rPr>
                <w:rFonts w:ascii="Times New Roman" w:hAnsi="Times New Roman"/>
                <w:b/>
                <w:noProof/>
                <w:sz w:val="22"/>
                <w:szCs w:val="22"/>
              </w:rPr>
              <w:t>να περιλαμβάνουν αυτόνομη επικέντρωση στην καταπολέμηση του αντιτσιγγανισμού</w:t>
            </w:r>
            <w:r>
              <w:rPr>
                <w:rFonts w:ascii="Times New Roman" w:hAnsi="Times New Roman"/>
                <w:noProof/>
                <w:sz w:val="22"/>
                <w:szCs w:val="22"/>
              </w:rPr>
              <w:t>, έτσι ώστε:</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να αναγνωρίζεται ο αντιτσιγγανισμός και η ευθύνη για την καταπολέμησή του·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να αναγνωρίζονται οι ιστορικές διαστάσεις του αντιτσιγγανισμού, ιδίως του Ολοκαυτώματος των Ρομά· να αυξάνεται η ευαισθητοποίηση σχετικά με την ιστορία των Ρομά και να προωθείται η συμφιλίωση·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να αυξάνεται η ευαισθητοποίηση σχετικά με τα αμοιβαία οφέλη της πολυμορφίας και της κοινωνικής ένταξης· να δομείται θετική επιχειρηματολογία· να ενισχύονται τα πρότυπα· να στηρίζονται οι διακοινοτικές συναντήσεις και η διαπολιτισμική μάθηση με σκοπό την καταπολέμηση των στερεοτύπων και της παραπληροφόρησης σχετικά με τους Ρομά στην εκπαίδευση, στα μέσα ενημέρωσης, στις τέχνες, στον πολιτισμό και στην ιστορία·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 xml:space="preserve">να καταπολεμούνται οι διακρίσεις ως εκδήλωση αντιτσιγγανισμού·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5) </w:t>
            </w:r>
            <w:r>
              <w:rPr>
                <w:noProof/>
              </w:rPr>
              <w:tab/>
            </w:r>
            <w:r>
              <w:rPr>
                <w:rFonts w:ascii="Times New Roman" w:hAnsi="Times New Roman"/>
                <w:noProof/>
                <w:sz w:val="22"/>
                <w:szCs w:val="22"/>
              </w:rPr>
              <w:t xml:space="preserve">να καταπολεμείται η ρητορική μίσους και τα εγκλήματα μίσους ως εκδηλώσεις αντιτσιγγανισμού και να ενθαρρύνεται η καταγγελία εγκληματικών πράξεων που οφείλονται σε προκαταλήψεις, καθώς και περιστατικών παρενόχλησης και βίας·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6) </w:t>
            </w:r>
            <w:r>
              <w:rPr>
                <w:noProof/>
              </w:rPr>
              <w:tab/>
            </w:r>
            <w:r>
              <w:rPr>
                <w:rFonts w:ascii="Times New Roman" w:hAnsi="Times New Roman"/>
                <w:noProof/>
                <w:sz w:val="22"/>
                <w:szCs w:val="22"/>
              </w:rPr>
              <w:t xml:space="preserve">να προωθείται η πρόσβαση στη δικαιοσύνη για τα θύματα του αντιτσιγγανισμού και των διακρίσεων·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7) </w:t>
            </w:r>
            <w:r>
              <w:rPr>
                <w:noProof/>
              </w:rPr>
              <w:tab/>
            </w:r>
            <w:r>
              <w:rPr>
                <w:rFonts w:ascii="Times New Roman" w:hAnsi="Times New Roman"/>
                <w:noProof/>
                <w:sz w:val="22"/>
                <w:szCs w:val="22"/>
              </w:rPr>
              <w:t xml:space="preserve">να ευαισθητοποιούνται οι ίδιοι οι Ρομά για τα δικαιώματά τους· και </w:t>
            </w:r>
          </w:p>
          <w:p>
            <w:pPr>
              <w:pStyle w:val="ListParagraph"/>
              <w:spacing w:before="60" w:after="60"/>
              <w:ind w:left="644" w:right="-23" w:hanging="284"/>
              <w:contextualSpacing w:val="0"/>
              <w:rPr>
                <w:rFonts w:ascii="Times New Roman" w:hAnsi="Times New Roman"/>
                <w:noProof/>
                <w:sz w:val="22"/>
                <w:szCs w:val="22"/>
              </w:rPr>
            </w:pPr>
            <w:r>
              <w:rPr>
                <w:rFonts w:ascii="Times New Roman" w:hAnsi="Times New Roman"/>
                <w:noProof/>
                <w:sz w:val="22"/>
                <w:szCs w:val="22"/>
              </w:rPr>
              <w:t xml:space="preserve">8) </w:t>
            </w:r>
            <w:r>
              <w:rPr>
                <w:noProof/>
              </w:rPr>
              <w:tab/>
            </w:r>
            <w:r>
              <w:rPr>
                <w:rFonts w:ascii="Times New Roman" w:hAnsi="Times New Roman"/>
                <w:noProof/>
                <w:sz w:val="22"/>
                <w:szCs w:val="22"/>
              </w:rPr>
              <w:t>να καταργούνται και να αποτρέπονται οι συστημικές/θεσμικές/διαρθρωτικές διακρίσεις</w:t>
            </w:r>
            <w:r>
              <w:rPr>
                <w:rStyle w:val="FootnoteReference"/>
                <w:rFonts w:ascii="Times New Roman" w:hAnsi="Times New Roman"/>
                <w:noProof/>
                <w:sz w:val="22"/>
                <w:szCs w:val="22"/>
              </w:rPr>
              <w:footnoteReference w:id="2"/>
            </w:r>
            <w:r>
              <w:rPr>
                <w:rFonts w:ascii="Times New Roman" w:hAnsi="Times New Roman"/>
                <w:noProof/>
                <w:sz w:val="22"/>
                <w:szCs w:val="22"/>
              </w:rPr>
              <w:t xml:space="preserve"> που βιώνουν οι Ρομά·</w:t>
            </w:r>
          </w:p>
          <w:p>
            <w:pPr>
              <w:pStyle w:val="ListParagraph"/>
              <w:numPr>
                <w:ilvl w:val="0"/>
                <w:numId w:val="1"/>
              </w:numPr>
              <w:spacing w:before="60" w:after="0" w:line="240" w:lineRule="auto"/>
              <w:ind w:right="-24"/>
              <w:contextualSpacing w:val="0"/>
              <w:rPr>
                <w:rFonts w:ascii="Times New Roman" w:hAnsi="Times New Roman"/>
                <w:noProof/>
                <w:sz w:val="22"/>
                <w:szCs w:val="22"/>
              </w:rPr>
            </w:pPr>
            <w:r>
              <w:rPr>
                <w:rFonts w:ascii="Times New Roman" w:hAnsi="Times New Roman"/>
                <w:b/>
                <w:noProof/>
                <w:sz w:val="22"/>
                <w:szCs w:val="22"/>
              </w:rPr>
              <w:t>να προλαμβάνουν και να καταπολεμούν τον αντιτσιγγανισμό ως διατομεακή/οριζόντια προτεραιότητα</w:t>
            </w:r>
            <w:r>
              <w:rPr>
                <w:rFonts w:ascii="Times New Roman" w:hAnsi="Times New Roman"/>
                <w:noProof/>
                <w:sz w:val="22"/>
                <w:szCs w:val="22"/>
              </w:rPr>
              <w:t xml:space="preserve"> σε όλα τα πεδία τομεακής πολιτικής, έτσι ώστε: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να καταπολεμάται ο διαχωρισμός, ο εκφοβισμός και η παρενόχληση στην εκπαίδευση· να ευαισθητοποιείται το προσωπικό των σχολείων·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να καταπολεμούνται οι διακρίσεις στην (πρόσβαση στην) απασχόληση και να ευαισθητοποιούνται οι εργοδότες·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να καταπολεμούνται οι διακρίσεις όσον αφορά την πρόσβαση σε καλής ποιότητας υγειονομική περίθαλψη· να εξαλείφονται οι παράλληλες, διαχωρισμένες υπηρεσίες· να προλαμβάνονται οι παραβιάσεις των ανθρωπίνων δικαιωμάτων (π.χ. εξαναγκαστική άμβλωση και εξαναγκαστική στείρωση)· να ευαισθητοποιούνται οι εργαζόμενοι στον τομέα της υγειονομικής περίθαλψης·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να καταπολεμάται ο χωροταξικός διαχωρισμός· να αποτρέπονται οι αναγκαστικές εξώσεις χωρίς εναλλακτική στέγαση· να ευαισθητοποιούνται οι αρχές· και</w:t>
            </w:r>
          </w:p>
          <w:p>
            <w:pPr>
              <w:pStyle w:val="ListParagraph"/>
              <w:spacing w:after="0"/>
              <w:ind w:left="641" w:right="-23" w:hanging="284"/>
              <w:contextualSpacing w:val="0"/>
              <w:rPr>
                <w:rFonts w:ascii="Times New Roman" w:hAnsi="Times New Roman"/>
                <w:noProof/>
                <w:sz w:val="21"/>
                <w:szCs w:val="21"/>
              </w:rPr>
            </w:pPr>
            <w:r>
              <w:rPr>
                <w:rFonts w:ascii="Times New Roman" w:hAnsi="Times New Roman"/>
                <w:noProof/>
                <w:sz w:val="22"/>
                <w:szCs w:val="22"/>
              </w:rPr>
              <w:t xml:space="preserve">5) </w:t>
            </w:r>
            <w:r>
              <w:rPr>
                <w:noProof/>
              </w:rPr>
              <w:tab/>
            </w:r>
            <w:r>
              <w:rPr>
                <w:rFonts w:ascii="Times New Roman" w:hAnsi="Times New Roman"/>
                <w:noProof/>
                <w:sz w:val="22"/>
                <w:szCs w:val="22"/>
              </w:rPr>
              <w:t>να συλλέγονται τακτικά δεδομένα για την ισότητα (δεδομένα σχετικά με τις εμπειρίες διακρίσεων· δεδομένα από φορείς ισότητας σχετικά με περιστατικά διακρίσεων).</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3"/>
              <w:jc w:val="center"/>
              <w:rPr>
                <w:rFonts w:ascii="Times New Roman" w:eastAsia="MS Mincho" w:hAnsi="Times New Roman" w:cs="Times New Roman"/>
                <w:bCs/>
                <w:noProof/>
                <w:color w:val="0070C0"/>
              </w:rPr>
            </w:pPr>
            <w:r>
              <w:rPr>
                <w:rFonts w:ascii="Times New Roman Bold" w:hAnsi="Times New Roman Bold"/>
                <w:b/>
                <w:bCs/>
                <w:smallCaps/>
                <w:noProof/>
                <w:color w:val="0070C0"/>
              </w:rPr>
              <w:t>Καταπολέμηση της διαγενεακής φτώχειας</w:t>
            </w:r>
            <w:r>
              <w:rPr>
                <w:noProof/>
              </w:rPr>
              <w:t xml:space="preserve"> </w:t>
            </w:r>
            <w:r>
              <w:rPr>
                <w:noProof/>
              </w:rPr>
              <w:br/>
            </w:r>
            <w:r>
              <w:rPr>
                <w:rFonts w:ascii="Times New Roman" w:hAnsi="Times New Roman"/>
                <w:bCs/>
                <w:noProof/>
                <w:color w:val="0070C0"/>
              </w:rPr>
              <w:t>(με επικέντρωση στην προστασία των παιδιών και καλύτερη χρήση των ενωσιακών κονδυλίων)</w:t>
            </w:r>
          </w:p>
          <w:p>
            <w:pPr>
              <w:spacing w:before="60" w:after="60"/>
              <w:ind w:right="-24"/>
              <w:jc w:val="both"/>
              <w:rPr>
                <w:rFonts w:ascii="Times New Roman" w:eastAsia="MS Mincho" w:hAnsi="Times New Roman" w:cs="Times New Roman"/>
                <w:noProof/>
              </w:rPr>
            </w:pPr>
            <w:r>
              <w:rPr>
                <w:rFonts w:ascii="Times New Roman" w:hAnsi="Times New Roman"/>
                <w:noProof/>
              </w:rPr>
              <w:t>Η αντιμετώπιση της διαγενεακής φτώχειας και του αποκλεισμού είναι ζωτικής σημασίας για τη βελτίωση της κατάστασης των περιθωριοποιημένων Ρομά. Ο αποκλεισμός και οι διακρίσεις όσον αφορά την πρόσβαση στην εκπαίδευση, την απασχόληση, την υγειονομική περίθαλψη και τη στέγαση επηρεάζουν την ανάπτυξη των παιδιών και μπορούν με τη σειρά τους να τα επηρεάσουν όταν στο μέλλον γίνουν γονείς, οδηγώντας σε περαιτέρω μειονεκτική θέση τα παιδιά τους.</w:t>
            </w:r>
            <w:r>
              <w:rPr>
                <w:rFonts w:ascii="Times New Roman" w:hAnsi="Times New Roman"/>
                <w:noProof/>
                <w:color w:val="000000"/>
              </w:rPr>
              <w:t xml:space="preserve"> </w:t>
            </w:r>
            <w:r>
              <w:rPr>
                <w:rFonts w:ascii="Times New Roman" w:hAnsi="Times New Roman"/>
                <w:noProof/>
              </w:rPr>
              <w:t xml:space="preserve">Ο φαύλος κύκλος του αποκλεισμού και των διακρίσεων αναμένεται να συνεχιστεί, εκτός αν υπάρξει σημαντική παρέμβαση για να αντιμετωπιστεί ολοκληρωμένα η βαθύτερη δυναμική και να σχεδιαστεί ένα καλύτερο μέλλον για την επόμενη γενιά. Αυτό απαιτεί να υπάρξει </w:t>
            </w:r>
            <w:r>
              <w:rPr>
                <w:rFonts w:ascii="Times New Roman" w:hAnsi="Times New Roman"/>
                <w:b/>
                <w:noProof/>
              </w:rPr>
              <w:t>επικέντρωση στα παιδιά</w:t>
            </w:r>
            <w:r>
              <w:rPr>
                <w:rFonts w:ascii="Times New Roman" w:hAnsi="Times New Roman"/>
                <w:noProof/>
              </w:rPr>
              <w:t>, που πρέπει να διατηρηθεί με την πάροδο του χρόνου.</w:t>
            </w:r>
          </w:p>
          <w:p>
            <w:pPr>
              <w:spacing w:before="60" w:after="60"/>
              <w:ind w:right="-24"/>
              <w:jc w:val="both"/>
              <w:rPr>
                <w:rFonts w:ascii="Times New Roman" w:eastAsia="MS Mincho" w:hAnsi="Times New Roman" w:cs="Times New Roman"/>
                <w:b/>
                <w:bCs/>
                <w:noProof/>
                <w:color w:val="212121"/>
              </w:rPr>
            </w:pPr>
            <w:r>
              <w:rPr>
                <w:rFonts w:ascii="Times New Roman" w:hAnsi="Times New Roman"/>
                <w:b/>
                <w:bCs/>
                <w:noProof/>
                <w:color w:val="212121"/>
              </w:rPr>
              <w:t>Τα εθνικά στρατηγικά πλαίσια για τους Ρομά θα πρέπει:</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 xml:space="preserve">να κινητοποιούν τη σχετική εμπειρογνωμοσύνη σε όλα τα επίπεδα διακυβέρνησης για τη διαμόρφωση μέτρων προστασίας των παιδιών· </w:t>
            </w:r>
            <w:r>
              <w:rPr>
                <w:rFonts w:ascii="Times New Roman" w:hAnsi="Times New Roman"/>
                <w:noProof/>
                <w:color w:val="000000"/>
              </w:rPr>
              <w:t>να διαθέτουν επαρκείς πόρους για την προσχολική εκπαίδευση και φροντίδα και για την εκπαίδευση (π.χ. υποτροφίες, καθοδήγηση, βοηθητική παρακολούθηση μετά το σχολείο), τη διατροφή, την προσωπική ανάπτυξη και τη συνεργασία με τις οικογένειες·</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να ενθαρρύνουν τη συμμετοχή στην προσχολική εκπαίδευση και φροντίδα·</w:t>
            </w:r>
          </w:p>
          <w:p>
            <w:pPr>
              <w:numPr>
                <w:ilvl w:val="0"/>
                <w:numId w:val="5"/>
              </w:numPr>
              <w:spacing w:before="60" w:after="60"/>
              <w:ind w:left="360" w:right="-24"/>
              <w:jc w:val="both"/>
              <w:rPr>
                <w:rFonts w:ascii="Times New Roman" w:eastAsia="MS Mincho" w:hAnsi="Times New Roman" w:cs="Times New Roman"/>
                <w:noProof/>
                <w:color w:val="000000"/>
                <w:u w:val="single"/>
              </w:rPr>
            </w:pPr>
            <w:r>
              <w:rPr>
                <w:rFonts w:ascii="Times New Roman" w:hAnsi="Times New Roman"/>
                <w:noProof/>
                <w:color w:val="000000"/>
              </w:rPr>
              <w:t>να προστατεύουν τις γυναίκες, τα παιδιά και τους νέους μέσω στρατηγικών για την καταπολέμηση εγκλημάτων όπως η εμπορία ανθρώπων, μεταξύ άλλων για όλες τις μορφές εκμετάλλευσης κατά περίπτωση (σεξουαλική εκμετάλλευση, εργασιακή εκμετάλλευση, καταναγκαστική επαιτεία και εκμετάλλευση εγκληματικών δραστηριοτήτων για εξαναγκαστικούς γάμους και λευκούς γάμους με σκοπό την εκμετάλλευση), και να διευκολύνουν την πρόσβασή τους σε βοήθεια, υποστήριξη και προστασία·</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color w:val="000000"/>
              </w:rPr>
              <w:t>να βελτιώνουν την πρόσβαση σε υπηρεσίες σε επίπεδο κοινότητας, και οικογένειας, για τα άτομα με αναπηρία και τα παιδιά που στερούνται τη γονική φροντίδα· να ενισχύουν τα μέτρα για την πρόληψη της ιδρυματοποίησης μέσω της στήριξης των οικογενειών που βρίσκονται σε επισφαλείς καταστάσεις και των ατόμων με αναπηρία·</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να διασφαλίζουν τη μακροπρόθεσμη βιωσιμότητα των μέτρων στήριξης για τα παιδιά και τις οικογένειές τους, ώστε να βελτιωθούν οι συνθήκες για την επόμενη γενιά·</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να θεμελιώνουν τον σχεδιασμό της χρηματοδοτικής στήριξης και των επενδύσεων σε ακριβή ανάλυση των βαθύτερων αιτίων της περιθωριοποίησης (κοινωνικοοικονομικός αποκλεισμός και διακρίσεις)· να συλλέγουν αναλυτικότερα στοιχεία μέσω συστηματικών αξιολογήσεων και αναλύσεων των τύπων εθνικών, περιφερειακών και τοπικών παρεμβάσεων που (δεν) αποδίδουν και των σχετικών λόγων, ώστε να γίνουν καλύτερα κατανοητά τα εμπόδια για την ένταξη· να μεριμνούν για τη συμμετοχή όλων των ενδιαφερόμενων μερών (τοπικές αρχές, κοινωνία των πολιτών, ενδιαφερόμενα μέρη Ρομά / μη Ρομά με ενδεχομένως αποκλίνουσες απόψεις) στις αναλυτικές εργασίες·</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να αναλύουν τη χρήση των ενωσιακών κονδυλίων σε συνεργασία με τις διαχειριστικές αρχές — εάν οι εκθέσεις παρακολούθησης διαπιστώσουν ότι τα κονδύλια δεν χρησιμοποιήθηκαν αποτελεσματικά για την επίτευξη των στόχων ένταξης, να συνεργαστούν με τις τοπικές / διαχειριστικές αρχές και τα ενδιαφερόμενα μέρη για να κατανοήσουν τους λόγους και να αντιμετωπίσουν τυχόν εμπόδια που εντοπίστηκαν· και</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να δημιουργούν στενούς δεσμούς μεταξύ των εθνικών σημείων επαφής για τους Ρομά και των αρχών που είναι αρμόδιες για την παρακολούθηση των ενωσιακών κονδυλίων· να διασφαλίζουν ότι η χρήση των ενωσιακών κονδυλίων για τους Ρομά δημιουργεί πραγματικές ευκαιρίες συμμετοχής και έχει τον επιθυμητό αντίκτυπο στην καθημερινή ζωή των Ρομά, αντί να ωφελεί άλλα συμφέροντα.</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Προώθηση της συμμετοχής των Ρομά</w:t>
            </w:r>
          </w:p>
          <w:p>
            <w:pPr>
              <w:spacing w:before="60" w:after="60"/>
              <w:ind w:right="-24"/>
              <w:jc w:val="both"/>
              <w:rPr>
                <w:rFonts w:ascii="Times New Roman" w:eastAsia="Times New Roman" w:hAnsi="Times New Roman" w:cs="Times New Roman"/>
                <w:noProof/>
              </w:rPr>
            </w:pPr>
            <w:r>
              <w:rPr>
                <w:rFonts w:ascii="Times New Roman" w:hAnsi="Times New Roman"/>
                <w:noProof/>
              </w:rPr>
              <w:t>Η συμμετοχή των Ρομά στη διαμόρφωση των δημόσιων υποθέσεων αποτελεί προϋπόθεση και καταλυτικό παράγοντα για την ισότητα και την ένταξη, ενώ προάγει τη δημοκρατική και αποτελεσματική διακυβέρνηση. Η συμμετοχή και η ενδυνάμωση των Ρομά έχουν ως στόχο να δώσουν στους ανθρώπους τον λόγο, καθώς και τη δυνατότητα να ενεργούν με νέους τρόπους με θετική προοπτική. Η ένταξη ανοίγει τον δρόμο για δράση και παρέχει στους πολίτες τη δυνατότητα να συμμετέχουν. Η συμμετοχή και η αυτεξουσιότητα αποτελούν αρχές και διαδικασίες για τη βελτίωση των συνθηκών διαβίωσης και των αποτελεσμάτων ζωής των ανθρώπων. Η στήριξη της ουσιαστικής συμμετοχής των Ρομά στη χάραξη πολιτικής σε τοπικό, εθνικό και ενωσιακό επίπεδο αποτελεί προϋπόθεση για την αντιμετώπιση του αποκλεισμού. Οι οργανώσεις της κοινωνίας των πολιτών με επικεφαλής Ρομά και υπέρ των Ρομά είναι ιδιαίτερα σημαντικοί συντελεστές. Κατά τον συντονισμό της ανάπτυξης εθνικών στρατηγικών πλαισίων, τα ΕΣΕΡ ενθαρρύνονται να προωθούν συμμετοχικά μοντέλα, π.χ. διευκολύνοντας θεματικές ομάδες εργασίας που ασχολούνται με εκτίμηση αναγκών, προτεραιότητες, στόχους, δράσεις σε βασικούς τομείς, φέρνοντας σε επαφή εθνικούς, περιφερειακούς, τοπικούς και μη κυβερνητικούς φορείς και διασφαλίζοντας τη συμμετοχή των Ρομά. Τα εν λόγω μοντέλα και δομές θα μπορούσαν στη συνέχεια να χρησιμοποιηθούν για την παρακολούθηση και την αξιολόγηση της εφαρμογής.</w:t>
            </w:r>
          </w:p>
          <w:p>
            <w:pPr>
              <w:keepNext/>
              <w:keepLines/>
              <w:spacing w:before="60" w:after="60"/>
              <w:ind w:right="-24"/>
              <w:rPr>
                <w:rFonts w:ascii="Times New Roman" w:hAnsi="Times New Roman"/>
                <w:b/>
                <w:noProof/>
              </w:rPr>
            </w:pPr>
            <w:r>
              <w:rPr>
                <w:rFonts w:ascii="Times New Roman" w:hAnsi="Times New Roman"/>
                <w:b/>
                <w:noProof/>
              </w:rPr>
              <w:t>Τα εθνικά στρατηγικά πλαίσια για τους Ρομά θα πρέπει:</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ορίζουν ελάχιστες υποχρεωτικές πτυχές και διαύλους συμμετοχής των Ρομά στη χάραξη, την εφαρμογή και την παρακολούθηση των πολιτικών, καθώς και στον προγραμματισμό των ενωσιακών κονδυλίων, μεταξύ άλλων μέσω γραπτών πρωτοκόλλων συμμετοχής που ορίζουν την εντολή (πεδίο εφαρμογής και φύση της δέσμευσης), τη σύνθεση (αρχές για την επιλογή των μελών), τις μεθόδους εργασίας και τα αναμενόμενα αποτελέσματα των φορέων διαβούλευσης και συμμετοχής, με σκοπό να εξασφαλίζεται αποτελεσματική συνεργασία, εμπιστοσύνη και λογοδοσία</w:t>
            </w:r>
            <w:r>
              <w:rPr>
                <w:rStyle w:val="FootnoteReference"/>
                <w:rFonts w:ascii="Times New Roman" w:hAnsi="Times New Roman"/>
                <w:noProof/>
                <w:sz w:val="22"/>
                <w:szCs w:val="22"/>
              </w:rPr>
              <w:footnoteReference w:id="3"/>
            </w:r>
            <w:r>
              <w:rPr>
                <w:rFonts w:ascii="Times New Roman" w:hAnsi="Times New Roman"/>
                <w:noProof/>
                <w:sz w:val="22"/>
                <w:szCs w:val="22"/>
              </w:rPr>
              <w:t>·</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δημιουργούν ευκαιρίες για την ενδυνάμωση των κοινοτήτων Ρομά σε τοπικό επίπεδο, ώστε να καταστεί δυνατή η οικείωση από την κοινότητα και η ανάληψη δράσης με ρητό στόχο την επίτευξη κοινωνικών και πολιτικών αλλαγών. Η κινητοποίηση των κοινοτήτων θα πρέπει να θεωρείται συνειδητή συμμετοχική διαδικασία χωρίς αποκλεισμούς, με τη συμμετοχή των Ρομά, των τοπικών αρχών και οργανώσεων·</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διασφαλίζουν ότι οι Ρομά εκπροσωπούνται σε όλη τους την πολυμορφία (συμπεριλαμβανομένων υπηκόων και αλλοδαπών, περιθωριοποιημένων και ενσωματωμένων, γυναικών, παιδιών και νέων) στις διαδικασίες χάραξης πολιτικής και διαβούλευσης·</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βελτιώνουν την τοπική δράση με τη συμμετοχή περισσότερων Ρομά επαγγελματιών που να ενεργούν ως διαμεσολαβητές και να συμβάλλουν στην αντιμετώπιση της συνεχιζόμενης έλλειψης εμπιστοσύνης μεταξύ των κοινοτήτων Ρομά και των πλειονοτικών κοινοτήτων·</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προωθούν τη συνεργασία της κοινωνίας των πολιτών μεταξύ οργανώσεων με επίκεντρο τους Ρομά και οργανώσεων γενικού χαρακτήρα, ιδίως εκείνων που στοχεύουν στα δικαιώματα των παιδιών, των νέων και των γυναικών·</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να χρησιμοποιούν ενωσιακά και άλλα κονδύλια για την τακτική παροχή στήριξης με στόχο την ανάπτυξη ικανοτήτων (τήρηση της ισότητας, συμμετοχή, κ.λπ.), ιδίως για την κοινωνία των πολιτών σε επίπεδο βάσης και τοπικό επίπεδο· και </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σε χώρες με σημαντικό πληθυσμό Ρομά:</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να προωθούν θετικές δράσεις για την αύξηση της συμμετοχής των Ρομά στην εθνική και τοπική διοίκηση στους τομείς της ισότητας και της ένταξης, της έρευνας κ.λπ.· και</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1"/>
                <w:szCs w:val="21"/>
              </w:rPr>
            </w:pPr>
            <w:r>
              <w:rPr>
                <w:rFonts w:ascii="Times New Roman" w:hAnsi="Times New Roman"/>
                <w:noProof/>
                <w:sz w:val="22"/>
                <w:szCs w:val="22"/>
              </w:rPr>
              <w:t>να εξετάσουν το ενδεχόμενο σύστασης εθνικών κεντρικών οργανώσεων για τους Ρομά με σκοπό τη διαρκή διαβούλευση και συμμετοχή σε συζητήσεις πολιτικής. Οι οργανώσεις αυτές θα πρέπει να λαμβάνουν βασικές θεσμικές επιχορηγήσεις από τις εθνικές κυβερνήσεις ή τακτικά κονδύλια στήριξης από την κοινωνία των πολιτών.</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Αντανάκλαση της πολυμορφίας</w:t>
            </w:r>
          </w:p>
          <w:p>
            <w:pPr>
              <w:spacing w:before="60" w:after="60"/>
              <w:ind w:right="-24"/>
              <w:jc w:val="both"/>
              <w:rPr>
                <w:rFonts w:ascii="Times New Roman" w:hAnsi="Times New Roman" w:cs="Times New Roman"/>
                <w:noProof/>
              </w:rPr>
            </w:pPr>
            <w:r>
              <w:rPr>
                <w:rFonts w:ascii="Times New Roman" w:hAnsi="Times New Roman"/>
                <w:noProof/>
              </w:rPr>
              <w:t>Είναι ζωτικής σημασίας να αναγνωρίζεται η πολυμορφία μεταξύ των Ρομά και των κοινοτήτων κατά τον σχεδιασμό των εθνικών στρατηγικών πλαισίων. Το στρατηγικό πλαίσιο της ΕΕ για τους Ρομά προωθεί την ενδυνάμωση των γυναικών, των νέων και των παιδιών Ρομά (και των Ρομά που ζουν με αναπηρία, των ηλικιωμένων Ρομά, των ΛΟΑΤΚΙ+ Ρομά και των μετακινούμενων πολιτών της ΕΕ) με σκοπό την κάλυψη των κοινωνικοοικονομικών κενών, την πλήρη άσκηση των δικαιωμάτων τους, την αξιοποίηση των δυνατοτήτων τους και την ενεργό συμμετοχή τους στην αλλαγή.</w:t>
            </w:r>
          </w:p>
          <w:p>
            <w:pPr>
              <w:spacing w:before="60" w:after="60"/>
              <w:ind w:right="-24"/>
              <w:rPr>
                <w:rFonts w:ascii="Times New Roman" w:hAnsi="Times New Roman"/>
                <w:b/>
                <w:noProof/>
              </w:rPr>
            </w:pPr>
            <w:r>
              <w:rPr>
                <w:rFonts w:ascii="Times New Roman" w:hAnsi="Times New Roman"/>
                <w:b/>
                <w:noProof/>
              </w:rPr>
              <w:t>Τα εθνικά στρατηγικά πλαίσια για τους Ρομά θα πρέπει:</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εκτιμούν τις ανάγκες και την κατάσταση όλων των Ρομά (συμπεριλαμβανομένων των αλλοδαπών, των υπηκόων τρίτων χωρών και των απάτριδων)·</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αντιμετωπίζουν τις πολλαπλές διακρίσεις και τη διατομεακότητα, που αυξάνουν τη σοβαρότητα του αποκλεισμού·</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στοχεύουν στις πιο περιθωριοποιημένες ομάδες Ρομά με μέτρα ένταξης και καταπολέμησης της φτώχειας (χωρίς να αποκλείονται άλλες ομάδες που βρίσκονται σε παρόμοια κατάσταση) και να αντιμετωπίζουν όλους τους Ρομά με μέτρα προώθησης της συμμετοχής, καθώς και τους Ρομά και τους μη Ρομά με μέτρα για την πρόληψη και την καταπολέμηση του αντιτσιγγανισμού και των διακρίσεων·</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καθορίζουν συγκεκριμένους στόχους και στοχευμένα μέτρα για τις γυναίκες, τα παιδιά και τους νέους Ρομά, τα άτομα με αναπηρία, τους ηλικιωμένους Ρομά, τους μετακινούμενους πολίτες της ΕΕ, τους απάτριδες Ρομά και όσους προέρχονται από χώρες εκτός ΕΕ (κατά περίπτωση) και να αναλύουν τους δείκτες ανά φύλο και ηλικία·</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αντιμετωπίζουν τη διάσταση του φύλου σε όλους τους τομείς, ιδίως στην εκπαίδευση, την απασχόληση, την υγειονομική περίθαλψη, τη στήριξη των παιδιών και την καταπολέμηση των (πολλαπλών) διακρίσεων, συμπεριλαμβανομένης της (ενδοοικογενειακής) βίας και εκμετάλλευσης· να προωθούν τη συμμετοχή και να διασφαλίζουν ότι τα μέτρα λαμβάνουν υπόψη τη διάσταση του φύλου·</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στηρίζουν την πρόσβαση των γυναικών Ρομά στη δικαιοσύνη για την πρόληψη/εξάλειψη της ενδοοικογενειακής βίας και άλλων παραβιάσεων των ανθρωπίνων δικαιωμάτων·</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συμμετέχουν σε διακρατική συνεργασία για την αποτελεσματικότερη αντιμετώπιση των προκλήσεων και των ευκαιριών που προκύπτουν από τη διακρατική κινητικότητα των Ρομά, διασφαλίζοντας την πρόσβαση στην εκπαίδευση, την απασχόληση, τη στέγαση, την υγειονομική περίθαλψη και άλλες κοινωνικές υπηρεσίες· και</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να τερματίσουν την ανιθαγένεια των Ρομά διασφαλίζοντας καθολική καταχώριση των γεννήσεων και πρόσβαση σε έγγραφα ταυτότητας, επίσημες διαδικασίες προσδιορισμού της ανιθαγένειας και καθολική πρόσβαση σε υπηρεσίες. </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Συνδυασμός γενικών και στοχευμένων προσεγγίσεων</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Παρόλο που οι διακρίσεις σε βάρος των Ρομά και ο αποκλεισμός δικαιολογούν μια συνεχή στοχευμένη προσέγγιση, σκοπός της στόχευσης είναι η προώθηση της πραγματικής ένταξης και της ισότητας των Ρομά σε όλους τους τομείς της ζωής. Αυτό προϋποθέτει τη χωρίς αποκλεισμούς μεταρρύθμιση γενικών πολιτικών, για την οποία απαιτείται ένας έξυπνος συνδυασμός στοχευμένων και γενικών προσεγγίσεων. Οι στοχευμένες πολιτικές θα πρέπει να είναι προσωρινές και να χρησιμεύουν για τον μετριασμό των πρόσθετων μειονεκτημάτων και διακρίσεων που αντιμετωπίζουν οι Ρομά. Η στόχευση θα πρέπει να είναι σαφής (αν και όχι απαραίτητα με βάση την εθνότητα), αλλά όχι αποκλειστική, δηλαδή να μην αποκλείει τους μη Ρομά που βρίσκονται στην ίδια κατάσταση.</w:t>
            </w:r>
          </w:p>
          <w:p>
            <w:pPr>
              <w:spacing w:before="60" w:after="60"/>
              <w:ind w:right="-24"/>
              <w:rPr>
                <w:rFonts w:ascii="Times New Roman" w:hAnsi="Times New Roman"/>
                <w:b/>
                <w:noProof/>
              </w:rPr>
            </w:pPr>
            <w:r>
              <w:rPr>
                <w:rFonts w:ascii="Times New Roman" w:hAnsi="Times New Roman"/>
                <w:b/>
                <w:noProof/>
              </w:rPr>
              <w:t>Τα εθνικά στρατηγικά πλαίσια για τους Ρομά θα πρέπει:</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αποσαφηνίζουν τον τρόπο με τον οποίο τα συγκεκριμένα στοχευμένα μέτρα (διασφαλίσεις) αντιμετωπίζουν τα εμπόδια που δεν επιτρέπουν στους Ρομά να έχουν πρόσβαση και να επωφελούνται από γενικές πολιτικές, καθώς και τον τρόπο με τον οποίο στις δημόσιες πολιτικές μειώνονται οι αποκλεισμοί για τους Ρομά·</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προωθούν την πρόσβαση σε δικαιώματα και γενικές υπηρεσίες για τους Ρομά με πρόσθετη στοχευμένη στήριξη, χωρίς όμως να δημιουργούνται μόνιμες παράλληλες δομές·</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να στοχεύουν εδαφικά την παρέμβαση για να εξασφαλίζεται ότι λαμβάνονται υπόψη οι τοπικές συνθήκες· να συνδυάζουν στόχευση ανά χώρο και ανά ομάδα στο πλαίσιο παρεμβάσεων ευρείας κλίμακας (π.χ. για την αντιμετώπιση της ακραίας φτώχειας) και να διασφαλίζουν ότι οι παρεμβάσεις φθάνουν στον πληθυσμό των Ρομά·</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σε χώρες με σημαντικό πληθυσμό Ρομά:</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να υποβάλλουν τα κύρια μέτρα γενικής πολιτικής σε διερεύνηση/έλεγχο για την αξιολόγηση των επιπτώσεών τους στην ισότητα και την ένταξη των Ρομά·</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να καθορίζουν τον τρόπο με τον οποίο θα χρησιμοποιηθούν τα ενωσιακά κονδύλια για τη χωρίς αποκλεισμούς μεταρρύθμιση γενικών πολιτικών (π.χ. εξάλειψη του διαχωρισμού στην εκπαίδευση ή τη στέγαση) και για στοχευμένη δράση· και</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να προβλέπουν ρυθμίσεις για την ενσωμάτωση της ισότητας, της ένταξης και της συμμετοχής των Ρομά σε περιφερειακό και τοπικό επίπεδο.</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Αναβάθμιση των μέτρων για την πρόληψη / τον μετριασμό των δυσανάλογων επιπτώσεων των κρίσεων στους Ρομά</w:t>
            </w:r>
          </w:p>
          <w:p>
            <w:pPr>
              <w:spacing w:before="60" w:after="60"/>
              <w:ind w:right="-24"/>
              <w:jc w:val="both"/>
              <w:rPr>
                <w:rFonts w:ascii="Times New Roman" w:hAnsi="Times New Roman" w:cs="Times New Roman"/>
                <w:noProof/>
                <w:color w:val="000000" w:themeColor="text1"/>
              </w:rPr>
            </w:pPr>
            <w:r>
              <w:rPr>
                <w:rFonts w:ascii="Times New Roman" w:hAnsi="Times New Roman"/>
                <w:noProof/>
                <w:color w:val="000000" w:themeColor="text1"/>
              </w:rPr>
              <w:t>Όλες οι βασικές προκλήσεις που αντιμετωπίζει σήμερα η ΕΕ (συμπεριλαμβανομένων της πανδημίας του κορονοϊού, της κλιματικής αλλαγής και της πράσινης και ψηφιακής μετάβασης) έχουν μια διάσταση ισότητας και ένταξης των Ρομά. Θα πρέπει να δοθεί ιδιαίτερη προσοχή ώστε να διασφαλιστεί ότι οι ομάδες που υφίστανται διακρίσεις και περιθωριοποίηση, ιδίως μεταξύ των Ρομά, δεν θα αναγκαστούν να επωμιστούν δυσανάλογο μερίδιο της επιβάρυνσης από κρίσεις και μεταβάσεις, και ότι η αντιμετώπιση καταστάσεων έκτακτης ανάγκης και οι μακροπρόθεσμες αναπτυξιακές στρατηγικές περιλαμβάνουν στοχευμένη πρόσθετη στήριξη για την ένταξη των εν λόγω ομάδων. Θα πρέπει να αντληθούν διδάγματα από την πανδημία του κορονοϊού, η οποία επηρέασε δυσανάλογα τις περιθωριοποιημένες κοινότητες Ρομά, οι οποίες υπέστησαν τις χειρότερες βραχυπρόθεσμες επιπτώσεις για την υγεία και μεσοπρόθεσμες/μακροπρόθεσμες οικονομικές επιπτώσεις. Τα εθνικά στρατηγικά πλαίσια για τους Ρομά θα πρέπει να συμβάλλουν στον μετριασμό των επιπτώσεων της κρίσης του κορονοϊού και να μας βοηθήσουν να αντιμετωπίσουμε καλύτερα κάθε τέτοια περίπτωση στο μέλλον.</w:t>
            </w:r>
          </w:p>
          <w:p>
            <w:pPr>
              <w:spacing w:before="60" w:after="60"/>
              <w:ind w:right="-24"/>
              <w:rPr>
                <w:rFonts w:ascii="Times New Roman" w:hAnsi="Times New Roman" w:cs="Times New Roman"/>
                <w:b/>
                <w:noProof/>
                <w:color w:val="000000" w:themeColor="text1"/>
              </w:rPr>
            </w:pPr>
            <w:r>
              <w:rPr>
                <w:rFonts w:ascii="Times New Roman" w:hAnsi="Times New Roman"/>
                <w:b/>
                <w:noProof/>
                <w:color w:val="000000" w:themeColor="text1"/>
              </w:rPr>
              <w:t>Τα εθνικά στρατηγικά πλαίσια για τους Ρομά θα πρέπει:</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σχεδιάζουν αποτελεσματική συλλογή δεδομένων και παρακολούθηση των κοινωνικοοικονομικών επιπτώσεων (ανά ηλικία, φύλο και ιατρική ανάγκη) για να εξασφαλίζουν αποτελεσματικά και προσαρμοσμένα μέτρα πολιτικής που να ανταποκρίνονται στην υφιστάμενη / σε μελλοντικές πανδημίες·</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λαμβάνουν υπόψη τις βραχυπρόθεσμες, μεσοπρόθεσμες και μακροπρόθεσμες ανάγκες και να μεριμνούν για τη συμμετοχή των ενδιαφερομένων στην ανάπτυξη και την εφαρμογή μέτρων·</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στηρίζουν τις προσπάθειες των τοπικών αρχών για την αντιμετώπιση των πλέον άμεσων αναγκών των κοινοτήτων Ρομά (π.χ. πρόσβαση σε στέγαση, συμπεριλαμβανομένης της τροφής και του νερού, πρόσβαση σε δωρεάν υπηρεσίες υγείας και οικονομική στήριξη για οικογένειες Ρομά που βρίσκονται σε επισφαλή οικονομική κατάσταση)·</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δίνουν προτεραιότητα στις προσπάθειες για την αντιμετώπιση των διαρθρωτικών ανισοτήτων και της έλλειψης πρόσβασης των κοινοτήτων Ρομά σε βασικές υπηρεσίες και υποδομές·</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διασφαλίζουν ότι τα μέτρα και/ή οι δράσεις που χρησιμοποιούν ενωσιακή και εθνική χρηματοδότηση φτάνουν στον προορισμό τους και αντιμετωπίζουν τις ανάγκες των πλέον περιθωριοποιημένων και μειονεκτουσών κοινοτήτων·</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sz w:val="22"/>
                <w:szCs w:val="22"/>
              </w:rPr>
              <w:t>να προωθούν την πρόσβαση των Ρομά σε ασφαλές και καθαρό πόσιμο νερό</w:t>
            </w:r>
            <w:r>
              <w:rPr>
                <w:rStyle w:val="FootnoteReference"/>
                <w:rFonts w:ascii="Times New Roman" w:hAnsi="Times New Roman"/>
                <w:noProof/>
                <w:sz w:val="22"/>
                <w:szCs w:val="22"/>
              </w:rPr>
              <w:footnoteReference w:id="4"/>
            </w:r>
            <w:r>
              <w:rPr>
                <w:rFonts w:ascii="Times New Roman" w:hAnsi="Times New Roman"/>
                <w:noProof/>
                <w:sz w:val="22"/>
                <w:szCs w:val="22"/>
              </w:rPr>
              <w:t>·</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βελτιώσουν την πρόσβαση στην αποχέτευση και να διασφαλίσουν τη συνέχεια των βασικών υπηρεσιών κοινής ωφέλειας σε περίπτωση πανδημίας·</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προάγουν τις στοιχειώδεις γνώσεις σε θέματα υγείας στον πληθυσμό των Ρομά·</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προωθούν τη διάδοση επακριβών, σαφών και τεκμηριωμένων πληροφοριών και εκστρατειών ευαισθητοποίησης ως αποτελεσματικών εργαλείων κατά των διακρίσεων και της ξενοφοβίας·</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προβλέπουν τακτική παρακολούθηση των περιβαλλοντικών συνθηκών και των κινδύνων που πλήττουν ειδικά τις μειονεκτούσες κοινότητες Ρομά και να λαμβάνουν μέτρα για την αποκατάσταση επικίνδυνων ή ανθυγιεινών συνθηκών· και</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προωθούν τη συνέπεια μεταξύ μέτρων έκτακτης ανάγκης και μέτρων ανάκαμψης, και γενικών πρωτοβουλιών όπως η Πράσινη Συμφωνία, η ψηφιοποίηση, ο ευρωπαϊκός πυλώνας κοινωνικών δικαιωμάτων, οι Στόχοι Βιώσιμης Ανάπτυξης, το Ευρωπαϊκό Εξάμηνο και οι γενικές στρατηγικές, προγράμματα και μεταρρυθμίσεις.</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51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Διασφάλιση της ψηφιακής ένταξης</w:t>
            </w:r>
          </w:p>
          <w:p>
            <w:pPr>
              <w:spacing w:before="60" w:after="60"/>
              <w:ind w:right="-24"/>
              <w:jc w:val="both"/>
              <w:rPr>
                <w:rFonts w:ascii="Times New Roman" w:hAnsi="Times New Roman" w:cs="Times New Roman"/>
                <w:noProof/>
              </w:rPr>
            </w:pPr>
            <w:r>
              <w:rPr>
                <w:rFonts w:ascii="Times New Roman" w:hAnsi="Times New Roman"/>
                <w:noProof/>
              </w:rPr>
              <w:t>Καθώς η πανδημία του κορονοϊού υποχρέωσε να κλείσουν σχολεία, πανεπιστημιουπόλεις και γραφεία, όλοι στράφηκαν στο διαδίκτυο ως σανίδα σωτηρίας. Η μαζική στροφή προς την ηλεκτρονική εκπαίδευση, την τηλεϊατρική κ.λπ. προϋποθέτει ότι όλοι είχαν πρόσβαση στο διαδίκτυο. Ωστόσο, η κρίση αποκάλυψε μεγάλες</w:t>
            </w:r>
            <w:hyperlink r:id="rId16" w:history="1">
              <w:r>
                <w:rPr>
                  <w:rStyle w:val="Hyperlink"/>
                  <w:rFonts w:ascii="Times New Roman" w:hAnsi="Times New Roman"/>
                  <w:noProof/>
                </w:rPr>
                <w:t xml:space="preserve"> παγκόσμιες ανισότητες</w:t>
              </w:r>
            </w:hyperlink>
            <w:r>
              <w:rPr>
                <w:rFonts w:ascii="Times New Roman" w:hAnsi="Times New Roman"/>
                <w:noProof/>
              </w:rPr>
              <w:t xml:space="preserve"> όσον αφορά την ηλεκτρονική και εξ αποστάσεως μάθηση</w:t>
            </w:r>
            <w:r>
              <w:rPr>
                <w:noProof/>
              </w:rPr>
              <w:t>.</w:t>
            </w:r>
            <w:r>
              <w:rPr>
                <w:rFonts w:ascii="Times New Roman" w:hAnsi="Times New Roman"/>
                <w:noProof/>
              </w:rPr>
              <w:t xml:space="preserve"> Οι Ρομά βρίσκονται συχνά σε αγροτικές περιοχές, περιοχές που εξακολουθούν να υστερούν όσον αφορά την πρόσβαση σε ευρυζωνικές υποδομές υψηλής ταχύτητας. Για τους περιθωριοποιημένους Ρομά με ελάχιστη ή καθόλου πρόσβαση σε εξοπλισμό ΤΠ ή ψηφιακό γραμματισμό, ο αντίκτυπός τους έφερε στο φως βαθιές διαρθρωτικές ανισότητες, με αποτέλεσμα να κινδυνεύουν τα παιδιά Ρομά να έχουν χαμηλές επιδόσεις και υστέρηση στη σχολική τους εργασία και να στερούνται οι ενήλικες πληροφορίες και ευκαιρίες απασχόλησης σε πραγματικό χρόνο. Πρέπει να αντιμετωπιστούν οι υποκείμενες προκλήσεις που συνδέονται με την ανισότητα, τις διακρίσεις και τον αποκλεισμό στην ψηφιακή εποχή, ώστε να διασφαλιστεί ότι κανείς δεν θα μείνει πίσω. Η επιτυχής ανάπτυξη των ψηφιακών τεχνολογιών και η ανθεκτικότητα και η κοινωνική δικαιοσύνη της Ευρώπης εξαρτώνται από την πρόσβαση των πολιτών στις αναγκαίες υποδομές, εξοπλισμό και ψηφιακές δεξιότητες.</w:t>
            </w:r>
          </w:p>
          <w:p>
            <w:pPr>
              <w:spacing w:before="60" w:after="60"/>
              <w:ind w:right="-24"/>
              <w:rPr>
                <w:rFonts w:ascii="Times New Roman" w:hAnsi="Times New Roman"/>
                <w:b/>
                <w:noProof/>
              </w:rPr>
            </w:pPr>
            <w:r>
              <w:rPr>
                <w:rFonts w:ascii="Times New Roman" w:hAnsi="Times New Roman"/>
                <w:b/>
                <w:noProof/>
              </w:rPr>
              <w:t>Τα εθνικά στρατηγικά πλαίσια για τους Ρομά θα πρέπει:</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για να αντιμετωπιστεί ο ψηφιακός αποκλεισμός των Ρομά, με την παροχή πρόσβασης στις ψηφιακές τεχνολογίες, ιδίως όσον αφορά την πρόσβαση και την υποστήριξη της ηλεκτρονικής και εξ αποστάσεως εκπαίδευσης, σε περίπτωση κλεισίματος των σχολείων και των ιδρυμάτων κατάρτισης, όπως στη διάρκεια της πανδημίας του κορονοϊού·</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για να ενθαρρύνονται οι συνέργειες με άλλες πρωτοβουλίες πολιτικής (ιδίως εκείνες που αφορούν τις διαδικτυακές δημόσιες υπηρεσίες, τις υπηρεσίες ηλεκτρονικής διακυβέρνησης και τις εμπορικές υπηρεσίες), ώστε να βελτιωθεί η χρηστικότητα των δημόσιων υπηρεσιών και να προωθηθεί η ηλεκτρονική διακυβέρνηση χωρίς αποκλεισμούς, με ειδικά μέτρα για την παροχή δημόσιων υπηρεσιών στους Ρομά και τη σύνδεσή τους, με ιδιαίτερη προσοχή στις αγροτικές περιοχές·</w:t>
            </w:r>
          </w:p>
          <w:p>
            <w:pPr>
              <w:pStyle w:val="ListParagraph"/>
              <w:numPr>
                <w:ilvl w:val="0"/>
                <w:numId w:val="1"/>
              </w:numPr>
              <w:spacing w:before="60" w:after="60" w:line="276" w:lineRule="auto"/>
              <w:ind w:right="-24"/>
              <w:contextualSpacing w:val="0"/>
              <w:rPr>
                <w:noProof/>
                <w:sz w:val="22"/>
                <w:szCs w:val="22"/>
              </w:rPr>
            </w:pPr>
            <w:r>
              <w:rPr>
                <w:rFonts w:ascii="Times New Roman" w:hAnsi="Times New Roman"/>
                <w:noProof/>
                <w:sz w:val="22"/>
                <w:szCs w:val="22"/>
              </w:rPr>
              <w:t>για να ενισχυθούν οι ψηφιακές δεξιότητες και ικανότητες</w:t>
            </w:r>
            <w:r>
              <w:rPr>
                <w:rStyle w:val="FootnoteReference"/>
                <w:rFonts w:ascii="Times New Roman" w:hAnsi="Times New Roman"/>
                <w:noProof/>
                <w:sz w:val="22"/>
                <w:szCs w:val="22"/>
              </w:rPr>
              <w:footnoteReference w:id="5"/>
            </w:r>
            <w:r>
              <w:rPr>
                <w:rFonts w:ascii="Times New Roman" w:hAnsi="Times New Roman"/>
                <w:noProof/>
                <w:sz w:val="22"/>
                <w:szCs w:val="22"/>
              </w:rPr>
              <w:t xml:space="preserve"> των Ρομά με τους εξής τρόπους: </w:t>
            </w:r>
          </w:p>
          <w:p>
            <w:pPr>
              <w:spacing w:before="60" w:after="60"/>
              <w:ind w:left="851" w:right="-23" w:hanging="284"/>
              <w:jc w:val="both"/>
              <w:rPr>
                <w:rFonts w:ascii="Times New Roman" w:hAnsi="Times New Roman"/>
                <w:noProof/>
              </w:rPr>
            </w:pPr>
            <w:r>
              <w:rPr>
                <w:rFonts w:ascii="Times New Roman" w:hAnsi="Times New Roman"/>
                <w:noProof/>
              </w:rPr>
              <w:t xml:space="preserve">1) </w:t>
            </w:r>
            <w:r>
              <w:rPr>
                <w:noProof/>
              </w:rPr>
              <w:tab/>
            </w:r>
            <w:r>
              <w:rPr>
                <w:rFonts w:ascii="Times New Roman" w:hAnsi="Times New Roman"/>
                <w:noProof/>
              </w:rPr>
              <w:t>βελτίωση της πρόσβασης σε ψηφιακό εξοπλισμό και συνδέσεις δικτύου (π.χ. δημόσια σημεία πρόσβασης στο διαδίκτυο σε υποβαθμισμένες περιοχές)·</w:t>
            </w:r>
          </w:p>
          <w:p>
            <w:pPr>
              <w:spacing w:before="60" w:after="60"/>
              <w:ind w:left="851" w:right="-23" w:hanging="284"/>
              <w:jc w:val="both"/>
              <w:rPr>
                <w:rFonts w:ascii="Times New Roman" w:hAnsi="Times New Roman"/>
                <w:noProof/>
              </w:rPr>
            </w:pPr>
            <w:r>
              <w:rPr>
                <w:rFonts w:ascii="Times New Roman" w:hAnsi="Times New Roman"/>
                <w:noProof/>
              </w:rPr>
              <w:t xml:space="preserve">2) </w:t>
            </w:r>
            <w:r>
              <w:rPr>
                <w:noProof/>
              </w:rPr>
              <w:tab/>
            </w:r>
            <w:r>
              <w:rPr>
                <w:rFonts w:ascii="Times New Roman" w:hAnsi="Times New Roman"/>
                <w:noProof/>
              </w:rPr>
              <w:t xml:space="preserve">προώθηση των βασικών ψηφιακών δεξιοτήτων και ικανοτήτων σε μια προοπτική διά βίου μάθησης και προσφορά αντίστοιχης κατάρτισης· </w:t>
            </w:r>
          </w:p>
          <w:p>
            <w:pPr>
              <w:spacing w:before="60" w:after="60"/>
              <w:ind w:left="851" w:right="-23" w:hanging="284"/>
              <w:jc w:val="both"/>
              <w:rPr>
                <w:rFonts w:ascii="Times New Roman" w:hAnsi="Times New Roman"/>
                <w:noProof/>
              </w:rPr>
            </w:pPr>
            <w:r>
              <w:rPr>
                <w:rFonts w:ascii="Times New Roman" w:hAnsi="Times New Roman"/>
                <w:noProof/>
              </w:rPr>
              <w:t xml:space="preserve">3) </w:t>
            </w:r>
            <w:r>
              <w:rPr>
                <w:noProof/>
              </w:rPr>
              <w:tab/>
            </w:r>
            <w:r>
              <w:rPr>
                <w:rFonts w:ascii="Times New Roman" w:hAnsi="Times New Roman"/>
                <w:noProof/>
              </w:rPr>
              <w:t xml:space="preserve">βελτίωση όσον αφορά την ποιότητα της χρήσης της κοινωνίας της πληροφορίας από τους Ρομά και τη συμμετοχή του σ’ αυτή· και </w:t>
            </w:r>
          </w:p>
          <w:p>
            <w:pPr>
              <w:spacing w:before="60" w:after="60"/>
              <w:ind w:left="851" w:right="-23" w:hanging="284"/>
              <w:jc w:val="both"/>
              <w:rPr>
                <w:rFonts w:ascii="Times New Roman" w:hAnsi="Times New Roman"/>
                <w:noProof/>
              </w:rPr>
            </w:pPr>
            <w:r>
              <w:rPr>
                <w:rFonts w:ascii="Times New Roman" w:hAnsi="Times New Roman"/>
                <w:noProof/>
              </w:rPr>
              <w:t xml:space="preserve">4) </w:t>
            </w:r>
            <w:r>
              <w:rPr>
                <w:noProof/>
              </w:rPr>
              <w:tab/>
            </w:r>
            <w:r>
              <w:rPr>
                <w:rFonts w:ascii="Times New Roman" w:hAnsi="Times New Roman"/>
                <w:noProof/>
              </w:rPr>
              <w:t>προώθηση της αναφοράς ηλεκτρονικών πρακτικών που εισάγουν διακρίσεις όσον αφορά την πρόσβαση στις υπηρεσίες και τη χρήση των υπηρεσιών·</w:t>
            </w:r>
          </w:p>
          <w:p>
            <w:pPr>
              <w:spacing w:before="60" w:after="60"/>
              <w:ind w:left="851" w:right="-23" w:hanging="284"/>
              <w:jc w:val="both"/>
              <w:rPr>
                <w:rFonts w:ascii="Times New Roman" w:hAnsi="Times New Roman"/>
                <w:noProof/>
              </w:rPr>
            </w:pPr>
            <w:r>
              <w:rPr>
                <w:rFonts w:ascii="Times New Roman" w:hAnsi="Times New Roman"/>
                <w:noProof/>
              </w:rPr>
              <w:t>5) ενσωμάτωση πρωτοβουλιών ψηφιακού γραμματισμού σε τοπικά κοινωνικοοικονομικά πλαίσια, με προσαρμογή τους στις ειδικές ανάγκες και συνθήκες των κοινοτήτων Ρομά·</w:t>
            </w:r>
          </w:p>
          <w:p>
            <w:pPr>
              <w:spacing w:before="60" w:after="60"/>
              <w:ind w:left="851" w:right="-23" w:hanging="284"/>
              <w:jc w:val="both"/>
              <w:rPr>
                <w:rFonts w:ascii="Times New Roman" w:hAnsi="Times New Roman"/>
                <w:noProof/>
              </w:rPr>
            </w:pPr>
            <w:r>
              <w:rPr>
                <w:rFonts w:ascii="Times New Roman" w:hAnsi="Times New Roman"/>
                <w:noProof/>
              </w:rPr>
              <w:t>6) ενθάρρυνση και υποστήριξη πρωτοβουλιών ψηφιακού γραμματισμού</w:t>
            </w:r>
            <w:r>
              <w:rPr>
                <w:rStyle w:val="FootnoteReference"/>
                <w:rFonts w:ascii="Times New Roman" w:hAnsi="Times New Roman"/>
                <w:noProof/>
              </w:rPr>
              <w:footnoteReference w:id="6"/>
            </w:r>
            <w:r>
              <w:rPr>
                <w:rFonts w:ascii="Times New Roman" w:hAnsi="Times New Roman"/>
                <w:noProof/>
              </w:rPr>
              <w:t xml:space="preserve"> οι οποίες:</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ενθαρρύνουν την παροχή κινήτρων και την ευαισθητοποίηση όσον αφορά τη χρήση του διαδικτύου·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είναι οικονομικά προσιτές και βιώσιμες·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διαθέτουν περιεχόμενο και τρόπους υλοποίησης προσαρμοσμένους στους Ρομά (νέες μέθοδοι διδασκαλίας, άτυπη μάθηση κ.λπ.)· και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είναι προσβάσιμες και εύχρηστες· </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για να ενθαρρύνεται η χρήση ψηφιακών λύσεων για την υγειονομική περίθαλψη, τόσο για τους ασθενείς όσο και για τους επαγγελματίες του τομέα της υγείας, προκειμένου να διασφαλίζεται η συνέχεια της περίθαλψης και η ασφάλεια της θεραπείας· και</w:t>
            </w:r>
          </w:p>
          <w:p>
            <w:pPr>
              <w:pStyle w:val="ListParagraph"/>
              <w:numPr>
                <w:ilvl w:val="0"/>
                <w:numId w:val="1"/>
              </w:numPr>
              <w:spacing w:before="60" w:after="60" w:line="240" w:lineRule="auto"/>
              <w:ind w:right="-24"/>
              <w:contextualSpacing w:val="0"/>
              <w:rPr>
                <w:noProof/>
                <w:sz w:val="22"/>
                <w:szCs w:val="22"/>
              </w:rPr>
            </w:pPr>
            <w:r>
              <w:rPr>
                <w:rFonts w:ascii="Times New Roman" w:hAnsi="Times New Roman"/>
                <w:noProof/>
                <w:sz w:val="22"/>
                <w:szCs w:val="22"/>
              </w:rPr>
              <w:t>για να επανεξετάζονται τα στρατηγικά πλαίσια για την ψηφιακή ένταξη ώστε να αξιολογούνται τα εμπόδια που αντιμετωπίζουν οι Ρομά.</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416"/>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Περιβαλλοντική δικαιοσύνη</w:t>
            </w:r>
          </w:p>
          <w:p>
            <w:pPr>
              <w:spacing w:before="60" w:after="60"/>
              <w:ind w:right="-24"/>
              <w:jc w:val="both"/>
              <w:rPr>
                <w:rFonts w:ascii="Times New Roman" w:hAnsi="Times New Roman" w:cs="Times New Roman"/>
                <w:noProof/>
              </w:rPr>
            </w:pPr>
            <w:r>
              <w:rPr>
                <w:rFonts w:ascii="Times New Roman" w:hAnsi="Times New Roman"/>
                <w:noProof/>
              </w:rPr>
              <w:t>Οι περιβαλλοντικές διακρίσεις</w:t>
            </w:r>
            <w:r>
              <w:rPr>
                <w:rStyle w:val="FootnoteReference"/>
                <w:rFonts w:ascii="Times New Roman" w:hAnsi="Times New Roman" w:cs="Times New Roman"/>
                <w:smallCaps/>
                <w:noProof/>
                <w:color w:val="0070C0"/>
              </w:rPr>
              <w:footnoteReference w:id="7"/>
            </w:r>
            <w:r>
              <w:rPr>
                <w:rFonts w:ascii="Times New Roman" w:hAnsi="Times New Roman"/>
                <w:noProof/>
              </w:rPr>
              <w:t xml:space="preserve"> που αντιμετωπίζουν πολλές κοινότητες Ρομά αρχίζουν να συγκεντρώνουν την προσοχή του κοινού. Αυτή η επί μακρόν παραμελημένη πραγματικότητα αποκάλυψε τις δυσανάλογες επιπτώσεις της κατά τη διάρκεια της πανδημίας του κορονοϊού, κατά την οποία οι περιθωριοποιημένες κοινότητες ήταν πιο ευάλωτες στη μόλυνση και σε άλλα συναφή προβλήματα υγείας. Οι κίνδυνοι για την υγεία επιδεινώνονται από τις ανεπαρκείς συνθήκες διαβίωσης και τον διαχωρισμό, ωθώντας τους Ρομά σε ακόμη μεγαλύτερο κοινωνικοοικονομικό αποκλεισμό. </w:t>
            </w:r>
          </w:p>
          <w:p>
            <w:pPr>
              <w:spacing w:before="60" w:after="60"/>
              <w:ind w:right="-24"/>
              <w:rPr>
                <w:rFonts w:ascii="Times New Roman" w:hAnsi="Times New Roman"/>
                <w:b/>
                <w:noProof/>
                <w:color w:val="000000" w:themeColor="text1"/>
              </w:rPr>
            </w:pPr>
            <w:r>
              <w:rPr>
                <w:rFonts w:ascii="Times New Roman" w:hAnsi="Times New Roman"/>
                <w:b/>
                <w:noProof/>
                <w:color w:val="000000" w:themeColor="text1"/>
              </w:rPr>
              <w:t>Τα εθνικά στρατηγικά πλαίσια για τους Ρομά θα πρέπει:</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να αναγνωρίζουν και να αντιμετωπίζουν τις περιβαλλοντικές διακρίσεις, ιδίως επειδή επηρεάζουν τις περιθωριοποιημένες κοινότητες Ρομά σε διαχωρισμένες περιοχές (ως εκδήλωση αντιτσιγγανισμού)· να προωθούν την κατανόηση του τρόπου με τον οποίο οι περιβαλλοντικές διακρίσεις και η έλλειψη περιβαλλοντικών υπηρεσιών αναγκάζουν τους περιθωριοποιημένους Ρομά να ζουν σε περιβαλλοντικά υποβαθμισμένες περιοχές·</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να επικεντρώνονται στην πρόσβαση σε νερό, επαρκείς υπηρεσίες αποχέτευσης, συλλογής και διαχείρισης αποβλήτων, και στην καταπολέμηση του συνεχιζόμενου χωρικού διαχωρισμού ως αιτίας περιβαλλοντικών διακρίσεων στον τομέα της στέγασης και των βασικών υπηρεσιών·</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να αντιμετωπίζουν την ανεπαρκή πρόσβαση των Ρομά σε πράσινους χώρους διαβίωσης με ψυχαγωγική αξία·</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να προλαμβάνουν τους περιβαλλοντικούς κινδύνους για την υγεία και να αντιμετωπίζουν τις επιδράσεις στην υγεία λόγω της έκθεσης σε ρύπανση και μόλυνση· και</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1"/>
                <w:szCs w:val="21"/>
              </w:rPr>
            </w:pPr>
            <w:r>
              <w:rPr>
                <w:rFonts w:ascii="Times New Roman" w:hAnsi="Times New Roman"/>
                <w:noProof/>
                <w:color w:val="000000" w:themeColor="text1"/>
                <w:sz w:val="22"/>
                <w:szCs w:val="22"/>
              </w:rPr>
              <w:t>να διασφαλίζουν την επαγγελματική υγεία και ασφάλεια για όσους εργάζονται υπό λιγότερο ευνοϊκές περιβαλλοντικές συνθήκες.</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Προώθηση (συνειδητοποίησης) των τεχνών, της ιστορίας και του πολιτισμού των Ρομά</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Η τέχνη, η ιστορία και ο πολιτισμός των Ρομά αποτελούν αναπόσπαστα στοιχεία του ευρωπαϊκού και του εθνικού μας τοπίου. Ωστόσο, επί αιώνες, οι εικόνες του πολιτισμού και της ταυτότητας των Ρομά είναι εξιδανικευμένες και στερεοτυπικές, γεγονός που έχει επιδεινώσει την αποξένωση των κοινοτήτων Ρομά από τον κορμό των κοινωνιών. Η πολιτισμική αναγνώριση θα πρέπει να οικοδομηθεί μέσω αφηγημάτων των ίδιων των Ρομά.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Τα εθνικά στρατηγικά πλαίσια για τους Ρομά θα πρέπει:</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αναγνωρίσουν και να αυξήσουν τη συνειδητοποίηση και την οικείωση από τους Ρομά της συμβολής της τέχνης και του πολιτισμού των Ρομά στην εθνική και ευρωπαϊκή πολιτιστική κληρονομιά·</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στηρίζουν πλατφόρμες για τη διευκόλυνση των επαφών μεταξύ Ρομά και μη Ρομά σε τοπικό επίπεδο μέσω της προώθησης παραδοσιακών και σύγχρονων τεχνών, χειροτεχνιών και πολιτισμού των Ρομά, καθώς και των γνώσεων σχετικά με την ιστορία των Ρομά·</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να προωθούν δραστηριότητες ευαισθητοποίησης σε συνεργασία με τα μέσα ενημέρωσης για την υποστήριξη της διαμόρφωσης από τους ίδιους τους Ρομά της ταυτότητας και της πολιτιστικής κληρονομιάς τους·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να καταπολεμούν τις προκαταλήψεις και τα στερεότυπα για τους Ρομά·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ορίσουν και να εορτάζουν τη 2α Αυγούστου ως Ευρωπαϊκή Ημέρα Μνήμης για το Ολοκαύτωμα των Ρομά, για να τιμήσουν τα θύματα της γενοκτονίας των Ρομά κατά τον Β΄ Παγκόσμιο Πόλεμο·</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προωθούν μια ολοκληρωμένη προσέγγιση της επετείου μνήμης του Ολοκαυτώματος, υπενθυμίζοντας την τύχη των Ρομά στη Διεθνή Ημέρα Μνήμης Ολοκαυτώματος (27 Ιανουαρίου, ημέρα απελευθέρωσης του στρατοπέδου συγκέντρωσης Άουσβιτς-Μπίρκεναου)·</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ενσωματώνουν τις κοινότητες των Ρομά στα εθνικά πολιτιστικά αφηγήματα, συμπεριλαμβάνοντας τις τέχνες, την ιστορία και τον πολιτισμό των Ρομά σε συλλογές σε εθνικά αρχεία, μουσεία και μόνιμες εκθέσεις τέχνης· να διαθέτουν επαρκείς πόρους για τη διατήρηση, τη συντήρηση και την ανάπτυξη των τεχνών και του πολιτισμού των Ρομά, μεταξύ άλλων μέσω της προώθησης φεστιβάλ·</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συμπεριλαμβάνουν τη γλώσσα ρομανί και την ιστορία των Ρομά στα σχολικά προγράμματα και εγχειρίδια τόσο για τους μαθητές Ρομά, όσο και για τους μαθητές μη Ρομά· να προωθούν πολυπολιτισμικές δραστηριότητες και εκστρατείες ευαισθητοποίησης στα σχολεία· και</w:t>
            </w:r>
          </w:p>
          <w:p>
            <w:pPr>
              <w:pStyle w:val="ListParagraph"/>
              <w:numPr>
                <w:ilvl w:val="0"/>
                <w:numId w:val="1"/>
              </w:numPr>
              <w:spacing w:before="60" w:after="60" w:line="240" w:lineRule="auto"/>
              <w:ind w:right="-24"/>
              <w:contextualSpacing w:val="0"/>
              <w:rPr>
                <w:rFonts w:ascii="Times New Roman" w:hAnsi="Times New Roman"/>
                <w:b/>
                <w:smallCaps/>
                <w:noProof/>
                <w:sz w:val="22"/>
                <w:szCs w:val="22"/>
              </w:rPr>
            </w:pPr>
            <w:r>
              <w:rPr>
                <w:rFonts w:ascii="Times New Roman" w:hAnsi="Times New Roman"/>
                <w:noProof/>
                <w:color w:val="000000" w:themeColor="text1"/>
                <w:sz w:val="22"/>
                <w:szCs w:val="22"/>
              </w:rPr>
              <w:t>να παρέχουν ευκαιρίες για την ενδυνάμωση και τη στήριξη των Ρομά επιχειρηματιών και αυτοαπασχολούμενων ατόμων με τοπικές επιχειρήσεις που προωθούν τις παραδόσεις και τον πολιτισμό των Ρομά.</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Προώθηση της κοινωνικής καινοτομίας και της πειραματικής πολιτικής</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Η κοινωνική καινοτομία και η πειραματική πολιτική αποτελούν νέες προσεγγίσεις από τον τομέα των κοινωνικών αλλαγών, οι οποίες περιλαμβάνουν ιδέες, πρακτικές και πρωτοβουλίες που παρεμβαίνουν στα διάφορα επίπεδα ενός συστήματος για να λειτουργήσουν ως καταλύτης για ριζική αλλαγή και μακροχρόνιο θετικό αντίκτυπο. Ως εκ τούτου, μπορούν να αποτελέσουν σημαντικά εργαλεία για την προώθηση της ισότητας, της ένταξης, της συμμετοχής και της ενδυνάμωσης των Ρομά.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Η ενωσιακή πολιτική ορίζει την «κοινωνική καινοτομία» ως δραστηριότητες που είναι κοινωνικές τόσο ως προς τον σκοπό τους όσο και ως προς τα μέσα που χρησιμοποιούν, οι οποίες αφορούν συγκεκριμένα την ανάπτυξη και εφαρμογή νέων ιδεών (όσον αφορά προϊόντα, υπηρεσίες και πρότυπα) που, ταυτόχρονα, ικανοποιούν κοινωνικές ανάγκες και δημιουργούν νέες κοινωνικές σχέσεις ή συνεργασίες, ωφελώντας κατ’ αυτόν τον τρόπο την κοινωνία και ενισχύοντας την ικανότητά της να αναλαμβάνει δράση</w:t>
            </w:r>
            <w:r>
              <w:rPr>
                <w:rStyle w:val="FootnoteReference"/>
                <w:rFonts w:ascii="Times New Roman" w:hAnsi="Times New Roman" w:cs="Times New Roman"/>
                <w:noProof/>
              </w:rPr>
              <w:footnoteReference w:id="8"/>
            </w:r>
            <w:r>
              <w:rPr>
                <w:rFonts w:ascii="Times New Roman" w:hAnsi="Times New Roman"/>
                <w:noProof/>
              </w:rPr>
              <w:t>. Η «πειραματική κοινωνική πολιτική» είναι παρεμβάσεις πολιτικής που παρέχουν μια καινοτόμα απάντηση σε κοινωνικές ανάγκες, εφαρμόζονται σε μικρή κλίμακα και σε συνθήκες που διασφαλίζουν τη δυνατότητα μέτρησης του αντικτύπου τους, πριν εφαρμοστούν σε άλλα πλαίσια και σε μεγαλύτερη κλίμακα, αν τα αποτελέσματα αποδειχθούν πειστικά</w:t>
            </w:r>
            <w:r>
              <w:rPr>
                <w:rStyle w:val="FootnoteReference"/>
                <w:rFonts w:ascii="Times New Roman" w:hAnsi="Times New Roman" w:cs="Times New Roman"/>
                <w:noProof/>
              </w:rPr>
              <w:footnoteReference w:id="9"/>
            </w:r>
            <w:r>
              <w:rPr>
                <w:rFonts w:ascii="Times New Roman" w:hAnsi="Times New Roman"/>
                <w:noProof/>
              </w:rPr>
              <w:t>.</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Τα εθνικά στρατηγικά πλαίσια για τους Ρομά θα πρέπει:</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στηρίζουν τη δημιουργία εθνικών συμμαχιών για τη μάθηση και την καινοτομία με στόχο την ένταξη – φέρνοντας σε επαφή φορείς από ολόκληρο το φάσμα (σχετικές οργανώσεις Ρομά επαγγελματιών από κοινού με επιχειρήσεις/βιομηχανίες, κοινωνικά φυτώρια και δίκτυα παραγόντων αλλαγής, πρεσβείες, οργανισμοί έρευνας)·</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δρομολογούν κοινές διαδικασίες συνδημιουργίας με εθνικούς/περιφερειακούς ενδιαφερόμενους φορείς, φιλανθρωπικές οργανώσεις και οργανώσεις κοινωνικού σκοπού για τον προσδιορισμό των αναγκών, των διαθέσιμων πόρων και των ευκαιριών για από κοινού συστηματική δράση (μεταξύ άλλων, με τη διαθέσιμη συμβουλευτική στήριξη της ΕΕ)·</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στηρίζουν την εκκόλαψη έργων προσανατολισμένων στα αποτελέσματα, τα οποία αφορούν βασικούς τομείς κοινωνικών υπηρεσιών (πρόσβαση σε στέγαση, υπηρεσίες κοινής ωφέλειας, βασικές δημόσιες υποδομές και υπηρεσίες κ.λπ.)·</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επιδρούν ως καταλύτες και να συσσωρεύουν μάθηση σχετικά με προσεγγίσεις εργασίας για διάφορα θέματα / τομείς, με παράλληλη ενεργοποίηση και παροχή δυνατοτήτων σε βασικούς συντελεστές από διάφορους τομείς (δημόσιους, ιδιωτικούς, κοινωνία των πολιτών) για κοινή συνεργασία·</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πειραματίζονται με κοινωνικές πολιτικές (π.χ. παροχή εγγυήσεων βασικού εισοδήματος) για τη δημιουργία μοντέλων και τη δοκιμή εναλλακτικών μηχανισμών χορήγησης κοινωνικών παροχών·</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διερευνούν την κινητοποίηση ιδιωτικών κεφαλαίων και τη συγκέντρωση κεφαλαίων, π.χ. με φιλανθρωπικές οργανώσεις, μέσω πιθανών προγραμμάτων αντιστοίχισης, για την αντιμετώπιση μη ικανοποιούμενων αναγκών των πλέον ευάλωτων·</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να διερευνούν νέα μοντέλα υπηρεσιών ή παροχής υπηρεσιών και διεύρυνσης της παροχής μέσω εταιρικών σχέσεων προσανατολισμένων στα αποτελέσματα·</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να στηρίζουν τη συγκέντρωση και την ενσωμάτωση στοχευμένης και ευέλικτης χρηματοδότησης· και</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να στηρίζουν τη δημιουργία κέντρων κοινωνικής καινοτομικής ικανότητας (που θα υποστηρίζονται μέσω των διακρατικών δραστηριοτήτων του ΕΚΤ+) και να παρέχουν εντολή για την υποστήριξη των αναγκών ένταξης των Ρομά.</w:t>
            </w:r>
          </w:p>
        </w:tc>
      </w:tr>
    </w:tbl>
    <w:p>
      <w:pPr>
        <w:ind w:right="-24"/>
        <w:rPr>
          <w:rFonts w:cstheme="minorHAnsi"/>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7508"/>
      <w:docPartObj>
        <w:docPartGallery w:val="Page Numbers (Bottom of Page)"/>
        <w:docPartUnique/>
      </w:docPartObj>
    </w:sdtPr>
    <w:sdtEndPr>
      <w:rPr>
        <w:sz w:val="18"/>
        <w:szCs w:val="18"/>
      </w:rPr>
    </w:sdtEndPr>
    <w:sdtContent>
      <w:p>
        <w:pPr>
          <w:pStyle w:val="Footer"/>
          <w:jc w:val="center"/>
          <w:rPr>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ind w:left="284" w:hanging="284"/>
        <w:jc w:val="both"/>
        <w:rPr>
          <w:rFonts w:ascii="Times New Roman" w:hAnsi="Times New Roman" w:cs="Times New Roman"/>
          <w:color w:val="000000" w:themeColor="text1"/>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1" w:history="1">
        <w:r>
          <w:rPr>
            <w:rStyle w:val="Hyperlink"/>
            <w:rFonts w:ascii="Times New Roman" w:hAnsi="Times New Roman"/>
            <w:i/>
            <w:sz w:val="19"/>
            <w:szCs w:val="19"/>
          </w:rPr>
          <w:t>Αντιτσιγγανισμός — έγγραφο αναφοράς</w:t>
        </w:r>
      </w:hyperlink>
      <w:r>
        <w:t xml:space="preserve">, </w:t>
      </w:r>
      <w:r>
        <w:rPr>
          <w:rFonts w:ascii="Times New Roman" w:hAnsi="Times New Roman"/>
          <w:sz w:val="19"/>
          <w:szCs w:val="19"/>
        </w:rPr>
        <w:t>Βερολίνο/Βουδαπέστη, 2017</w:t>
      </w:r>
      <w:r>
        <w:t>·</w:t>
      </w:r>
      <w:r>
        <w:rPr>
          <w:rFonts w:ascii="Times New Roman" w:hAnsi="Times New Roman"/>
          <w:sz w:val="19"/>
          <w:szCs w:val="19"/>
        </w:rPr>
        <w:t xml:space="preserve"> </w:t>
      </w:r>
      <w:hyperlink r:id="rId2" w:history="1">
        <w:r>
          <w:rPr>
            <w:rStyle w:val="Hyperlink"/>
            <w:rFonts w:ascii="Times New Roman" w:hAnsi="Times New Roman"/>
            <w:sz w:val="19"/>
            <w:szCs w:val="19"/>
          </w:rPr>
          <w:t>Ψήφισμα του Ευρωπαϊκού Κοινοβουλίου, της 15ης Απριλίου 2015, σχετικά με την ευκαιρία της Διεθνούς Ημέρας των Ρομά — αθιγγανοφοβία στην Ευρώπη και αναγνώριση από την ΕΕ της ημέρας μνήμης της γενοκτονίας των Ρομά κατά τον Β΄ παγκόσμιο πόλεμο</w:t>
        </w:r>
      </w:hyperlink>
      <w:r>
        <w:t>·</w:t>
      </w:r>
      <w:r>
        <w:rPr>
          <w:rFonts w:ascii="Times New Roman" w:hAnsi="Times New Roman"/>
          <w:sz w:val="19"/>
          <w:szCs w:val="19"/>
        </w:rPr>
        <w:t xml:space="preserve"> </w:t>
      </w:r>
      <w:hyperlink r:id="rId3" w:history="1">
        <w:r>
          <w:rPr>
            <w:rStyle w:val="Hyperlink"/>
            <w:rFonts w:ascii="Times New Roman" w:hAnsi="Times New Roman"/>
            <w:sz w:val="19"/>
            <w:szCs w:val="19"/>
          </w:rPr>
          <w:t>Έκθεση του Ευρωπαϊκού Κοινοβουλίου σχετικά με πτυχές της ένταξης των Ρομά στην ΕΕ οι οποίες άπτονται των θεμελιωδών δικαιωμάτων — καταπολεμώντας την αθιγγανοφοβία [2017/2038 (INI)]</w:t>
        </w:r>
      </w:hyperlink>
      <w:r>
        <w:t>·</w:t>
      </w:r>
      <w:r>
        <w:rPr>
          <w:rFonts w:ascii="Times New Roman" w:hAnsi="Times New Roman"/>
          <w:sz w:val="19"/>
          <w:szCs w:val="19"/>
        </w:rPr>
        <w:t xml:space="preserve"> </w:t>
      </w:r>
      <w:hyperlink r:id="rId4" w:history="1">
        <w:r>
          <w:rPr>
            <w:rStyle w:val="Hyperlink"/>
            <w:rFonts w:ascii="Times New Roman" w:hAnsi="Times New Roman"/>
            <w:sz w:val="19"/>
            <w:szCs w:val="19"/>
          </w:rPr>
          <w:t>Ψήφισμα του Ευρωπαϊκού Κοινοβουλίου, της 12ης Φεβρουαρίου 2019, σχετικά με την ανάγκη, στην περίοδο μετά το 2020, για ένα ισχυρότερο στρατηγικό πλαίσιο της ΕΕ για τις εθνικές στρατηγικές ένταξης των Ρομά και για την ενίσχυση του αγώνα κατά της αθιγγανοφοβίας</w:t>
        </w:r>
      </w:hyperlink>
      <w:r>
        <w:rPr>
          <w:rFonts w:ascii="Times New Roman" w:hAnsi="Times New Roman"/>
          <w:sz w:val="19"/>
          <w:szCs w:val="19"/>
        </w:rPr>
        <w:t xml:space="preserve"> </w:t>
      </w:r>
      <w:hyperlink r:id="rId5" w:history="1">
        <w:r>
          <w:rPr>
            <w:rStyle w:val="Hyperlink"/>
            <w:rFonts w:ascii="Times New Roman" w:hAnsi="Times New Roman"/>
            <w:sz w:val="19"/>
            <w:szCs w:val="19"/>
          </w:rPr>
          <w:t>Σύσταση γενικής πολιτικής αριθ. 13 της Ευρωπαϊκής Επιτροπής κατά του Ρατσισμού και της Μισαλλοδοξίας (ECRI), 2012, σχετικά με την καταπολέμηση του αντιτσιγγανισμού και των διακρίσεων κατά των Ρομά</w:t>
        </w:r>
      </w:hyperlink>
      <w:r>
        <w:rPr>
          <w:rFonts w:ascii="Times New Roman" w:hAnsi="Times New Roman"/>
          <w:sz w:val="19"/>
          <w:szCs w:val="19"/>
        </w:rPr>
        <w:t xml:space="preserve">· </w:t>
      </w:r>
      <w:hyperlink r:id="rId6" w:history="1">
        <w:r>
          <w:rPr>
            <w:rStyle w:val="Hyperlink"/>
            <w:rFonts w:ascii="Times New Roman" w:hAnsi="Times New Roman"/>
            <w:sz w:val="19"/>
            <w:szCs w:val="19"/>
          </w:rPr>
          <w:t>Δήλωση της Επιτροπής Υπουργών του Συμβουλίου της Ευρώπης σχετικά με την άνοδο του αντιτσιγγανισμού και της ρατσιστικής βίας κατά των Ρομά στην Ευρώπη</w:t>
        </w:r>
      </w:hyperlink>
      <w:r>
        <w:rPr>
          <w:rStyle w:val="Hyperlink"/>
          <w:rFonts w:ascii="Times New Roman" w:hAnsi="Times New Roman"/>
          <w:sz w:val="19"/>
          <w:szCs w:val="19"/>
          <w:u w:val="none"/>
        </w:rPr>
        <w:t>.</w:t>
      </w:r>
    </w:p>
  </w:footnote>
  <w:footnote w:id="2">
    <w:p>
      <w:pPr>
        <w:pStyle w:val="FootnoteText"/>
        <w:ind w:left="284" w:hanging="284"/>
        <w:jc w:val="both"/>
        <w:rPr>
          <w:rFonts w:ascii="Times New Roman" w:hAnsi="Times New Roman" w:cs="Times New Roman"/>
          <w:sz w:val="19"/>
          <w:szCs w:val="19"/>
          <w:lang w:val="en-US"/>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Οι συστημικές διακρίσεις οφείλονται σε ανισότητες που είναι ενσωματωμένες στη νομοθεσία, την πολιτική και την πρακτική. Συχνά δεν ενσωματώνονται από πρόθεση αλλά λόγω μιας σειράς θεσμικών παραγόντων στη διαμόρφωση, την εφαρμογή και την επανεξέταση της νομοθεσίας, της πολιτικής και της πρακτικής. </w:t>
      </w:r>
      <w:r>
        <w:rPr>
          <w:rFonts w:ascii="Times New Roman" w:hAnsi="Times New Roman"/>
          <w:sz w:val="19"/>
          <w:szCs w:val="19"/>
          <w:lang w:val="en-US"/>
        </w:rPr>
        <w:t>B</w:t>
      </w:r>
      <w:r>
        <w:rPr>
          <w:rFonts w:ascii="Times New Roman" w:hAnsi="Times New Roman"/>
          <w:sz w:val="19"/>
          <w:szCs w:val="19"/>
        </w:rPr>
        <w:t>λέπε</w:t>
      </w:r>
      <w:r>
        <w:rPr>
          <w:rFonts w:ascii="Times New Roman" w:hAnsi="Times New Roman"/>
          <w:sz w:val="19"/>
          <w:szCs w:val="19"/>
          <w:lang w:val="en-US"/>
        </w:rPr>
        <w:t xml:space="preserve"> </w:t>
      </w:r>
      <w:hyperlink r:id="rId7" w:history="1">
        <w:r>
          <w:rPr>
            <w:rStyle w:val="Hyperlink"/>
            <w:rFonts w:ascii="Times New Roman" w:hAnsi="Times New Roman"/>
            <w:sz w:val="19"/>
            <w:szCs w:val="19"/>
            <w:lang w:val="en-US"/>
          </w:rPr>
          <w:t>Roma and traveller inclusion:</w:t>
        </w:r>
      </w:hyperlink>
      <w:hyperlink r:id="rId8" w:history="1">
        <w:r>
          <w:rPr>
            <w:rStyle w:val="Hyperlink"/>
            <w:rFonts w:ascii="Times New Roman" w:hAnsi="Times New Roman"/>
            <w:sz w:val="19"/>
            <w:szCs w:val="19"/>
            <w:lang w:val="en-US"/>
          </w:rPr>
          <w:t xml:space="preserve"> towards a new EU framework, learning from the work of equality bodies</w:t>
        </w:r>
      </w:hyperlink>
      <w:r>
        <w:rPr>
          <w:rStyle w:val="Hyperlink"/>
          <w:rFonts w:ascii="Times New Roman" w:hAnsi="Times New Roman"/>
          <w:sz w:val="19"/>
          <w:szCs w:val="19"/>
          <w:u w:val="none"/>
          <w:lang w:val="en-US"/>
        </w:rPr>
        <w:t>.</w:t>
      </w:r>
    </w:p>
  </w:footnote>
  <w:footnote w:id="3">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Violetta Zentai, Georgeta Munteanu και Simona Torotcoi, </w:t>
      </w:r>
      <w:hyperlink r:id="rId9" w:history="1">
        <w:r>
          <w:rPr>
            <w:rStyle w:val="Hyperlink"/>
            <w:rFonts w:ascii="Times New Roman" w:hAnsi="Times New Roman"/>
            <w:i/>
            <w:sz w:val="19"/>
            <w:szCs w:val="19"/>
          </w:rPr>
          <w:t>The quality of participation in a post-2020 EU initiative for Roma equality and inclusion (Η ποιότητα της συμμετοχής σε μια πρωτοβουλία μετά το 2020 για την ισότητα και την ένταξη των Ρομά)</w:t>
        </w:r>
      </w:hyperlink>
      <w:r>
        <w:rPr>
          <w:rFonts w:ascii="Times New Roman" w:hAnsi="Times New Roman"/>
          <w:sz w:val="19"/>
          <w:szCs w:val="19"/>
        </w:rPr>
        <w:t>, εκθέσεις εμπειρογνωμόνων που βασίζονται σε μελλοντικές πτυχές της αξιολόγησης του πλαισίου της ΕΕ για τις εθνικές στρατηγικές ένταξης των Ρομά, 2020, σ. 41, 59-60.</w:t>
      </w:r>
    </w:p>
  </w:footnote>
  <w:footnote w:id="4">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Η </w:t>
      </w:r>
      <w:hyperlink r:id="rId10" w:history="1">
        <w:r>
          <w:rPr>
            <w:rStyle w:val="Hyperlink"/>
            <w:rFonts w:ascii="Times New Roman" w:hAnsi="Times New Roman"/>
            <w:sz w:val="19"/>
            <w:szCs w:val="19"/>
          </w:rPr>
          <w:t>οδηγία για το πόσιμο νερό</w:t>
        </w:r>
      </w:hyperlink>
      <w:r>
        <w:rPr>
          <w:rFonts w:ascii="Times New Roman" w:hAnsi="Times New Roman"/>
          <w:sz w:val="19"/>
          <w:szCs w:val="19"/>
        </w:rPr>
        <w:t xml:space="preserve"> </w:t>
      </w:r>
      <w:r>
        <w:rPr>
          <w:rFonts w:ascii="Times New Roman" w:hAnsi="Times New Roman"/>
          <w:sz w:val="18"/>
          <w:szCs w:val="18"/>
        </w:rPr>
        <w:t>(αιτιολογική σκέψη 31, άρθρο 16)</w:t>
      </w:r>
      <w:r>
        <w:rPr>
          <w:rFonts w:ascii="Times New Roman" w:hAnsi="Times New Roman"/>
          <w:sz w:val="19"/>
          <w:szCs w:val="19"/>
        </w:rPr>
        <w:t xml:space="preserve"> </w:t>
      </w:r>
      <w:r>
        <w:rPr>
          <w:rFonts w:ascii="Times New Roman" w:hAnsi="Times New Roman"/>
          <w:sz w:val="18"/>
          <w:szCs w:val="18"/>
        </w:rPr>
        <w:t>απαιτεί από τα κράτη μέλη να λαμβάνουν υπόψη τις ιδιαίτερες συνθήκες μειονοτικών ομάδων, όπως οι Ρομά και οι Travellers (Ταξιδευτές), είτε μόνιμα εγκατεστημένων είτε όχι, λαμβάνοντας τα αναγκαία μέτρα για τη βελτίωση της πρόσβασής τους σε νερό ανθρώπινης κατανάλωσης</w:t>
      </w:r>
      <w:r>
        <w:rPr>
          <w:rFonts w:ascii="Times New Roman" w:hAnsi="Times New Roman"/>
          <w:sz w:val="19"/>
          <w:szCs w:val="19"/>
        </w:rPr>
        <w:t>.</w:t>
      </w:r>
    </w:p>
  </w:footnote>
  <w:footnote w:id="5">
    <w:p>
      <w:pPr>
        <w:pStyle w:val="FootnoteText"/>
        <w:jc w:val="both"/>
        <w:rPr>
          <w:rFonts w:ascii="Times New Roman" w:hAnsi="Times New Roman" w:cs="Times New Roman"/>
          <w:sz w:val="18"/>
          <w:szCs w:val="18"/>
        </w:rPr>
      </w:pPr>
      <w:r>
        <w:rPr>
          <w:rStyle w:val="FootnoteReference"/>
        </w:rPr>
        <w:footnoteRef/>
      </w:r>
      <w:r>
        <w:rPr>
          <w:rFonts w:ascii="Times New Roman" w:hAnsi="Times New Roman"/>
          <w:sz w:val="18"/>
          <w:szCs w:val="18"/>
        </w:rPr>
        <w:t xml:space="preserve"> Tο </w:t>
      </w:r>
      <w:hyperlink r:id="rId11" w:history="1">
        <w:r>
          <w:rPr>
            <w:rStyle w:val="Hyperlink"/>
            <w:rFonts w:ascii="Times New Roman" w:hAnsi="Times New Roman"/>
            <w:sz w:val="18"/>
            <w:szCs w:val="18"/>
          </w:rPr>
          <w:t>πλαίσιο για τις ψηφιακές ικανότητες των πολιτών</w:t>
        </w:r>
      </w:hyperlink>
      <w:r>
        <w:rPr>
          <w:rFonts w:ascii="Times New Roman" w:hAnsi="Times New Roman"/>
          <w:sz w:val="18"/>
          <w:szCs w:val="18"/>
        </w:rPr>
        <w:t xml:space="preserve"> προσδιορίζει πέντε συνιστώσες της ψηφιακής ικανότητας: βασικές γνώσεις για τις πληροφορίες και τα δεδομένα, επικοινωνία και συνεργασία, δημιουργία ψηφιακού περιεχομένου, ασφάλεια και επίλυση προβλημάτων.</w:t>
      </w:r>
    </w:p>
  </w:footnote>
  <w:footnote w:id="6">
    <w:p>
      <w:pPr>
        <w:pStyle w:val="FootnoteText"/>
        <w:jc w:val="both"/>
      </w:pPr>
      <w:r>
        <w:rPr>
          <w:rStyle w:val="FootnoteReference"/>
        </w:rPr>
        <w:footnoteRef/>
      </w:r>
      <w:r>
        <w:t xml:space="preserve"> </w:t>
      </w:r>
      <w:r>
        <w:rPr>
          <w:rFonts w:ascii="Times New Roman" w:hAnsi="Times New Roman"/>
          <w:sz w:val="18"/>
          <w:szCs w:val="18"/>
        </w:rPr>
        <w:t xml:space="preserve">Tο </w:t>
      </w:r>
      <w:hyperlink r:id="rId12" w:history="1">
        <w:r>
          <w:rPr>
            <w:rStyle w:val="Hyperlink"/>
            <w:rFonts w:ascii="Times New Roman" w:hAnsi="Times New Roman"/>
            <w:sz w:val="18"/>
            <w:szCs w:val="18"/>
          </w:rPr>
          <w:t>πλαίσιο για τις ψηφιακές ικανότητες των πολιτών</w:t>
        </w:r>
      </w:hyperlink>
      <w:r>
        <w:rPr>
          <w:rFonts w:ascii="Times New Roman" w:hAnsi="Times New Roman"/>
          <w:sz w:val="18"/>
          <w:szCs w:val="18"/>
        </w:rPr>
        <w:t xml:space="preserve"> ορίζει τις βασικές γνώσεις για τις πληροφορίες και τα δεδομένα / τον ψηφιακό γραμματισμό ως την ικανότητα </w:t>
      </w:r>
      <w:r>
        <w:rPr>
          <w:rFonts w:ascii="Times New Roman" w:hAnsi="Times New Roman"/>
          <w:color w:val="000000"/>
          <w:sz w:val="18"/>
          <w:szCs w:val="18"/>
        </w:rPr>
        <w:t xml:space="preserve"> έκφρασης των αναγκών για πληροφορίες· εντοπισμού και ανάκτησης ψηφιακών δεδομένων, πληροφοριών και περιεχομένου· κρίσης της σημασίας της πηγής και του περιεχομένου της· και αποθήκευσης, διαχείρισης και οργάνωσης ψηφιακών δεδομένων, πληροφοριών και περιεχομένου.</w:t>
      </w:r>
    </w:p>
  </w:footnote>
  <w:footnote w:id="7">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8"/>
          <w:szCs w:val="18"/>
        </w:rPr>
        <w:t>Οι Ρομά που ζουν σε διαχωρισμένους οικισμούς υπό περιβαλλοντικά επικίνδυνες συνθήκες (δίπλα σε χωματερές, εγκαταλελειμμένες βιομηχανικές εγκαταστάσεις ή περιοχές που είναι επιρρεπείς σε πλημμύρες) χωρίς υπηρεσίες πρώτης ανάγκης όπως η ύδρευση και η διαχείριση των αποβλήτων, υφίστανται περιβαλλοντικές διακρίσεις. Βλέπε</w:t>
      </w:r>
      <w:r>
        <w:rPr>
          <w:rFonts w:ascii="Times New Roman" w:hAnsi="Times New Roman"/>
          <w:sz w:val="19"/>
          <w:szCs w:val="19"/>
          <w:lang w:val="en-US"/>
        </w:rPr>
        <w:t xml:space="preserve"> </w:t>
      </w:r>
      <w:hyperlink r:id="rId13" w:history="1">
        <w:r>
          <w:rPr>
            <w:rStyle w:val="Hyperlink"/>
            <w:rFonts w:ascii="Times New Roman" w:hAnsi="Times New Roman"/>
            <w:i/>
            <w:sz w:val="19"/>
            <w:szCs w:val="19"/>
            <w:lang w:val="en-US"/>
          </w:rPr>
          <w:t>Pushed to the wastelands:</w:t>
        </w:r>
      </w:hyperlink>
      <w:hyperlink r:id="rId14" w:history="1">
        <w:r>
          <w:rPr>
            <w:rStyle w:val="Hyperlink"/>
            <w:rFonts w:ascii="Times New Roman" w:hAnsi="Times New Roman"/>
            <w:i/>
            <w:sz w:val="19"/>
            <w:szCs w:val="19"/>
            <w:lang w:val="en-US"/>
          </w:rPr>
          <w:t xml:space="preserve"> environmental racism against Roma communities in central and Eastern Europe</w:t>
        </w:r>
      </w:hyperlink>
      <w:r>
        <w:rPr>
          <w:rFonts w:ascii="Times New Roman" w:hAnsi="Times New Roman"/>
          <w:sz w:val="19"/>
          <w:szCs w:val="19"/>
          <w:lang w:val="en-US"/>
        </w:rPr>
        <w:t xml:space="preserve">. </w:t>
      </w:r>
      <w:r>
        <w:rPr>
          <w:rFonts w:ascii="Times New Roman" w:hAnsi="Times New Roman"/>
          <w:sz w:val="18"/>
          <w:szCs w:val="18"/>
        </w:rPr>
        <w:t xml:space="preserve">Για εννοιολογικές εξηγήσεις και πόρους, βλ. τον </w:t>
      </w:r>
      <w:hyperlink r:id="rId15" w:history="1">
        <w:r>
          <w:rPr>
            <w:sz w:val="18"/>
            <w:szCs w:val="18"/>
          </w:rPr>
          <w:t>δικτυακό τόπο</w:t>
        </w:r>
      </w:hyperlink>
      <w:r>
        <w:rPr>
          <w:rFonts w:ascii="Times New Roman" w:hAnsi="Times New Roman"/>
          <w:sz w:val="18"/>
          <w:szCs w:val="18"/>
        </w:rPr>
        <w:t xml:space="preserve"> του Energy Justice Network.</w:t>
      </w:r>
    </w:p>
  </w:footnote>
  <w:footnote w:id="8">
    <w:p>
      <w:pPr>
        <w:pStyle w:val="FootnoteText"/>
        <w:jc w:val="both"/>
        <w:rPr>
          <w:rFonts w:ascii="Times New Roman" w:hAnsi="Times New Roman"/>
          <w:sz w:val="18"/>
          <w:szCs w:val="18"/>
        </w:rPr>
      </w:pPr>
      <w:r>
        <w:rPr>
          <w:rStyle w:val="FootnoteReference"/>
          <w:rFonts w:ascii="Times New Roman" w:hAnsi="Times New Roman" w:cs="Times New Roman"/>
          <w:sz w:val="19"/>
          <w:szCs w:val="19"/>
        </w:rPr>
        <w:footnoteRef/>
      </w:r>
      <w:r>
        <w:rPr>
          <w:rFonts w:ascii="Times New Roman" w:hAnsi="Times New Roman"/>
          <w:sz w:val="18"/>
          <w:szCs w:val="18"/>
        </w:rPr>
        <w:t>Πρβλ. Πρόταση της Επιτροπής για κανονισμό του Ευρωπαϊκού Κοινοβουλίου και του Συμβουλίου για το Ευρωπαϊκό Κοινωνικό Ταμείο+ (ΕΚΤ+) 2018/0206 COD</w:t>
      </w:r>
      <w:r>
        <w:rPr>
          <w:rFonts w:ascii="Times New Roman" w:hAnsi="Times New Roman"/>
          <w:sz w:val="19"/>
          <w:szCs w:val="19"/>
        </w:rPr>
        <w:t xml:space="preserve"> [</w:t>
      </w:r>
      <w:hyperlink r:id="rId16" w:history="1">
        <w:r>
          <w:rPr>
            <w:rStyle w:val="Hyperlink"/>
            <w:rFonts w:ascii="Times New Roman" w:hAnsi="Times New Roman"/>
            <w:sz w:val="19"/>
            <w:szCs w:val="19"/>
          </w:rPr>
          <w:t>COM(2018) 382 final</w:t>
        </w:r>
      </w:hyperlink>
      <w:r>
        <w:rPr>
          <w:rFonts w:ascii="Times New Roman" w:hAnsi="Times New Roman"/>
          <w:sz w:val="19"/>
          <w:szCs w:val="19"/>
        </w:rPr>
        <w:t xml:space="preserve">] </w:t>
      </w:r>
      <w:r>
        <w:rPr>
          <w:rFonts w:ascii="Times New Roman" w:hAnsi="Times New Roman"/>
          <w:sz w:val="18"/>
          <w:szCs w:val="18"/>
        </w:rPr>
        <w:t>της 30.5.2018, άρθρο 2 παράγραφος 16.</w:t>
      </w:r>
    </w:p>
  </w:footnote>
  <w:footnote w:id="9">
    <w:p>
      <w:pPr>
        <w:pStyle w:val="FootnoteText"/>
        <w:jc w:val="both"/>
      </w:pPr>
      <w:r>
        <w:rPr>
          <w:rStyle w:val="FootnoteReference"/>
          <w:rFonts w:ascii="Times New Roman" w:hAnsi="Times New Roman" w:cs="Times New Roman"/>
          <w:sz w:val="19"/>
          <w:szCs w:val="19"/>
        </w:rPr>
        <w:footnoteRef/>
      </w:r>
      <w:r>
        <w:rPr>
          <w:rFonts w:ascii="Times New Roman" w:hAnsi="Times New Roman"/>
          <w:sz w:val="19"/>
          <w:szCs w:val="19"/>
        </w:rPr>
        <w:t xml:space="preserve"> </w:t>
      </w:r>
      <w:r>
        <w:rPr>
          <w:rFonts w:ascii="Times New Roman" w:hAnsi="Times New Roman"/>
          <w:sz w:val="18"/>
          <w:szCs w:val="18"/>
        </w:rPr>
        <w:t>Ό.π., άρθρο 2 παράγραφος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Εσωτερικό σχέδιο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18.4pt;height:12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Εσωτερικό σχέδιο</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Εσωτερικό σχέδιο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8.4pt;height:12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AigIAAAQF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Εσωτερικό σχέδιο</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7F83ED7"/>
    <w:multiLevelType w:val="hybridMultilevel"/>
    <w:tmpl w:val="FC7A9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0B9"/>
    <w:multiLevelType w:val="hybridMultilevel"/>
    <w:tmpl w:val="F07419FA"/>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6B5B"/>
    <w:multiLevelType w:val="hybridMultilevel"/>
    <w:tmpl w:val="85A6ADE6"/>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
    <w:docVar w:name="LW_ANNEX_NBR_FIRST" w:val="1"/>
    <w:docVar w:name="LW_ANNEX_NBR_LAST" w:val="1"/>
    <w:docVar w:name="LW_ANNEX_UNIQUE" w:val="0"/>
    <w:docVar w:name="LW_CORRIGENDUM" w:val="&lt;UNUSED&gt;"/>
    <w:docVar w:name="LW_COVERPAGE_EXISTS" w:val="True"/>
    <w:docVar w:name="LW_COVERPAGE_GUID" w:val="823289C6-EB6E-4023-90B3-B6269D7DC4C0"/>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24?\u953?\u945? \u904?\u957?\u969?\u963?\u951? \u953?\u963?\u972?\u964?\u951?\u964?\u945?\u962?:_x000b__x000d_\u963?\u964?\u961?\u945?\u964?\u951?\u947?\u953?\u954?\u972? \u960?\u955?\u945?\u943?\u963?\u953?\u959? \u964?\u951?\u962? \u917?\u917? \u947?\u953?\u945? \u964?\u951?\u957? \u953?\u963?\u972?\u964?\u951?\u964?\u945?, \u964?\u951?\u957? \u941?\u957?\u964?\u945?\u958?\u951? \u954?\u945?\u953? \u964?\u951? \u963?\u965?\u956?\u956?\u949?\u964?\u959?\u967?\u942? \u964?\u969?\u957? \u929?\u959?\u956?\u940?"/>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u931? \u932?\u919?\u931? \u917?\u928?\u921?\u932?\u929?\u927?\u928?\u919?\u931? \u928?\u929?\u927?\u931? \u932?\u927? \u917?\u933?\u929?\u937?\u928?\u913?\u938?\u922?\u927? \u922?\u927?\u921?\u925?\u927?\u914?\u927?\u933?\u923?\u921?\u927? \u922?\u913?\u921? \u932?\u927? \u931?\u933?\u924?\u914?\u927?\u933?\u923?\u921?\u927?"/>
    <w:docVar w:name="Stamp" w:val="\\dossiers.dgt.cec.eu.int\dossiers\JUST\JUST-2020-03278\JUST-2020-03278-00-01-EN-EDT-00.202007070940194183075.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ws.un.org/en/story/2020/04/106223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quineteurope.org/2020/roma-and-traveller-inclusion-towards-a-new-eu-framework/" TargetMode="External"/><Relationship Id="rId13" Type="http://schemas.openxmlformats.org/officeDocument/2006/relationships/hyperlink" Target="https://eeb.org/library/pushed-to-the-wastelands-environmental-racism-against-roma-communities-in-central-and-eastern-europe/" TargetMode="External"/><Relationship Id="rId3" Type="http://schemas.openxmlformats.org/officeDocument/2006/relationships/hyperlink" Target="https://www.europarl.europa.eu/doceo/document/A-8-2017-0294_EL.html" TargetMode="External"/><Relationship Id="rId7" Type="http://schemas.openxmlformats.org/officeDocument/2006/relationships/hyperlink" Target="https://equineteurope.org/2020/roma-and-traveller-inclusion-towards-a-new-eu-framework/" TargetMode="External"/><Relationship Id="rId12" Type="http://schemas.openxmlformats.org/officeDocument/2006/relationships/hyperlink" Target="https://ec.europa.eu/jrc/en/publication/eur-scientific-and-technical-research-reports/digcomp-21-digital-competence-framework-citizens-eight-proficiency-levels-and-examples-use" TargetMode="External"/><Relationship Id="rId2" Type="http://schemas.openxmlformats.org/officeDocument/2006/relationships/hyperlink" Target="https://eur-lex.europa.eu/legal-content/EL/TXT/?uri=CELEX:52015IP0095" TargetMode="External"/><Relationship Id="rId16" Type="http://schemas.openxmlformats.org/officeDocument/2006/relationships/hyperlink" Target="https://eur-lex.europa.eu/legal-content/el/TXT/?uri=CELEX:52018PC0382" TargetMode="External"/><Relationship Id="rId1" Type="http://schemas.openxmlformats.org/officeDocument/2006/relationships/hyperlink" Target="https://www.antigypsyism.eu/?page_id=17" TargetMode="External"/><Relationship Id="rId6" Type="http://schemas.openxmlformats.org/officeDocument/2006/relationships/hyperlink" Target="https://rm.coe.int/16800c0adc" TargetMode="External"/><Relationship Id="rId11" Type="http://schemas.openxmlformats.org/officeDocument/2006/relationships/hyperlink" Target="https://ec.europa.eu/jrc/el/publication/eur-scientific-and-technical-research-reports/digcomp-21-digital-competence-framework-citizens-eight-proficiency-levels-and-examples-use" TargetMode="External"/><Relationship Id="rId5" Type="http://schemas.openxmlformats.org/officeDocument/2006/relationships/hyperlink" Target="https://www.coe.int/en/web/european-commission-against-racism-and-intolerance/recommendation-no.13" TargetMode="External"/><Relationship Id="rId15" Type="http://schemas.openxmlformats.org/officeDocument/2006/relationships/hyperlink" Target="https://www.ejnet.org/ej/" TargetMode="External"/><Relationship Id="rId10" Type="http://schemas.openxmlformats.org/officeDocument/2006/relationships/hyperlink" Target="https://eur-lex.europa.eu/legal-content/EL/TXT/?qid=1583491875802&amp;uri=CONSIL:ST_6060_2020_REV_1" TargetMode="External"/><Relationship Id="rId4" Type="http://schemas.openxmlformats.org/officeDocument/2006/relationships/hyperlink" Target="http://www.europarl.europa.eu/doceo/document/TA-8-2019-0075_EL.html" TargetMode="External"/><Relationship Id="rId9" Type="http://schemas.openxmlformats.org/officeDocument/2006/relationships/hyperlink" Target="https://ec.europa.eu/info/policies/justice-and-fundamental-rights/combatting-discrimination/roma-and-eu/preparing-post-2020-initiative-roma-equality-and-inclusion_en" TargetMode="External"/><Relationship Id="rId14" Type="http://schemas.openxmlformats.org/officeDocument/2006/relationships/hyperlink" Target="https://eeb.org/library/pushed-to-the-wastelands-environmental-racism-against-roma-communities-in-central-and-easter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2752-59D1-4C3D-A4FF-2EBE31E3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4288</Words>
  <Characters>26415</Characters>
  <Application>Microsoft Office Word</Application>
  <DocSecurity>0</DocSecurity>
  <Lines>419</Lines>
  <Paragraphs>148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GEDEI Ottilia (JUST)</dc:creator>
  <cp:keywords/>
  <dc:description/>
  <cp:lastModifiedBy>DIGIT/C6</cp:lastModifiedBy>
  <cp:revision>13</cp:revision>
  <cp:lastPrinted>2020-07-02T14:49:00Z</cp:lastPrinted>
  <dcterms:created xsi:type="dcterms:W3CDTF">2020-10-06T07:51:00Z</dcterms:created>
  <dcterms:modified xsi:type="dcterms:W3CDTF">2020-10-16T15:53:00Z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