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B2F58F8-0348-4BCC-867A-FD6CDAAD987F" style="width:451.05pt;height:421.7pt">
            <v:imagedata r:id="rId9" o:title=""/>
          </v:shape>
        </w:pict>
      </w:r>
    </w:p>
    <w:bookmarkEnd w:id="0"/>
    <w:p>
      <w:pPr>
        <w:ind w:right="-24"/>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ind w:right="-24"/>
        <w:jc w:val="center"/>
        <w:rPr>
          <w:rFonts w:cstheme="minorHAnsi"/>
          <w:noProof/>
        </w:rPr>
      </w:pPr>
      <w:bookmarkStart w:id="1" w:name="_GoBack"/>
      <w:bookmarkEnd w:id="1"/>
      <w:r>
        <w:rPr>
          <w:rFonts w:ascii="Times New Roman" w:hAnsi="Times New Roman"/>
          <w:b/>
          <w:noProof/>
        </w:rPr>
        <w:lastRenderedPageBreak/>
        <w:t>Załącznik 1: Wytyczne dotyczące planowania i wdrażania krajowych strategicznych ram dotyczących Romów</w:t>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Zwalczanie antycyganizmu</w:t>
            </w:r>
          </w:p>
          <w:p>
            <w:pPr>
              <w:spacing w:before="60" w:after="60"/>
              <w:ind w:right="-24"/>
              <w:jc w:val="both"/>
              <w:rPr>
                <w:rFonts w:ascii="Times New Roman" w:hAnsi="Times New Roman" w:cs="Times New Roman"/>
                <w:noProof/>
              </w:rPr>
            </w:pPr>
            <w:r>
              <w:rPr>
                <w:rFonts w:ascii="Times New Roman" w:hAnsi="Times New Roman"/>
                <w:noProof/>
              </w:rPr>
              <w:t>Z prac Sojuszu Przeciwko Antycyganizmowi, Parlamentu Europejskiego i Rady Europy</w:t>
            </w:r>
            <w:r>
              <w:rPr>
                <w:rStyle w:val="FootnoteReference"/>
                <w:rFonts w:ascii="Times New Roman" w:hAnsi="Times New Roman" w:cs="Times New Roman"/>
                <w:noProof/>
              </w:rPr>
              <w:footnoteReference w:id="1"/>
            </w:r>
            <w:r>
              <w:rPr>
                <w:rFonts w:ascii="Times New Roman" w:hAnsi="Times New Roman"/>
                <w:noProof/>
              </w:rPr>
              <w:t xml:space="preserve"> wyłania się zgoda co do faktu, że antycyganizm (szczególna forma rasizmu w stosunku do Romów) przyczynia się do trwałego wykluczenia Romów. Ponieważ antycyganizm i wyłączenie tworzą błędne koło, należy zmierzyć się z nimi jednocześnie. Zwalczanie dyskryminacji i antycyganizmu przyczyni się do powodzenia środków na rzecz integracji, co z kolei będzie sprzyjać większej otwartości i akceptacji w społeczeństwie. Zwalczanie antycyganizmu oraz promowanie różnorodności i integracji wymaga udziału całego społeczeństwa, zarówno społeczności romskich, jak i innych społeczności. Działania te obejmują wzmocnienie pozycji Romów oraz zajęcie się głównym (w tym instytucjonalnym) nurtem postaw i zachowań. Organy ds. równości mogłyby być uprzywilejowanymi partnerami krajowych punktów kontaktowych ds. integracji Romów w zapewnianiu norm w zakresie wdrażania i w promowaniu silniejszego ukierunkowania strategii na przeciwdziałanie dyskryminacji.</w:t>
            </w:r>
          </w:p>
          <w:p>
            <w:pPr>
              <w:spacing w:before="60" w:after="60"/>
              <w:ind w:right="-24"/>
              <w:jc w:val="both"/>
              <w:rPr>
                <w:rFonts w:ascii="Times New Roman" w:hAnsi="Times New Roman"/>
                <w:b/>
                <w:noProof/>
              </w:rPr>
            </w:pPr>
            <w:r>
              <w:rPr>
                <w:rFonts w:ascii="Times New Roman" w:hAnsi="Times New Roman"/>
                <w:b/>
                <w:noProof/>
              </w:rPr>
              <w:t>W krajowych ramach strategicznych dotyczących Romów należy:</w:t>
            </w:r>
          </w:p>
          <w:p>
            <w:pPr>
              <w:pStyle w:val="ListParagraph"/>
              <w:numPr>
                <w:ilvl w:val="0"/>
                <w:numId w:val="1"/>
              </w:numPr>
              <w:spacing w:after="0" w:line="240" w:lineRule="auto"/>
              <w:ind w:right="-24"/>
              <w:contextualSpacing w:val="0"/>
              <w:rPr>
                <w:rFonts w:ascii="Times New Roman" w:hAnsi="Times New Roman"/>
                <w:noProof/>
                <w:sz w:val="22"/>
                <w:szCs w:val="22"/>
              </w:rPr>
            </w:pPr>
            <w:r>
              <w:rPr>
                <w:rFonts w:ascii="Times New Roman" w:hAnsi="Times New Roman"/>
                <w:b/>
                <w:noProof/>
                <w:sz w:val="22"/>
                <w:szCs w:val="22"/>
              </w:rPr>
              <w:t>niezależnie koncentrować się na walce z antycyganizmem</w:t>
            </w:r>
            <w:r>
              <w:rPr>
                <w:rFonts w:ascii="Times New Roman" w:hAnsi="Times New Roman"/>
                <w:noProof/>
                <w:sz w:val="22"/>
                <w:szCs w:val="22"/>
              </w:rPr>
              <w:t>, aby:</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1. </w:t>
            </w:r>
            <w:r>
              <w:rPr>
                <w:noProof/>
              </w:rPr>
              <w:tab/>
            </w:r>
            <w:r>
              <w:rPr>
                <w:rFonts w:ascii="Times New Roman" w:hAnsi="Times New Roman"/>
                <w:noProof/>
                <w:sz w:val="22"/>
                <w:szCs w:val="22"/>
              </w:rPr>
              <w:t xml:space="preserve">uznać antycyganizm i odpowiedzialność za przeciwdziałanie mu;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2. </w:t>
            </w:r>
            <w:r>
              <w:rPr>
                <w:noProof/>
              </w:rPr>
              <w:tab/>
            </w:r>
            <w:r>
              <w:rPr>
                <w:rFonts w:ascii="Times New Roman" w:hAnsi="Times New Roman"/>
                <w:noProof/>
                <w:sz w:val="22"/>
                <w:szCs w:val="22"/>
              </w:rPr>
              <w:t xml:space="preserve">uznać historyczny wymiar antycyganizmu, w szczególności holocaust Romów; zwiększyć świadomość na temat historii Romów i promować pojednanie;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3. </w:t>
            </w:r>
            <w:r>
              <w:rPr>
                <w:noProof/>
              </w:rPr>
              <w:tab/>
            </w:r>
            <w:r>
              <w:rPr>
                <w:rFonts w:ascii="Times New Roman" w:hAnsi="Times New Roman"/>
                <w:noProof/>
                <w:sz w:val="22"/>
                <w:szCs w:val="22"/>
              </w:rPr>
              <w:t xml:space="preserve">zwiększyć świadomość wzajemnych korzyści wynikających z różnorodności i integracji; budować pozytywne narracje; promować wzory do naśladowania; wspierać spotkania między społecznościami i międzykulturowe uczenie się w celu zwalczania stereotypów i informacji wprowadzających w błąd na temat Romów w edukacji, mediach, sztuce, kulturze i historii;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4. </w:t>
            </w:r>
            <w:r>
              <w:rPr>
                <w:noProof/>
              </w:rPr>
              <w:tab/>
            </w:r>
            <w:r>
              <w:rPr>
                <w:rFonts w:ascii="Times New Roman" w:hAnsi="Times New Roman"/>
                <w:noProof/>
                <w:sz w:val="22"/>
                <w:szCs w:val="22"/>
              </w:rPr>
              <w:t xml:space="preserve">zwalczać dyskryminację jako przejaw antycyganizmu;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5. </w:t>
            </w:r>
            <w:r>
              <w:rPr>
                <w:noProof/>
              </w:rPr>
              <w:tab/>
            </w:r>
            <w:r>
              <w:rPr>
                <w:rFonts w:ascii="Times New Roman" w:hAnsi="Times New Roman"/>
                <w:noProof/>
                <w:sz w:val="22"/>
                <w:szCs w:val="22"/>
              </w:rPr>
              <w:t>zwalczać nawoływanie do nienawiści i przestępstwa z nienawiści jako przejawy antycyganizmu oraz</w:t>
            </w:r>
            <w:r>
              <w:rPr>
                <w:noProof/>
                <w:sz w:val="22"/>
                <w:szCs w:val="22"/>
              </w:rPr>
              <w:t xml:space="preserve"> </w:t>
            </w:r>
            <w:r>
              <w:rPr>
                <w:rFonts w:ascii="Times New Roman" w:hAnsi="Times New Roman"/>
                <w:noProof/>
                <w:sz w:val="22"/>
                <w:szCs w:val="22"/>
              </w:rPr>
              <w:t xml:space="preserve">zachęcać do zgłaszania przestępstw z nienawiści, nękania i przemocy;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6. </w:t>
            </w:r>
            <w:r>
              <w:rPr>
                <w:noProof/>
              </w:rPr>
              <w:tab/>
            </w:r>
            <w:r>
              <w:rPr>
                <w:rFonts w:ascii="Times New Roman" w:hAnsi="Times New Roman"/>
                <w:noProof/>
                <w:sz w:val="22"/>
                <w:szCs w:val="22"/>
              </w:rPr>
              <w:t xml:space="preserve">promować dostęp do wymiaru sprawiedliwości dla ofiar antycyganizmu i dyskryminacji;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7. </w:t>
            </w:r>
            <w:r>
              <w:rPr>
                <w:noProof/>
              </w:rPr>
              <w:tab/>
            </w:r>
            <w:r>
              <w:rPr>
                <w:rFonts w:ascii="Times New Roman" w:hAnsi="Times New Roman"/>
                <w:noProof/>
                <w:sz w:val="22"/>
                <w:szCs w:val="22"/>
              </w:rPr>
              <w:t xml:space="preserve">zwiększać świadomość Romów na temat ich praw; oraz </w:t>
            </w:r>
          </w:p>
          <w:p>
            <w:pPr>
              <w:pStyle w:val="ListParagraph"/>
              <w:spacing w:before="60" w:after="60"/>
              <w:ind w:left="644" w:right="-23" w:hanging="284"/>
              <w:contextualSpacing w:val="0"/>
              <w:rPr>
                <w:rFonts w:ascii="Times New Roman" w:hAnsi="Times New Roman"/>
                <w:noProof/>
                <w:sz w:val="22"/>
                <w:szCs w:val="22"/>
              </w:rPr>
            </w:pPr>
            <w:r>
              <w:rPr>
                <w:rFonts w:ascii="Times New Roman" w:hAnsi="Times New Roman"/>
                <w:noProof/>
                <w:sz w:val="22"/>
                <w:szCs w:val="22"/>
              </w:rPr>
              <w:t xml:space="preserve">8. </w:t>
            </w:r>
            <w:r>
              <w:rPr>
                <w:noProof/>
              </w:rPr>
              <w:tab/>
            </w:r>
            <w:r>
              <w:rPr>
                <w:rFonts w:ascii="Times New Roman" w:hAnsi="Times New Roman"/>
                <w:noProof/>
                <w:sz w:val="22"/>
                <w:szCs w:val="22"/>
              </w:rPr>
              <w:t>zwalczać dyskryminację systemową/instytucjonalną/strukturalną</w:t>
            </w:r>
            <w:r>
              <w:rPr>
                <w:rStyle w:val="FootnoteReference"/>
                <w:rFonts w:ascii="Times New Roman" w:hAnsi="Times New Roman"/>
                <w:noProof/>
                <w:sz w:val="22"/>
                <w:szCs w:val="22"/>
              </w:rPr>
              <w:footnoteReference w:id="2"/>
            </w:r>
            <w:r>
              <w:rPr>
                <w:rFonts w:ascii="Times New Roman" w:hAnsi="Times New Roman"/>
                <w:noProof/>
                <w:sz w:val="22"/>
                <w:szCs w:val="22"/>
              </w:rPr>
              <w:t xml:space="preserve"> doświadczaną przez Romów i zapobiegać jej;</w:t>
            </w:r>
          </w:p>
          <w:p>
            <w:pPr>
              <w:pStyle w:val="ListParagraph"/>
              <w:numPr>
                <w:ilvl w:val="0"/>
                <w:numId w:val="1"/>
              </w:numPr>
              <w:spacing w:before="60" w:after="0" w:line="240" w:lineRule="auto"/>
              <w:ind w:right="-24"/>
              <w:contextualSpacing w:val="0"/>
              <w:rPr>
                <w:rFonts w:ascii="Times New Roman" w:hAnsi="Times New Roman"/>
                <w:noProof/>
                <w:sz w:val="22"/>
                <w:szCs w:val="22"/>
              </w:rPr>
            </w:pPr>
            <w:r>
              <w:rPr>
                <w:rFonts w:ascii="Times New Roman" w:hAnsi="Times New Roman"/>
                <w:b/>
                <w:noProof/>
                <w:sz w:val="22"/>
                <w:szCs w:val="22"/>
              </w:rPr>
              <w:t>zapobiegać antycyganizmowi w ramach przekrojowego/horyzontalnego priorytetu i zwalczać go</w:t>
            </w:r>
            <w:r>
              <w:rPr>
                <w:rFonts w:ascii="Times New Roman" w:hAnsi="Times New Roman"/>
                <w:noProof/>
                <w:sz w:val="22"/>
                <w:szCs w:val="22"/>
              </w:rPr>
              <w:t xml:space="preserve"> we wszystkich obszarach polityki sektorowej, aby: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1. </w:t>
            </w:r>
            <w:r>
              <w:rPr>
                <w:noProof/>
              </w:rPr>
              <w:tab/>
            </w:r>
            <w:r>
              <w:rPr>
                <w:rFonts w:ascii="Times New Roman" w:hAnsi="Times New Roman"/>
                <w:noProof/>
                <w:sz w:val="22"/>
                <w:szCs w:val="22"/>
              </w:rPr>
              <w:t xml:space="preserve">zwalczać segregację, prześladowanie i nękanie w ramach edukacji; uwrażliwiać pracowników szkół;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2. </w:t>
            </w:r>
            <w:r>
              <w:rPr>
                <w:noProof/>
              </w:rPr>
              <w:tab/>
            </w:r>
            <w:r>
              <w:rPr>
                <w:rFonts w:ascii="Times New Roman" w:hAnsi="Times New Roman"/>
                <w:noProof/>
                <w:sz w:val="22"/>
                <w:szCs w:val="22"/>
              </w:rPr>
              <w:t xml:space="preserve">zwalczać dyskryminację w zakresie (dostępu do) zatrudnienia i uwrażliwiać pracodawców;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3. </w:t>
            </w:r>
            <w:r>
              <w:rPr>
                <w:noProof/>
              </w:rPr>
              <w:tab/>
            </w:r>
            <w:r>
              <w:rPr>
                <w:rFonts w:ascii="Times New Roman" w:hAnsi="Times New Roman"/>
                <w:noProof/>
                <w:sz w:val="22"/>
                <w:szCs w:val="22"/>
              </w:rPr>
              <w:t xml:space="preserve">zwalczać dyskryminację w dostępie do opieki zdrowotnej dobrej jakości; wyeliminować równoległe usługi świadczone w sposób wskazujący na segregację; zapobiegać naruszeniom praw człowieka (np. przymusowej aborcji i przymusowej sterylizacji); uwrażliwić personel </w:t>
            </w:r>
            <w:r>
              <w:rPr>
                <w:rFonts w:ascii="Times New Roman" w:hAnsi="Times New Roman"/>
                <w:noProof/>
                <w:sz w:val="22"/>
                <w:szCs w:val="22"/>
              </w:rPr>
              <w:lastRenderedPageBreak/>
              <w:t xml:space="preserve">medyczny;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4. </w:t>
            </w:r>
            <w:r>
              <w:rPr>
                <w:noProof/>
              </w:rPr>
              <w:tab/>
            </w:r>
            <w:r>
              <w:rPr>
                <w:rFonts w:ascii="Times New Roman" w:hAnsi="Times New Roman"/>
                <w:noProof/>
                <w:sz w:val="22"/>
                <w:szCs w:val="22"/>
              </w:rPr>
              <w:t>zwalczać segregację przestrzenną; zapobiegać przymusowym eksmisjom bez udostępnienia lokali zastępczych; uwrażliwić władze; oraz</w:t>
            </w:r>
          </w:p>
          <w:p>
            <w:pPr>
              <w:pStyle w:val="ListParagraph"/>
              <w:spacing w:after="0"/>
              <w:ind w:left="641" w:right="-23" w:hanging="284"/>
              <w:contextualSpacing w:val="0"/>
              <w:rPr>
                <w:rFonts w:ascii="Times New Roman" w:hAnsi="Times New Roman"/>
                <w:noProof/>
                <w:sz w:val="21"/>
                <w:szCs w:val="21"/>
              </w:rPr>
            </w:pPr>
            <w:r>
              <w:rPr>
                <w:rFonts w:ascii="Times New Roman" w:hAnsi="Times New Roman"/>
                <w:noProof/>
                <w:sz w:val="22"/>
                <w:szCs w:val="22"/>
              </w:rPr>
              <w:t xml:space="preserve">5. </w:t>
            </w:r>
            <w:r>
              <w:rPr>
                <w:noProof/>
              </w:rPr>
              <w:tab/>
            </w:r>
            <w:r>
              <w:rPr>
                <w:rFonts w:ascii="Times New Roman" w:hAnsi="Times New Roman"/>
                <w:noProof/>
                <w:sz w:val="22"/>
                <w:szCs w:val="22"/>
              </w:rPr>
              <w:t>regularnie gromadzić dane dotyczące równości (dane dotyczące doświadczeń związanych z dyskryminacją; dane od organów ds. równości dotyczące przypadków dyskryminacji).</w:t>
            </w:r>
          </w:p>
        </w:tc>
      </w:tr>
    </w:tbl>
    <w:p>
      <w:pPr>
        <w:rPr>
          <w:noProof/>
        </w:rPr>
      </w:pP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3"/>
              <w:jc w:val="center"/>
              <w:rPr>
                <w:rFonts w:ascii="Times New Roman" w:eastAsia="MS Mincho" w:hAnsi="Times New Roman" w:cs="Times New Roman"/>
                <w:bCs/>
                <w:noProof/>
                <w:color w:val="0070C0"/>
              </w:rPr>
            </w:pPr>
            <w:r>
              <w:rPr>
                <w:rFonts w:ascii="Times New Roman Bold" w:hAnsi="Times New Roman Bold"/>
                <w:b/>
                <w:bCs/>
                <w:smallCaps/>
                <w:noProof/>
                <w:color w:val="0070C0"/>
              </w:rPr>
              <w:t>Walka z ubóstwem wielopokoleniowym</w:t>
            </w:r>
            <w:r>
              <w:rPr>
                <w:noProof/>
              </w:rPr>
              <w:t xml:space="preserve"> </w:t>
            </w:r>
            <w:r>
              <w:rPr>
                <w:noProof/>
              </w:rPr>
              <w:br/>
            </w:r>
            <w:r>
              <w:rPr>
                <w:rFonts w:ascii="Times New Roman" w:hAnsi="Times New Roman"/>
                <w:bCs/>
                <w:noProof/>
                <w:color w:val="0070C0"/>
              </w:rPr>
              <w:t>(z uwzględnieniem ochrony dziecka i lepszego wykorzystania środków UE)</w:t>
            </w:r>
          </w:p>
          <w:p>
            <w:pPr>
              <w:spacing w:before="60" w:after="60"/>
              <w:ind w:right="-24"/>
              <w:jc w:val="both"/>
              <w:rPr>
                <w:rFonts w:ascii="Times New Roman" w:eastAsia="MS Mincho" w:hAnsi="Times New Roman" w:cs="Times New Roman"/>
                <w:noProof/>
              </w:rPr>
            </w:pPr>
            <w:r>
              <w:rPr>
                <w:rFonts w:ascii="Times New Roman" w:hAnsi="Times New Roman"/>
                <w:noProof/>
              </w:rPr>
              <w:t xml:space="preserve">Kluczowe znaczenie dla poprawy sytuacji zmarginalizowanych Romów ma zwalczanie wielopokoleniowego ubóstwa i wyłączenia. Wyłączenie i dyskryminacja w dostępie do edukacji, zatrudnienia, opieki zdrowotnej i zakwaterowania mają wpływ na rozwój dzieci, a w rezultacie mogą wpłynąć na ich przyszłe rodzicielstwo, </w:t>
            </w:r>
            <w:r>
              <w:rPr>
                <w:rFonts w:ascii="Times New Roman" w:hAnsi="Times New Roman"/>
                <w:noProof/>
                <w:color w:val="000000"/>
              </w:rPr>
              <w:t>co jeszcze bardziej pogorszy sytuację ich własnych dzieci. Błędne koło wyłączenia i dyskryminacji będzie trwało nadal, o ile nie zostanie podjęta znacząca interwencja mająca na celu kompleksowe podejście do kwestii podstawowej dynamiki i </w:t>
            </w:r>
            <w:r>
              <w:rPr>
                <w:rFonts w:ascii="Times New Roman" w:hAnsi="Times New Roman"/>
                <w:noProof/>
              </w:rPr>
              <w:t xml:space="preserve">zaplanowanie lepszej przyszłości dla następnego pokolenia. Wymaga to </w:t>
            </w:r>
            <w:r>
              <w:rPr>
                <w:rFonts w:ascii="Times New Roman" w:hAnsi="Times New Roman"/>
                <w:b/>
                <w:noProof/>
              </w:rPr>
              <w:t>skoncentrowania uwagi na dzieciach</w:t>
            </w:r>
            <w:r>
              <w:rPr>
                <w:rFonts w:ascii="Times New Roman" w:hAnsi="Times New Roman"/>
                <w:noProof/>
              </w:rPr>
              <w:t xml:space="preserve"> i utrzymania tego podejścia w przyszłości.</w:t>
            </w:r>
          </w:p>
          <w:p>
            <w:pPr>
              <w:spacing w:before="60" w:after="60"/>
              <w:ind w:right="-24"/>
              <w:jc w:val="both"/>
              <w:rPr>
                <w:rFonts w:ascii="Times New Roman" w:eastAsia="MS Mincho" w:hAnsi="Times New Roman" w:cs="Times New Roman"/>
                <w:b/>
                <w:bCs/>
                <w:noProof/>
                <w:color w:val="212121"/>
              </w:rPr>
            </w:pPr>
            <w:r>
              <w:rPr>
                <w:rFonts w:ascii="Times New Roman" w:hAnsi="Times New Roman"/>
                <w:b/>
                <w:bCs/>
                <w:noProof/>
                <w:color w:val="212121"/>
              </w:rPr>
              <w:t>W krajowych ramach strategicznych dotyczących Romów należy:</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hAnsi="Times New Roman"/>
                <w:noProof/>
              </w:rPr>
              <w:t xml:space="preserve">zmobilizować ekspertów posiadających odpowiednie kompetencje na wszystkich szczeblach zarządzania w celu opracowania środków ochrony dzieci; </w:t>
            </w:r>
            <w:r>
              <w:rPr>
                <w:rFonts w:ascii="Times New Roman" w:hAnsi="Times New Roman"/>
                <w:noProof/>
                <w:color w:val="000000"/>
              </w:rPr>
              <w:t>przeznaczyć odpowiednie środki na wczesną edukację i opiekę nad dzieckiem i edukację (np. stypendia, mentorstwo, wsparcie pozaszkolne), żywienie, rozwój osobisty i pracę z rodzinami;</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hAnsi="Times New Roman"/>
                <w:noProof/>
              </w:rPr>
              <w:t>zachęcać do udziału we wczesnej edukacji i opiece nad dzieckiem;</w:t>
            </w:r>
          </w:p>
          <w:p>
            <w:pPr>
              <w:numPr>
                <w:ilvl w:val="0"/>
                <w:numId w:val="5"/>
              </w:numPr>
              <w:spacing w:before="60" w:after="60"/>
              <w:ind w:left="360" w:right="-24"/>
              <w:jc w:val="both"/>
              <w:rPr>
                <w:rFonts w:ascii="Times New Roman" w:eastAsia="MS Mincho" w:hAnsi="Times New Roman" w:cs="Times New Roman"/>
                <w:noProof/>
                <w:color w:val="000000"/>
                <w:u w:val="single"/>
              </w:rPr>
            </w:pPr>
            <w:r>
              <w:rPr>
                <w:rFonts w:ascii="Times New Roman" w:hAnsi="Times New Roman"/>
                <w:noProof/>
                <w:color w:val="000000"/>
              </w:rPr>
              <w:t>chronić kobiety, dzieci i młodzież poprzez strategie zwalczania przestępstw, takich jak handel ludźmi, m.in. na potrzeby wszelkich form wyzysku (wykorzystywania seksualnego, wyzysku pracowników, przymusowego żebractwa i wykorzystywania działalności przestępczej do celów przymusowych małżeństw dla pozoru opartych na wyzysku) oraz umożliwić im wsparcie, pomoc i ochronę;</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hAnsi="Times New Roman"/>
                <w:noProof/>
                <w:color w:val="000000"/>
              </w:rPr>
              <w:t>poprawić dostęp do usług świadczonych na poziomie społeczności i rodziny dla osób niepełnosprawnych i dzieci pozbawionych opieki rodzicielskiej; wzmocnić środki zapobiegające instytucjonalizacji poprzez wsparcie dla rodzin w niepewnej sytuacji i osób niepełnosprawnych;</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zapewnić długoterminową trwałość środków wsparcia dla dzieci i ich rodzin, tak aby poprawić warunki dla następnego pokolenia;</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opierać planowanie wsparcia finansowego i inwestycji na dokładnej analizie podstawowych przyczyn marginalizacji (wykluczenia społeczno-finansowego i dyskryminacji); gromadzić bardziej szczegółowe dowody poprzez systematyczne oceny i analizę rodzajów interwencji na poziomie krajowym, regionalnym i lokalnym, które (nie) sprawdzają się, i powodów, dla których tak się dzieje, aby pogłębić zrozumienie przeszkód w integracji; zaangażować w prace analityczne wszystkie zainteresowane strony (organy lokalne, społeczeństwo obywatelskie, zainteresowane strony ze społeczności romskiej/innej niż romska charakteryzujące się potencjalnie rozbieżnymi poglądami);</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przeanalizować wykorzystanie środków UE we współpracy z instytucjami zarządzającymi – jeżeli ze sprawozdań z monitorowania wyniknie, że fundusze nie zostały skutecznie wykorzystane do osiągnięcia celów w zakresie integracji, zaangażować organy lokalne/instytucje zarządzające i zainteresowane strony, aby zrozumieć przyczyny i usunąć wszelkie zidentyfikowane przeszkody; oraz</w:t>
            </w:r>
          </w:p>
          <w:p>
            <w:pPr>
              <w:numPr>
                <w:ilvl w:val="0"/>
                <w:numId w:val="5"/>
              </w:numPr>
              <w:spacing w:before="60" w:after="60"/>
              <w:ind w:left="360" w:right="-24"/>
              <w:jc w:val="both"/>
              <w:rPr>
                <w:rFonts w:ascii="Times New Roman" w:eastAsia="MS Mincho" w:hAnsi="Times New Roman" w:cs="Times New Roman"/>
                <w:noProof/>
              </w:rPr>
            </w:pPr>
            <w:r>
              <w:rPr>
                <w:rFonts w:ascii="Times New Roman" w:hAnsi="Times New Roman"/>
                <w:noProof/>
              </w:rPr>
              <w:t>stworzyć bliskie powiązania między krajowymi punktami kontaktowymi ds. integracji Romów a organami odpowiedzialnymi za monitorowanie środków UE; zapewnić, aby wykorzystanie środków UE dla Romów tworzyło realne możliwości uczestnictwa i miało dla nich zamierzone efekty odczuwalne na co dzień, a nie przynosiło pożytek innym interesom.</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Promowanie uczestnictwa Romów</w:t>
            </w:r>
          </w:p>
          <w:p>
            <w:pPr>
              <w:spacing w:before="60" w:after="60"/>
              <w:ind w:right="-24"/>
              <w:jc w:val="both"/>
              <w:rPr>
                <w:rFonts w:ascii="Times New Roman" w:eastAsia="Times New Roman" w:hAnsi="Times New Roman" w:cs="Times New Roman"/>
                <w:noProof/>
              </w:rPr>
            </w:pPr>
            <w:r>
              <w:rPr>
                <w:rFonts w:ascii="Times New Roman" w:hAnsi="Times New Roman"/>
                <w:noProof/>
              </w:rPr>
              <w:t xml:space="preserve">Uczestnictwo Romów w kształtowaniu spraw publicznych jest warunkiem wstępnym oraz czynnikiem sprzyjającym równouprawnieniu i włączeniu społecznemu, a także wspiera demokratyczne i skuteczne zarządzanie. Uczestnictwo i upodmiotowienie Romów polegają na udzieleniu obywatelom głosu i umożliwieniu im działania w nowy, afirmujący życie sposób. Integracja otwiera drogę do działania i daje ludziom możliwość uczestnictwa. Uczestnictwo i upodmiotowienie to zasady i procesy służące poprawie warunków życia i wyników życiowych obywateli. Wspieranie znaczącego uczestnictwa Romów w kształtowaniu polityki na szczeblu lokalnym, krajowym i unijnym jest warunkiem wstępnym zwalczania wyłączenia. Szczególnie ważnymi podmiotami są organizacje społeczeństwa obywatelskiego prowadzone przez Romów i wspierające Romów. Przy koordynacji opracowywania krajowych </w:t>
            </w:r>
            <w:r>
              <w:rPr>
                <w:rFonts w:ascii="Times New Roman" w:hAnsi="Times New Roman"/>
                <w:bCs/>
                <w:noProof/>
                <w:color w:val="212121"/>
              </w:rPr>
              <w:t>ram</w:t>
            </w:r>
            <w:r>
              <w:rPr>
                <w:rFonts w:ascii="Times New Roman" w:hAnsi="Times New Roman"/>
                <w:noProof/>
              </w:rPr>
              <w:t xml:space="preserve"> strategicznych, krajowe punkty kontaktowe ds. integracji Romów zachęca się do promowania modeli uczestnictwa, np. ułatwiając tworzenie tematycznych grup roboczych, które opracowują ocenę potrzeb, priorytety, cele, działania w kluczowych obszarach, skupiają podmioty krajowe, regionalne, lokalne i pozarządowe, oraz zapewniając uczestnictwo Romów. Te modele i struktury można następnie wykorzystać do monitorowania i oceny wdrażania.</w:t>
            </w:r>
          </w:p>
          <w:p>
            <w:pPr>
              <w:keepNext/>
              <w:keepLines/>
              <w:spacing w:before="60" w:after="60"/>
              <w:ind w:right="-24"/>
              <w:rPr>
                <w:rFonts w:ascii="Times New Roman" w:hAnsi="Times New Roman"/>
                <w:b/>
                <w:noProof/>
              </w:rPr>
            </w:pPr>
            <w:r>
              <w:rPr>
                <w:rFonts w:ascii="Times New Roman" w:hAnsi="Times New Roman"/>
                <w:b/>
                <w:noProof/>
              </w:rPr>
              <w:t xml:space="preserve">W krajowych </w:t>
            </w:r>
            <w:r>
              <w:rPr>
                <w:rFonts w:ascii="Times New Roman" w:hAnsi="Times New Roman"/>
                <w:b/>
                <w:bCs/>
                <w:noProof/>
                <w:color w:val="212121"/>
              </w:rPr>
              <w:t>ramach</w:t>
            </w:r>
            <w:r>
              <w:rPr>
                <w:rFonts w:ascii="Times New Roman" w:hAnsi="Times New Roman"/>
                <w:b/>
                <w:noProof/>
              </w:rPr>
              <w:t xml:space="preserve"> strategicznych dotyczących Romów należy:</w:t>
            </w:r>
          </w:p>
          <w:p>
            <w:pPr>
              <w:pStyle w:val="ListParagraph"/>
              <w:keepNext/>
              <w:keepLines/>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określić minimalne obowiązkowe aspekty i sposoby uczestnictwa Romów w opracowywaniu, wdrażaniu i monitorowaniu polityki oraz programowaniu środków UE, w tym w formie pisemnych protokołów uczestnictwa określających mandat (zakres i charakter zaangażowania), skład (zasady wyboru członków), metody pracy i oczekiwane wyniki organów zajmujących się konsultacjami i uczestnictwem, w celu zapewnienia skutecznej współpracy, zaufania i odpowiedzialności</w:t>
            </w:r>
            <w:r>
              <w:rPr>
                <w:rStyle w:val="FootnoteReference"/>
                <w:rFonts w:ascii="Times New Roman" w:hAnsi="Times New Roman"/>
                <w:noProof/>
                <w:sz w:val="22"/>
                <w:szCs w:val="22"/>
              </w:rPr>
              <w:footnoteReference w:id="3"/>
            </w:r>
            <w:r>
              <w:rPr>
                <w:rFonts w:ascii="Times New Roman" w:hAnsi="Times New Roman"/>
                <w:noProof/>
                <w:sz w:val="22"/>
                <w:szCs w:val="22"/>
              </w:rPr>
              <w:t>;</w:t>
            </w:r>
          </w:p>
          <w:p>
            <w:pPr>
              <w:pStyle w:val="ListParagraph"/>
              <w:keepNext/>
              <w:keepLines/>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stwarzać możliwości, aby wzmacniać pozycję społeczności romskich na szczeblu lokalnym, aby umożliwić społeczności przyjęcie odpowiedzialności i podjęcie działań ukierunkowanych wyraźnie na doprowadzenie do zmian społecznych i politycznych. Mobilizowanie społeczności należy postrzegać jako celowy, integracyjny i partycypacyjny proces z udziałem społeczności romskiej, organów i organizacji lokalnych;</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zadbać o reprezentację Romów w procesach politycznych i konsultacyjnych uwzględniającą w pełni ich różnorodność (w tym reprezentację Romów będących obywatelami danego kraju i obcokrajowcami, zmarginalizowanych i zintegrowanych Romów, romskie kobiety i dzieci oraz romską młodzież);</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poprawić działania na szczeblu lokalnym poprzez zaangażowanie większej liczby specjalistów pochodzenia romskiego, którzy będą pełnić rolę mediatorów i pomogą przezwyciężyć utrzymujący się brak zaufania między Romami a społecznościami większościowymi;</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promować współpracę społeczeństwa obywatelskiego między organizacjami skupiającymi się na Romach a organizacjami o charakterze ogólnym, zwłaszcza tymi, które zajmują się prawami dzieci, młodzieży i kobiet;</w:t>
            </w:r>
          </w:p>
          <w:p>
            <w:pPr>
              <w:pStyle w:val="ListParagraph"/>
              <w:numPr>
                <w:ilvl w:val="0"/>
                <w:numId w:val="1"/>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 xml:space="preserve">wykorzystywać środki UE i inne fundusze w celu zapewnienia regularnego wsparcia na rzecz budowania zdolności (w zakresie sprawdzania równości, uczestnictwa itp.), w szczególności dla zwykłych obywateli i lokalnego społeczeństwa obywatelskiego; oraz </w:t>
            </w:r>
          </w:p>
          <w:p>
            <w:pPr>
              <w:pStyle w:val="ListParagraph"/>
              <w:numPr>
                <w:ilvl w:val="0"/>
                <w:numId w:val="1"/>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i/>
                <w:noProof/>
                <w:sz w:val="22"/>
                <w:szCs w:val="22"/>
              </w:rPr>
              <w:t>w krajach o licznej społeczności romskiej:</w:t>
            </w:r>
          </w:p>
          <w:p>
            <w:pPr>
              <w:pStyle w:val="ListParagraph"/>
              <w:numPr>
                <w:ilvl w:val="1"/>
                <w:numId w:val="1"/>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promować pozytywne działania na rzecz zwiększenia uczestnictwa Romów w organach administracji krajowej i lokalnej zajmujących się równością i integracją, badaniami naukowymi itp.; oraz</w:t>
            </w:r>
          </w:p>
          <w:p>
            <w:pPr>
              <w:pStyle w:val="ListParagraph"/>
              <w:numPr>
                <w:ilvl w:val="1"/>
                <w:numId w:val="1"/>
              </w:numPr>
              <w:shd w:val="clear" w:color="auto" w:fill="FFFFFF" w:themeFill="background1"/>
              <w:spacing w:before="60" w:after="60" w:line="240" w:lineRule="auto"/>
              <w:ind w:left="851" w:right="-23" w:hanging="284"/>
              <w:contextualSpacing w:val="0"/>
              <w:rPr>
                <w:rFonts w:ascii="Times New Roman" w:hAnsi="Times New Roman"/>
                <w:noProof/>
                <w:sz w:val="21"/>
                <w:szCs w:val="21"/>
              </w:rPr>
            </w:pPr>
            <w:r>
              <w:rPr>
                <w:rFonts w:ascii="Times New Roman" w:hAnsi="Times New Roman"/>
                <w:noProof/>
                <w:sz w:val="22"/>
                <w:szCs w:val="22"/>
              </w:rPr>
              <w:t>rozważyć stworzenie krajowych organizacji parasolowych skupiających Romów w celu prowadzenia ciągłych konsultacji i uczestnictwa w dyskusjach politycznych. Powinny one otrzymywać podstawowe dotacje instytucjonalne od rządów krajowych lub regularne fundusze wspierające społeczeństwo obywatelskie.</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Odzwierciedlanie różnorodności</w:t>
            </w:r>
          </w:p>
          <w:p>
            <w:pPr>
              <w:spacing w:before="60" w:after="60"/>
              <w:ind w:right="-24"/>
              <w:jc w:val="both"/>
              <w:rPr>
                <w:rFonts w:ascii="Times New Roman" w:hAnsi="Times New Roman" w:cs="Times New Roman"/>
                <w:noProof/>
              </w:rPr>
            </w:pPr>
            <w:r>
              <w:rPr>
                <w:rFonts w:ascii="Times New Roman" w:hAnsi="Times New Roman"/>
                <w:noProof/>
              </w:rPr>
              <w:t>Przy opracowywaniu krajowych ram strategicznych kluczowe znaczenie ma uznanie różnorodności wśród ludności romskiej i społeczności romskich. W unijnych ramach strategicznych dotyczących Romów promuje się wzmocnienie pozycji kobiet i dzieci romskich oraz młodzieży romskiej (jak również niepełnosprawnych Romów, starszych Romów, osób LGBTI+ romskiego pochodzenia i przemieszczających się obywateli UE), aby umożliwić im pokonywanie różnic społeczno-ekonomicznych, pełne korzystanie z ich praw, realizację ich potencjału i aktywne inicjowanie zmian.</w:t>
            </w:r>
          </w:p>
          <w:p>
            <w:pPr>
              <w:spacing w:before="60" w:after="60"/>
              <w:ind w:right="-24"/>
              <w:rPr>
                <w:rFonts w:ascii="Times New Roman" w:hAnsi="Times New Roman"/>
                <w:b/>
                <w:noProof/>
              </w:rPr>
            </w:pPr>
            <w:r>
              <w:rPr>
                <w:rFonts w:ascii="Times New Roman" w:hAnsi="Times New Roman"/>
                <w:b/>
                <w:noProof/>
              </w:rPr>
              <w:t>W krajowych ramach strategicznych dotyczących Romów należy:</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ocenić potrzeby i sytuację wszystkich Romów (w tym niebędących obywatelami danego kraju, spoza UE i bezpaństwowców);</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zająć się dyskryminacją z wielu przyczyn jednocześnie i intersekcjonalnością, które zwiększają dotkliwość wyłączenia;</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kierować do najbardziej zmarginalizowanych grup romskich środki włączenia i przeciwdziałania ubóstwu (bez wyłączania innych grup w podobnej sytuacji) i objąć wszystkich Romów środkami promującymi uczestnictwo, a ludność romską i nieromską środkami zapobiegającymi antycyganizmowi i dyskryminacji i zwalczającymi te zjawiska;</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określić konkretne cele i ukierunkowane środki na rzecz kobiet i dzieci romskich oraz młodzieży romskiej,</w:t>
            </w:r>
            <w:r>
              <w:rPr>
                <w:noProof/>
                <w:sz w:val="22"/>
                <w:szCs w:val="22"/>
              </w:rPr>
              <w:t xml:space="preserve"> </w:t>
            </w:r>
            <w:r>
              <w:rPr>
                <w:rFonts w:ascii="Times New Roman" w:hAnsi="Times New Roman"/>
                <w:noProof/>
                <w:sz w:val="22"/>
                <w:szCs w:val="22"/>
              </w:rPr>
              <w:t>osób niepełnosprawnych, starszych Romów, przemieszczających się obywateli UE, bezpaństwowców pochodzenia romskiego i pochodzących z państw trzecich (w stosownych przypadkach) oraz dokonać podziału wskaźników według płci i wieku;</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zająć się wymiarem płci we wszystkich dziedzinach, zwłaszcza edukacji, zatrudnieniu, opiece zdrowotnej, alimentach na rzecz dzieci i zwalczaniu dyskryminacji (z wielu przyczyn jednocześnie), w tym przemocy (domowej) i wyzysku; promować uczestnictwo i zapewnić, aby w przypadku środków uwzględniano aspekt płci;</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wspierać dostęp kobiet romskich do wymiaru sprawiedliwości w celu zapobiegania przemocy domowej i innym naruszeniom praw człowieka i ich zwalczania;</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zaangażować się we współpracę międzynarodową w celu skuteczniejszego sprostania wyzwaniom i wykorzystania możliwości wynikających z transnarodowej mobilności Romów, zapewniając dostęp do edukacji, zatrudnienia, zakwaterowania, opieki zdrowotnej i innych usług społecznych; oraz</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 xml:space="preserve">położyć kres bezpaństwowości wśród Romów, zapewniając powszechną rejestrację urodzenia oraz dostęp do dokumentów tożsamości, formalnych procedur stwierdzania statusu bezpaństwowca i powszechny dostęp do usług. </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Łączenie podejścia ogólnego i ukierunkowanego</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Chociaż dyskryminacja i wyłączenie Romów uzasadniają dalsze stosowanie ukierunkowanego podejścia, celem ukierunkowania jest promowanie skutecznej integracji i równości Romów we wszystkich sferach życia. Zakłada to integracyjną reformę głównych strategii politycznych, która wymaga inteligentnego połączenia ukierunkowanego i ogólnego podejścia. Ukierunkowane strategie polityczne powinny mieć charakter tymczasowy i służyć łagodzeniu dodatkowych niekorzystnych sytuacji i dyskryminacji, z którymi borykają się Romowie. Ukierunkowanie powinno być wyraźne (choć niekoniecznie oparte na pochodzeniu etnicznym), ale nie wykluczające, tzn. nie powinno wykluczać ludności nieromskiej w tej samej sytuacji.</w:t>
            </w:r>
          </w:p>
          <w:p>
            <w:pPr>
              <w:spacing w:before="60" w:after="60"/>
              <w:ind w:right="-24"/>
              <w:rPr>
                <w:rFonts w:ascii="Times New Roman" w:hAnsi="Times New Roman"/>
                <w:b/>
                <w:noProof/>
              </w:rPr>
            </w:pPr>
            <w:r>
              <w:rPr>
                <w:rFonts w:ascii="Times New Roman" w:hAnsi="Times New Roman"/>
                <w:b/>
                <w:noProof/>
              </w:rPr>
              <w:t>W krajowych ramach strategicznych dotyczących Romów należy:</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wyjaśnić, w jaki sposób</w:t>
            </w:r>
            <w:r>
              <w:rPr>
                <w:noProof/>
                <w:sz w:val="22"/>
                <w:szCs w:val="22"/>
              </w:rPr>
              <w:t xml:space="preserve"> </w:t>
            </w:r>
            <w:r>
              <w:rPr>
                <w:rFonts w:ascii="Times New Roman" w:hAnsi="Times New Roman"/>
                <w:noProof/>
                <w:sz w:val="22"/>
                <w:szCs w:val="22"/>
              </w:rPr>
              <w:t>konkretne ukierunkowane środki (zabezpieczenia) zaradzą barierom, które uniemożliwiają Romom dostęp do głównych strategii politycznych i korzystanie z nich, oraz w jaki sposób publiczne strategie polityczne w większym stopniu przyczyniają się do integracji Romów;</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promować dostęp Romów do praw i podstawowych usług, korzystając z dodatkowego ukierunkowanego wsparcia, ale bez tworzenia stałych równoległych struktur;</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ukierunkować interwencje terytorialnie, aby zapewnić uwzględnienie warunków lokalnych; połączyć ukierunkowanie na grupy terytorialne i społeczne w ramach szeroko zakrojonych interwencji (np. w celu zwalczania skrajnego ubóstwa) i zapewnić, aby dotarły do społeczności romskiej;</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i/>
                <w:noProof/>
                <w:sz w:val="22"/>
                <w:szCs w:val="22"/>
              </w:rPr>
              <w:t>w krajach o licznej społeczności romskiej:</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poddać przeglądowi/audytowi kluczowe środki w ramach głównego nurtu polityki w celu oceny ich wpływu na równość i integrację Romów;</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określić sposób wykorzystania środków UE na integracyjną reformę głównych strategii politycznych (np. przeciwdziałanie segregacji w edukacji lub mieszkalnictwie) oraz na ukierunkowane działanie; oraz</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poczynić ustalenia dotyczące uwzględniania problematyki równouprawnienia, włączenia społecznego i udziału Romów na szczeblu regionalnym i lokalnym.</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Zwiększenie skali działań zapobiegających nieproporcjonalnemu wpływowi kryzysów na Romów/łagodzących ten wpływ</w:t>
            </w:r>
          </w:p>
          <w:p>
            <w:pPr>
              <w:spacing w:before="60" w:after="60"/>
              <w:ind w:right="-24"/>
              <w:jc w:val="both"/>
              <w:rPr>
                <w:rFonts w:ascii="Times New Roman" w:hAnsi="Times New Roman" w:cs="Times New Roman"/>
                <w:noProof/>
                <w:color w:val="000000" w:themeColor="text1"/>
              </w:rPr>
            </w:pPr>
            <w:r>
              <w:rPr>
                <w:rFonts w:ascii="Times New Roman" w:hAnsi="Times New Roman"/>
                <w:noProof/>
                <w:color w:val="000000" w:themeColor="text1"/>
              </w:rPr>
              <w:t>Wszystkie główne wyzwania, przed którymi stoi obecnie UE (w tym pandemia COVID-19, zmiana klimatu oraz transformacja ekologiczna i cyfrowa) uwzględniają równouprawnienie i włączenie społeczne Romów. Należy zwrócić szczególną uwagę na to, by grupy dyskryminowane i zmarginalizowane, w szczególności wśród Romów, nie były zmuszane do ponoszenia nieproporcjonalnie dużej części obciążeń związanych z kryzysami i transformacjami oraz aby działania w sytuacjach wyjątkowych i bardziej długoterminowe strategie wzrostu gospodarczego obejmowały ukierunkowane dodatkowe wsparcie na rzecz ich integracji. Należy wyciągnąć wnioski z pandemii COVID-19, która w nieproporcjonalnie dużym stopniu dotknęła zmarginalizowane społeczności romskie i naraziła je na najgorsze krótkoterminowe skutki zdrowotne oraz średnio- i długoterminowe skutki gospodarcze. Krajowe ramy strategiczne dotyczące Romów powinny pomóc w łagodzeniu skutków kryzysu związanego z COVID-19 i lepiej przygotować nas do radzenia sobie w przyszłości z każdym takim zdarzeniem.</w:t>
            </w:r>
          </w:p>
          <w:p>
            <w:pPr>
              <w:spacing w:before="60" w:after="60"/>
              <w:ind w:right="-24"/>
              <w:rPr>
                <w:rFonts w:ascii="Times New Roman" w:hAnsi="Times New Roman" w:cs="Times New Roman"/>
                <w:b/>
                <w:noProof/>
                <w:color w:val="000000" w:themeColor="text1"/>
              </w:rPr>
            </w:pPr>
            <w:r>
              <w:rPr>
                <w:rFonts w:ascii="Times New Roman" w:hAnsi="Times New Roman"/>
                <w:b/>
                <w:noProof/>
                <w:color w:val="000000" w:themeColor="text1"/>
              </w:rPr>
              <w:t>W krajowych ramach strategicznych dotyczących Romów należy:</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zaplanować skuteczne gromadzenie danych i monitorowanie skutków społeczno-gospodarczych (według wieku, płci i potrzeb medycznych), aby zapewnić skuteczne i dostosowane do potrzeb środki polityczne, które stanowią odpowiedź na istniejące/przyszłe pandemie;</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uwzględnić potrzeby krótko-, średnio- i długoterminowe oraz zaangażować zainteresowane strony w opracowywanie i wdrażanie środków;</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wspierać starania organów lokalnych na rzecz zaspokojenia najpilniejszych potrzeb społeczności romskich (np. dostępu do schronisk, w tym do żywności i wody, dostępu do bezpłatnych usług zdrowotnych oraz wsparcia finansowego dla rodzin romskich znajdujących się w niepewnej sytuacji ekonomicznej);</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potraktować priorytetowo starania na rzecz rozwiązania problemu nierówności strukturalnych i braku dostępu społeczności romskich do podstawowych usług i infrastruktury;</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dopilnować, aby środki lub działania, w których wykorzystuje się środki unijne i krajowe, docierały do społeczności najbardziej zmarginalizowanych i znajdujących się w najbardziej niekorzystnej sytuacji oraz zaspokajały ich potrzeby;</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wspierać dostęp Romów do bezpiecznej i czystej wody pitnej</w:t>
            </w:r>
            <w:r>
              <w:rPr>
                <w:rStyle w:val="FootnoteReference"/>
                <w:rFonts w:ascii="Times New Roman" w:hAnsi="Times New Roman"/>
                <w:noProof/>
                <w:sz w:val="22"/>
                <w:szCs w:val="22"/>
              </w:rPr>
              <w:footnoteReference w:id="4"/>
            </w:r>
            <w:r>
              <w:rPr>
                <w:rFonts w:ascii="Times New Roman" w:hAnsi="Times New Roman"/>
                <w:noProof/>
                <w:color w:val="000000" w:themeColor="text1"/>
                <w:sz w:val="22"/>
                <w:szCs w:val="22"/>
              </w:rPr>
              <w:t>;</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poprawić dostęp do infrastruktury sanitarnej i zapewnić ciągłość podstawowych usług użyteczności publicznej na wypadek pandemii;</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promować kompetencje zdrowotne wśród społeczności romskiej;</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promować rozpowszechnianie dokładnych, jasnych i opartych na dowodach kampanii informacyjnych i uświadamiających jako skutecznych narzędzi walki z dyskryminacją i ksenofobią;</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zapewnić regularne monitorowanie warunków środowiskowych i zagrożeń, które szczególnie dotyczą znajdujących się w niekorzystnej sytuacji społeczności romskich, oraz podejmować działania w celu zaradzenia niebezpiecznym lub niehigienicznym warunkom; oraz</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promować spójność między środkami nadzwyczajnymi i środkami naprawczymi oraz główne inicjatywy, takie jak „zielony ład”, cyfryzacja, Europejski filar praw socjalnych, cele zrównoważonego rozwoju, europejski semestr oraz główne strategie, programy i reformy.</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651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Zapewnienie włączenia cyfrowego</w:t>
            </w:r>
          </w:p>
          <w:p>
            <w:pPr>
              <w:spacing w:before="60" w:after="60"/>
              <w:ind w:right="-24"/>
              <w:jc w:val="both"/>
              <w:rPr>
                <w:rFonts w:ascii="Times New Roman" w:hAnsi="Times New Roman" w:cs="Times New Roman"/>
                <w:noProof/>
              </w:rPr>
            </w:pPr>
            <w:r>
              <w:rPr>
                <w:rFonts w:ascii="Times New Roman" w:hAnsi="Times New Roman"/>
                <w:noProof/>
              </w:rPr>
              <w:t xml:space="preserve">Gdy pandemia COVID-19 wymusiła zamknięcie szkół, uczelni i urzędów, wszyscy zaczęli upatrywać ratunku w internecie. Masowe przejście na edukację online i telemedycynę itp. zakładało, że każdy ma dostęp do internetu. Kryzys ujawnił jednak zaskakujące </w:t>
            </w:r>
            <w:hyperlink r:id="rId16" w:history="1">
              <w:r>
                <w:rPr>
                  <w:rStyle w:val="Hyperlink"/>
                  <w:rFonts w:ascii="Times New Roman" w:hAnsi="Times New Roman"/>
                  <w:noProof/>
                </w:rPr>
                <w:t>globalne dysproporcje</w:t>
              </w:r>
            </w:hyperlink>
            <w:r>
              <w:rPr>
                <w:rFonts w:ascii="Times New Roman" w:hAnsi="Times New Roman"/>
                <w:noProof/>
              </w:rPr>
              <w:t xml:space="preserve"> w nauczaniu przez internet i na odległość. Romowie mieszkają często na obszarach wiejskich, obszarach, w których nadal nie ma dostępu do infrastruktury szerokopasmowej. W przypadku zmarginalizowanych Romów, którzy mają niewielki dostęp do infrastruktury informatycznej lub umiejętności cyfrowych lub nie mają go wcale, skutki takiego stanu rzeczy ujawniły głęboko zakorzenione nierówności strukturalne, co przekłada się na ryzyko, że dzieci romskie będą osiągać słabe wyniki i pozostawać w tyle w nauce szkolnej, a dorośli będą pozbawieni informacji w czasie rzeczywistym i możliwości pracy. Aby zagwarantować, że nikt nie zostanie pominięty, należy stawić czoła podstawowym wyzwaniom związanym z nierównością, dyskryminacją i wyłączeniem w epoce cyfrowej. Skuteczne wdrażanie technologii cyfrowych oraz odporność i sprawiedliwość społeczna Europy zależą od tego, czy obywatele będą mieli dostęp do niezbędnej infrastruktury, sprzętu i umiejętności cyfrowych.</w:t>
            </w:r>
          </w:p>
          <w:p>
            <w:pPr>
              <w:spacing w:before="60" w:after="60"/>
              <w:ind w:right="-24"/>
              <w:rPr>
                <w:rFonts w:ascii="Times New Roman" w:hAnsi="Times New Roman"/>
                <w:b/>
                <w:noProof/>
              </w:rPr>
            </w:pPr>
            <w:r>
              <w:rPr>
                <w:rFonts w:ascii="Times New Roman" w:hAnsi="Times New Roman"/>
                <w:b/>
                <w:noProof/>
              </w:rPr>
              <w:t>W krajowych ramach strategicznych dotyczących Romów należy:</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przeciwdziałać wykluczeniu cyfrowemu Romów poprzez zapewnienie dostępu do technologii cyfrowych, w szczególności dostępu do nauczania przez internet i na odległość i wspierania takiego nauczania w przypadku zamknięcia instytucji odpowiedzialnych za kształcenie i szkolenie, jak podczas pandemii COVID-19;</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zachęcać do synergii z innymi inicjatywami politycznymi (w szczególności tymi, które dotyczą usług publicznych, administracji elektronicznej i usług komercyjnych w internecie), tak aby poprawić użyteczność usług publicznych i promować administrację elektroniczną sprzyjającą integracji, wraz ze szczególnymi środkami służącymi świadczeniu usług publicznych na rzecz Romów i łączeniu ich, zwracając szczególną uwagę na obszary wiejskie;</w:t>
            </w:r>
          </w:p>
          <w:p>
            <w:pPr>
              <w:pStyle w:val="ListParagraph"/>
              <w:numPr>
                <w:ilvl w:val="0"/>
                <w:numId w:val="1"/>
              </w:numPr>
              <w:spacing w:before="60" w:after="60" w:line="276" w:lineRule="auto"/>
              <w:ind w:right="-24"/>
              <w:contextualSpacing w:val="0"/>
              <w:rPr>
                <w:noProof/>
                <w:sz w:val="22"/>
                <w:szCs w:val="22"/>
              </w:rPr>
            </w:pPr>
            <w:r>
              <w:rPr>
                <w:rFonts w:ascii="Times New Roman" w:hAnsi="Times New Roman"/>
                <w:noProof/>
                <w:sz w:val="22"/>
                <w:szCs w:val="22"/>
              </w:rPr>
              <w:t>zwiększać umiejętności i kompetencje cyfrowe</w:t>
            </w:r>
            <w:r>
              <w:rPr>
                <w:rStyle w:val="FootnoteReference"/>
                <w:rFonts w:ascii="Times New Roman" w:hAnsi="Times New Roman"/>
                <w:noProof/>
                <w:sz w:val="22"/>
                <w:szCs w:val="22"/>
              </w:rPr>
              <w:footnoteReference w:id="5"/>
            </w:r>
            <w:r>
              <w:rPr>
                <w:rFonts w:ascii="Times New Roman" w:hAnsi="Times New Roman"/>
                <w:noProof/>
                <w:sz w:val="22"/>
                <w:szCs w:val="22"/>
              </w:rPr>
              <w:t xml:space="preserve"> wśród Romów poprzez: </w:t>
            </w:r>
          </w:p>
          <w:p>
            <w:pPr>
              <w:spacing w:before="60" w:after="60"/>
              <w:ind w:left="851" w:right="-23" w:hanging="284"/>
              <w:jc w:val="both"/>
              <w:rPr>
                <w:rFonts w:ascii="Times New Roman" w:hAnsi="Times New Roman"/>
                <w:noProof/>
              </w:rPr>
            </w:pPr>
            <w:r>
              <w:rPr>
                <w:rFonts w:ascii="Times New Roman" w:hAnsi="Times New Roman"/>
                <w:noProof/>
              </w:rPr>
              <w:t xml:space="preserve">1. </w:t>
            </w:r>
            <w:r>
              <w:rPr>
                <w:noProof/>
              </w:rPr>
              <w:tab/>
            </w:r>
            <w:r>
              <w:rPr>
                <w:rFonts w:ascii="Times New Roman" w:hAnsi="Times New Roman"/>
                <w:noProof/>
              </w:rPr>
              <w:t>poprawę dostępu do sprzętu cyfrowego i połączeń sieciowych (np. publicznych punktów dostępu do internetu na obszarach słabo rozwiniętych);</w:t>
            </w:r>
          </w:p>
          <w:p>
            <w:pPr>
              <w:spacing w:before="60" w:after="60"/>
              <w:ind w:left="851" w:right="-23" w:hanging="284"/>
              <w:jc w:val="both"/>
              <w:rPr>
                <w:rFonts w:ascii="Times New Roman" w:hAnsi="Times New Roman"/>
                <w:noProof/>
              </w:rPr>
            </w:pPr>
            <w:r>
              <w:rPr>
                <w:rFonts w:ascii="Times New Roman" w:hAnsi="Times New Roman"/>
                <w:noProof/>
              </w:rPr>
              <w:t xml:space="preserve">2. </w:t>
            </w:r>
            <w:r>
              <w:rPr>
                <w:noProof/>
              </w:rPr>
              <w:tab/>
            </w:r>
            <w:r>
              <w:rPr>
                <w:rFonts w:ascii="Times New Roman" w:hAnsi="Times New Roman"/>
                <w:noProof/>
              </w:rPr>
              <w:t xml:space="preserve">promowanie podstawowych umiejętności i kompetencji cyfrowych w kontekście kształcenia przez całe życie i oferowanie odnośnych szkoleń; </w:t>
            </w:r>
          </w:p>
          <w:p>
            <w:pPr>
              <w:spacing w:before="60" w:after="60"/>
              <w:ind w:left="851" w:right="-23" w:hanging="284"/>
              <w:jc w:val="both"/>
              <w:rPr>
                <w:rFonts w:ascii="Times New Roman" w:hAnsi="Times New Roman"/>
                <w:noProof/>
              </w:rPr>
            </w:pPr>
            <w:r>
              <w:rPr>
                <w:rFonts w:ascii="Times New Roman" w:hAnsi="Times New Roman"/>
                <w:noProof/>
              </w:rPr>
              <w:t xml:space="preserve">3. </w:t>
            </w:r>
            <w:r>
              <w:rPr>
                <w:noProof/>
              </w:rPr>
              <w:tab/>
            </w:r>
            <w:r>
              <w:rPr>
                <w:rFonts w:ascii="Times New Roman" w:hAnsi="Times New Roman"/>
                <w:noProof/>
              </w:rPr>
              <w:t xml:space="preserve">poprawę jakości korzystania przez Romów ze społeczeństwa informacyjnego i uczestnictwa w nim; oraz </w:t>
            </w:r>
          </w:p>
          <w:p>
            <w:pPr>
              <w:spacing w:before="60" w:after="60"/>
              <w:ind w:left="851" w:right="-23" w:hanging="284"/>
              <w:jc w:val="both"/>
              <w:rPr>
                <w:rFonts w:ascii="Times New Roman" w:hAnsi="Times New Roman"/>
                <w:noProof/>
              </w:rPr>
            </w:pPr>
            <w:r>
              <w:rPr>
                <w:rFonts w:ascii="Times New Roman" w:hAnsi="Times New Roman"/>
                <w:noProof/>
              </w:rPr>
              <w:t xml:space="preserve">4. </w:t>
            </w:r>
            <w:r>
              <w:rPr>
                <w:noProof/>
              </w:rPr>
              <w:tab/>
            </w:r>
            <w:r>
              <w:rPr>
                <w:rFonts w:ascii="Times New Roman" w:hAnsi="Times New Roman"/>
                <w:noProof/>
              </w:rPr>
              <w:t>zachęcanie do zgłaszania dyskryminacyjnych praktyk internetowych w dostępie do usług i korzystaniu z nich;</w:t>
            </w:r>
          </w:p>
          <w:p>
            <w:pPr>
              <w:spacing w:before="60" w:after="60"/>
              <w:ind w:left="851" w:right="-23" w:hanging="284"/>
              <w:jc w:val="both"/>
              <w:rPr>
                <w:rFonts w:ascii="Times New Roman" w:hAnsi="Times New Roman"/>
                <w:noProof/>
              </w:rPr>
            </w:pPr>
            <w:r>
              <w:rPr>
                <w:rFonts w:ascii="Times New Roman" w:hAnsi="Times New Roman"/>
                <w:noProof/>
              </w:rPr>
              <w:t>5) umieszczanie inicjatyw związanych z umiejętnościami cyfrowymi w lokalnych kontekstach społeczno-ekonomicznych, dostosowując je do specyficznych potrzeb i warunków społeczności romskich;</w:t>
            </w:r>
          </w:p>
          <w:p>
            <w:pPr>
              <w:spacing w:before="60" w:after="60"/>
              <w:ind w:left="851" w:right="-23" w:hanging="284"/>
              <w:jc w:val="both"/>
              <w:rPr>
                <w:rFonts w:ascii="Times New Roman" w:hAnsi="Times New Roman"/>
                <w:noProof/>
              </w:rPr>
            </w:pPr>
            <w:r>
              <w:rPr>
                <w:rFonts w:ascii="Times New Roman" w:hAnsi="Times New Roman"/>
                <w:noProof/>
              </w:rPr>
              <w:t>6) promowanie i wspieranie inicjatyw związanych z umiejętnościami cyfrowymi</w:t>
            </w:r>
            <w:r>
              <w:rPr>
                <w:rStyle w:val="FootnoteReference"/>
                <w:rFonts w:ascii="Times New Roman" w:hAnsi="Times New Roman"/>
                <w:noProof/>
              </w:rPr>
              <w:footnoteReference w:id="6"/>
            </w:r>
            <w:r>
              <w:rPr>
                <w:rFonts w:ascii="Times New Roman" w:hAnsi="Times New Roman"/>
                <w:noProof/>
              </w:rPr>
              <w:t>, które:</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stymulują motywację i zwiększają świadomość w zakresie korzystania z internetu;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są przystępne cenowo i trwałe;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zawierają treści i sposoby realizacji dostosowane do potrzeb Romów (nowe metody nauczania, uczenie się nieformalne itp.); oraz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są dostępne i użyteczne; </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zachęcać do korzystania z rozwiązań cyfrowych w opiece zdrowotnej, zarówno dla pacjentów, jak i pracowników służby zdrowia, w celu zapewnienia ciągłości opieki i bezpiecznych sposobów leczenia; oraz</w:t>
            </w:r>
          </w:p>
          <w:p>
            <w:pPr>
              <w:pStyle w:val="ListParagraph"/>
              <w:numPr>
                <w:ilvl w:val="0"/>
                <w:numId w:val="1"/>
              </w:numPr>
              <w:spacing w:before="60" w:after="60" w:line="240" w:lineRule="auto"/>
              <w:ind w:right="-24"/>
              <w:contextualSpacing w:val="0"/>
              <w:rPr>
                <w:noProof/>
                <w:sz w:val="22"/>
                <w:szCs w:val="22"/>
              </w:rPr>
            </w:pPr>
            <w:r>
              <w:rPr>
                <w:rFonts w:ascii="Times New Roman" w:hAnsi="Times New Roman"/>
                <w:noProof/>
                <w:sz w:val="22"/>
                <w:szCs w:val="22"/>
              </w:rPr>
              <w:t>dokonać przeglądu ram strategicznych w zakresie włączenia cyfrowego, aby ocenić bariery napotykane przez Romów.</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416"/>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Zapewnienie sprawiedliwości środowiskowej</w:t>
            </w:r>
          </w:p>
          <w:p>
            <w:pPr>
              <w:spacing w:before="60" w:after="60"/>
              <w:ind w:right="-24"/>
              <w:jc w:val="both"/>
              <w:rPr>
                <w:rFonts w:ascii="Times New Roman" w:hAnsi="Times New Roman" w:cs="Times New Roman"/>
                <w:noProof/>
              </w:rPr>
            </w:pPr>
            <w:r>
              <w:rPr>
                <w:rFonts w:ascii="Times New Roman" w:hAnsi="Times New Roman"/>
                <w:noProof/>
              </w:rPr>
              <w:t>Coraz bardziej uwidacznia się dyskryminacja środowiskowa</w:t>
            </w:r>
            <w:r>
              <w:rPr>
                <w:rStyle w:val="FootnoteReference"/>
                <w:rFonts w:ascii="Times New Roman" w:hAnsi="Times New Roman" w:cs="Times New Roman"/>
                <w:smallCaps/>
                <w:noProof/>
                <w:color w:val="0070C0"/>
              </w:rPr>
              <w:footnoteReference w:id="7"/>
            </w:r>
            <w:r>
              <w:rPr>
                <w:rFonts w:ascii="Times New Roman" w:hAnsi="Times New Roman"/>
                <w:noProof/>
              </w:rPr>
              <w:t xml:space="preserve">, z którą borykają się liczne społeczności romskie. Ta długo zaniedbywana rzeczywistość ujawniła swoje nieproporcjonalne skutki podczas pandemii COVID-19, w wyniku której zmarginalizowane społeczności stały się bardziej narażone na zakażenie i inne związane z tym problemy zdrowotne. Zagrożenia dla zdrowia są potęgowane przez nieodpowiednie warunki życia i segregację, co w jeszcze większym stopniu doprowadza do wykluczenia społeczno-gospodarczego Romów. </w:t>
            </w:r>
          </w:p>
          <w:p>
            <w:pPr>
              <w:spacing w:before="60" w:after="60"/>
              <w:ind w:right="-24"/>
              <w:rPr>
                <w:rFonts w:ascii="Times New Roman" w:hAnsi="Times New Roman"/>
                <w:b/>
                <w:noProof/>
                <w:color w:val="000000" w:themeColor="text1"/>
              </w:rPr>
            </w:pPr>
            <w:r>
              <w:rPr>
                <w:rFonts w:ascii="Times New Roman" w:hAnsi="Times New Roman"/>
                <w:b/>
                <w:noProof/>
                <w:color w:val="000000" w:themeColor="text1"/>
              </w:rPr>
              <w:t>W krajowych ramach strategicznych dotyczących Romów należy:</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uznać i zwalczać dyskryminację środowiskową, zwłaszcza że dotyczy ona zmarginalizowanych społeczności romskich na obszarach, na których występuje segregacja (jako przejaw antycyganizmu); promować zrozumienie, w jaki sposób dyskryminacja środowiskowa i brak usług ekosystemowych zmuszają zmarginalizowanych Romów do życia na obszarach, na których występuje degradacja środowiska;</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skupić się na dostępie do wody, odpowiednich warunkach sanitarnych, usługach zbierania odpadów i gospodarowania nimi oraz zwalczać utrzymującą się segregację przestrzenną jako przyczynę dyskryminacji środowiskowej w zakresie zakwaterowania i podstawowych usług;</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zająć się niewystarczającym dostępem Romów do zielonych terenów mieszkalnych o wartości rekreacyjnej;</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zapobiegać uwarunkowanym środowiskiem zagrożeniom dla zdrowia i przeciwdziałać wpływowi narażenia na zanieczyszczenie i skażenie na zdrowie; oraz</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1"/>
                <w:szCs w:val="21"/>
              </w:rPr>
            </w:pPr>
            <w:r>
              <w:rPr>
                <w:rFonts w:ascii="Times New Roman" w:hAnsi="Times New Roman"/>
                <w:noProof/>
                <w:color w:val="000000" w:themeColor="text1"/>
                <w:sz w:val="22"/>
                <w:szCs w:val="22"/>
              </w:rPr>
              <w:t>zapewnić bezpieczeństwo i higienę pracy osobom pracującym w mniej korzystnych warunkach środowiskowych.</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69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Promowanie (wiedzy na temat) sztuki, historii i kultury romskiej</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 xml:space="preserve">Sztuka, historia i kultura romska są integralnymi elementami naszego europejskiego i krajowego krajobrazu. Na przestrzeni wieków wizerunki kultury i tożsamości romskiej były jednak romantyzowane i stereotypowe, co pogłębiło alienację społeczności romskich od głównego nurtu społeczeństwa. Uznanie kulturowe należy tworzyć z pomocą narracji romskich. </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b/>
                <w:noProof/>
              </w:rPr>
              <w:t>W krajowych ramach strategicznych dotyczących Romów należy:</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uznać wkład sztuki i kultury romskiej w dziedzictwo narodowe i europejskie oraz zwiększać świadomość i odpowiedzialność Romów w tym zakresie;</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wspierać platformy ułatwiające kontakty między ludnością romską i nieromską na szczeblu lokalnym poprzez promowanie romskiej tradycyjnej i współczesnej sztuki i kultury oraz romskiego tradycyjnego i współczesnego rzemiosła, a także wiedzy o historii Romów;</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 xml:space="preserve">promować działania uświadamiające we współpracy z podmiotami medialnymi, wspierające samodzielnie konstruowaną tożsamość romską i romskie dziedzictwo kulturowe; </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 xml:space="preserve">zwalczać uprzedzenia wobec Romów i stereotypy na ich temat; </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wyznaczyć i upamiętnić dzień 2 sierpnia jako Europejski Dzień Pamięci o Ofiarach Holocaustu Romów, aby upamiętniać ofiary ludobójstwa Romów podczas drugiej wojny światowej;</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promować zintegrowane podejście do upamiętniania holocaustu, pamiętając o losach Romów w Międzynarodowym Dniu Pamięci o Ofiarach Holocaustu (27 stycznia, dniu wyzwolenia obozu koncentracyjnego Auschwitz-Birkenau);</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uwzględnić społeczności romskie w krajowych narracjach kulturowych, przez włączenie sztuki, historii i kultury romskiej do zbiorów archiwów narodowych, muzeów i stałych wystaw sztuki; przeznaczyć odpowiednie środki na ochronę, konserwację i rozwój sztuki i kultury romskiej, w tym poprzez promowanie festiwali;</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włączyć język romski i historię Romów do programów nauczania i podręczników zarówno dla uczniów romskich, jak i nieromskich; promować wielokulturowe działania i kampanie uświadamiające w szkołach; oraz</w:t>
            </w:r>
          </w:p>
          <w:p>
            <w:pPr>
              <w:pStyle w:val="ListParagraph"/>
              <w:numPr>
                <w:ilvl w:val="0"/>
                <w:numId w:val="1"/>
              </w:numPr>
              <w:spacing w:before="60" w:after="60" w:line="240" w:lineRule="auto"/>
              <w:ind w:right="-24"/>
              <w:contextualSpacing w:val="0"/>
              <w:rPr>
                <w:rFonts w:ascii="Times New Roman" w:hAnsi="Times New Roman"/>
                <w:b/>
                <w:smallCaps/>
                <w:noProof/>
                <w:sz w:val="22"/>
                <w:szCs w:val="22"/>
              </w:rPr>
            </w:pPr>
            <w:r>
              <w:rPr>
                <w:rFonts w:ascii="Times New Roman" w:hAnsi="Times New Roman"/>
                <w:noProof/>
                <w:color w:val="000000" w:themeColor="text1"/>
                <w:sz w:val="22"/>
                <w:szCs w:val="22"/>
              </w:rPr>
              <w:t>umożliwiać wzmocnienie pozycji i wspierać romskich przedsiębiorców i osoby samozatrudnione w lokalnych przedsiębiorstwach, które promują romskie tradycje i kulturę.</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69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b/>
                <w:smallCaps/>
                <w:noProof/>
                <w:color w:val="0070C0"/>
              </w:rPr>
              <w:t>Promowanie innowacji społecznych i eksperymentu politycznego</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 xml:space="preserve">Innowacje społeczne i eksperyment polityczny stanowią nowe podejście wywodzące się z obszaru zmian społecznych. Na takie podejście składają się idee, praktyki i inicjatywy, które wprowadza się na różnych poziomach systemu, aby stymulować głębokie zmiany i osiągać trwałe pozytywne efekty. Innowacje społeczne i eksperyment polityczny stanowią ważne narzędzia do promowania równouprawnienia, włączenia społecznego i udziału Romów oraz wzmocnienia ich pozycji. </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noProof/>
              </w:rPr>
              <w:t>Polityka UE definiuje „innowacje społeczne” jako działania, których cel, jak również środki, by je zrealizować, mają wymiar społeczny. Działania te polegają na rozwoju i wprowadzaniu nowych idei (dotyczących produktów, usług i modeli), które jednocześnie zaspokajają potrzeby społeczne i tworzą nowe relacje społeczne lub współpracę społeczną i w ten sposób przynoszą korzyści społeczeństwu i zwiększają jego zdolność do działania</w:t>
            </w:r>
            <w:r>
              <w:rPr>
                <w:rStyle w:val="FootnoteReference"/>
                <w:rFonts w:ascii="Times New Roman" w:hAnsi="Times New Roman" w:cs="Times New Roman"/>
                <w:noProof/>
              </w:rPr>
              <w:footnoteReference w:id="8"/>
            </w:r>
            <w:r>
              <w:rPr>
                <w:rFonts w:ascii="Times New Roman" w:hAnsi="Times New Roman"/>
                <w:noProof/>
              </w:rPr>
              <w:t>. „Eksperymenty w ramach polityki społecznej” oznaczają interwencje w zakresie polityki, które zapewniają innowacyjne działania w odpowiedzi na potrzeby społeczne i są realizowane na małą skalę i w warunkach zapewniających możliwość oceny ich wpływu, zanim zostaną wdrożone w innych kontekstach lub na większą skalę, jeżeli ich wyniki okażą się przekonujące</w:t>
            </w:r>
            <w:r>
              <w:rPr>
                <w:rStyle w:val="FootnoteReference"/>
                <w:rFonts w:ascii="Times New Roman" w:hAnsi="Times New Roman" w:cs="Times New Roman"/>
                <w:noProof/>
              </w:rPr>
              <w:footnoteReference w:id="9"/>
            </w:r>
            <w:r>
              <w:rPr>
                <w:rFonts w:ascii="Times New Roman" w:hAnsi="Times New Roman"/>
                <w:noProof/>
              </w:rPr>
              <w:t>.</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b/>
                <w:noProof/>
              </w:rPr>
              <w:t>W krajowych ramach strategicznych dotyczących Romów należy:</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wspierać tworzenie krajowych sojuszy na rzecz uczenia się i innowacji sprzyjających włączeniu, łączących podmioty z różnych ekosystemów (stosowne organizacje praktyków romskiego pochodzenia razem z przedstawicielami biznesu/przemysłu, inkubatorów społecznych i sieci liderów zmian, ambasad, organizacji badawczych);</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inicjować wspólne procesy współtworzenia z krajowymi/regionalnymi zainteresowanymi podmiotami, organizacjami dobroczynnymi i organizacjami prospołecznymi, aby ustalać potrzeby, dostępne zasoby i możliwości podejmowania wspólnych systematycznych działań (m.in. przy dostępnym wsparciu doradczym UE);</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wspierać powstawanie projektów nastawionych na wyniki i dotyczących kluczowych usług społecznych (dostępu do mieszkalnictwa, mediów, podstawowej infrastruktury publicznej i podstawowych usług publicznych itp.);</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stymulować uczenie się metod pracy na różne tematy/w różnych sektorach i jednocześnie zachęcać kluczowe podmioty z różnych sektorów (sektora prywatnego, publicznego, obywatelskiego) do współpracy i umożliwiać im taką współpracę;</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eksperymentować w obszarze strategii społecznych (np. gwarantować bezwarunkowy dochód podstawowy) w celu tworzenia modeli i testowania alternatywnych mechanizmów realizacji świadczeń z zabezpieczenia społecznego;</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analizować możliwości gromadzenia prywatnego kapitału i łączenia funduszy z np. organizacjami dobroczynnymi za pośrednictwem programów potencjalnego kojarzenia podmiotów, aby reagować na niespełnione potrzeby osób znajdujących się w najtrudniejszej sytuacji;</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sprawdzać nowe modele usług lub realizacji i tworzenie rozszerzonych rezerw za pośrednictwem partnerstw nastawionych na wyniki;</w:t>
            </w:r>
          </w:p>
          <w:p>
            <w:pPr>
              <w:pStyle w:val="ListParagraph"/>
              <w:numPr>
                <w:ilvl w:val="0"/>
                <w:numId w:val="1"/>
              </w:numPr>
              <w:spacing w:before="60" w:after="60" w:line="240" w:lineRule="auto"/>
              <w:ind w:right="-24"/>
              <w:contextualSpacing w:val="0"/>
              <w:rPr>
                <w:rFonts w:ascii="Times New Roman" w:hAnsi="Times New Roman"/>
                <w:noProof/>
              </w:rPr>
            </w:pPr>
            <w:r>
              <w:rPr>
                <w:rFonts w:ascii="Times New Roman" w:hAnsi="Times New Roman"/>
                <w:noProof/>
                <w:color w:val="000000" w:themeColor="text1"/>
                <w:sz w:val="22"/>
                <w:szCs w:val="22"/>
              </w:rPr>
              <w:t xml:space="preserve">wspierać łączenie zasobów i dzielenie kosztów oraz </w:t>
            </w:r>
            <w:r>
              <w:rPr>
                <w:rFonts w:ascii="Times New Roman" w:hAnsi="Times New Roman"/>
                <w:noProof/>
                <w:sz w:val="22"/>
                <w:szCs w:val="22"/>
              </w:rPr>
              <w:t>łączenie ukierunkowanego i elastycznego finansowania; oraz</w:t>
            </w:r>
          </w:p>
          <w:p>
            <w:pPr>
              <w:pStyle w:val="ListParagraph"/>
              <w:numPr>
                <w:ilvl w:val="0"/>
                <w:numId w:val="1"/>
              </w:numPr>
              <w:spacing w:before="60" w:after="60" w:line="240" w:lineRule="auto"/>
              <w:ind w:right="-24"/>
              <w:contextualSpacing w:val="0"/>
              <w:rPr>
                <w:rFonts w:ascii="Times New Roman" w:hAnsi="Times New Roman"/>
                <w:noProof/>
              </w:rPr>
            </w:pPr>
            <w:r>
              <w:rPr>
                <w:rFonts w:ascii="Times New Roman" w:hAnsi="Times New Roman"/>
                <w:noProof/>
                <w:sz w:val="22"/>
                <w:szCs w:val="22"/>
              </w:rPr>
              <w:t xml:space="preserve">wspierać powstawanie centrów kompetencji w zakresie </w:t>
            </w:r>
            <w:r>
              <w:rPr>
                <w:rFonts w:ascii="Times New Roman" w:hAnsi="Times New Roman"/>
                <w:noProof/>
                <w:color w:val="000000" w:themeColor="text1"/>
                <w:sz w:val="22"/>
                <w:szCs w:val="22"/>
              </w:rPr>
              <w:t>innowacji społecznych (które będą wspierane poprzez działania ponadnarodowe w ramach ESF+) i upoważnić do wspierania włączenia Romów.</w:t>
            </w:r>
          </w:p>
        </w:tc>
      </w:tr>
    </w:tbl>
    <w:p>
      <w:pPr>
        <w:ind w:right="-24"/>
        <w:rPr>
          <w:rFonts w:cstheme="minorHAnsi"/>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87508"/>
      <w:docPartObj>
        <w:docPartGallery w:val="Page Numbers (Bottom of Page)"/>
        <w:docPartUnique/>
      </w:docPartObj>
    </w:sdtPr>
    <w:sdtEndPr>
      <w:rPr>
        <w:sz w:val="18"/>
        <w:szCs w:val="18"/>
      </w:rPr>
    </w:sdtEndPr>
    <w:sdtContent>
      <w:p>
        <w:pPr>
          <w:pStyle w:val="Footer"/>
          <w:jc w:val="center"/>
          <w:rPr>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after="0" w:line="240" w:lineRule="auto"/>
        <w:ind w:left="284" w:hanging="284"/>
        <w:jc w:val="both"/>
        <w:rPr>
          <w:rFonts w:ascii="Times New Roman" w:hAnsi="Times New Roman" w:cs="Times New Roman"/>
          <w:color w:val="000000" w:themeColor="text1"/>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hyperlink r:id="rId1" w:history="1">
        <w:r>
          <w:rPr>
            <w:rStyle w:val="Hyperlink"/>
            <w:rFonts w:ascii="Times New Roman" w:hAnsi="Times New Roman"/>
            <w:i/>
            <w:sz w:val="19"/>
            <w:szCs w:val="19"/>
          </w:rPr>
          <w:t>Antycyganizm – dokument referencyjny</w:t>
        </w:r>
      </w:hyperlink>
      <w:r>
        <w:rPr>
          <w:rFonts w:ascii="Times New Roman" w:hAnsi="Times New Roman"/>
          <w:sz w:val="19"/>
          <w:szCs w:val="19"/>
        </w:rPr>
        <w:t xml:space="preserve">, Berlin/Budapeszt, 2017; </w:t>
      </w:r>
      <w:hyperlink r:id="rId2" w:history="1">
        <w:r>
          <w:rPr>
            <w:rStyle w:val="Hyperlink"/>
            <w:rFonts w:ascii="Times New Roman" w:hAnsi="Times New Roman"/>
            <w:sz w:val="19"/>
            <w:szCs w:val="19"/>
          </w:rPr>
          <w:t>rezolucja Parlamentu Europejskiego z dnia 15 kwietnia 2015 r. z okazji Międzynarodowego Dnia Romów – antycyganizm w Europie i uznanie przez UE dnia pamięci o ludobójstwie Romów podczas drugiej wojny światowej</w:t>
        </w:r>
      </w:hyperlink>
      <w:r>
        <w:rPr>
          <w:rFonts w:ascii="Times New Roman" w:hAnsi="Times New Roman"/>
          <w:sz w:val="19"/>
          <w:szCs w:val="19"/>
        </w:rPr>
        <w:t xml:space="preserve">; </w:t>
      </w:r>
      <w:hyperlink r:id="rId3" w:history="1">
        <w:r>
          <w:rPr>
            <w:rStyle w:val="Hyperlink"/>
            <w:rFonts w:ascii="Times New Roman" w:hAnsi="Times New Roman"/>
            <w:sz w:val="19"/>
            <w:szCs w:val="19"/>
          </w:rPr>
          <w:t>sprawozdanie Parlamentu Europejskiego w sprawie aspektów praw podstawowych w integracji Romów w UE: walka z antycygańskością (2017/2038(INI))</w:t>
        </w:r>
      </w:hyperlink>
      <w:r>
        <w:rPr>
          <w:rFonts w:ascii="Times New Roman" w:hAnsi="Times New Roman"/>
          <w:sz w:val="19"/>
          <w:szCs w:val="19"/>
        </w:rPr>
        <w:t xml:space="preserve">; </w:t>
      </w:r>
      <w:hyperlink r:id="rId4" w:history="1">
        <w:r>
          <w:rPr>
            <w:rStyle w:val="Hyperlink"/>
            <w:rFonts w:ascii="Times New Roman" w:hAnsi="Times New Roman"/>
            <w:sz w:val="19"/>
            <w:szCs w:val="19"/>
          </w:rPr>
          <w:t>rezolucja Parlamentu Europejskiego z dnia 12 lutego 2019 r. w sprawie konieczności wzmocnienia strategicznych unijnych ram dotyczących krajowych strategii integracji Romów po 2020 r. i bardziej zdecydowanej walki z antycygańskością</w:t>
        </w:r>
      </w:hyperlink>
      <w:r>
        <w:rPr>
          <w:rFonts w:ascii="Times New Roman" w:hAnsi="Times New Roman"/>
          <w:sz w:val="19"/>
          <w:szCs w:val="19"/>
        </w:rPr>
        <w:t xml:space="preserve">; </w:t>
      </w:r>
      <w:hyperlink r:id="rId5" w:history="1">
        <w:r>
          <w:rPr>
            <w:rStyle w:val="Hyperlink"/>
            <w:rFonts w:ascii="Times New Roman" w:hAnsi="Times New Roman"/>
            <w:sz w:val="19"/>
            <w:szCs w:val="19"/>
          </w:rPr>
          <w:t>zalecenie nr 13 ECRI dotyczące ogólnej polityki zwalczania antycyganizmu i dyskryminacji Romów z 2012 r.</w:t>
        </w:r>
      </w:hyperlink>
      <w:r>
        <w:rPr>
          <w:rFonts w:ascii="Times New Roman" w:hAnsi="Times New Roman"/>
          <w:sz w:val="19"/>
          <w:szCs w:val="19"/>
        </w:rPr>
        <w:t>;</w:t>
      </w:r>
      <w:hyperlink r:id="rId6" w:history="1">
        <w:r>
          <w:rPr>
            <w:rStyle w:val="Hyperlink"/>
            <w:rFonts w:ascii="Times New Roman" w:hAnsi="Times New Roman"/>
            <w:sz w:val="19"/>
            <w:szCs w:val="19"/>
          </w:rPr>
          <w:t xml:space="preserve"> deklaracja Komitetu Ministrów Rady Europy na temat nasilającego się w Europie antycyganizmu i rasistowskiej przemocy wobec Romów</w:t>
        </w:r>
      </w:hyperlink>
      <w:r>
        <w:rPr>
          <w:rStyle w:val="Hyperlink"/>
          <w:rFonts w:ascii="Times New Roman" w:hAnsi="Times New Roman"/>
          <w:sz w:val="19"/>
          <w:szCs w:val="19"/>
          <w:u w:val="none"/>
        </w:rPr>
        <w:t>.</w:t>
      </w:r>
    </w:p>
  </w:footnote>
  <w:footnote w:id="2">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 xml:space="preserve">Dyskryminacja systemowa wynika z nierówności zakorzenionych w ustawodawstwie, polityce i praktyce. Często nierówności te nie są utrwalone w sposób zamierzony, ale z powodu szeregu czynników instytucjonalnych w zakresie formułowania, wdrażania i przeglądu ustawodawstwa, polityki i praktyki. Zob. </w:t>
      </w:r>
      <w:hyperlink r:id="rId7" w:history="1">
        <w:r>
          <w:rPr>
            <w:rStyle w:val="Hyperlink"/>
            <w:rFonts w:ascii="Times New Roman" w:hAnsi="Times New Roman"/>
            <w:sz w:val="19"/>
            <w:szCs w:val="19"/>
          </w:rPr>
          <w:t>Integracja Romów i koczowników:</w:t>
        </w:r>
      </w:hyperlink>
      <w:hyperlink r:id="rId8" w:history="1">
        <w:r>
          <w:rPr>
            <w:rStyle w:val="Hyperlink"/>
            <w:rFonts w:ascii="Times New Roman" w:hAnsi="Times New Roman"/>
            <w:sz w:val="19"/>
            <w:szCs w:val="19"/>
          </w:rPr>
          <w:t xml:space="preserve"> w kierunku nowych ram UE, wyciąganie wniosków z prac organów ds. równości</w:t>
        </w:r>
      </w:hyperlink>
      <w:r>
        <w:rPr>
          <w:rStyle w:val="Hyperlink"/>
          <w:rFonts w:ascii="Times New Roman" w:hAnsi="Times New Roman"/>
          <w:sz w:val="19"/>
          <w:szCs w:val="19"/>
          <w:u w:val="none"/>
        </w:rPr>
        <w:t>.</w:t>
      </w:r>
    </w:p>
  </w:footnote>
  <w:footnote w:id="3">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 xml:space="preserve">Violetta Zentai, Georgeta Munteanu i Simona Torotcoi, </w:t>
      </w:r>
      <w:hyperlink r:id="rId9" w:history="1">
        <w:r>
          <w:rPr>
            <w:rStyle w:val="Hyperlink"/>
            <w:rFonts w:ascii="Times New Roman" w:hAnsi="Times New Roman"/>
            <w:i/>
            <w:sz w:val="19"/>
            <w:szCs w:val="19"/>
          </w:rPr>
          <w:t>Jakość uczestnictwa w inicjatywie UE na rzecz równości i integracji Romów po 2020 r.</w:t>
        </w:r>
      </w:hyperlink>
      <w:r>
        <w:rPr>
          <w:rFonts w:ascii="Times New Roman" w:hAnsi="Times New Roman"/>
          <w:sz w:val="19"/>
          <w:szCs w:val="19"/>
        </w:rPr>
        <w:t>, sprawozdania ekspertów opierające się na przyszłościowych aspektach oceny unijnych ram dotyczących krajowych strategii integracji Romów, 2020, s. 41, 59–60.</w:t>
      </w:r>
    </w:p>
  </w:footnote>
  <w:footnote w:id="4">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W</w:t>
      </w:r>
      <w:r>
        <w:t xml:space="preserve"> </w:t>
      </w:r>
      <w:hyperlink r:id="rId10" w:history="1">
        <w:r>
          <w:rPr>
            <w:rStyle w:val="Hyperlink"/>
            <w:rFonts w:ascii="Times New Roman" w:hAnsi="Times New Roman"/>
            <w:sz w:val="19"/>
            <w:szCs w:val="19"/>
          </w:rPr>
          <w:t>dyrektywie w sprawie wody pitnej</w:t>
        </w:r>
      </w:hyperlink>
      <w:r>
        <w:rPr>
          <w:rFonts w:ascii="Times New Roman" w:hAnsi="Times New Roman"/>
          <w:sz w:val="19"/>
          <w:szCs w:val="19"/>
        </w:rPr>
        <w:t xml:space="preserve"> (motyw 31; art. 16) zobowiązano państwa członkowskie do uwzględnienia specyficznej sytuacji kultur mniejszościowych, takich jak Romowie i koczownicy, niezależnie od tego, czy są osiedleni, czy nie, poprzez zastosowanie niezbędnych środków w celu poprawy ich dostępu do wody przeznaczonej do spożycia przez ludzi.</w:t>
      </w:r>
    </w:p>
  </w:footnote>
  <w:footnote w:id="5">
    <w:p>
      <w:pPr>
        <w:pStyle w:val="FootnoteText"/>
        <w:jc w:val="both"/>
        <w:rPr>
          <w:rFonts w:ascii="Times New Roman" w:hAnsi="Times New Roman" w:cs="Times New Roman"/>
          <w:sz w:val="18"/>
          <w:szCs w:val="18"/>
        </w:rPr>
      </w:pPr>
      <w:r>
        <w:rPr>
          <w:rStyle w:val="FootnoteReference"/>
        </w:rPr>
        <w:footnoteRef/>
      </w:r>
      <w:r>
        <w:rPr>
          <w:rFonts w:ascii="Times New Roman" w:hAnsi="Times New Roman"/>
          <w:sz w:val="18"/>
          <w:szCs w:val="18"/>
        </w:rPr>
        <w:t>W</w:t>
      </w:r>
      <w:hyperlink r:id="rId11" w:history="1">
        <w:r>
          <w:rPr>
            <w:rStyle w:val="Hyperlink"/>
            <w:rFonts w:ascii="Times New Roman" w:hAnsi="Times New Roman"/>
            <w:sz w:val="18"/>
            <w:szCs w:val="18"/>
          </w:rPr>
          <w:t>ramach kompetencji cyfrowych dla obywateli</w:t>
        </w:r>
      </w:hyperlink>
      <w:r>
        <w:rPr>
          <w:rFonts w:ascii="Times New Roman" w:hAnsi="Times New Roman"/>
          <w:sz w:val="18"/>
          <w:szCs w:val="18"/>
        </w:rPr>
        <w:t xml:space="preserve"> określono pięć elementów składających się na kompetencje cyfrowe: umiejętność korzystania z informacji i danych, komunikacja i współpraca, tworzenie treści cyfrowych, bezpieczeństwo i rozwiązywanie problemów.</w:t>
      </w:r>
    </w:p>
  </w:footnote>
  <w:footnote w:id="6">
    <w:p>
      <w:pPr>
        <w:pStyle w:val="FootnoteText"/>
        <w:jc w:val="both"/>
      </w:pPr>
      <w:r>
        <w:rPr>
          <w:rStyle w:val="FootnoteReference"/>
        </w:rPr>
        <w:footnoteRef/>
      </w:r>
      <w:r>
        <w:rPr>
          <w:rFonts w:ascii="Times New Roman" w:hAnsi="Times New Roman"/>
          <w:sz w:val="18"/>
          <w:szCs w:val="18"/>
        </w:rPr>
        <w:t>W</w:t>
      </w:r>
      <w:r>
        <w:t xml:space="preserve"> </w:t>
      </w:r>
      <w:hyperlink r:id="rId12" w:history="1">
        <w:r>
          <w:rPr>
            <w:rStyle w:val="Hyperlink"/>
            <w:rFonts w:ascii="Times New Roman" w:hAnsi="Times New Roman"/>
            <w:sz w:val="18"/>
            <w:szCs w:val="18"/>
          </w:rPr>
          <w:t>ramach kompetencji cyfrowych dla obywateli</w:t>
        </w:r>
      </w:hyperlink>
      <w:r>
        <w:rPr>
          <w:rFonts w:ascii="Times New Roman" w:hAnsi="Times New Roman"/>
          <w:sz w:val="18"/>
          <w:szCs w:val="18"/>
        </w:rPr>
        <w:t xml:space="preserve"> zdefiniowano umiejętność korzystania z informacji i kompetencje cyfrowe jako umiejętność </w:t>
      </w:r>
      <w:r>
        <w:rPr>
          <w:rFonts w:ascii="Times New Roman" w:hAnsi="Times New Roman"/>
          <w:color w:val="000000"/>
          <w:sz w:val="18"/>
          <w:szCs w:val="18"/>
        </w:rPr>
        <w:t>wyrażania potrzeb w zakresie informacji; wyszukiwania i pobierania danych, informacji i treści cyfrowych; dokonywania oceny przydatności źródła i jego zawartości; oraz przechowywania danych, informacji i treści cyfrowych, zarządzania nimi i ich organizacja;</w:t>
      </w:r>
    </w:p>
  </w:footnote>
  <w:footnote w:id="7">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 xml:space="preserve">Dyskryminacja środowiskowa dotyczy Romów żyjących w odseparowanych osadach w niebezpiecznych warunkach środowiskowych (obok wysypisk śmieci, opuszczonych terenów przemysłowych lub obszarów zagrożonych powodzią), pozbawionych możliwości zaspokojenia podstawowych potrzeb środowiskowych, takich jak gospodarka wodna i gospodarowanie odpadami. Zob. </w:t>
      </w:r>
      <w:hyperlink r:id="rId13" w:history="1">
        <w:r>
          <w:rPr>
            <w:rStyle w:val="Hyperlink"/>
            <w:rFonts w:ascii="Times New Roman" w:hAnsi="Times New Roman"/>
            <w:i/>
            <w:sz w:val="19"/>
            <w:szCs w:val="19"/>
          </w:rPr>
          <w:t>Zepchnięci na pustkowia:</w:t>
        </w:r>
      </w:hyperlink>
      <w:hyperlink r:id="rId14" w:history="1">
        <w:r>
          <w:rPr>
            <w:rStyle w:val="Hyperlink"/>
            <w:rFonts w:ascii="Times New Roman" w:hAnsi="Times New Roman"/>
            <w:i/>
            <w:sz w:val="19"/>
            <w:szCs w:val="19"/>
          </w:rPr>
          <w:t xml:space="preserve"> rasizm środowiskowy wobec społeczności romskich w Europie Środkowej i Wschodniej</w:t>
        </w:r>
      </w:hyperlink>
      <w:r>
        <w:rPr>
          <w:rFonts w:ascii="Times New Roman" w:hAnsi="Times New Roman"/>
          <w:sz w:val="19"/>
          <w:szCs w:val="19"/>
        </w:rPr>
        <w:t xml:space="preserve">. Koncepcyjne wyjaśnienia i zasoby można znaleźć na </w:t>
      </w:r>
      <w:hyperlink r:id="rId15" w:history="1">
        <w:r>
          <w:rPr>
            <w:rStyle w:val="Hyperlink"/>
            <w:rFonts w:ascii="Times New Roman" w:hAnsi="Times New Roman"/>
            <w:sz w:val="19"/>
            <w:szCs w:val="19"/>
          </w:rPr>
          <w:t>stronie internetowej sieci ds. sprawiedliwości energetycznej (Energy Justice Network)</w:t>
        </w:r>
      </w:hyperlink>
      <w:r>
        <w:t>.</w:t>
      </w:r>
    </w:p>
  </w:footnote>
  <w:footnote w:id="8">
    <w:p>
      <w:pPr>
        <w:pStyle w:val="FootnoteText"/>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Wniosek Komisji dotyczący rozporządzenia Parlament Europejskiego i Rady w sprawie Europejskiego Funduszu Społecznego Plus (ESF+) 2018/0206 COD (</w:t>
      </w:r>
      <w:hyperlink r:id="rId16" w:history="1">
        <w:r>
          <w:rPr>
            <w:rStyle w:val="Hyperlink"/>
            <w:rFonts w:ascii="Times New Roman" w:hAnsi="Times New Roman"/>
            <w:sz w:val="19"/>
            <w:szCs w:val="19"/>
          </w:rPr>
          <w:t>COM(2018) 382 final</w:t>
        </w:r>
      </w:hyperlink>
      <w:r>
        <w:rPr>
          <w:rFonts w:ascii="Times New Roman" w:hAnsi="Times New Roman"/>
          <w:sz w:val="19"/>
          <w:szCs w:val="19"/>
        </w:rPr>
        <w:t>) z 30.5.2018, art. 2 ust. 16.</w:t>
      </w:r>
    </w:p>
  </w:footnote>
  <w:footnote w:id="9">
    <w:p>
      <w:pPr>
        <w:pStyle w:val="FootnoteText"/>
        <w:jc w:val="both"/>
      </w:pPr>
      <w:r>
        <w:rPr>
          <w:rStyle w:val="FootnoteReference"/>
          <w:rFonts w:ascii="Times New Roman" w:hAnsi="Times New Roman" w:cs="Times New Roman"/>
          <w:sz w:val="19"/>
          <w:szCs w:val="19"/>
        </w:rPr>
        <w:footnoteRef/>
      </w:r>
      <w:r>
        <w:rPr>
          <w:rFonts w:ascii="Times New Roman" w:hAnsi="Times New Roman"/>
          <w:sz w:val="19"/>
          <w:szCs w:val="19"/>
        </w:rPr>
        <w:t xml:space="preserve"> Ibidem, art. 2 ust.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GB"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583680" cy="1645920"/>
              <wp:effectExtent l="0" t="1771650" r="0" b="16973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3680" cy="1645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Projekt wewnętrzny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18.4pt;height:129.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" o:allowincell="f" filled="f" stroked="f">
              <v:stroke joinstyle="round"/>
              <o:lock v:ext="edit" shapetype="t"/>
              <v:textbox style="mso-fit-shape-to-text:t">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Projekt wewnętrzny</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GB"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83680" cy="1645920"/>
              <wp:effectExtent l="0" t="1771650" r="0" b="16973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3680" cy="1645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Projekt wewnętrzny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518.4pt;height:129.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" o:allowincell="f" filled="f" stroked="f">
              <v:stroke joinstyle="round"/>
              <o:lock v:ext="edit" shapetype="t"/>
              <v:textbox style="mso-fit-shape-to-text:t">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Projekt wewnętrzny</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8B7"/>
    <w:multiLevelType w:val="hybridMultilevel"/>
    <w:tmpl w:val="7C508B4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7F83ED7"/>
    <w:multiLevelType w:val="hybridMultilevel"/>
    <w:tmpl w:val="FC7A96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8466082"/>
    <w:multiLevelType w:val="hybridMultilevel"/>
    <w:tmpl w:val="72AC9D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CAA1ED9"/>
    <w:multiLevelType w:val="hybridMultilevel"/>
    <w:tmpl w:val="BAF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600B9"/>
    <w:multiLevelType w:val="hybridMultilevel"/>
    <w:tmpl w:val="F07419FA"/>
    <w:lvl w:ilvl="0" w:tplc="01EC09CE">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40A365C1"/>
    <w:multiLevelType w:val="hybridMultilevel"/>
    <w:tmpl w:val="F74C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C36B5B"/>
    <w:multiLevelType w:val="hybridMultilevel"/>
    <w:tmpl w:val="85A6ADE6"/>
    <w:lvl w:ilvl="0" w:tplc="01EC09CE">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nsid w:val="6C7D5596"/>
    <w:multiLevelType w:val="hybridMultilevel"/>
    <w:tmpl w:val="4ABC6AF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6E0A4F56"/>
    <w:multiLevelType w:val="hybridMultilevel"/>
    <w:tmpl w:val="A92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
    <w:docVar w:name="LW_ANNEX_NBR_FIRST" w:val="1"/>
    <w:docVar w:name="LW_ANNEX_NBR_LAST" w:val="1"/>
    <w:docVar w:name="LW_ANNEX_UNIQUE" w:val="0"/>
    <w:docVar w:name="LW_CORRIGENDUM" w:val="&lt;UNUSED&gt;"/>
    <w:docVar w:name="LW_COVERPAGE_EXISTS" w:val="True"/>
    <w:docVar w:name="LW_COVERPAGE_GUID" w:val="7B2F58F8-0348-4BCC-867A-FD6CDAAD987F"/>
    <w:docVar w:name="LW_COVERPAGE_TYPE" w:val="1"/>
    <w:docVar w:name="LW_CROSSREFERENCE" w:val="{SWD(2020) 530 final}"/>
    <w:docVar w:name="LW_DocType" w:val="NORMAL"/>
    <w:docVar w:name="LW_EMISSION" w:val="7.10.2020"/>
    <w:docVar w:name="LW_EMISSION_ISODATE" w:val="2020-10-07"/>
    <w:docVar w:name="LW_EMISSION_LOCATION" w:val="BRX"/>
    <w:docVar w:name="LW_EMISSION_PREFIX" w:val="Bruksela, dnia "/>
    <w:docVar w:name="LW_EMISSION_SUFFIX" w:val=" r."/>
    <w:docVar w:name="LW_ID_DOCTYPE_NONLW" w:val="CP-039"/>
    <w:docVar w:name="LW_LANGUE" w:val="PL"/>
    <w:docVar w:name="LW_LEVEL_OF_SENSITIVITY" w:val="Standard treatment"/>
    <w:docVar w:name="LW_NOM.INST" w:val="KOMISJA EUROPEJSKA"/>
    <w:docVar w:name="LW_NOM.INST_JOINTDOC" w:val="&lt;EMPTY&gt;"/>
    <w:docVar w:name="LW_OBJETACTEPRINCIPAL.CP" w:val="&lt;FMT:Font=Calibri CE&gt;Unia równo\u347?ci: &lt;/FMT&gt;_x000d__x000d__x000d__x000b_&lt;FMT:Font=Calibri&gt;unijn&lt;/FMT&gt;&lt;FMT:Font=Calibri CE&gt;e ramy strategiczne na rzecz równouprawnienia, w\u322?\u261?czenia spo\u322?ecznego i udzia\u322?u Romów&lt;/FMT&gt;_x000d__x000d__x000d__x000b_"/>
    <w:docVar w:name="LW_PART_NBR" w:val="1"/>
    <w:docVar w:name="LW_PART_NBR_TOTAL" w:val="1"/>
    <w:docVar w:name="LW_REF.INST.NEW" w:val="COM"/>
    <w:docVar w:name="LW_REF.INST.NEW_ADOPTED" w:val="final"/>
    <w:docVar w:name="LW_REF.INST.NEW_TEXT" w:val="(2020) 6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ZA\u321?\u260?CZNIK_x000b_"/>
    <w:docVar w:name="LW_TYPEACTEPRINCIPAL.CP" w:val="KOMUNIKATU KOMISJI DO PARLAMENTU EUROPEJSKIEGO I RADY"/>
    <w:docVar w:name="Stamp" w:val="\\dossiers.dgt.cec.eu.int\dossiers\JUST\JUST-2020-03278\JUST-2020-03278-00-01-EN-EDT-00.202007070940194183075.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Bulle,2"/>
    <w:basedOn w:val="Normal"/>
    <w:link w:val="ListParagraphChar"/>
    <w:uiPriority w:val="34"/>
    <w:qFormat/>
    <w:pPr>
      <w:spacing w:after="120" w:line="259" w:lineRule="auto"/>
      <w:ind w:left="720"/>
      <w:contextualSpacing/>
      <w:jc w:val="both"/>
    </w:pPr>
    <w:rPr>
      <w:rFonts w:ascii="Verdana" w:eastAsia="Times New Roman" w:hAnsi="Verdana" w:cs="Times New Roman"/>
      <w:sz w:val="20"/>
      <w:szCs w:val="20"/>
      <w:lang w:eastAsia="en-GB"/>
    </w:rPr>
  </w:style>
  <w:style w:type="character" w:styleId="FootnoteReference">
    <w:name w:val="footnote reference"/>
    <w:aliases w:val="Footnote Reference Superscript,Footnote Reference/,Footnote symbol,Odwołanie przypisu,Times 10 Point,Exposant 3 Point,footnote ref, Exposant 3 Point,EN Footnote Reference,number,SUPERS,ftref,Footnote reference number,Ref,B2,BVI fnr,fr"/>
    <w:basedOn w:val="DefaultParagraphFont"/>
    <w:link w:val="BVIfnrCarCarCarCarCharCharCharCharCar"/>
    <w:uiPriority w:val="99"/>
    <w:qFormat/>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link w:val="FootnoteReference"/>
    <w:qFormat/>
    <w:pPr>
      <w:spacing w:after="160" w:line="240" w:lineRule="exact"/>
      <w:jc w:val="both"/>
    </w:pPr>
    <w:rPr>
      <w:vertAlign w:val="superscript"/>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Bulle Char"/>
    <w:link w:val="ListParagraph"/>
    <w:uiPriority w:val="34"/>
    <w:qFormat/>
    <w:locked/>
    <w:rPr>
      <w:rFonts w:ascii="Verdana" w:eastAsia="Times New Roman" w:hAnsi="Verdana" w:cs="Times New Roman"/>
      <w:sz w:val="20"/>
      <w:szCs w:val="20"/>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Bulle,2"/>
    <w:basedOn w:val="Normal"/>
    <w:link w:val="ListParagraphChar"/>
    <w:uiPriority w:val="34"/>
    <w:qFormat/>
    <w:pPr>
      <w:spacing w:after="120" w:line="259" w:lineRule="auto"/>
      <w:ind w:left="720"/>
      <w:contextualSpacing/>
      <w:jc w:val="both"/>
    </w:pPr>
    <w:rPr>
      <w:rFonts w:ascii="Verdana" w:eastAsia="Times New Roman" w:hAnsi="Verdana" w:cs="Times New Roman"/>
      <w:sz w:val="20"/>
      <w:szCs w:val="20"/>
      <w:lang w:eastAsia="en-GB"/>
    </w:rPr>
  </w:style>
  <w:style w:type="character" w:styleId="FootnoteReference">
    <w:name w:val="footnote reference"/>
    <w:aliases w:val="Footnote Reference Superscript,Footnote Reference/,Footnote symbol,Odwołanie przypisu,Times 10 Point,Exposant 3 Point,footnote ref, Exposant 3 Point,EN Footnote Reference,number,SUPERS,ftref,Footnote reference number,Ref,B2,BVI fnr,fr"/>
    <w:basedOn w:val="DefaultParagraphFont"/>
    <w:link w:val="BVIfnrCarCarCarCarCharCharCharCharCar"/>
    <w:uiPriority w:val="99"/>
    <w:qFormat/>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link w:val="FootnoteReference"/>
    <w:qFormat/>
    <w:pPr>
      <w:spacing w:after="160" w:line="240" w:lineRule="exact"/>
      <w:jc w:val="both"/>
    </w:pPr>
    <w:rPr>
      <w:vertAlign w:val="superscript"/>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Bulle Char"/>
    <w:link w:val="ListParagraph"/>
    <w:uiPriority w:val="34"/>
    <w:qFormat/>
    <w:locked/>
    <w:rPr>
      <w:rFonts w:ascii="Verdana" w:eastAsia="Times New Roman" w:hAnsi="Verdana" w:cs="Times New Roman"/>
      <w:sz w:val="20"/>
      <w:szCs w:val="20"/>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ews.un.org/en/story/2020/04/1062232"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quineteurope.org/2020/roma-and-traveller-inclusion-towards-a-new-eu-framework/" TargetMode="External"/><Relationship Id="rId13" Type="http://schemas.openxmlformats.org/officeDocument/2006/relationships/hyperlink" Target="https://eeb.org/library/pushed-to-the-wastelands-environmental-racism-against-roma-communities-in-central-and-eastern-europe/" TargetMode="External"/><Relationship Id="rId3" Type="http://schemas.openxmlformats.org/officeDocument/2006/relationships/hyperlink" Target="https://www.europarl.europa.eu/doceo/document/A-8-2017-0294_PL.html" TargetMode="External"/><Relationship Id="rId7" Type="http://schemas.openxmlformats.org/officeDocument/2006/relationships/hyperlink" Target="https://equineteurope.org/2020/roma-and-traveller-inclusion-towards-a-new-eu-framework/" TargetMode="External"/><Relationship Id="rId12" Type="http://schemas.openxmlformats.org/officeDocument/2006/relationships/hyperlink" Target="https://ec.europa.eu/jrc/en/publication/eur-scientific-and-technical-research-reports/digcomp-21-digital-competence-framework-citizens-eight-proficiency-levels-and-examples-usehttps:/ec.europa.eu/jrc/en/publication/eur-scientific-and-technical-research-reports/digcomp-21-digital-competence-framework-citizens-eight-proficiency-levels-and-examples-use" TargetMode="External"/><Relationship Id="rId2" Type="http://schemas.openxmlformats.org/officeDocument/2006/relationships/hyperlink" Target="https://eur-lex.europa.eu/legal-content/PL/TXT/?uri=CELEX:52015IP0095" TargetMode="External"/><Relationship Id="rId16" Type="http://schemas.openxmlformats.org/officeDocument/2006/relationships/hyperlink" Target="https://eur-lex.europa.eu/legal-content/en/TXT/?uri=CELEX:52018PC0382" TargetMode="External"/><Relationship Id="rId1" Type="http://schemas.openxmlformats.org/officeDocument/2006/relationships/hyperlink" Target="https://www.antigypsyism.eu/?page_id=17" TargetMode="External"/><Relationship Id="rId6" Type="http://schemas.openxmlformats.org/officeDocument/2006/relationships/hyperlink" Target="https://rm.coe.int/16800c0adc" TargetMode="External"/><Relationship Id="rId11" Type="http://schemas.openxmlformats.org/officeDocument/2006/relationships/hyperlink" Target="https://ec.europa.eu/jrc/en/publication/eur-scientific-and-technical-research-reports/digcomp-21-digital-competence-framework-citizens-eight-proficiency-levels-and-examples-usehttps:/ec.europa.eu/jrc/en/publication/eur-scientific-and-technical-research-reports/digcomp-21-digital-competence-framework-citizens-eight-proficiency-levels-and-examples-use" TargetMode="External"/><Relationship Id="rId5" Type="http://schemas.openxmlformats.org/officeDocument/2006/relationships/hyperlink" Target="https://www.coe.int/en/web/european-commission-against-racism-and-intolerance/recommendation-no.13" TargetMode="External"/><Relationship Id="rId15" Type="http://schemas.openxmlformats.org/officeDocument/2006/relationships/hyperlink" Target="https://www.ejnet.org/ej/" TargetMode="External"/><Relationship Id="rId10" Type="http://schemas.openxmlformats.org/officeDocument/2006/relationships/hyperlink" Target="https://eur-lex.europa.eu/legal-content/PL/TXT/?qid=1583491875802&amp;uri=CONSIL:ST_6060_2020_REV_1" TargetMode="External"/><Relationship Id="rId4" Type="http://schemas.openxmlformats.org/officeDocument/2006/relationships/hyperlink" Target="https://www.europarl.europa.eu/doceo/document/TA-8-2019-0075_PL.html" TargetMode="External"/><Relationship Id="rId9" Type="http://schemas.openxmlformats.org/officeDocument/2006/relationships/hyperlink" Target="https://ec.europa.eu/info/policies/justice-and-fundamental-rights/combatting-discrimination/roma-and-eu/preparing-post-2020-initiative-roma-equality-and-inclusion_en" TargetMode="External"/><Relationship Id="rId14" Type="http://schemas.openxmlformats.org/officeDocument/2006/relationships/hyperlink" Target="https://eeb.org/library/pushed-to-the-wastelands-environmental-racism-against-roma-communities-in-central-and-easter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E5676-71F1-4003-9A3D-3AB56BCF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3505</Words>
  <Characters>25274</Characters>
  <Application>Microsoft Office Word</Application>
  <DocSecurity>0</DocSecurity>
  <Lines>388</Lines>
  <Paragraphs>145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GEDEI Ottilia (JUST)</dc:creator>
  <cp:keywords/>
  <dc:description/>
  <cp:lastModifiedBy>WES PDFC Administrator</cp:lastModifiedBy>
  <cp:revision>12</cp:revision>
  <cp:lastPrinted>2020-07-02T14:49:00Z</cp:lastPrinted>
  <dcterms:created xsi:type="dcterms:W3CDTF">2020-10-06T07:51:00Z</dcterms:created>
  <dcterms:modified xsi:type="dcterms:W3CDTF">2020-10-16T15:53:00Z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7.0.1, Build 20190916</vt:lpwstr>
  </property>
  <property fmtid="{D5CDD505-2E9C-101B-9397-08002B2CF9AE}" pid="11" name="Created using">
    <vt:lpwstr>LW 7.0, Build 20190717</vt:lpwstr>
  </property>
</Properties>
</file>