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8D24B59-BB62-4691-989B-BF8B37AE66FD" style="width:450.8pt;height:307.5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ListParagraph"/>
        <w:numPr>
          <w:ilvl w:val="0"/>
          <w:numId w:val="2"/>
        </w:numPr>
        <w:spacing w:before="240" w:after="240"/>
        <w:ind w:left="1077"/>
        <w:contextualSpacing w:val="0"/>
        <w:jc w:val="both"/>
        <w:rPr>
          <w:rFonts w:ascii="Times New Roman" w:hAnsi="Times New Roman" w:cs="Times New Roman"/>
          <w:b/>
          <w:noProof/>
          <w:sz w:val="24"/>
        </w:rPr>
      </w:pPr>
      <w:bookmarkStart w:id="1" w:name="_GoBack"/>
      <w:bookmarkEnd w:id="1"/>
      <w:r>
        <w:rPr>
          <w:rFonts w:ascii="Times New Roman" w:hAnsi="Times New Roman"/>
          <w:b/>
          <w:noProof/>
          <w:sz w:val="24"/>
        </w:rPr>
        <w:lastRenderedPageBreak/>
        <w:t xml:space="preserve">JOHDANTO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 xml:space="preserve">Sotilaallista liikkuvuutta koskeva aloite on keskeisessä asemassa sotilashenkilöstön, </w:t>
      </w:r>
      <w:r>
        <w:rPr>
          <w:rFonts w:ascii="Times New Roman" w:hAnsi="Times New Roman"/>
          <w:noProof/>
        </w:rPr>
        <w:noBreakHyphen/>
        <w:t xml:space="preserve">varustuksen ja </w:t>
      </w:r>
      <w:r>
        <w:rPr>
          <w:rFonts w:ascii="Times New Roman" w:hAnsi="Times New Roman"/>
          <w:noProof/>
        </w:rPr>
        <w:noBreakHyphen/>
        <w:t>tarvikkeiden nopean ja saumattoman liikkuvuuden mahdollistamisessa sekä rutiinitoimintaa varten että kriisien ja konfliktien aikana EU:ssa ja sen ulkopuolella. Se on tärkeä myös covid-19:n aiheuttamissa kriisiolosuhteissa, koska se vahvistaa unionin yleistä valmiutta ja kriisinsietokykyä. Lisäksi aloite voi edistää EU:n kriittisten alojen, kuten puolustuksen ja liikenteen, talouden elpymistä pandemian jälkeisessä tilanteessa erityisesti julkisten investointien avulla.</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Sotilaallista liikkuvuutta koskeva aloite käynnistettiin 10. marraskuuta 2017</w:t>
      </w:r>
      <w:r>
        <w:rPr>
          <w:rStyle w:val="FootnoteReference"/>
          <w:rFonts w:ascii="Times New Roman" w:hAnsi="Times New Roman" w:cs="Times New Roman"/>
          <w:noProof/>
        </w:rPr>
        <w:footnoteReference w:id="1"/>
      </w:r>
      <w:r>
        <w:rPr>
          <w:rFonts w:ascii="Times New Roman" w:hAnsi="Times New Roman"/>
          <w:noProof/>
        </w:rPr>
        <w:t>, ja sitä kehiteltiin edelleen EU:n sotilaallisen liikkuvuuden toimintasuunnitelmassa, jäljempänä ’toimintasuunnitelma’, joka annettiin 28. maaliskuuta 2018</w:t>
      </w:r>
      <w:r>
        <w:rPr>
          <w:rStyle w:val="FootnoteReference"/>
          <w:rFonts w:ascii="Times New Roman" w:hAnsi="Times New Roman" w:cs="Times New Roman"/>
          <w:noProof/>
        </w:rPr>
        <w:footnoteReference w:id="2"/>
      </w:r>
      <w:r>
        <w:rPr>
          <w:rFonts w:ascii="Times New Roman" w:hAnsi="Times New Roman"/>
          <w:noProof/>
        </w:rPr>
        <w:t xml:space="preserve">. Se puuttuu kolmeen keskeiseen osa-alueeseen – liikenneinfrastruktuuriin, sääntelyllisiin ja menettelyllisiin kysymyksiin sekä muihin monialaisiin aiheisiin – edistämällä siviili- ja sotilasalan synergioita ja hyödyntämällä nykyisiä politiikkoja ja välineitä. Se keskittyy unionin tuomaan lisäarvoon, joka mahdollistaa EU:n jäsenvaltioille nopeamman ja vaikuttavamman toiminnan yhteisen turvallisuus- ja puolustuspolitiikan alalla niin kansallisissa kuin monikansallisissakin toimissa.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Puheenjohtaja von der Leyen on korostanut, että EU:n on välttämätöntä perustaa todellinen Euroopan puolustusunioni.</w:t>
      </w:r>
      <w:r>
        <w:rPr>
          <w:rStyle w:val="FootnoteReference"/>
          <w:rFonts w:ascii="Times New Roman" w:hAnsi="Times New Roman" w:cs="Times New Roman"/>
          <w:noProof/>
          <w:lang w:val="en-IE"/>
        </w:rPr>
        <w:footnoteReference w:id="3"/>
      </w:r>
      <w:r>
        <w:rPr>
          <w:rFonts w:ascii="Times New Roman" w:hAnsi="Times New Roman"/>
          <w:noProof/>
        </w:rPr>
        <w:t xml:space="preserve"> Korkean edustajan ja komission esittämä toimintasuunnitelma on yksi puolustusunionin mahdollisista rakenneosista. Lisäksi toimintasuunnitelma edistää sen tavoitetason saavuttamista turvallisuus- ja puolustuspolitiikan alalla, jonka neuvosto asetti 14. marraskuuta 2016</w:t>
      </w:r>
      <w:r>
        <w:rPr>
          <w:rStyle w:val="FootnoteReference"/>
          <w:rFonts w:ascii="Times New Roman" w:hAnsi="Times New Roman" w:cs="Times New Roman"/>
          <w:noProof/>
        </w:rPr>
        <w:footnoteReference w:id="4"/>
      </w:r>
      <w:r>
        <w:rPr>
          <w:rFonts w:ascii="Times New Roman" w:hAnsi="Times New Roman"/>
          <w:noProof/>
        </w:rPr>
        <w:t xml:space="preserve"> sen jälkeen, kun EU:n ulko- ja turvallisuuspoliittinen globaalistrategia julkistettiin kesäkuussa 2016</w:t>
      </w:r>
      <w:r>
        <w:rPr>
          <w:rStyle w:val="FootnoteReference"/>
          <w:rFonts w:ascii="Times New Roman" w:hAnsi="Times New Roman" w:cs="Times New Roman"/>
          <w:noProof/>
        </w:rPr>
        <w:footnoteReference w:id="5"/>
      </w:r>
      <w:r>
        <w:rPr>
          <w:rFonts w:ascii="Times New Roman" w:hAnsi="Times New Roman"/>
          <w:noProof/>
        </w:rPr>
        <w:t>.</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Toimintasuunnitelmaa toteutetaan koordinoidusti suhteessa pysyvään rakenteelliseen yhteistyöhön, myös hanketasolla, ja se on yhteneväinen EU:n jäsenvaltioiden 25. kesäkuuta 2018 hyväksymien</w:t>
      </w:r>
      <w:r>
        <w:rPr>
          <w:rStyle w:val="FootnoteReference"/>
          <w:rFonts w:ascii="Times New Roman" w:hAnsi="Times New Roman" w:cs="Times New Roman"/>
          <w:noProof/>
        </w:rPr>
        <w:footnoteReference w:id="6"/>
      </w:r>
      <w:r>
        <w:rPr>
          <w:rFonts w:ascii="Times New Roman" w:hAnsi="Times New Roman"/>
          <w:noProof/>
        </w:rPr>
        <w:t xml:space="preserve"> konkreettisten toimenpiteiden kanssa. Koska kyseessä on EU:n ja Naton yhteistyön lippulaivahanke, EU:n ja Naton henkilöstön välinen tehokas vuorovaikutus sotilaallisen liikkuvuuden saralla jatkuu konkreettisten tulosten pohjalta hyödyntäen aiemmin saavutettuja tuloksia, erityisesti EU:n ja Naton sotilasalan toiminnan perustana olevien sotilaallisten vaatimusten johdonmukaisuutta. Tämä yhteistyö jatkuu osana Varsovan ja Brysselin yhteisten julistusten</w:t>
      </w:r>
      <w:r>
        <w:rPr>
          <w:rStyle w:val="FootnoteReference"/>
          <w:rFonts w:ascii="Times New Roman" w:hAnsi="Times New Roman" w:cs="Times New Roman"/>
          <w:noProof/>
        </w:rPr>
        <w:footnoteReference w:id="7"/>
      </w:r>
      <w:r>
        <w:rPr>
          <w:rFonts w:ascii="Times New Roman" w:hAnsi="Times New Roman"/>
          <w:noProof/>
        </w:rPr>
        <w:t xml:space="preserve"> toimeenpanoa, niihin liittyviä yhteisiä ehdotuksia</w:t>
      </w:r>
      <w:r>
        <w:rPr>
          <w:rStyle w:val="FootnoteReference"/>
          <w:rFonts w:ascii="Times New Roman" w:hAnsi="Times New Roman" w:cs="Times New Roman"/>
          <w:noProof/>
        </w:rPr>
        <w:footnoteReference w:id="8"/>
      </w:r>
      <w:r>
        <w:rPr>
          <w:rFonts w:ascii="Times New Roman" w:hAnsi="Times New Roman"/>
          <w:noProof/>
        </w:rPr>
        <w:t xml:space="preserve"> ja niiden seurauksena aloitettua sotilaallista liikkuvuutta koskevaa vakiintunutta jäsenneltyä vuoropuhelua henkilöstön tasolla. Sotilaallista liikkuvuutta koskevaa jäsenneltyä vuoropuhelua käsitellään yksityiskohtaisemmin viimeisimmässä, viidennessä EU:n ja Naton yhteistyötä koskevassa tilanneselvityksessä</w:t>
      </w:r>
      <w:r>
        <w:rPr>
          <w:rStyle w:val="FootnoteReference"/>
          <w:rFonts w:ascii="Times New Roman" w:hAnsi="Times New Roman" w:cs="Times New Roman"/>
          <w:noProof/>
        </w:rPr>
        <w:footnoteReference w:id="9"/>
      </w:r>
      <w:r>
        <w:rPr>
          <w:rFonts w:ascii="Times New Roman" w:hAnsi="Times New Roman"/>
          <w:noProof/>
        </w:rPr>
        <w: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Toimintasuunnitelman toimeenpanon edistyminen on jatkunut hyvin tiiviin ja jatkuvan yhteistyön ansiosta. Siihen ovat osallistuneet komission yksiköt, Euroopan ulkosuhdehallinto, myös EU:n sotilasesikunta, Euroopan puolustusvirasto ja täysimääräisesti EU:n jäsenvaltiot, jotka ovat soveltaneet koko hallinnon kattavaa toimintatapaa, joka kunnioittaa kuitenkin niiden kansallista itsemääräämis- ja päätöksenteko-oikeutta.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Toimintasuunnitelmassa kehotetaan korkeaa edustajaa ja komissiota esittämään tilanneselvityksiä määräajoin</w:t>
      </w:r>
      <w:r>
        <w:rPr>
          <w:rStyle w:val="FootnoteReference"/>
          <w:rFonts w:ascii="Times New Roman" w:hAnsi="Times New Roman" w:cs="Times New Roman"/>
          <w:noProof/>
        </w:rPr>
        <w:footnoteReference w:id="10"/>
      </w:r>
      <w:r>
        <w:rPr>
          <w:rFonts w:ascii="Times New Roman" w:hAnsi="Times New Roman"/>
          <w:noProof/>
        </w:rPr>
        <w:t>. Ensimmäinen yhteinen tilanneselvitys sotilaallisen liikkuvuuden toimintasuunnitelman toimeenpanosta, jäljempänä ’selvitys’, esitettiin 3. kesäkuuta 2019</w:t>
      </w:r>
      <w:r>
        <w:rPr>
          <w:rStyle w:val="FootnoteReference"/>
          <w:rFonts w:ascii="Times New Roman" w:hAnsi="Times New Roman" w:cs="Times New Roman"/>
          <w:noProof/>
        </w:rPr>
        <w:footnoteReference w:id="11"/>
      </w:r>
      <w:r>
        <w:rPr>
          <w:rFonts w:ascii="Times New Roman" w:hAnsi="Times New Roman"/>
          <w:noProof/>
        </w:rPr>
        <w:t>. Selvityksessä todettiin, että kaikilla aloilla oli edistytty merkittävästi ja konkreettisesti. Lisäksi siinä tarkennettiin, että seuraava tilanneselvitys esitettäisiin kesän 2020 loppuun mennessä. Neuvosto suhtautui myönteisesti selvitykseen ja siihen, että keskeisillä aloilla saavutettiin hyvää edistystä ja konkreettisia tuloksia</w:t>
      </w:r>
      <w:r>
        <w:rPr>
          <w:rStyle w:val="FootnoteReference"/>
          <w:rFonts w:ascii="Times New Roman" w:hAnsi="Times New Roman" w:cs="Times New Roman"/>
          <w:noProof/>
        </w:rPr>
        <w:footnoteReference w:id="12"/>
      </w:r>
      <w:r>
        <w:rPr>
          <w:rFonts w:ascii="Times New Roman" w:hAnsi="Times New Roman"/>
          <w:noProof/>
        </w:rPr>
        <w: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Tämä toinen selvitys täydentää Euroopan puolustusviraston toista vuosikertomusta sotilaallisesta liikkuvuudesta</w:t>
      </w:r>
      <w:r>
        <w:rPr>
          <w:rStyle w:val="FootnoteReference"/>
          <w:rFonts w:ascii="Times New Roman" w:hAnsi="Times New Roman" w:cs="Times New Roman"/>
          <w:noProof/>
        </w:rPr>
        <w:footnoteReference w:id="13"/>
      </w:r>
      <w:r>
        <w:rPr>
          <w:rFonts w:ascii="Times New Roman" w:hAnsi="Times New Roman"/>
          <w:noProof/>
        </w:rPr>
        <w:t>, johon viraston johtokunta ilmaisi tyytyväisyytensä 25. toukokuuta 2020.</w:t>
      </w:r>
    </w:p>
    <w:p>
      <w:pPr>
        <w:pStyle w:val="ListParagraph"/>
        <w:rPr>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SOTILAALLISET VAATIMUKSET SOTILAALLISTA LIIKKUVUUTTA VARTEN EU:SSA JA SEN ULKOPUOLELLA</w:t>
      </w:r>
    </w:p>
    <w:p>
      <w:pPr>
        <w:pStyle w:val="ListParagraph"/>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Sotilaallisten vaatimusten ajantasaistaminen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Poliittisten ja turvallisuusasioiden komitea pyysi 8. toukokuuta 2019 Euroopan ulkosuhdehallintoa ja EU:n sotilasesikuntaa ajantasaistamaan sotilaallisten vaatimusten liikenneinfrastruktuuria koskevia parametreja ja maantieteellisiä tietoja sotilaallista liikkuvuutta varten EU:ssa ja sen ulkopuolella</w:t>
      </w:r>
      <w:r>
        <w:rPr>
          <w:rStyle w:val="FootnoteReference"/>
          <w:rFonts w:ascii="Times New Roman" w:hAnsi="Times New Roman" w:cs="Times New Roman"/>
          <w:noProof/>
        </w:rPr>
        <w:footnoteReference w:id="14"/>
      </w:r>
      <w:r>
        <w:rPr>
          <w:rFonts w:ascii="Times New Roman" w:hAnsi="Times New Roman"/>
          <w:noProof/>
        </w:rPr>
        <w:t>, jäljempänä ’sotilaalliset vaatimukset’. Neuvosto hyväksyi 15. heinäkuuta 2019 päivitetyt sotilaalliset vaatimukset, jotka sotilasesikunta laati tiiviissä yhteistyössä komission yksiköiden, Euroopan puolustusviraston ja EU:n jäsenvaltioiden kanssa. Maantieteellisten tietojen päivitys mahdollisti EU:n jäsenvaltioille sotilasliikenneverkon tiettyihin osiin (esimerkiksi puuttuviin yhteyksiin ja rajat ylittäviin osiin) liittyvien tietojen tarkastelun ja oikaisun sekä teknisten vaatimusten tarkemman, koko hallinnon kattavan tarkastelun, johon osallistuvat myös puolustusministeriöiden ulkopuoliset toimivaltaiset viranomaiset. Nato antoi kokonaistyöhön tietoja, ja se toteutettiin tarvittaessa koordinoidusti Naton kanssa henkilöstön tasolla</w:t>
      </w:r>
      <w:r>
        <w:rPr>
          <w:rFonts w:ascii="Times New Roman" w:hAnsi="Times New Roman" w:cs="Times New Roman"/>
          <w:noProof/>
          <w:vertAlign w:val="superscript"/>
        </w:rPr>
        <w:footnoteReference w:id="15"/>
      </w:r>
      <w:r>
        <w:rPr>
          <w:rFonts w:ascii="Times New Roman" w:hAnsi="Times New Roman"/>
          <w:noProof/>
        </w:rPr>
        <w: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Sotilaallisten vaatimusten ajantasaistaminen on luonut vankan perustan toimintasuunnitelman toimeenpanon seuraaville vaiheille infrastruktuurin alalla. Tämä koskee erityisesti puuteanalyysin sekä Verkkojen Eurooppa 2021–2027 </w:t>
      </w:r>
      <w:r>
        <w:rPr>
          <w:rFonts w:ascii="Times New Roman" w:hAnsi="Times New Roman"/>
          <w:noProof/>
        </w:rPr>
        <w:noBreakHyphen/>
        <w:t>välineellä kaksikäyttöiselle liikenneinfrastruktuurille myönnettävän rahoituksen kaksikäyttöisyyttä koskevien vaatimusten ajantasaistamista (ks. kohdat 14–20 jäljempänä).</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LIIKENNEINFRASTRUKTUURI</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Koska asevoimat tarvitsevat siviililiikenteen infrastruktuuria liikkumiseen, Euroopan laajuisen liikenneverkon ja sotilaallisten tarpeiden välisten synergioiden lisääminen on yksi toimintasuunnitelman keskeisistä pilareista.</w:t>
      </w:r>
    </w:p>
    <w:p>
      <w:pPr>
        <w:numPr>
          <w:ilvl w:val="0"/>
          <w:numId w:val="5"/>
        </w:numPr>
        <w:spacing w:before="240" w:after="240" w:line="259" w:lineRule="auto"/>
        <w:jc w:val="both"/>
        <w:rPr>
          <w:rFonts w:ascii="Times New Roman" w:hAnsi="Times New Roman" w:cs="Times New Roman"/>
          <w:b/>
          <w:noProof/>
          <w:sz w:val="24"/>
        </w:rPr>
      </w:pPr>
      <w:r>
        <w:rPr>
          <w:rFonts w:ascii="Times New Roman" w:hAnsi="Times New Roman"/>
          <w:b/>
          <w:noProof/>
          <w:sz w:val="24"/>
        </w:rPr>
        <w:t>Kaksikäyttöisen liikenneinfrastruktuurin rahoitus</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 xml:space="preserve">Kevääseen 2019 mennessä lainsäätäjät olivat päässeet yhteisymmärrykseen ja hyväksyneet ehdotetun Verkkojen Eurooppa 2021–2027 </w:t>
      </w:r>
      <w:r>
        <w:rPr>
          <w:rFonts w:ascii="Times New Roman" w:hAnsi="Times New Roman"/>
          <w:noProof/>
        </w:rPr>
        <w:noBreakHyphen/>
        <w:t>välineen asetustekstin, joka sisälsi tarvittavat säännökset kaksikäyttöistä liikenneinfrastruktuuria koskevien hankkeiden rahoittamiseen (sekä olemassa olevan infrastruktuurin päivittämistä että uuden infrastruktuurin rakentamista varten)</w:t>
      </w:r>
      <w:r>
        <w:rPr>
          <w:rFonts w:ascii="Times New Roman" w:hAnsi="Times New Roman" w:cs="Times New Roman"/>
          <w:noProof/>
          <w:vertAlign w:val="superscript"/>
        </w:rPr>
        <w:footnoteReference w:id="16"/>
      </w:r>
      <w:r>
        <w:rPr>
          <w:rFonts w:ascii="Times New Roman" w:hAnsi="Times New Roman"/>
          <w:noProof/>
        </w:rPr>
        <w:t xml:space="preserve">. Lopullinen päätös verkkojen Eurooppa </w:t>
      </w:r>
      <w:r>
        <w:rPr>
          <w:rFonts w:ascii="Times New Roman" w:hAnsi="Times New Roman"/>
          <w:noProof/>
        </w:rPr>
        <w:noBreakHyphen/>
        <w:t>välineelle vuosiksi 2021–2027 osoitettavista määrärahoista jätettiin tehtäväksi vuosien 2021–2027 monivuotista rahoituskehystä koskevissa neuvotteluissa.</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 xml:space="preserve">Eurooppa-neuvosto pääsi 21. heinäkuuta 2020 yhteisymmärrykseen EU:n uudesta pitkän aikavälin talousarviosta. Siinä kohdennetaan 1,5 miljardia euroa (1,69 miljardia euroa käypinä hintoina) sotilaalliseen liikkuvuuteen Verkkojen Eurooppa 2021–2027 </w:t>
      </w:r>
      <w:r>
        <w:rPr>
          <w:rFonts w:ascii="Times New Roman" w:hAnsi="Times New Roman"/>
          <w:noProof/>
        </w:rPr>
        <w:noBreakHyphen/>
        <w:t>välineen puitteissa</w:t>
      </w:r>
      <w:r>
        <w:rPr>
          <w:rFonts w:ascii="Times New Roman" w:hAnsi="Times New Roman" w:cs="Times New Roman"/>
          <w:noProof/>
          <w:vertAlign w:val="superscript"/>
        </w:rPr>
        <w:footnoteReference w:id="17"/>
      </w:r>
      <w:r>
        <w:rPr>
          <w:rFonts w:ascii="Times New Roman" w:hAnsi="Times New Roman"/>
          <w:noProof/>
        </w:rPr>
        <w:t xml:space="preserve">. Sopimus on odottanut Euroopan parlamentin hyväksyntää syyskuusta 2020 lähtien. </w:t>
      </w:r>
    </w:p>
    <w:p>
      <w:pPr>
        <w:ind w:firstLine="357"/>
        <w:jc w:val="both"/>
        <w:rPr>
          <w:rFonts w:ascii="Times New Roman" w:hAnsi="Times New Roman" w:cs="Times New Roman"/>
          <w:i/>
          <w:noProof/>
          <w:u w:val="single"/>
        </w:rPr>
      </w:pPr>
      <w:r>
        <w:rPr>
          <w:rFonts w:ascii="Times New Roman" w:hAnsi="Times New Roman"/>
          <w:i/>
          <w:noProof/>
          <w:u w:val="single"/>
        </w:rPr>
        <w:t>Sotilaallisten vaatimusten ajantasaistaminen</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Sotilaallisten vaatimusten ja Euroopan laajuisen liikenneverkon vaatimusten välisessä alkuperäisessä puuteanalyysissä havaittiin puutteita siviili- ja sotilasalan infrastruktuurivaatimuksissa sekä puuttuvia yhteyksiä sotilasliikenneverkossa</w:t>
      </w:r>
      <w:r>
        <w:rPr>
          <w:rFonts w:ascii="Times New Roman" w:hAnsi="Times New Roman" w:cs="Times New Roman"/>
          <w:noProof/>
          <w:vertAlign w:val="superscript"/>
        </w:rPr>
        <w:footnoteReference w:id="18"/>
      </w:r>
      <w:r>
        <w:rPr>
          <w:rFonts w:ascii="Times New Roman" w:hAnsi="Times New Roman"/>
          <w:noProof/>
        </w:rPr>
        <w:t>. Alustavan puuteanalyysin päätelmät johtivat päätökseen sotilasvaatimusten päivittämisestä. Neuvoston 15. heinäkuuta 2019 hyväksymä päivitetty sotilaallisia vaatimuksia koskeva asiakirja</w:t>
      </w:r>
      <w:r>
        <w:rPr>
          <w:rFonts w:ascii="Times New Roman" w:hAnsi="Times New Roman" w:cs="Times New Roman"/>
          <w:noProof/>
          <w:vertAlign w:val="superscript"/>
        </w:rPr>
        <w:footnoteReference w:id="19"/>
      </w:r>
      <w:r>
        <w:rPr>
          <w:rFonts w:ascii="Times New Roman" w:hAnsi="Times New Roman"/>
          <w:noProof/>
        </w:rPr>
        <w:t xml:space="preserve"> sisältää yleisten infrastruktuurivaatimusten ja strategisten maantieteellisten tietojen tarkistuksia (ks. kohdat 8–9 edellä).</w:t>
      </w:r>
    </w:p>
    <w:p>
      <w:pPr>
        <w:ind w:firstLine="357"/>
        <w:jc w:val="both"/>
        <w:rPr>
          <w:rFonts w:ascii="Times New Roman" w:hAnsi="Times New Roman" w:cs="Times New Roman"/>
          <w:i/>
          <w:noProof/>
          <w:u w:val="single"/>
        </w:rPr>
      </w:pPr>
      <w:r>
        <w:rPr>
          <w:rFonts w:ascii="Times New Roman" w:hAnsi="Times New Roman"/>
          <w:i/>
          <w:noProof/>
          <w:u w:val="single"/>
        </w:rPr>
        <w:t>Päivitetty puuteanalyysi</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Sen jälkeen, kun sotilaalliset vaatimukset oli päivitetty, ja Yhdistynyt kuningaskunta erosi EU:sta 31. tammikuuta 2020, komission yksiköt ja Euroopan ulkosuhdehallinto toimittivat neuvostolle päivitetyn sotilaallisten vaatimusten ja Euroopan laajuisen liikenneverkon vaatimusten välisen puuteanalyysin 17. heinäkuuta 2020</w:t>
      </w:r>
      <w:r>
        <w:rPr>
          <w:rFonts w:ascii="Times New Roman" w:hAnsi="Times New Roman" w:cs="Times New Roman"/>
          <w:noProof/>
          <w:vertAlign w:val="superscript"/>
        </w:rPr>
        <w:footnoteReference w:id="20"/>
      </w:r>
      <w:r>
        <w:rPr>
          <w:rFonts w:ascii="Times New Roman" w:hAnsi="Times New Roman"/>
          <w:noProof/>
        </w:rPr>
        <w:t>.</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Päivitetyssä puuteanalyysissä todetaan, että sotilaallisten vaatimusten ajantasaistamisella on ollut myönteisiä vaikutuksia sotilaalliseen liikkuvuuteen EU:ssa ja sen ulkopuolella. Ensinnäkin siviili- ja sotilasalan teknisten infrastruktuurivaatimusten välillä on nyt vähemmän puutteita, ja jäljellä olevat puutteet ovat joissakin tapauksissa vähemmän vakavia. Tämän seurauksena sotilaallista liikkuvuutta koskevia lieventäviä toimenpiteitä tarvitaan nyt vähemmän. Toiseksi sotilasliikenneverkon kokonaispituus on kasvanut ja solmupisteiden määrä lisääntynyt. Osa sotilasliikenneverkon parannuksista on auttanut vähentämään puuttuvien rajat ylittävien yhteyksien määrää. Vaikka sotilasliikenneverkon ja Euroopan laajuisen liikenneverkon päällekkäisyys on vähentynyt hieman, 94 prosentista 93 prosenttiin, sen taso on edelleen hyvin korkea.</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 xml:space="preserve">Lisäksi sotilaallisen liikenneverkon laajentumisen vuoksi entistä useampia liikenneinfrastruktuurihankkeita voitaisiin nyt mahdollisesti rahoittaa tulevien Verkkojen Eurooppa </w:t>
      </w:r>
      <w:r>
        <w:rPr>
          <w:rFonts w:ascii="Times New Roman" w:hAnsi="Times New Roman"/>
          <w:noProof/>
        </w:rPr>
        <w:noBreakHyphen/>
        <w:t>välineen sotilaallista liikkuvuutta koskevien ehdotuspyyntöjen kautta.</w:t>
      </w:r>
    </w:p>
    <w:p>
      <w:pPr>
        <w:ind w:firstLine="357"/>
        <w:jc w:val="both"/>
        <w:rPr>
          <w:rFonts w:ascii="Times New Roman" w:hAnsi="Times New Roman" w:cs="Times New Roman"/>
          <w:i/>
          <w:noProof/>
          <w:u w:val="single"/>
        </w:rPr>
      </w:pPr>
      <w:r>
        <w:rPr>
          <w:rFonts w:ascii="Times New Roman" w:hAnsi="Times New Roman"/>
          <w:i/>
          <w:noProof/>
          <w:u w:val="single"/>
        </w:rPr>
        <w:t>Kaksikäyttöisyyttä koskevat vaatimukset</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 xml:space="preserve">Lainsäätäjien hyväksymän Verkkojen Eurooppa 2021–2027 </w:t>
      </w:r>
      <w:r>
        <w:rPr>
          <w:rFonts w:ascii="Times New Roman" w:hAnsi="Times New Roman"/>
          <w:noProof/>
        </w:rPr>
        <w:noBreakHyphen/>
        <w:t xml:space="preserve">välineen asetustekstissä säädetään, että komissio antaa täytäntöönpanoasetuksen, jossa täsmennetään kaksikäyttöiseen infrastruktuuriin sovellettavia vaatimuksia. Vaikka Verkkojen Eurooppa 2021–2027 </w:t>
      </w:r>
      <w:r>
        <w:rPr>
          <w:rFonts w:ascii="Times New Roman" w:hAnsi="Times New Roman"/>
          <w:noProof/>
        </w:rPr>
        <w:noBreakHyphen/>
        <w:t xml:space="preserve">välinettä koskevaa asetusta ei ole vielä hyväksytty, komission yksiköt ovat aloittaneet kaksikäyttöisyyden vaatimuksia koskevan täytäntöönpanoasetuksen valmisteluprosessin, jotta rahoitushankkeet voidaan aloittaa mahdollisimman pian vuodesta 2021 alkaen. </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Huhtikuun puolivälistä kesän 2019 loppuun komission yksiköt kuulivat kaikkien liikennemuotojen asiaankuuluvia yhdistyksiä määrittääkseen ylärajat infrastruktuurivaatimuksille, joista olisi hyötyä siviilikäyttöön. Saatuaan liikenneyhdistysten panokset komission yksiköt laativat tiiviissä yhteistyössä Euroopan ulkosuhdehallinnon, myös EU:n sotilasesikunnan, kanssa ja Euroopan lentoturvallisuusvirastoa, Euroopan puolustusvirastoa sekä innovoinnin ja verkkojen toimeenpanovirastoa kuullen ensimmäisen luonnoksen kaksikäyttöisyyttä koskevista vaatimuksista. Luonnos perustui sotilaallisissa vaatimuksissa määriteltyjen infrastruktuuriparametrien ja kuljetusjärjestöjen huomioiden väliseen päällekkäisyyteen.</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 xml:space="preserve">Kaksikäyttöisyyden vaatimuksia koskevaa luonnosta paranneltiin kolmessa kokouksessa, joihin osallistui Euroopan laajuista liikenneverkkoa käsittelevän komitean jäseniä ja EU:n jäsenvaltioiden puolustusministeriöiden asiantuntijoita. Kokoukset järjestettiin syyskuun 2019 ja tammikuun 2020 välisenä aikana. Viimeisessä kokouksessa laadittiin luonnos, jonka EU:n jäsenvaltiot hyväksyivät epävirallisesti. Komission yksiköt lähettivät 17. heinäkuuta 2020 täytäntöönpanoasetuksen luonnoksen EU:n jäsenvaltioille kommentoitavaksi, jotta se voitaisiin hyväksyä heti, kun Verkkojen Eurooppa 2021–2027 </w:t>
      </w:r>
      <w:r>
        <w:rPr>
          <w:rFonts w:ascii="Times New Roman" w:hAnsi="Times New Roman"/>
          <w:noProof/>
        </w:rPr>
        <w:noBreakHyphen/>
        <w:t xml:space="preserve">väline tulee voimaan. </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Kaksikäyttöisyyden vaatimuksista tulee tulevaisuuden infrastruktuurisuunnittelun vertailukohta EU:n jäsenvaltioille, jotka haluavat hyödyntää siviili- ja sotilaallisen liikkuvuuden välisiä synergioita.</w:t>
      </w:r>
    </w:p>
    <w:p>
      <w:pPr>
        <w:ind w:firstLine="357"/>
        <w:jc w:val="both"/>
        <w:rPr>
          <w:rFonts w:ascii="Times New Roman" w:hAnsi="Times New Roman" w:cs="Times New Roman"/>
          <w:i/>
          <w:noProof/>
          <w:u w:val="single"/>
        </w:rPr>
      </w:pPr>
      <w:r>
        <w:rPr>
          <w:rFonts w:ascii="Times New Roman" w:hAnsi="Times New Roman"/>
          <w:i/>
          <w:noProof/>
          <w:u w:val="single"/>
        </w:rPr>
        <w:t>Kaksikäyttöä koskeva hankekokonaisuus</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Komission yksiköt olivat kehottaneet EU:n jäsenvaltioita määrittämään ensisijaiset kaksikäyttöä koskevat hankkeensa ja esittämään ne vuoden 2020 ensimmäisellä puoliskolla, jotta komission yksiköt voisivat tiiviissä yhteistyössä Euroopan ulkosuhdehallinnon, myös EU:n sotilasesikunnan, kanssa valmistella kaksikäyttötarpeita koskeville hankkeille Euroopan tason hankekokonaisuuden.</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Valmistelu edistyi hyvin vuonna 2019, mistä esimerkkinä on kaksikäyttöä koskevien vaatimusten epävirallinen viimeistely tammikuussa 2020, mutta hankekokonaisuuden valmisteluprosessi on hidastunut vuonna 2020 covid-19-epidemian johdosta. Komission yksiköt kuitenkin jatkavat työtään varmistaakseen, että hankekokonaisuus saadaan valmiiksi suunnitellusti vuoden 2020 loppuun mennessä. Tähän mennessä on pidetty useita kokouksia, ja alustavien suuntausten perusteella EU:n jäsenvaltiot ovat erittäin kiinnostuneita asiasta.</w:t>
      </w:r>
    </w:p>
    <w:p>
      <w:pPr>
        <w:keepNext/>
        <w:numPr>
          <w:ilvl w:val="0"/>
          <w:numId w:val="1"/>
        </w:numPr>
        <w:spacing w:after="160" w:line="259" w:lineRule="auto"/>
        <w:ind w:left="714" w:hanging="357"/>
        <w:jc w:val="both"/>
        <w:rPr>
          <w:rFonts w:ascii="Times New Roman" w:hAnsi="Times New Roman" w:cs="Times New Roman"/>
          <w:noProof/>
        </w:rPr>
      </w:pPr>
      <w:r>
        <w:rPr>
          <w:rFonts w:ascii="Times New Roman" w:hAnsi="Times New Roman"/>
          <w:noProof/>
        </w:rPr>
        <w:t>Kuten jo mainittiin, Eurooppa-neuvosto on hyväksynyt kaksikäyttöisen liikenneinfrastruktuurin rahoitusta koskevan talousarvion, jonka määrä on 1,69 miljardia euroa</w:t>
      </w:r>
      <w:r>
        <w:rPr>
          <w:rStyle w:val="FootnoteReference"/>
          <w:rFonts w:ascii="Times New Roman" w:hAnsi="Times New Roman" w:cs="Times New Roman"/>
          <w:noProof/>
        </w:rPr>
        <w:footnoteReference w:id="21"/>
      </w:r>
      <w:r>
        <w:rPr>
          <w:rFonts w:ascii="Times New Roman" w:hAnsi="Times New Roman"/>
          <w:noProof/>
        </w:rPr>
        <w:t>. Koska jäsenvaltiot ovat erittäin kiinnostuneita aiheesta ja valmiita investoimaan siihen, talousarvio auttaa piristämään taloutta ja edistää siten myös covid-19-kriisistä toipumista etenkin, jos hankkeiden rahoitusta voitaisiin aikaistaa.</w:t>
      </w:r>
    </w:p>
    <w:p>
      <w:pPr>
        <w:numPr>
          <w:ilvl w:val="0"/>
          <w:numId w:val="5"/>
        </w:numPr>
        <w:spacing w:before="240" w:after="240" w:line="259" w:lineRule="auto"/>
        <w:ind w:left="1434" w:hanging="357"/>
        <w:jc w:val="both"/>
        <w:rPr>
          <w:rFonts w:ascii="Times New Roman" w:hAnsi="Times New Roman" w:cs="Times New Roman"/>
          <w:b/>
          <w:noProof/>
          <w:sz w:val="24"/>
        </w:rPr>
      </w:pPr>
      <w:r>
        <w:rPr>
          <w:rFonts w:ascii="Times New Roman" w:hAnsi="Times New Roman"/>
          <w:b/>
          <w:noProof/>
          <w:sz w:val="24"/>
        </w:rPr>
        <w:t>Euroopan laajuista liikenneverkkoa koskevan asetuksen tarkistaminen</w:t>
      </w:r>
      <w:r>
        <w:rPr>
          <w:rFonts w:ascii="Times New Roman" w:hAnsi="Times New Roman" w:cs="Times New Roman"/>
          <w:b/>
          <w:noProof/>
          <w:sz w:val="24"/>
          <w:vertAlign w:val="superscript"/>
        </w:rPr>
        <w:footnoteReference w:id="22"/>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Komission yksiköt pyrkivät saattamaan Euroopan laajuista liikenneverkkoa koskevan asetuksen tarkistusprosessin päätökseen marraskuun 2020 loppuun mennessä. Kuten toimintasuunnitelmassa todetaan</w:t>
      </w:r>
      <w:r>
        <w:rPr>
          <w:rStyle w:val="FootnoteReference"/>
          <w:rFonts w:ascii="Times New Roman" w:hAnsi="Times New Roman" w:cs="Times New Roman"/>
          <w:noProof/>
        </w:rPr>
        <w:footnoteReference w:id="23"/>
      </w:r>
      <w:r>
        <w:rPr>
          <w:rFonts w:ascii="Times New Roman" w:hAnsi="Times New Roman"/>
          <w:noProof/>
        </w:rPr>
        <w:t>, siinä arvioidaan tarvetta sisällyttää tarkistettuun asetukseen tiettyjä kaksikäyttöä koskevia vaatimuksia sekä lisätä sotilasliikenneverkon tiettyjä osia Euroopan laajuiseen liikenneverkkoon tapauksissa, joissa on havaittu merkittävä siviililiikenteen määrä.</w:t>
      </w:r>
    </w:p>
    <w:p>
      <w:pPr>
        <w:numPr>
          <w:ilvl w:val="0"/>
          <w:numId w:val="5"/>
        </w:numPr>
        <w:spacing w:before="240" w:after="240" w:line="259" w:lineRule="auto"/>
        <w:ind w:left="1434" w:hanging="357"/>
        <w:jc w:val="both"/>
        <w:rPr>
          <w:rFonts w:ascii="Times New Roman" w:hAnsi="Times New Roman" w:cs="Times New Roman"/>
          <w:b/>
          <w:noProof/>
          <w:sz w:val="24"/>
        </w:rPr>
      </w:pPr>
      <w:r>
        <w:rPr>
          <w:rFonts w:ascii="Times New Roman" w:hAnsi="Times New Roman"/>
          <w:b/>
          <w:noProof/>
          <w:sz w:val="24"/>
        </w:rPr>
        <w:t>TENtec-tietojärjestelmä</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Sen jälkeen, kun neuvosto oli hyväksynyt sotilaallisten vaatimusten alustavan iteroinnin marraskuussa 2018, komission yksiköt lisäsivät sotilaallisen liikenneverkon tiedot interaktiiviseen TENtec-karttavälineeseen</w:t>
      </w:r>
      <w:r>
        <w:rPr>
          <w:rFonts w:ascii="Times New Roman" w:hAnsi="Times New Roman" w:cs="Times New Roman"/>
          <w:noProof/>
          <w:vertAlign w:val="superscript"/>
        </w:rPr>
        <w:footnoteReference w:id="24"/>
      </w:r>
      <w:r>
        <w:rPr>
          <w:rFonts w:ascii="Times New Roman" w:hAnsi="Times New Roman"/>
          <w:noProof/>
        </w:rPr>
        <w:t xml:space="preserve">, mikä mahdollisti EU:n sotilasliikenneverkon kätevän visualisoinnin. Kun sotilasvaatimukset oli päivitetty heinäkuussa 2019, komission yksiköt päivittivät myös sotilaallisen liikenneverkon interaktiivisen karttavälineen. Komission yksiköt päivittivät karttavälineen toiseen kertaan, kun Yhdistynyt kuningaskunta erosi EU:sta tammikuussa 2020. Komission yksiköt selvittävät tapoja parantaa karttavälinettä entisestään. </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 xml:space="preserve">TENtec-karttaväline on saanut myönteistä palautetta, ja se on edelleen EU:n toimielinten henkilöstöjen ja EU:n jäsenvaltioiden edustajien ensisijainen väline EU:n sotilasliikenneverkon tarkasteluun ja analysointiin. </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Mitä toimintasuunnitelmassa mainittuun sotilas- ja siviilitietokantojen mahdolliseen yhdistämiseen tulee, asianomaisten osapuolten kuulemisen odotetaan alkavan vuoden 2020 toisella puoliskolla.</w:t>
      </w:r>
    </w:p>
    <w:p>
      <w:pPr>
        <w:spacing w:after="160" w:line="259" w:lineRule="auto"/>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VAARALLISTEN AINEIDEN KULJETUS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Vaarallisten aineiden kuljetukseen sovellettavien sääntöjen yhdenmukaistaminen entisestään EU:n tasolla hyödyttäisi sotilasalaa. Euroopan puolustusvirasto esitteli vuonna 2019 tutkimuksensa tulokset koskien nykyisiä sotilasalan vaarallisten aineiden kuljetuksiin sovellettavia sääntöjä ja määräyksiä. Tutkimuksessa kartoitettiin kansallisia lainsäädäntökehyksiä keskittyen vaarallisten aineiden kuljettamisen esteisiin ja rajoituksiin.</w:t>
      </w:r>
      <w:r>
        <w:rPr>
          <w:noProof/>
        </w:rPr>
        <w:t xml:space="preserve"> </w:t>
      </w:r>
      <w:r>
        <w:rPr>
          <w:rFonts w:ascii="Times New Roman" w:hAnsi="Times New Roman"/>
          <w:noProof/>
        </w:rPr>
        <w:t>Tutkimuksen tuloksia päätettiin käsitellä käynnissä olevassa Euroopan puolustusviraston ohjelmassa, joka koskee rajat ylittävää liikkumista koskevien eurooppalaisten lupaprosessien optimointia. Samalla asiaa koskevia päätelmiä käsitellään kansallisella tasolla.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Komission yksiköt ja Euroopan puolustusvirasto ovat perustaneet siviili- ja sotilasasiantuntijoille alustan vaarallisten aineiden kuljetuksia koskevien tietojen vaihtoa varten. Tällaista tietoa on vaihdettu asianomaisten yhteisöjen kokouksissa ja henkilöstöjen välisellä yhteydenpidolla. Asiantuntijat jatkavat tiivistä yhteistyötä liittyen erityisesti maa- ja ilmaliikenteen teknisiin järjestelyihin, joita käsitellään parhaillaan rajat ylittävää liikkumista koskevien eurooppalaisten lupaprosessien optimointia koskevan ohjelman puitteissa. Lisäksi helmikuussa 2020 järjestettiin erityinen vaarallisten aineiden kuljetuksia käsittelevä seminaari, jonka tarkoituksena oli edistää rajat ylittävää liikkumista koskevien eurooppalaisten lupaprosessien optimointia koskevaan ohjelmaan osallistuvien jäsenten yhteisymmärrystä.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Komission yksiköt ovat jatkaneet Euroopan ulkosuhdehallinnon (erityisesti EU:n sotilasesikunnan) ja Euroopan puolustusviraston tukemista jäsenvaltiotason yhtenäisten vapaaehtoisten käytäntöjen luomisessa vaarallisten aineiden kuljetuksiin sovellettavien siviilioikeudellisten sääntöjen perusteella. Tältä osin EU:n toimielimet ja elimet ovat EU:n ja Naton sotilaallista liikkuvuutta koskevan jäsennellyn vuoropuhelun puitteissa edelleen arvioineet mahdollisuutta käyttää Naton standardointisopimusta AMovP6 sotilasalan vaarallisten tavaroiden kuljettamista koskevana viitesäännöstönä. Näin voitaisiin hyödyntää standardointisopimuksen vuonna 2019 tapahtunutta julkistamista.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Euroopan puolustusviraston tekemä työ maaliikenteen rajat ylittävän liikkumisen lupia koskevan teknisen järjestelyn (CBMP TA) puitteissa osoittaa selvästi, että EU:n jäsenvaltioiden välisen yhteistyön kehittäminen ja keskinäisen luottamuksen lisääminen sotilasalalla edistäisi pyrkimyksiä puuttua toisistaan eroaviin kansallisiin käytäntöihin. Toimenpiteen, jossa yhdistyy siviilialan sääntöjen oletusarvoinen soveltaminen ja niiden täydentäminen tarvittaessa Naton AMovP6-standardointisopimuksen määräyksillä, pitäisi periaatteessa riittää mahdollistamaan vaarallisten aineiden nopea ja sulava kansainvälinen kuljetus sotilastarkoituksiin EU:ssa.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EU:n tason toteutettavuuden ja lisätoimien tarpeen arvioinnin puitteissa komission yksiköt ovat analysoineet useita vaihtoehtoja luodakseen viitekehyksen sotilasalan vaarallisten aineiden kuljetuksiin sovellettaville säännöille. Mahdollisten lisätoimien oikeusperusta on edelleen määritettävä komission yksiköiden ja Euroopan ulkosuhdehallinnon tiiviissä yhteistyössä, johon myös Euroopan puolustusvirasto osallistuu. </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TULLI JA ARVONLISÄVERO</w:t>
      </w:r>
    </w:p>
    <w:p>
      <w:pPr>
        <w:pStyle w:val="ListParagraph"/>
        <w:numPr>
          <w:ilvl w:val="0"/>
          <w:numId w:val="4"/>
        </w:numPr>
        <w:spacing w:before="240" w:after="240"/>
        <w:contextualSpacing w:val="0"/>
        <w:jc w:val="both"/>
        <w:rPr>
          <w:rFonts w:ascii="Times New Roman" w:hAnsi="Times New Roman" w:cs="Times New Roman"/>
          <w:b/>
          <w:noProof/>
          <w:sz w:val="24"/>
        </w:rPr>
      </w:pPr>
      <w:r>
        <w:rPr>
          <w:rFonts w:ascii="Times New Roman" w:hAnsi="Times New Roman"/>
          <w:b/>
          <w:noProof/>
          <w:sz w:val="24"/>
        </w:rPr>
        <w:t>Tulli</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Toimintasuunnitelmassa yksilöityihin erityisiin toimenpiteisiin, joiden tarkoituksena on rajat ylittävään sotilaalliseen liikkumiseen liittyvien tullimuodollisuuksien selkeyttäminen ja yksinkertaistaminen sekä synergioiden varmistaminen Naton kanssa, sisältyy muutoksia erityisesti kahteen komission asetukseen</w:t>
      </w:r>
      <w:r>
        <w:rPr>
          <w:rStyle w:val="FootnoteReference"/>
          <w:rFonts w:ascii="Times New Roman" w:hAnsi="Times New Roman" w:cs="Times New Roman"/>
          <w:noProof/>
        </w:rPr>
        <w:footnoteReference w:id="25"/>
      </w:r>
      <w:r>
        <w:rPr>
          <w:rFonts w:ascii="Times New Roman" w:hAnsi="Times New Roman"/>
          <w:noProof/>
        </w:rPr>
        <w:t>, jotka liittyvät Euroopan unionin tullilainsäädäntöön.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Komissio hyväksyi 3. huhtikuuta 2020 delegoituun asetukseen (EU) 2015/2446 muutoksen, joka tuli voimaan 16. heinäkuuta 2020</w:t>
      </w:r>
      <w:r>
        <w:rPr>
          <w:rStyle w:val="FootnoteReference"/>
          <w:rFonts w:ascii="Times New Roman" w:hAnsi="Times New Roman" w:cs="Times New Roman"/>
          <w:noProof/>
        </w:rPr>
        <w:footnoteReference w:id="26"/>
      </w:r>
      <w:r>
        <w:rPr>
          <w:rFonts w:ascii="Times New Roman" w:hAnsi="Times New Roman"/>
          <w:noProof/>
        </w:rPr>
        <w:t>. Tässä tarkistuksessa määritellään sotilaallisen toiminnan yhteydessä siirrettävien tai käytettävien tavaroiden käsite ja vahvistetaan EU-lomake 302 tulli-asiakirjaksi, jota EU:n jäsenvaltioiden on käytettävä myös unionin yhteiseen turvallisuus- ja puolustuspolitiikkaan liittyvän sotilaallisen toiminnan yhteydessä. Tarkistus mahdollistaa EU-lomakkeen 302 sekä olemassa olevan Nato-lomakkeen 302 käyttämisen tulli-ilmoituksena erilaisista rajat ylittävistä kuljetuksista.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EU-lomakkeen 302 malli kehitettiin yhdessä EU:n jäsenvaltioiden kanssa Euroopan puolustusviraston tulliohjelman puitteissa. Kun viraston johtokunta oli päässyt asiasta yksimielisyyteen elokuussa 2019, virasto toimitti EU-lomakkeen 302 mallin komissiolle syyskuussa 2019, jotta lomake voitaisiin sisällyttää unionin tullilainsäädännön tarkistukseen.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Delegoidun asetuksen tarkistuksen ohella komissio hyväksyi 29. kesäkuuta 2020 täytäntöönpanoasetukseen (EU) 2015/2447 muutoksen, joka tuli voimaan 20. heinäkuuta 2020</w:t>
      </w:r>
      <w:r>
        <w:rPr>
          <w:rStyle w:val="FootnoteReference"/>
          <w:rFonts w:ascii="Times New Roman" w:hAnsi="Times New Roman" w:cs="Times New Roman"/>
          <w:noProof/>
        </w:rPr>
        <w:footnoteReference w:id="27"/>
      </w:r>
      <w:r>
        <w:rPr>
          <w:rFonts w:ascii="Times New Roman" w:hAnsi="Times New Roman"/>
          <w:noProof/>
        </w:rPr>
        <w:t>. Täytäntöönpanoasetuksen muutokset sisältävät erityisesti EU-lomakkeen 302 ja Nato-lomakkeen 302 käyttöä koskevat menettelysäännöt.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Edellä mainitut tarkistukset, joiden soveltamisen odotetaan alkavan tehokkaasti kesän 2020 jälkeen, edistävät merkittävästi niiden toimintasuunnitelmassa asetettujen tavoitteiden saavuttamista, jotka koskevat asiaan liittyvien tullimenettelyjen selkeyttämistä ja yksinkertaistamista kaikkialla EU:ssa sekä rajat ylittävien sotilaallisten kuljetusten yhtenäisen tullikohtelun varmistamista kaikissa EU:n jäsenvaltioissa. Entistä yhdenmukaisemman kohtelun varmistamiseksi komission yksiköt valmistelevat parhaillaan erityisiä ohjeita EU-lomakkeen 302 käytöstä sotilaallisille käyttäjille ja tulleille. Tätä varten ne tarkentavat Euroopan puolustusviraston laatimia ohjeita ja kuulevat myös Euroopan ulkosuhdehallintoa. Ohjeiden ensimmäisen version odotetaan olevan käytettävissä vuoden 2020 loppuun mennessä.</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EU-lomake 302 laadittiin täysin avoimesti ja vuoropuhelussa Naton kanssa. EU-lomakkeen 302 ja Nato-lomakkeen 302 mallien täydellinen yhteensovittaminen edellyttäisi mukauttamista Naton toimesta.</w:t>
      </w:r>
      <w:r>
        <w:rPr>
          <w:noProof/>
        </w:rPr>
        <w:t xml:space="preserve"> </w:t>
      </w:r>
      <w:r>
        <w:rPr>
          <w:rFonts w:ascii="Times New Roman" w:hAnsi="Times New Roman"/>
          <w:noProof/>
        </w:rPr>
        <w:t>Tullimenettelyn yksinkertaistamiseksi sotilaallisille käyttäjille paras lopputulos olisi edelleen se, että EU ja Nato käyttäisivät samanlaista mallia lomakkeelle 302 siten, että ne säilyttäisivät erilliset oikeusperustansa.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Mitä tulee EU-lomakkeen 302 mahdolliseen käyttöön digitaalisessa muodossa, Euroopan puolustusvirasto on laatinut yhdessä osallistuvien jäsenvaltioiden kanssa ohjelmajärjestelyn. Ensimmäinen vaihe on lomakkeen 302 digitalisoimisen tarpeen ja siihen liittyvien mahdollisten riskien ja hyötyjen arviointi. Arvioinnin tuloksista riippuen asianmukaisen sotilastullijärjestelmän teknisten eritelmien määrittelyä koskevan tutkimuksen odotetaan luovan puitteet digitalisaation tuleville vaiheille. Ohjelmajärjestelyn allekirjoittamisen odotetaan tapahtuvan vuoden 2020 loppuun mennessä.</w:t>
      </w:r>
    </w:p>
    <w:p>
      <w:pPr>
        <w:pStyle w:val="ListParagraph"/>
        <w:numPr>
          <w:ilvl w:val="0"/>
          <w:numId w:val="4"/>
        </w:numPr>
        <w:spacing w:before="240" w:after="240"/>
        <w:contextualSpacing w:val="0"/>
        <w:jc w:val="both"/>
        <w:rPr>
          <w:rFonts w:ascii="Times New Roman" w:hAnsi="Times New Roman" w:cs="Times New Roman"/>
          <w:b/>
          <w:noProof/>
          <w:sz w:val="24"/>
        </w:rPr>
      </w:pPr>
      <w:r>
        <w:rPr>
          <w:rFonts w:ascii="Times New Roman" w:hAnsi="Times New Roman"/>
          <w:b/>
          <w:noProof/>
          <w:sz w:val="24"/>
        </w:rPr>
        <w:t>Arvonlisävero</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Neuvoston direktiivin (EU) 2019/2235</w:t>
      </w:r>
      <w:r>
        <w:rPr>
          <w:rStyle w:val="FootnoteReference"/>
          <w:rFonts w:ascii="Times New Roman" w:hAnsi="Times New Roman" w:cs="Times New Roman"/>
          <w:noProof/>
        </w:rPr>
        <w:footnoteReference w:id="28"/>
      </w:r>
      <w:r>
        <w:rPr>
          <w:rFonts w:ascii="Times New Roman" w:hAnsi="Times New Roman"/>
          <w:noProof/>
        </w:rPr>
        <w:t xml:space="preserve"> hyväksyminen 16. joulukuuta 2019 on toinen tärkeä viime vuoden selvityksen jälkeen saavutettu tulos. Tällä direktiivillä varmistetaan Naton ja EU:n puolustustoiminnan yhdenmukainen verokohtelu vapauttamalla arvonlisä- ja valmisteverosta toimitukset asevoimille, kun nämä asevoimat osallistuvat yhteiseen turvallisuus- ja puolustuspolitiikkaan kuuluvaan puolustustoimintaan lähettävän jäsenvaltion ulkopuolella. Tällainen vapautus on jo voimassa kotimaansa ulkopuolella Naton puolustustoimintaan osallistuvien asevoimien toimituksille. Yhdenmukaistamalla Naton ja EU:n puolustustoiminnan välillinen verotus tarkistuksessa huomioidaan yhteisen turvallisuus- ja puolustuspolitiikan ja sotilaallisen liikkuvuuden kasvava merkitys.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EU:n jäsenvaltioiden on hyväksyttävä tämän direktiivin noudattamisen edellyttämät lait, asetukset ja hallinnolliset määräykset, jotta näitä toimenpiteitä voidaan soveltaa 1. heinäkuuta 2022 alkaen.</w:t>
      </w:r>
    </w:p>
    <w:p>
      <w:pPr>
        <w:ind w:left="36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Lupa rajat ylittävään liikkumiseen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Euroopan puolustusvirasto kehitti edelleen tätä alaa koskevia toimia rajat ylittävää liikkumista koskevien eurooppalaisten lupaprosessien optimointia koskevan ohjelman puitteissa. Ohjelmaan on liittynyt 25 jäsenvaltiota sekä Norja sen Euroopan puolustusviraston kanssa tekemän hallinnollisen järjestelyn mukaisesti. Rajat ylittävää liikkumista koskevien eurooppalaisten lupaprosessien optimointia koskevan ohjelman tavoitteena on toimia katto-ohjelmana, jonka puitteissa kehitetään kaksi teknistä järjestelyä, joista toinen koskee maa- ja toinen lentoliikennettä. Ohjelma etenee erittäin hyvin johtuen kaikkien asiaankuuluvien sidosryhmien aktiivisesta osallistumisesta useisiin komission yksiköiden ja Euroopan ulkosuhdehallinnon, myös EU:n sotilasesikunnan, tukemiin tilapäisiin työryhmiin. Osallistuvat jäsenvaltiot ovat jo laatineet ensimmäiset luonnokset molemmista teknisistä järjestelyistä. Kaikkien osallistuvien jäsenvaltioiden asiantuntijat kehittävät luonnoksia edelleen kansallisen lainsäädännön nykyisten rajoitusten poistamiseksi. EU:n jäsenvaltioiden vahva sitoutuminen ohjelman tavoitteeseen on olennaisen tärkeää, jotta voidaan luoda yhdenmukaistettu prosessi liikkumisen sallimiseksi Euroopan alueella.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Rajat ylittävää liikkumista koskevien eurooppalaisten lupaprosessien optimointia koskeva ohjelma hyödyntää myös Euroopan puolustusviraston olemassa olevia hankkeita ja toimia. Yksi näistä hankkeista on eurooppalaisen sotilaallisen maaliikenteen rajat ylittävää liikkumista ja kuljetuksia koskeva tekninen järjestely, joka liittyy Euroopan puolustusviraston EU:n multimodaalista liikennekeskusta koskevaan hankkeeseen, johon on liittynyt 17 EU:n jäsenvaltiota. Toinen esimerkki on vuonna 2012 laadittuun ja 20 EU:n jäsenvaltion allekirjoittamaan diplomaattisten selvitysten tekniseen järjestelyyn liittyvien kokemusten hyödyntäminen. Tekninen järjestely mahdollistaa osallistuville jäsenvaltioille sotilaallisten kuljetusilma-alusten lennot ja laskeutumiset toistensa alueella.</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Muut asiat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Kuten toimintasuunnitelmassa todetaan, muutamien monialaisten kysymysten, kuten disinformaation, kyberturvallisuuden ja kriittisen infrastruktuurin suojelun, on katsottu liittyvän sotilaalliseen liikkuvuuteen. Nämä alat kuuluvat vuoden 2016 hybridiuhkien torjumista koskevan yhteisen kehyksen</w:t>
      </w:r>
      <w:r>
        <w:rPr>
          <w:rStyle w:val="FootnoteReference"/>
          <w:rFonts w:ascii="Times New Roman" w:hAnsi="Times New Roman" w:cs="Times New Roman"/>
          <w:noProof/>
        </w:rPr>
        <w:footnoteReference w:id="29"/>
      </w:r>
      <w:r>
        <w:rPr>
          <w:rFonts w:ascii="Times New Roman" w:hAnsi="Times New Roman"/>
          <w:noProof/>
        </w:rPr>
        <w:t xml:space="preserve"> 22 toimeen, ja niiden toimeenpano on käynnissä. Neljäs kertomus vuonna 2016 hyväksytyn hybridiuhkien torjumista koskevan yhteisen kehyksen täytäntöönpanosta ja vuonna 2018 annettu yhteinen tiedonanto selviytymiskyvyn ja valmiuksien kehittämisestä hybridiuhkien varalta julkaistiin 24. heinäkuuta 2020</w:t>
      </w:r>
      <w:r>
        <w:rPr>
          <w:rFonts w:ascii="Times New Roman" w:hAnsi="Times New Roman" w:cs="Times New Roman"/>
          <w:noProof/>
          <w:vertAlign w:val="superscript"/>
        </w:rPr>
        <w:footnoteReference w:id="30"/>
      </w:r>
      <w:r>
        <w:rPr>
          <w:rFonts w:ascii="Times New Roman" w:hAnsi="Times New Roman"/>
          <w:noProof/>
        </w:rPr>
        <w:t>.</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PÄÄTELMÄT JA TULEVAT TOIMET</w:t>
      </w:r>
    </w:p>
    <w:p>
      <w:pPr>
        <w:pStyle w:val="ListParagraph"/>
        <w:numPr>
          <w:ilvl w:val="0"/>
          <w:numId w:val="1"/>
        </w:numPr>
        <w:spacing w:line="256" w:lineRule="auto"/>
        <w:jc w:val="both"/>
        <w:rPr>
          <w:rFonts w:ascii="Times New Roman" w:hAnsi="Times New Roman" w:cs="Times New Roman"/>
          <w:noProof/>
        </w:rPr>
      </w:pPr>
      <w:r>
        <w:rPr>
          <w:rFonts w:ascii="Times New Roman" w:hAnsi="Times New Roman"/>
          <w:noProof/>
        </w:rPr>
        <w:t>Ensimmäisen tilanneselvityksen jälkeen toimintasuunnitelman toimeenpanossa on saavutettu konkreettisia ja tuntuvia tuloksia. Näitä ovat sotilaallisten vaatimusten ja puuteanalyysin ajantasaistaminen, kaksikäyttöä koskevista vaatimuksista sopiminen ja EU-lomakkeen 302 sekä Naton ja EU:n puolustustoiminnan yhdenmukaisen verokohtelun varmistavan direktiivin hyväksyminen.</w:t>
      </w:r>
    </w:p>
    <w:p>
      <w:pPr>
        <w:pStyle w:val="ListParagraph"/>
        <w:spacing w:line="256" w:lineRule="auto"/>
        <w:jc w:val="both"/>
        <w:rPr>
          <w:rFonts w:ascii="Times New Roman" w:hAnsi="Times New Roman" w:cs="Times New Roman"/>
          <w:noProof/>
        </w:rPr>
      </w:pPr>
    </w:p>
    <w:p>
      <w:pPr>
        <w:pStyle w:val="ListParagraph"/>
        <w:numPr>
          <w:ilvl w:val="0"/>
          <w:numId w:val="1"/>
        </w:numPr>
        <w:spacing w:line="256" w:lineRule="auto"/>
        <w:jc w:val="both"/>
        <w:rPr>
          <w:rFonts w:ascii="Times New Roman" w:hAnsi="Times New Roman" w:cs="Times New Roman"/>
          <w:noProof/>
        </w:rPr>
      </w:pPr>
      <w:r>
        <w:rPr>
          <w:rFonts w:ascii="Times New Roman" w:hAnsi="Times New Roman"/>
          <w:noProof/>
        </w:rPr>
        <w:t>Lisäksi komission yksiköt, Euroopan ulkosuhdehallinto ja Euroopan puolustusvirasto jatkavat toimintasuunnitelman toimeenpanoa ja sen edistymisen arviointia. Tähän pyritään EU:n tasolla koordinoidusti ja tiiviissä yhteistyössä EU:n jäsenvaltioiden kanssa kunnioittaen täysimääräisesti niiden kansallista itsemääräämis- ja päätöksenteko-oikeutta sekä yhteistyössä komission yksiköiden, Euroopan ulkosuhdehallinnon ja Euroopan puolustusviraston kanssa. Lisäksi EU:n jäsenvaltioiden johtamat toimet erityisesti pysyvän rakenteellisen yhteistyön ja siihen liittyvien hankkeiden puitteissa sekä vuoden 2018 kansallisten sitoumusten täytäntöönpano edistävät suoraan sotilaallisen liikkuvuuden parantamista. EU:n ja Naton välinen jäsennelty vuoropuhelu henkilöstön tasolla parantaa yhteistyötä edelleen tällä alalla. Komissio ja korkea edustaja ovat tyytyväisiä tähän lähestymistapaan ja ovat sitoutuneet jatkamaan työtä osallistavalla ja tehokkaalla tavalla.</w:t>
      </w:r>
    </w:p>
    <w:p>
      <w:pPr>
        <w:pStyle w:val="ListParagraph"/>
        <w:spacing w:line="256" w:lineRule="auto"/>
        <w:jc w:val="both"/>
        <w:rPr>
          <w:rFonts w:ascii="Times New Roman" w:hAnsi="Times New Roman" w:cs="Times New Roman"/>
          <w:noProof/>
        </w:rPr>
      </w:pPr>
    </w:p>
    <w:p>
      <w:pPr>
        <w:pStyle w:val="ListParagraph"/>
        <w:numPr>
          <w:ilvl w:val="0"/>
          <w:numId w:val="1"/>
        </w:numPr>
        <w:spacing w:line="256" w:lineRule="auto"/>
        <w:jc w:val="both"/>
        <w:rPr>
          <w:rFonts w:ascii="Times New Roman" w:hAnsi="Times New Roman" w:cs="Times New Roman"/>
          <w:noProof/>
        </w:rPr>
      </w:pPr>
      <w:r>
        <w:rPr>
          <w:rFonts w:ascii="Times New Roman" w:hAnsi="Times New Roman"/>
          <w:noProof/>
        </w:rPr>
        <w:t xml:space="preserve">Korkea edustaja ja komissio esittävät seuraavan tilanneselvityksen kesän 2021 loppuun mennessä. </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6074699"/>
      <w:docPartObj>
        <w:docPartGallery w:val="Page Numbers (Bottom of Page)"/>
        <w:docPartUnique/>
      </w:docPartObj>
    </w:sdtPr>
    <w:sdtEndPr>
      <w:rPr>
        <w:noProof/>
      </w:rPr>
    </w:sdtEndPr>
    <w:sdtContent>
      <w:p>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Yhteinen tiedonanto Euroopan parlamentille ja neuvostolle sotilaallisen liikkuvuuden parantamisesta Euroopan unionissa, JOIN(2017) 41 final.</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Yhteinen tiedonanto Euroopan parlamentille ja neuvostolle sotilaallisen liikkuvuuden toimintasuunnitelmasta, JOIN(2018) 05 final.</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Esim. von der Leyen, U. </w:t>
      </w:r>
      <w:r>
        <w:rPr>
          <w:rFonts w:ascii="Times New Roman" w:hAnsi="Times New Roman"/>
          <w:i/>
          <w:iCs/>
        </w:rPr>
        <w:t>Kunnianhimoisempi unioni. Ohjelma Euroopalle:</w:t>
      </w:r>
      <w:r>
        <w:rPr>
          <w:rFonts w:ascii="Times New Roman" w:hAnsi="Times New Roman"/>
        </w:rPr>
        <w:t xml:space="preserve"> </w:t>
      </w:r>
      <w:r>
        <w:rPr>
          <w:rFonts w:ascii="Times New Roman" w:hAnsi="Times New Roman"/>
          <w:i/>
          <w:iCs/>
        </w:rPr>
        <w:t>poliittiset suuntaviivat seuraavalle Euroopan komissiolle 2019–2024</w:t>
      </w:r>
      <w:r>
        <w:rPr>
          <w:rFonts w:ascii="Times New Roman" w:hAnsi="Times New Roman"/>
        </w:rPr>
        <w:t xml:space="preserve">, 10. syyskuuta 2019, </w:t>
      </w:r>
      <w:hyperlink r:id="rId1" w:history="1">
        <w:r>
          <w:rPr>
            <w:rStyle w:val="Hyperlink"/>
            <w:rFonts w:ascii="Times New Roman" w:hAnsi="Times New Roman"/>
          </w:rPr>
          <w:t>https://op.europa.eu/fi/publication-detail/-/publication/43a17056-ebf1-11e9-9c4e-01aa75ed71a1</w:t>
        </w:r>
      </w:hyperlink>
      <w:r>
        <w:rPr>
          <w:rFonts w:ascii="Times New Roman" w:hAnsi="Times New Roman"/>
        </w:rPr>
        <w:t xml:space="preserve">, Puheenjohtaja von der Leyenin pääpuhe Maailman talousfoorumin kokouksessa 22. tammikuuta 2020, </w:t>
      </w:r>
      <w:hyperlink r:id="rId2" w:history="1">
        <w:r>
          <w:rPr>
            <w:rStyle w:val="Hyperlink"/>
            <w:rFonts w:ascii="Times New Roman" w:hAnsi="Times New Roman"/>
          </w:rPr>
          <w:t>https://ec.europa.eu/commission/presscorner/detail/fi/SPEECH_20_102</w:t>
        </w:r>
      </w:hyperlink>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Neuvoston päätelmät EU:n globaalistrategian täytäntöönpanosta turvallisuus- ja puolustuspolitiikan alalla, 14. marraskuuta 2016,</w:t>
      </w:r>
      <w:r>
        <w:t xml:space="preserve"> </w:t>
      </w:r>
      <w:hyperlink r:id="rId3" w:history="1">
        <w:r>
          <w:rPr>
            <w:rStyle w:val="Hyperlink"/>
            <w:rFonts w:ascii="Times New Roman" w:hAnsi="Times New Roman"/>
          </w:rPr>
          <w:t>https://data.consilium.europa.eu/doc/document/ST-14149-2016-INIT/fi/pdf</w:t>
        </w:r>
      </w:hyperlink>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Jaettu näkemys, yhteinen toiminta: vahvempi Eurooppa – Euroopan unionin ulko- ja turvallisuuspoliittinen globaalistrategia,</w:t>
      </w:r>
    </w:p>
    <w:p>
      <w:pPr>
        <w:pStyle w:val="FootnoteText"/>
        <w:jc w:val="both"/>
        <w:rPr>
          <w:rFonts w:ascii="Times New Roman" w:hAnsi="Times New Roman" w:cs="Times New Roman"/>
        </w:rPr>
      </w:pPr>
      <w:r>
        <w:rPr>
          <w:rFonts w:ascii="Times New Roman" w:hAnsi="Times New Roman"/>
        </w:rPr>
        <w:t xml:space="preserve">kesäkuu 2016, </w:t>
      </w:r>
      <w:hyperlink r:id="rId4" w:history="1">
        <w:r>
          <w:rPr>
            <w:rStyle w:val="Hyperlink"/>
            <w:rFonts w:ascii="Times New Roman" w:hAnsi="Times New Roman"/>
          </w:rPr>
          <w:t>https://op.europa.eu/fi/publication-detail/-/publication/3eaae2cf-9ac5-11e6-868c-01aa75ed71a1</w:t>
        </w:r>
      </w:hyperlink>
    </w:p>
  </w:footnote>
  <w:footnote w:id="6">
    <w:p>
      <w:pPr>
        <w:pStyle w:val="FootnoteText"/>
      </w:pPr>
      <w:r>
        <w:rPr>
          <w:rStyle w:val="FootnoteReference"/>
          <w:rFonts w:ascii="Times New Roman" w:hAnsi="Times New Roman" w:cs="Times New Roman"/>
        </w:rPr>
        <w:footnoteRef/>
      </w:r>
      <w:r>
        <w:t xml:space="preserve"> </w:t>
      </w:r>
      <w:r>
        <w:rPr>
          <w:rFonts w:ascii="Times New Roman" w:hAnsi="Times New Roman"/>
        </w:rPr>
        <w:t xml:space="preserve">Neuvoston päätelmät turvallisuus- ja puolustuspolitiikasta EU:n globaalistrategian yhteydessä, 25. kesäkuuta 2018, 18 kohta, </w:t>
      </w:r>
      <w:hyperlink r:id="rId5" w:history="1">
        <w:r>
          <w:rPr>
            <w:rStyle w:val="Hyperlink"/>
            <w:rFonts w:ascii="Times New Roman" w:hAnsi="Times New Roman"/>
          </w:rPr>
          <w:t>http://data.consilium.europa.eu/doc/document/ST-10246-2018-INIT/en/pdf</w:t>
        </w:r>
      </w:hyperlink>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Eurooppa-neuvoston puheenjohtajan, Euroopan komission puheenjohtajan ja Pohjois-Atlantin liiton pääsihteerin yhteinen julistus EU:n ja Naton yhteistyöstä, 8. heinäkuuta 2016,</w:t>
      </w:r>
      <w:r>
        <w:t xml:space="preserve"> </w:t>
      </w:r>
      <w:hyperlink r:id="rId6" w:history="1">
        <w:r>
          <w:rPr>
            <w:rStyle w:val="Hyperlink"/>
            <w:rFonts w:ascii="Times New Roman" w:hAnsi="Times New Roman"/>
          </w:rPr>
          <w:t>https://www.consilium.europa.eu/media/21481/nato-eu-declaration-8-july-en-final.pdf</w:t>
        </w:r>
      </w:hyperlink>
      <w:r>
        <w:t>,</w:t>
      </w:r>
      <w:r>
        <w:rPr>
          <w:rFonts w:ascii="Times New Roman" w:hAnsi="Times New Roman"/>
        </w:rPr>
        <w:t xml:space="preserve"> Eurooppa-neuvoston puheenjohtajan, Euroopan komission puheenjohtajan ja Pohjois-Atlantin liiton pääsihteerin yhteinen julistus EU:n ja Naton yhteistyöstä,</w:t>
      </w:r>
      <w:r>
        <w:t xml:space="preserve"> </w:t>
      </w:r>
      <w:r>
        <w:rPr>
          <w:rFonts w:ascii="Times New Roman" w:hAnsi="Times New Roman"/>
        </w:rPr>
        <w:t>10. heinäkuuta 2018,</w:t>
      </w:r>
      <w:r>
        <w:t xml:space="preserve"> </w:t>
      </w:r>
      <w:hyperlink r:id="rId7" w:history="1">
        <w:r>
          <w:rPr>
            <w:rStyle w:val="Hyperlink"/>
            <w:rFonts w:ascii="Times New Roman" w:hAnsi="Times New Roman"/>
          </w:rPr>
          <w:t>https://www.consilium.europa.eu/media/36096/nato_eu_final_eng.pdf</w:t>
        </w:r>
      </w:hyperlink>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Neuvoston päätelmät Eurooppa-neuvoston puheenjohtajan, Euroopan komission puheenjohtajan ja Pohjois-Atlantin liiton pääsihteerin yhteisen julistuksen täytäntöönpanosta, 6. joulukuuta 2016,</w:t>
      </w:r>
      <w:r>
        <w:t xml:space="preserve"> </w:t>
      </w:r>
      <w:hyperlink r:id="rId8" w:history="1">
        <w:r>
          <w:rPr>
            <w:rStyle w:val="Hyperlink"/>
            <w:rFonts w:ascii="Times New Roman" w:hAnsi="Times New Roman"/>
          </w:rPr>
          <w:t>https://data.consilium.europa.eu/doc/document/ST-15283-2016-INIT/fi/pdf</w:t>
        </w:r>
      </w:hyperlink>
      <w:r>
        <w:t>,</w:t>
      </w:r>
      <w:r>
        <w:rPr>
          <w:rFonts w:ascii="Times New Roman" w:hAnsi="Times New Roman"/>
        </w:rPr>
        <w:t xml:space="preserve"> Neuvoston päätelmät Eurooppa-neuvoston puheenjohtajan, Euroopan komission puheenjohtajan ja Pohjois-Atlantin liiton pääsihteerin yhteisen julistuksen täytäntöönpanosta, 5. joulukuuta 2017, </w:t>
      </w:r>
      <w:hyperlink r:id="rId9" w:history="1">
        <w:r>
          <w:rPr>
            <w:rStyle w:val="Hyperlink"/>
            <w:rFonts w:ascii="Times New Roman" w:hAnsi="Times New Roman"/>
          </w:rPr>
          <w:t>https://www.consilium.europa.eu/media/31947/nato_eu_final_eng.pdf</w:t>
        </w:r>
      </w:hyperlink>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Viides tilanneselvitys EU:n ja Naton neuvostojen 6. joulukuuta 2016 ja 5. joulukuuta 2017 vahvistamien yhteisten ehdotusten täytäntöönpanosta, 16. kesäkuuta 2020, </w:t>
      </w:r>
      <w:hyperlink r:id="rId10" w:history="1">
        <w:r>
          <w:rPr>
            <w:rStyle w:val="Hyperlink"/>
            <w:rFonts w:ascii="Times New Roman" w:hAnsi="Times New Roman"/>
          </w:rPr>
          <w:t>https://www.consilium.europa.eu/media/44451/200616-progress-report-nr5-eu-nato-eng.pdf</w:t>
        </w:r>
      </w:hyperlink>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Yhteinen tiedonanto Euroopan parlamentille ja neuvostolle sotilaallisen liikkuvuuden toimintasuunnitelmasta JOIN(2018) 05 final, 28.3.2018, s. 10.</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Yhteinen kertomus Euroopan parlamentille ja neuvostolle sotilaallisen liikkuvuuden toimintasuunnitelman toimeenpanosta, JOIN(2019) 11 final.</w:t>
      </w:r>
    </w:p>
  </w:footnote>
  <w:footnote w:id="12">
    <w:p>
      <w:pPr>
        <w:pStyle w:val="FootnoteText"/>
        <w:rPr>
          <w:rFonts w:ascii="Times New Roman" w:hAnsi="Times New Roman" w:cs="Times New Roman"/>
        </w:rPr>
      </w:pPr>
      <w:r>
        <w:rPr>
          <w:rStyle w:val="FootnoteReference"/>
        </w:rPr>
        <w:footnoteRef/>
      </w:r>
      <w:r>
        <w:rPr>
          <w:rFonts w:ascii="Times New Roman" w:hAnsi="Times New Roman"/>
        </w:rPr>
        <w:t xml:space="preserve"> Neuvoston päätelmät turvallisuus- ja puolustuspolitiikasta EU:n globaalistrategian yhteydessä, 17. kesäkuuta 2019, 52 kohta, </w:t>
      </w:r>
      <w:hyperlink r:id="rId11" w:history="1">
        <w:r>
          <w:rPr>
            <w:rStyle w:val="Hyperlink"/>
            <w:rFonts w:ascii="Times New Roman" w:hAnsi="Times New Roman"/>
          </w:rPr>
          <w:t>https://data.consilium.europa.eu/doc/document/ST-10048-2019-INIT/fi/pdf</w:t>
        </w:r>
      </w:hyperlink>
    </w:p>
  </w:footnote>
  <w:footnote w:id="13">
    <w:p>
      <w:pPr>
        <w:pStyle w:val="FootnoteText"/>
        <w:jc w:val="both"/>
      </w:pPr>
      <w:r>
        <w:rPr>
          <w:rStyle w:val="FootnoteReference"/>
        </w:rPr>
        <w:footnoteRef/>
      </w:r>
      <w:r>
        <w:t xml:space="preserve"> </w:t>
      </w:r>
      <w:r>
        <w:rPr>
          <w:rFonts w:ascii="Times New Roman" w:hAnsi="Times New Roman"/>
        </w:rPr>
        <w:t>Liite</w:t>
      </w:r>
      <w:r>
        <w:t xml:space="preserve"> </w:t>
      </w:r>
      <w:r>
        <w:rPr>
          <w:rFonts w:ascii="Times New Roman" w:hAnsi="Times New Roman"/>
        </w:rPr>
        <w:t>asiakirjaan SB 2020/023, 25. toukokuuta 2020.</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Sotilaalliset vaatimukset sotilaallista liikkuvuutta varten EU:ssa ja sen ulkopuolella, ST 14770/18, 28. marraskuuta 2018.</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Sotilaalliset vaatimukset sotilaallista liikkuvuutta varten EU:ssa ja sen ulkopuolella, päivitys ST 10921/19, 4. kesäkuuta 2019, jonka neuvosto hyväksyi 15. heinäkuuta ja sovitti yhteen jäljellä olevan osan kanssa 19. heinäkuuta, ST 11373/19.</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Neuvoston tilanneselvitys, ehdotus Euroopan parlamentin ja neuvoston asetukseksi Verkkojen Eurooppa välineestä ja asetusten (EU) N:o 1316/2013 ja (EU) N:o 283/2014 kumoamisesta, 2018/0228(COD), 13. maaliskuuta 2019,</w:t>
      </w:r>
      <w:r>
        <w:t xml:space="preserve"> </w:t>
      </w:r>
      <w:hyperlink r:id="rId12" w:history="1">
        <w:r>
          <w:rPr>
            <w:rStyle w:val="Hyperlink"/>
            <w:rFonts w:ascii="Times New Roman" w:hAnsi="Times New Roman"/>
          </w:rPr>
          <w:t>https://www.consilium.europa.eu/media/38507/st07207-re01-en19.pdf</w:t>
        </w:r>
      </w:hyperlink>
    </w:p>
  </w:footnote>
  <w:footnote w:id="1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Eurooppa-neuvoston ylimääräinen kokous (17., 18., 19., 20. ja 21. heinäkuuta 2020) – Päätelmät, 21. heinäkuuta 2020, s. 53, https://data.consilium.europa.eu/doc/document/ST-10-2020-INIT/fi/pdf</w:t>
      </w:r>
    </w:p>
  </w:footnote>
  <w:footnote w:id="1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Yhteinen valmisteluasiakirja ”Military requirements and trans-European transport network: gap analysis, SWD(2019) 175 final, 3.5.2019.</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Sotilaalliset vaatimukset sotilaallista liikkuvuutta varten EU:ssa ja sen ulkopuolella, päivitys ST 10921/19, 4. kesäkuuta 2019, jonka neuvosto hyväksyi 15. heinäkuuta ja sovitti yhteen jäljellä olevan osan kanssa 19. heinäkuuta, ST 11373/19.</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Yhteinen valmisteluasiakirja päivitetystä puuteanalyysista sotilaallisten vaatimusten ja Euroopan laajuisen liikenneverkon vaatimusten välillä, 17. heinäkuuta 2020, SWD(2020) 144 final</w:t>
      </w:r>
      <w:r>
        <w:t>.</w:t>
      </w:r>
    </w:p>
    <w:p>
      <w:pPr>
        <w:pStyle w:val="FootnoteText"/>
        <w:jc w:val="both"/>
        <w:rPr>
          <w:rFonts w:ascii="Times New Roman" w:hAnsi="Times New Roman" w:cs="Times New Roman"/>
        </w:rPr>
      </w:pPr>
    </w:p>
  </w:footnote>
  <w:footnote w:id="21">
    <w:p>
      <w:pPr>
        <w:pStyle w:val="FootnoteText"/>
        <w:jc w:val="both"/>
      </w:pPr>
      <w:r>
        <w:rPr>
          <w:rStyle w:val="FootnoteReference"/>
          <w:rFonts w:ascii="Times New Roman" w:hAnsi="Times New Roman" w:cs="Times New Roman"/>
        </w:rPr>
        <w:footnoteRef/>
      </w:r>
      <w:r>
        <w:rPr>
          <w:rFonts w:ascii="Times New Roman" w:hAnsi="Times New Roman"/>
        </w:rPr>
        <w:t xml:space="preserve"> Ks. alaviite 17.</w:t>
      </w:r>
    </w:p>
  </w:footnote>
  <w:footnote w:id="22">
    <w:p>
      <w:pPr>
        <w:pStyle w:val="FootnoteText"/>
      </w:pPr>
      <w:r>
        <w:rPr>
          <w:rStyle w:val="FootnoteReference"/>
        </w:rPr>
        <w:footnoteRef/>
      </w:r>
      <w:r>
        <w:t xml:space="preserve"> </w:t>
      </w:r>
      <w:r>
        <w:rPr>
          <w:rFonts w:ascii="Times New Roman" w:hAnsi="Times New Roman"/>
        </w:rPr>
        <w:t>Euroopan parlamentin ja neuvoston asetus (EU) N:o 1315/2013, annettu 11 päivänä joulukuuta 2013, unionin suuntaviivoista Euroopan laajuisen liikenneverkon kehittämiseksi ja päätöksen N:o 661/2010/EU kumoamisesta, EUVL L 348, 20.12.2013, s. 1.</w:t>
      </w:r>
    </w:p>
  </w:footnote>
  <w:footnote w:id="23">
    <w:p>
      <w:pPr>
        <w:pStyle w:val="FootnoteText"/>
      </w:pPr>
      <w:r>
        <w:rPr>
          <w:rStyle w:val="FootnoteReference"/>
          <w:rFonts w:ascii="Times New Roman" w:hAnsi="Times New Roman" w:cs="Times New Roman"/>
        </w:rPr>
        <w:footnoteRef/>
      </w:r>
      <w:r>
        <w:rPr>
          <w:rFonts w:ascii="Times New Roman" w:hAnsi="Times New Roman"/>
        </w:rPr>
        <w:t xml:space="preserve"> Yhteinen tiedonanto Euroopan parlamentille ja neuvostolle sotilaallisen liikkuvuuden toimintasuunnitelmasta, JOIN(2018) 05 final, s. 5.</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Vuorovaikutteisen karttavälineen käyttöoikeuden voi saada tarvittaessa ottamalla yhteyttä osoitteeseen </w:t>
      </w:r>
      <w:hyperlink r:id="rId13" w:history="1">
        <w:r>
          <w:rPr>
            <w:rStyle w:val="Hyperlink"/>
            <w:rFonts w:ascii="Times New Roman" w:hAnsi="Times New Roman"/>
          </w:rPr>
          <w:t>move-tentec@ec.europa.eu</w:t>
        </w:r>
      </w:hyperlink>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Komission delegoitu asetus (EU) 2015/2446, annettu 28 päivänä heinäkuuta 2015, Euroopan parlamentin ja neuvoston asetuksen (EU) N:o 952/2013 täydentämisestä tiettyjä unionin tullikoodeksin säännöksiä koskevien yksityiskohtaisten sääntöjen osalta, EUVL L 343, 29.12.2015, s. 1, komission täytäntöönpanoasetus (EU) 2015/2447, annettu 24 päivänä marraskuuta 2015, unionin tullikoodeksista annetun Euroopan parlamentin ja neuvoston asetuksen (EU) N:o 952/2013 tiettyjen säännösten täytäntöönpanoa koskevista yksityiskohtaisista säännöistä, EUVL L 343, 29.12.2015, s. 558.</w:t>
      </w:r>
    </w:p>
  </w:footnote>
  <w:footnote w:id="26">
    <w:p>
      <w:pPr>
        <w:pStyle w:val="FootnoteText"/>
      </w:pPr>
      <w:r>
        <w:rPr>
          <w:rStyle w:val="FootnoteReference"/>
        </w:rPr>
        <w:footnoteRef/>
      </w:r>
      <w:r>
        <w:t xml:space="preserve"> </w:t>
      </w:r>
      <w:r>
        <w:rPr>
          <w:rFonts w:ascii="Times New Roman" w:hAnsi="Times New Roman"/>
        </w:rPr>
        <w:t>Komission delegoitu asetus (EU) 2020/877, annettu 3 päivänä huhtikuuta 2020, Euroopan parlamentin ja neuvoston asetuksen (EU) N:o 952/2013 täydentämisestä annetun komission delegoidun asetuksen (EU) 2015/2446 muuttamisesta ja oikaisemisesta sekä unionin tullikoodeksista annetun asetuksen (EU) N:o 952/2013 täydentämisestä annetun komission delegoidun asetuksen (EU) 2016/341 muuttamisesta, EUVL L 203, 26.6.2020, s. 1.</w:t>
      </w:r>
    </w:p>
  </w:footnote>
  <w:footnote w:id="27">
    <w:p>
      <w:pPr>
        <w:pStyle w:val="FootnoteText"/>
      </w:pPr>
      <w:r>
        <w:rPr>
          <w:rStyle w:val="FootnoteReference"/>
        </w:rPr>
        <w:footnoteRef/>
      </w:r>
      <w:r>
        <w:t xml:space="preserve"> </w:t>
      </w:r>
      <w:r>
        <w:rPr>
          <w:rFonts w:ascii="Times New Roman" w:hAnsi="Times New Roman"/>
        </w:rPr>
        <w:t>Komission täytäntöönpanoasetus (EU) 893/2020, annettu 29 päivänä kesäkuuta 2020, unionin tullikoodeksista annetun Euroopan parlamentin ja neuvoston asetuksen (EU) N:o 952/2013 tiettyjen säännösten täytäntöönpanoa koskevista yksityiskohtaisista säännöistä annetun täytäntöönpanoasetuksen (EU) 2015/2447 muuttamisesta, EUVL L 206, 30.6.2020, s. 8.</w:t>
      </w:r>
    </w:p>
  </w:footnote>
  <w:footnote w:id="2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Neuvoston direktiivi (EU) 2019/2235, annettu 16 päivänä joulukuuta 2019, yhteisestä arvonlisäverojärjestelmästä annetun direktiivin 2006/112/EY ja valmisteveroja koskevasta yleisestä järjestelmästä annetun direktiivin 2008/118/EY muuttamisesta unionin puitteissa toteutettavan puolustustoiminnan osalta, ST/14126/2019/INIT, EUVL336, 30.12.2019, s. 10.</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Yhteinen tiedonanto Euroopan parlamentille ja neuvostolle ”Yhteinen kehys hybridiuhkien torjumiseksi: Euroopan unionin toimet”, JOIN(2016) 18 final.</w:t>
      </w:r>
    </w:p>
  </w:footnote>
  <w:footnote w:id="3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Komission yksiköiden yhteinen valmisteluasiakirja: kertomus vuonna 2016 hyväksytyn hybridiuhkien torjumista koskevan yhteisen kehyksen täytäntöönpanosta ja vuonna 2018 annettu yhteinen tiedonanto selviytymiskyvyn ja valmiuksien kehittämisestä hybridiuhkien varalta, SWD(2020) 153 final, 24.7.2020.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39C"/>
    <w:multiLevelType w:val="hybridMultilevel"/>
    <w:tmpl w:val="EAA44FA0"/>
    <w:lvl w:ilvl="0" w:tplc="722A376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F095E"/>
    <w:multiLevelType w:val="hybridMultilevel"/>
    <w:tmpl w:val="EB5479DC"/>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891981"/>
    <w:multiLevelType w:val="hybridMultilevel"/>
    <w:tmpl w:val="6DACE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5D41C5"/>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96E3360"/>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 w:numId="6">
    <w:abstractNumId w:val="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D24B59-BB62-4691-989B-BF8B37AE66FD"/>
    <w:docVar w:name="LW_COVERPAGE_TYPE" w:val="1"/>
    <w:docVar w:name="LW_CROSSREFERENCE" w:val="&lt;UNUSED&gt;"/>
    <w:docVar w:name="LW_DocType" w:val="NORMAL"/>
    <w:docVar w:name="LW_EMISSION" w:val="19.10.2020"/>
    <w:docVar w:name="LW_EMISSION_ISODATE" w:val="2020-10-19"/>
    <w:docVar w:name="LW_EMISSION_LOCATION" w:val="BRX"/>
    <w:docVar w:name="LW_EMISSION_PREFIX" w:val="Bryssel "/>
    <w:docVar w:name="LW_EMISSION_SUFFIX" w:val=" "/>
    <w:docVar w:name="LW_ID_DOCTYPE_NONLW" w:val="CP-018"/>
    <w:docVar w:name="LW_LANGUE" w:val="FI"/>
    <w:docVar w:name="LW_LEVEL_OF_SENSITIVITY" w:val="Standard treatment"/>
    <w:docVar w:name="LW_NOM.INST" w:val="EUROOPAN KOMISSIO"/>
    <w:docVar w:name="LW_NOM.INST_JOINTDOC" w:val="UNIONIN ULKOASIOIDEN_x000b_JA TURVALLISUUSPOLITIIKAN_x000b_KORKEA EDUSTAJA"/>
    <w:docVar w:name="LW_PART_NBR" w:val="1"/>
    <w:docVar w:name="LW_PART_NBR_TOTAL" w:val="1"/>
    <w:docVar w:name="LW_REF.INST.NEW" w:val="JOIN"/>
    <w:docVar w:name="LW_REF.INST.NEW_ADOPTED" w:val="final"/>
    <w:docVar w:name="LW_REF.INST.NEW_TEXT" w:val="(2020)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otilaallisen liikkuvuuden toimintasuunnitelman täytäntöönpanosta kesäkuun 2019 ja syyskuun 2020 välillä&lt;/FMT&gt;"/>
    <w:docVar w:name="LW_TYPE.DOC.CP" w:val="YHTEINE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link w:val="ListParagraphChar"/>
    <w:uiPriority w:val="34"/>
    <w:qFormat/>
    <w:pPr>
      <w:spacing w:after="160" w:line="259" w:lineRule="auto"/>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link w:val="ListParagraphChar"/>
    <w:uiPriority w:val="34"/>
    <w:qFormat/>
    <w:pPr>
      <w:spacing w:after="160" w:line="259" w:lineRule="auto"/>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ata.consilium.europa.eu/doc/document/ST-15283-2016-INIT/fi/pdf" TargetMode="External"/><Relationship Id="rId13" Type="http://schemas.openxmlformats.org/officeDocument/2006/relationships/hyperlink" Target="file:///\\net1.cec.eu.int\MOVE\B\1\700%20Military%20Mobility\Progress%20Report%202019\move-tentec@ec.europa.eu" TargetMode="External"/><Relationship Id="rId3" Type="http://schemas.openxmlformats.org/officeDocument/2006/relationships/hyperlink" Target="https://data.consilium.europa.eu/doc/document/ST-14149-2016-INIT/fi/pdf" TargetMode="External"/><Relationship Id="rId7" Type="http://schemas.openxmlformats.org/officeDocument/2006/relationships/hyperlink" Target="https://www.consilium.europa.eu/media/36096/nato_eu_final_eng.pdf" TargetMode="External"/><Relationship Id="rId12" Type="http://schemas.openxmlformats.org/officeDocument/2006/relationships/hyperlink" Target="https://www.consilium.europa.eu/media/38507/st07207-re01-en19.pdf" TargetMode="External"/><Relationship Id="rId2" Type="http://schemas.openxmlformats.org/officeDocument/2006/relationships/hyperlink" Target="https://ec.europa.eu/commission/presscorner/detail/fi/SPEECH_20_102" TargetMode="External"/><Relationship Id="rId1" Type="http://schemas.openxmlformats.org/officeDocument/2006/relationships/hyperlink" Target="https://op.europa.eu/fi/publication-detail/-/publication/43a17056-ebf1-11e9-9c4e-01aa75ed71a1" TargetMode="External"/><Relationship Id="rId6" Type="http://schemas.openxmlformats.org/officeDocument/2006/relationships/hyperlink" Target="https://www.consilium.europa.eu/media/21481/nato-eu-declaration-8-july-en-final.pdf" TargetMode="External"/><Relationship Id="rId11" Type="http://schemas.openxmlformats.org/officeDocument/2006/relationships/hyperlink" Target="https://data.consilium.europa.eu/doc/document/ST-10048-2019-INIT/fi/pdf" TargetMode="External"/><Relationship Id="rId5" Type="http://schemas.openxmlformats.org/officeDocument/2006/relationships/hyperlink" Target="https://data.consilium.europa.eu/doc/document/ST-10246-2018-INIT/fi/pdf" TargetMode="External"/><Relationship Id="rId10" Type="http://schemas.openxmlformats.org/officeDocument/2006/relationships/hyperlink" Target="https://www.consilium.europa.eu/media/44451/200616-progress-report-nr5-eu-nato-eng.pdf" TargetMode="External"/><Relationship Id="rId4" Type="http://schemas.openxmlformats.org/officeDocument/2006/relationships/hyperlink" Target="https://op.europa.eu/fi/publication-detail/-/publication/3eaae2cf-9ac5-11e6-868c-01aa75ed71a1" TargetMode="External"/><Relationship Id="rId9" Type="http://schemas.openxmlformats.org/officeDocument/2006/relationships/hyperlink" Target="https://www.consilium.europa.eu/media/31947/st14802e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2575</Words>
  <Characters>23102</Characters>
  <Application>Microsoft Office Word</Application>
  <DocSecurity>0</DocSecurity>
  <Lines>334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2020-09-08T14:44:00Z</cp:lastPrinted>
  <dcterms:created xsi:type="dcterms:W3CDTF">2020-09-09T13:55:00Z</dcterms:created>
  <dcterms:modified xsi:type="dcterms:W3CDTF">2020-10-12T06:52:00Z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