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F4D02C67-F9C6-4911-B13E-8A582F36C3FA" style="width:450.75pt;height:461.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Text1"/>
        <w:ind w:left="0"/>
        <w:jc w:val="center"/>
        <w:rPr>
          <w:b/>
          <w:bCs/>
          <w:noProof/>
        </w:rPr>
      </w:pPr>
      <w:bookmarkStart w:id="1" w:name="_GoBack"/>
      <w:bookmarkEnd w:id="1"/>
      <w:r>
        <w:rPr>
          <w:b/>
          <w:bCs/>
          <w:noProof/>
        </w:rPr>
        <w:lastRenderedPageBreak/>
        <w:t>PIANO D'AZIONE</w:t>
      </w:r>
    </w:p>
    <w:p>
      <w:pPr>
        <w:pStyle w:val="Text1"/>
        <w:ind w:left="0"/>
        <w:jc w:val="center"/>
        <w:rPr>
          <w:i/>
          <w:iCs/>
          <w:noProof/>
        </w:rPr>
      </w:pPr>
      <w:r>
        <w:rPr>
          <w:i/>
          <w:iCs/>
          <w:noProof/>
        </w:rPr>
        <w:t xml:space="preserve">Le misure illustrate nel presente piano d'azione, comprese le proposte legislative e le modifiche mirate del regolamento REACH, devono essere attuate in linea con i principi per legiferare meglio e, se del caso, essere oggetto di valutazioni e valutazioni d'impatto. </w:t>
      </w:r>
    </w:p>
    <w:tbl>
      <w:tblPr>
        <w:tblStyle w:val="TableGrid"/>
        <w:tblW w:w="10916" w:type="dxa"/>
        <w:jc w:val="center"/>
        <w:tblLook w:val="04A0" w:firstRow="1" w:lastRow="0" w:firstColumn="1" w:lastColumn="0" w:noHBand="0" w:noVBand="1"/>
      </w:tblPr>
      <w:tblGrid>
        <w:gridCol w:w="4851"/>
        <w:gridCol w:w="4043"/>
        <w:gridCol w:w="2022"/>
      </w:tblGrid>
      <w:tr>
        <w:trPr>
          <w:jc w:val="center"/>
        </w:trPr>
        <w:tc>
          <w:tcPr>
            <w:tcW w:w="4853" w:type="dxa"/>
          </w:tcPr>
          <w:p>
            <w:pPr>
              <w:suppressAutoHyphens/>
              <w:spacing w:after="0"/>
              <w:rPr>
                <w:noProof/>
                <w:szCs w:val="24"/>
              </w:rPr>
            </w:pPr>
            <w:r>
              <w:rPr>
                <w:b/>
                <w:bCs/>
                <w:noProof/>
              </w:rPr>
              <w:t>Principali interventi della Commissione</w:t>
            </w:r>
          </w:p>
        </w:tc>
        <w:tc>
          <w:tcPr>
            <w:tcW w:w="4043" w:type="dxa"/>
          </w:tcPr>
          <w:p>
            <w:pPr>
              <w:spacing w:after="0"/>
              <w:rPr>
                <w:b/>
                <w:bCs/>
                <w:noProof/>
              </w:rPr>
            </w:pPr>
            <w:r>
              <w:rPr>
                <w:b/>
                <w:bCs/>
                <w:noProof/>
              </w:rPr>
              <w:t>Legislazione UE</w:t>
            </w:r>
          </w:p>
        </w:tc>
        <w:tc>
          <w:tcPr>
            <w:tcW w:w="2020" w:type="dxa"/>
          </w:tcPr>
          <w:p>
            <w:pPr>
              <w:spacing w:after="0"/>
              <w:rPr>
                <w:noProof/>
                <w:szCs w:val="24"/>
              </w:rPr>
            </w:pPr>
            <w:r>
              <w:rPr>
                <w:b/>
                <w:bCs/>
                <w:noProof/>
              </w:rPr>
              <w:t xml:space="preserve">Calendario indicativo </w:t>
            </w:r>
          </w:p>
        </w:tc>
      </w:tr>
      <w:tr>
        <w:trPr>
          <w:jc w:val="center"/>
        </w:trPr>
        <w:tc>
          <w:tcPr>
            <w:tcW w:w="4853" w:type="dxa"/>
          </w:tcPr>
          <w:p>
            <w:pPr>
              <w:spacing w:after="0"/>
              <w:rPr>
                <w:noProof/>
              </w:rPr>
            </w:pPr>
            <w:r>
              <w:rPr>
                <w:noProof/>
              </w:rPr>
              <w:t>Istituire una tavola rotonda ad alto livello con l'obiettivo di promuovere l'efficienza e l'efficacia della legislazione in materia di sostanze chimiche, dare impulso allo sviluppo e alla diffusione di sostanze chimiche innovative, sicure e sostenibili e monitorare l'impatto delle azioni della strategia</w:t>
            </w:r>
          </w:p>
        </w:tc>
        <w:tc>
          <w:tcPr>
            <w:tcW w:w="4043" w:type="dxa"/>
          </w:tcPr>
          <w:p>
            <w:pPr>
              <w:spacing w:after="0"/>
              <w:rPr>
                <w:noProof/>
              </w:rPr>
            </w:pPr>
          </w:p>
        </w:tc>
        <w:tc>
          <w:tcPr>
            <w:tcW w:w="2020" w:type="dxa"/>
          </w:tcPr>
          <w:p>
            <w:pPr>
              <w:spacing w:after="0"/>
              <w:jc w:val="left"/>
              <w:rPr>
                <w:noProof/>
              </w:rPr>
            </w:pPr>
            <w:r>
              <w:rPr>
                <w:noProof/>
              </w:rPr>
              <w:t xml:space="preserve">2021 </w:t>
            </w:r>
          </w:p>
        </w:tc>
      </w:tr>
      <w:tr>
        <w:trPr>
          <w:jc w:val="center"/>
        </w:trPr>
        <w:tc>
          <w:tcPr>
            <w:tcW w:w="10916" w:type="dxa"/>
            <w:gridSpan w:val="3"/>
            <w:shd w:val="clear" w:color="auto" w:fill="C4BC96" w:themeFill="background2" w:themeFillShade="BF"/>
          </w:tcPr>
          <w:p>
            <w:pPr>
              <w:spacing w:after="0"/>
              <w:jc w:val="left"/>
              <w:rPr>
                <w:b/>
                <w:noProof/>
              </w:rPr>
            </w:pPr>
            <w:r>
              <w:rPr>
                <w:b/>
                <w:noProof/>
              </w:rPr>
              <w:t xml:space="preserve">Innovare per ottenere sostanze chimiche sicure e sostenibili nell'UE </w:t>
            </w:r>
          </w:p>
        </w:tc>
      </w:tr>
      <w:tr>
        <w:trPr>
          <w:jc w:val="center"/>
        </w:trPr>
        <w:tc>
          <w:tcPr>
            <w:tcW w:w="4853" w:type="dxa"/>
          </w:tcPr>
          <w:p>
            <w:pPr>
              <w:spacing w:after="0"/>
              <w:rPr>
                <w:rFonts w:eastAsiaTheme="minorEastAsia"/>
                <w:noProof/>
              </w:rPr>
            </w:pPr>
            <w:r>
              <w:rPr>
                <w:noProof/>
              </w:rPr>
              <w:t>Sviluppare, fin dalla progettazione,</w:t>
            </w:r>
            <w:r>
              <w:rPr>
                <w:noProof/>
              </w:rPr>
              <w:br/>
              <w:t xml:space="preserve">criteri dell'UE in materia di sicurezza e sostenibilità per le sostanze chimiche </w:t>
            </w:r>
          </w:p>
        </w:tc>
        <w:tc>
          <w:tcPr>
            <w:tcW w:w="4043" w:type="dxa"/>
          </w:tcPr>
          <w:p>
            <w:pPr>
              <w:spacing w:after="0"/>
              <w:rPr>
                <w:noProof/>
              </w:rPr>
            </w:pPr>
          </w:p>
        </w:tc>
        <w:tc>
          <w:tcPr>
            <w:tcW w:w="2020" w:type="dxa"/>
          </w:tcPr>
          <w:p>
            <w:pPr>
              <w:spacing w:after="0"/>
              <w:jc w:val="left"/>
              <w:rPr>
                <w:noProof/>
              </w:rPr>
            </w:pPr>
            <w:r>
              <w:rPr>
                <w:noProof/>
              </w:rPr>
              <w:t xml:space="preserve">2022 </w:t>
            </w:r>
          </w:p>
        </w:tc>
      </w:tr>
      <w:tr>
        <w:trPr>
          <w:jc w:val="center"/>
        </w:trPr>
        <w:tc>
          <w:tcPr>
            <w:tcW w:w="4853" w:type="dxa"/>
          </w:tcPr>
          <w:p>
            <w:pPr>
              <w:spacing w:after="0"/>
              <w:rPr>
                <w:noProof/>
              </w:rPr>
            </w:pPr>
            <w:r>
              <w:rPr>
                <w:noProof/>
              </w:rPr>
              <w:t xml:space="preserve">Istituire una rete di livello UE basata sulla sicurezza e la sostenibilità fin dalla progettazione </w:t>
            </w:r>
          </w:p>
        </w:tc>
        <w:tc>
          <w:tcPr>
            <w:tcW w:w="4043" w:type="dxa"/>
          </w:tcPr>
          <w:p>
            <w:pPr>
              <w:spacing w:after="0"/>
              <w:rPr>
                <w:noProof/>
              </w:rPr>
            </w:pPr>
          </w:p>
        </w:tc>
        <w:tc>
          <w:tcPr>
            <w:tcW w:w="2020" w:type="dxa"/>
          </w:tcPr>
          <w:p>
            <w:pPr>
              <w:spacing w:after="0"/>
              <w:jc w:val="left"/>
              <w:rPr>
                <w:noProof/>
              </w:rPr>
            </w:pPr>
            <w:r>
              <w:rPr>
                <w:noProof/>
              </w:rPr>
              <w:t xml:space="preserve">2023 </w:t>
            </w:r>
          </w:p>
        </w:tc>
      </w:tr>
      <w:tr>
        <w:trPr>
          <w:jc w:val="center"/>
        </w:trPr>
        <w:tc>
          <w:tcPr>
            <w:tcW w:w="4853" w:type="dxa"/>
          </w:tcPr>
          <w:p>
            <w:pPr>
              <w:spacing w:after="0"/>
              <w:rPr>
                <w:noProof/>
              </w:rPr>
            </w:pPr>
            <w:r>
              <w:rPr>
                <w:noProof/>
              </w:rPr>
              <w:t xml:space="preserve"> Finanziare lo sviluppo, la commercializzazione, la diffusione e l'adozione di sostanze, materiali e prodotti sicuri e sostenibili fin dalla progettazione</w:t>
            </w:r>
          </w:p>
        </w:tc>
        <w:tc>
          <w:tcPr>
            <w:tcW w:w="4043" w:type="dxa"/>
          </w:tcPr>
          <w:p>
            <w:pPr>
              <w:spacing w:after="0"/>
              <w:rPr>
                <w:noProof/>
              </w:rPr>
            </w:pPr>
          </w:p>
        </w:tc>
        <w:tc>
          <w:tcPr>
            <w:tcW w:w="2020" w:type="dxa"/>
          </w:tcPr>
          <w:p>
            <w:pPr>
              <w:spacing w:after="0"/>
              <w:jc w:val="left"/>
              <w:rPr>
                <w:noProof/>
              </w:rPr>
            </w:pPr>
            <w:r>
              <w:rPr>
                <w:noProof/>
              </w:rPr>
              <w:t xml:space="preserve">A partire dal 2021 </w:t>
            </w:r>
          </w:p>
        </w:tc>
      </w:tr>
      <w:tr>
        <w:trPr>
          <w:jc w:val="center"/>
        </w:trPr>
        <w:tc>
          <w:tcPr>
            <w:tcW w:w="4853" w:type="dxa"/>
          </w:tcPr>
          <w:p>
            <w:pPr>
              <w:spacing w:after="0"/>
              <w:rPr>
                <w:noProof/>
              </w:rPr>
            </w:pPr>
            <w:r>
              <w:rPr>
                <w:noProof/>
              </w:rPr>
              <w:t>Procedere a una mappatura degli squilibri tra domanda e offerta di competenze in condizioni di sicurezza e sostenibilità fin dalla progettazione, formulando raccomandazioni</w:t>
            </w:r>
          </w:p>
        </w:tc>
        <w:tc>
          <w:tcPr>
            <w:tcW w:w="4043" w:type="dxa"/>
          </w:tcPr>
          <w:p>
            <w:pPr>
              <w:spacing w:after="0"/>
              <w:rPr>
                <w:noProof/>
              </w:rPr>
            </w:pPr>
          </w:p>
        </w:tc>
        <w:tc>
          <w:tcPr>
            <w:tcW w:w="2020" w:type="dxa"/>
          </w:tcPr>
          <w:p>
            <w:pPr>
              <w:spacing w:after="0"/>
              <w:jc w:val="left"/>
              <w:rPr>
                <w:noProof/>
              </w:rPr>
            </w:pPr>
            <w:r>
              <w:rPr>
                <w:noProof/>
              </w:rPr>
              <w:t xml:space="preserve">2021 </w:t>
            </w:r>
          </w:p>
        </w:tc>
      </w:tr>
      <w:tr>
        <w:trPr>
          <w:jc w:val="center"/>
        </w:trPr>
        <w:tc>
          <w:tcPr>
            <w:tcW w:w="4853" w:type="dxa"/>
          </w:tcPr>
          <w:p>
            <w:pPr>
              <w:spacing w:after="0"/>
              <w:rPr>
                <w:noProof/>
                <w:szCs w:val="24"/>
              </w:rPr>
            </w:pPr>
            <w:r>
              <w:rPr>
                <w:noProof/>
              </w:rPr>
              <w:t xml:space="preserve">Elaborare indicatori chiave di prestazione per misurare la transizione industriale verso la produzione di sostanze chimiche sicure e sostenibili </w:t>
            </w:r>
          </w:p>
        </w:tc>
        <w:tc>
          <w:tcPr>
            <w:tcW w:w="4043" w:type="dxa"/>
          </w:tcPr>
          <w:p>
            <w:pPr>
              <w:spacing w:after="0"/>
              <w:rPr>
                <w:noProof/>
              </w:rPr>
            </w:pPr>
          </w:p>
        </w:tc>
        <w:tc>
          <w:tcPr>
            <w:tcW w:w="2020" w:type="dxa"/>
          </w:tcPr>
          <w:p>
            <w:pPr>
              <w:spacing w:after="0"/>
              <w:jc w:val="left"/>
              <w:rPr>
                <w:noProof/>
              </w:rPr>
            </w:pPr>
            <w:r>
              <w:rPr>
                <w:noProof/>
              </w:rPr>
              <w:t xml:space="preserve">2021 </w:t>
            </w:r>
          </w:p>
        </w:tc>
      </w:tr>
      <w:tr>
        <w:trPr>
          <w:jc w:val="center"/>
        </w:trPr>
        <w:tc>
          <w:tcPr>
            <w:tcW w:w="4853" w:type="dxa"/>
          </w:tcPr>
          <w:p>
            <w:pPr>
              <w:spacing w:after="0"/>
              <w:rPr>
                <w:noProof/>
              </w:rPr>
            </w:pPr>
            <w:r>
              <w:rPr>
                <w:noProof/>
              </w:rPr>
              <w:t>Adottare requisiti giuridici sulla presenza di sostanze problematiche nei prodotti, incluse le PFAS, mediante l'iniziativa sui prodotti sostenibili</w:t>
            </w:r>
          </w:p>
        </w:tc>
        <w:tc>
          <w:tcPr>
            <w:tcW w:w="4043" w:type="dxa"/>
          </w:tcPr>
          <w:p>
            <w:pPr>
              <w:spacing w:after="0"/>
              <w:rPr>
                <w:noProof/>
              </w:rPr>
            </w:pPr>
            <w:r>
              <w:rPr>
                <w:noProof/>
              </w:rPr>
              <w:t xml:space="preserve">(Imminente) iniziativa sui prodotti sostenibili </w:t>
            </w:r>
          </w:p>
        </w:tc>
        <w:tc>
          <w:tcPr>
            <w:tcW w:w="2020" w:type="dxa"/>
          </w:tcPr>
          <w:p>
            <w:pPr>
              <w:spacing w:after="0"/>
              <w:jc w:val="left"/>
              <w:rPr>
                <w:noProof/>
              </w:rPr>
            </w:pPr>
            <w:r>
              <w:rPr>
                <w:noProof/>
              </w:rPr>
              <w:t xml:space="preserve">2021-2022 </w:t>
            </w:r>
          </w:p>
        </w:tc>
      </w:tr>
      <w:tr>
        <w:trPr>
          <w:jc w:val="center"/>
        </w:trPr>
        <w:tc>
          <w:tcPr>
            <w:tcW w:w="4853" w:type="dxa"/>
          </w:tcPr>
          <w:p>
            <w:pPr>
              <w:spacing w:after="0"/>
              <w:rPr>
                <w:noProof/>
              </w:rPr>
            </w:pPr>
            <w:r>
              <w:rPr>
                <w:noProof/>
              </w:rPr>
              <w:t xml:space="preserve">Iniziative e finanziamenti per promuovere lo sviluppo di tecnologie verdi e intelligenti, materiali avanzati e modelli commerciali innovativi per la produzione industriale e l'uso di sostanze chimiche a basse emissioni di carbonio e a basso impatto ambientale </w:t>
            </w:r>
          </w:p>
        </w:tc>
        <w:tc>
          <w:tcPr>
            <w:tcW w:w="4043" w:type="dxa"/>
          </w:tcPr>
          <w:p>
            <w:pPr>
              <w:spacing w:after="0"/>
              <w:rPr>
                <w:noProof/>
              </w:rPr>
            </w:pPr>
          </w:p>
        </w:tc>
        <w:tc>
          <w:tcPr>
            <w:tcW w:w="2020" w:type="dxa"/>
          </w:tcPr>
          <w:p>
            <w:pPr>
              <w:spacing w:after="0"/>
              <w:jc w:val="left"/>
              <w:rPr>
                <w:noProof/>
              </w:rPr>
            </w:pPr>
            <w:r>
              <w:rPr>
                <w:noProof/>
              </w:rPr>
              <w:t xml:space="preserve">A partire dal 2021 </w:t>
            </w:r>
          </w:p>
        </w:tc>
      </w:tr>
      <w:tr>
        <w:trPr>
          <w:jc w:val="center"/>
        </w:trPr>
        <w:tc>
          <w:tcPr>
            <w:tcW w:w="4853" w:type="dxa"/>
          </w:tcPr>
          <w:p>
            <w:pPr>
              <w:spacing w:after="0"/>
              <w:rPr>
                <w:noProof/>
              </w:rPr>
            </w:pPr>
            <w:r>
              <w:rPr>
                <w:noProof/>
              </w:rPr>
              <w:t>Accesso al capitale di rischio, in particolare per le PMI e le start-up</w:t>
            </w:r>
          </w:p>
        </w:tc>
        <w:tc>
          <w:tcPr>
            <w:tcW w:w="4043" w:type="dxa"/>
          </w:tcPr>
          <w:p>
            <w:pPr>
              <w:spacing w:after="0"/>
              <w:rPr>
                <w:noProof/>
              </w:rPr>
            </w:pPr>
          </w:p>
        </w:tc>
        <w:tc>
          <w:tcPr>
            <w:tcW w:w="2020" w:type="dxa"/>
          </w:tcPr>
          <w:p>
            <w:pPr>
              <w:spacing w:after="0"/>
              <w:jc w:val="left"/>
              <w:rPr>
                <w:noProof/>
              </w:rPr>
            </w:pPr>
            <w:r>
              <w:rPr>
                <w:noProof/>
              </w:rPr>
              <w:t xml:space="preserve">A partire dal 2021 </w:t>
            </w:r>
          </w:p>
        </w:tc>
      </w:tr>
      <w:tr>
        <w:trPr>
          <w:jc w:val="center"/>
        </w:trPr>
        <w:tc>
          <w:tcPr>
            <w:tcW w:w="4853" w:type="dxa"/>
          </w:tcPr>
          <w:p>
            <w:pPr>
              <w:spacing w:after="0"/>
              <w:rPr>
                <w:noProof/>
              </w:rPr>
            </w:pPr>
            <w:r>
              <w:rPr>
                <w:noProof/>
              </w:rPr>
              <w:t xml:space="preserve">Apportare modifiche alla legislazione dell'UE sulle emissioni industriali per promuovere l'uso di sostanze chimiche più sicure da parte dell'industria dell'Unione </w:t>
            </w:r>
          </w:p>
        </w:tc>
        <w:tc>
          <w:tcPr>
            <w:tcW w:w="4043" w:type="dxa"/>
          </w:tcPr>
          <w:p>
            <w:pPr>
              <w:spacing w:after="0"/>
              <w:rPr>
                <w:noProof/>
              </w:rPr>
            </w:pPr>
            <w:r>
              <w:rPr>
                <w:noProof/>
              </w:rPr>
              <w:t>Direttiva sulle emissioni industriali</w:t>
            </w:r>
          </w:p>
        </w:tc>
        <w:tc>
          <w:tcPr>
            <w:tcW w:w="2020" w:type="dxa"/>
          </w:tcPr>
          <w:p>
            <w:pPr>
              <w:spacing w:after="0"/>
              <w:jc w:val="left"/>
              <w:rPr>
                <w:noProof/>
              </w:rPr>
            </w:pPr>
            <w:r>
              <w:rPr>
                <w:noProof/>
              </w:rPr>
              <w:t>2021 E</w:t>
            </w:r>
          </w:p>
        </w:tc>
      </w:tr>
      <w:tr>
        <w:trPr>
          <w:jc w:val="center"/>
        </w:trPr>
        <w:tc>
          <w:tcPr>
            <w:tcW w:w="4853" w:type="dxa"/>
          </w:tcPr>
          <w:p>
            <w:pPr>
              <w:keepNext/>
              <w:spacing w:after="0"/>
              <w:rPr>
                <w:noProof/>
              </w:rPr>
            </w:pPr>
            <w:r>
              <w:rPr>
                <w:noProof/>
              </w:rPr>
              <w:t xml:space="preserve">Individuare le principali catene del valore e dipendenze, in cui le sostanze chimiche rappresentano importanti elementi costitutivi e coinvolgere i portatori di interessi per migliorare la previsione strategica dell'UE in materia di sostanze chimiche </w:t>
            </w:r>
          </w:p>
        </w:tc>
        <w:tc>
          <w:tcPr>
            <w:tcW w:w="4043" w:type="dxa"/>
          </w:tcPr>
          <w:p>
            <w:pPr>
              <w:keepNext/>
              <w:spacing w:after="0"/>
              <w:rPr>
                <w:noProof/>
              </w:rPr>
            </w:pPr>
          </w:p>
        </w:tc>
        <w:tc>
          <w:tcPr>
            <w:tcW w:w="2020" w:type="dxa"/>
          </w:tcPr>
          <w:p>
            <w:pPr>
              <w:keepNext/>
              <w:spacing w:after="0"/>
              <w:jc w:val="left"/>
              <w:rPr>
                <w:noProof/>
              </w:rPr>
            </w:pPr>
            <w:r>
              <w:rPr>
                <w:noProof/>
              </w:rPr>
              <w:t xml:space="preserve">A partire dal 2021 </w:t>
            </w:r>
          </w:p>
        </w:tc>
      </w:tr>
      <w:tr>
        <w:trPr>
          <w:jc w:val="center"/>
        </w:trPr>
        <w:tc>
          <w:tcPr>
            <w:tcW w:w="4853" w:type="dxa"/>
          </w:tcPr>
          <w:p>
            <w:pPr>
              <w:spacing w:after="0"/>
              <w:rPr>
                <w:noProof/>
              </w:rPr>
            </w:pPr>
            <w:r>
              <w:rPr>
                <w:noProof/>
              </w:rPr>
              <w:t>Promuovere la collaborazione interregionale ispirata a catene del valore sostenibili nel settore chimico, attraverso la specializzazione intelligente, per accelerare lo sviluppo di progetti di investimento congiunti</w:t>
            </w:r>
          </w:p>
        </w:tc>
        <w:tc>
          <w:tcPr>
            <w:tcW w:w="4043" w:type="dxa"/>
          </w:tcPr>
          <w:p>
            <w:pPr>
              <w:spacing w:after="0"/>
              <w:rPr>
                <w:noProof/>
              </w:rPr>
            </w:pPr>
          </w:p>
        </w:tc>
        <w:tc>
          <w:tcPr>
            <w:tcW w:w="2020" w:type="dxa"/>
          </w:tcPr>
          <w:p>
            <w:pPr>
              <w:spacing w:after="0"/>
              <w:jc w:val="left"/>
              <w:rPr>
                <w:noProof/>
              </w:rPr>
            </w:pPr>
            <w:r>
              <w:rPr>
                <w:noProof/>
              </w:rPr>
              <w:t xml:space="preserve">A partire dal 2021 </w:t>
            </w:r>
          </w:p>
        </w:tc>
      </w:tr>
      <w:tr>
        <w:trPr>
          <w:jc w:val="center"/>
        </w:trPr>
        <w:tc>
          <w:tcPr>
            <w:tcW w:w="4853" w:type="dxa"/>
          </w:tcPr>
          <w:p>
            <w:pPr>
              <w:spacing w:after="0"/>
              <w:rPr>
                <w:noProof/>
                <w:szCs w:val="24"/>
              </w:rPr>
            </w:pPr>
            <w:r>
              <w:rPr>
                <w:noProof/>
              </w:rPr>
              <w:t>Sostenere la riqualificazione e il miglioramento delle competenze della forza lavoro in prospettiva della transizione digitale e verde</w:t>
            </w:r>
          </w:p>
        </w:tc>
        <w:tc>
          <w:tcPr>
            <w:tcW w:w="4043" w:type="dxa"/>
          </w:tcPr>
          <w:p>
            <w:pPr>
              <w:spacing w:after="0"/>
              <w:rPr>
                <w:noProof/>
              </w:rPr>
            </w:pPr>
          </w:p>
        </w:tc>
        <w:tc>
          <w:tcPr>
            <w:tcW w:w="2020" w:type="dxa"/>
          </w:tcPr>
          <w:p>
            <w:pPr>
              <w:spacing w:after="0"/>
              <w:jc w:val="left"/>
              <w:rPr>
                <w:noProof/>
              </w:rPr>
            </w:pPr>
            <w:r>
              <w:rPr>
                <w:noProof/>
              </w:rPr>
              <w:t xml:space="preserve">A partire dal 2020 </w:t>
            </w:r>
          </w:p>
        </w:tc>
      </w:tr>
      <w:tr>
        <w:trPr>
          <w:jc w:val="center"/>
        </w:trPr>
        <w:tc>
          <w:tcPr>
            <w:tcW w:w="0" w:type="auto"/>
            <w:gridSpan w:val="3"/>
            <w:shd w:val="clear" w:color="auto" w:fill="C4BC96" w:themeFill="background2" w:themeFillShade="BF"/>
          </w:tcPr>
          <w:p>
            <w:pPr>
              <w:pStyle w:val="Body"/>
              <w:spacing w:before="0" w:after="0"/>
              <w:rPr>
                <w:rFonts w:ascii="Times New Roman" w:hAnsi="Times New Roman"/>
                <w:b/>
                <w:bCs/>
                <w:noProof/>
              </w:rPr>
            </w:pPr>
            <w:r>
              <w:rPr>
                <w:rFonts w:ascii="Times New Roman" w:hAnsi="Times New Roman"/>
                <w:b/>
                <w:bCs/>
                <w:noProof/>
              </w:rPr>
              <w:t>Un quadro giuridico dell'UE più forte, per affrontare tematiche pressanti in materia di ambiente e salute</w:t>
            </w:r>
          </w:p>
        </w:tc>
      </w:tr>
      <w:tr>
        <w:trPr>
          <w:jc w:val="center"/>
        </w:trPr>
        <w:tc>
          <w:tcPr>
            <w:tcW w:w="4853" w:type="dxa"/>
          </w:tcPr>
          <w:p>
            <w:pPr>
              <w:pStyle w:val="Text2"/>
              <w:spacing w:after="0"/>
              <w:ind w:left="0"/>
              <w:rPr>
                <w:noProof/>
              </w:rPr>
            </w:pPr>
            <w:r>
              <w:rPr>
                <w:noProof/>
              </w:rPr>
              <w:t>Tabella di marcia per dare priorità alle restrizioni (di gruppo) previste dal regolamento REACH per le sostanze cancerogene, mutagene e tossiche per la riproduzione (CMR), gli interferenti endocrini, le sostanze persistenti, bioccumulative e tossiche (PBT) e molto persistenti e molto bioaccumulabili (vPvB)</w:t>
            </w:r>
            <w:r>
              <w:rPr>
                <w:noProof/>
                <w:sz w:val="18"/>
                <w:szCs w:val="18"/>
              </w:rPr>
              <w:t xml:space="preserve">, </w:t>
            </w:r>
            <w:r>
              <w:rPr>
                <w:noProof/>
              </w:rPr>
              <w:t xml:space="preserve">gli immunotossici, i neurotossici, le sostanze tossiche per organi specifici e i sensibilizzanti delle vie respiratorie. </w:t>
            </w:r>
          </w:p>
        </w:tc>
        <w:tc>
          <w:tcPr>
            <w:tcW w:w="4043" w:type="dxa"/>
          </w:tcPr>
          <w:p>
            <w:pPr>
              <w:spacing w:after="0"/>
              <w:rPr>
                <w:noProof/>
              </w:rPr>
            </w:pPr>
            <w:r>
              <w:rPr>
                <w:noProof/>
              </w:rPr>
              <w:t>REACH (comitatologia)</w:t>
            </w:r>
          </w:p>
        </w:tc>
        <w:tc>
          <w:tcPr>
            <w:tcW w:w="2020" w:type="dxa"/>
          </w:tcPr>
          <w:p>
            <w:pPr>
              <w:spacing w:after="0"/>
              <w:jc w:val="left"/>
              <w:rPr>
                <w:noProof/>
              </w:rPr>
            </w:pPr>
            <w:r>
              <w:rPr>
                <w:noProof/>
              </w:rPr>
              <w:t xml:space="preserve">2021 </w:t>
            </w:r>
          </w:p>
          <w:p>
            <w:pPr>
              <w:spacing w:after="0"/>
              <w:jc w:val="left"/>
              <w:rPr>
                <w:noProof/>
              </w:rPr>
            </w:pPr>
          </w:p>
        </w:tc>
      </w:tr>
      <w:tr>
        <w:trPr>
          <w:jc w:val="center"/>
        </w:trPr>
        <w:tc>
          <w:tcPr>
            <w:tcW w:w="4853" w:type="dxa"/>
          </w:tcPr>
          <w:p>
            <w:pPr>
              <w:spacing w:after="0"/>
              <w:rPr>
                <w:noProof/>
              </w:rPr>
            </w:pPr>
            <w:r>
              <w:rPr>
                <w:noProof/>
              </w:rPr>
              <w:t>Proposte per estendere l'approccio generico per la gestione del rischio al fine di garantire che i prodotti di consumo non contengano sostanze chimiche che causano tumori o mutazioni genetiche, non incidano sulla riproduzione o sul sistema endocrino, né siano persistenti, bioaccumulabili e tossiche; valutare le modalità e la tempistica per estendere tale approccio ad altre sostanze chimiche, comprese quelle che incidono sui sistemi immunitario, neurologico o respiratorio e le sostanze con effetti tossici su un organo specifico</w:t>
            </w:r>
          </w:p>
        </w:tc>
        <w:tc>
          <w:tcPr>
            <w:tcW w:w="4043" w:type="dxa"/>
          </w:tcPr>
          <w:p>
            <w:pPr>
              <w:spacing w:after="0"/>
              <w:jc w:val="left"/>
              <w:rPr>
                <w:noProof/>
              </w:rPr>
            </w:pPr>
            <w:r>
              <w:rPr>
                <w:noProof/>
              </w:rPr>
              <w:t>REACH, articolo 68, paragrafo 2</w:t>
            </w:r>
          </w:p>
          <w:p>
            <w:pPr>
              <w:spacing w:after="0"/>
              <w:jc w:val="left"/>
              <w:rPr>
                <w:noProof/>
              </w:rPr>
            </w:pPr>
          </w:p>
          <w:p>
            <w:pPr>
              <w:spacing w:after="0"/>
              <w:jc w:val="left"/>
              <w:rPr>
                <w:noProof/>
              </w:rPr>
            </w:pPr>
            <w:r>
              <w:rPr>
                <w:noProof/>
              </w:rPr>
              <w:t>Regolamento sui materiali a contatto con gli alimenti</w:t>
            </w:r>
          </w:p>
          <w:p>
            <w:pPr>
              <w:spacing w:after="0"/>
              <w:jc w:val="left"/>
              <w:rPr>
                <w:noProof/>
              </w:rPr>
            </w:pPr>
          </w:p>
          <w:p>
            <w:pPr>
              <w:spacing w:after="0"/>
              <w:jc w:val="left"/>
              <w:rPr>
                <w:noProof/>
              </w:rPr>
            </w:pPr>
            <w:r>
              <w:rPr>
                <w:noProof/>
              </w:rPr>
              <w:t>Regolamento sui prodotti cosmetici</w:t>
            </w:r>
          </w:p>
          <w:p>
            <w:pPr>
              <w:spacing w:after="0"/>
              <w:jc w:val="left"/>
              <w:rPr>
                <w:noProof/>
              </w:rPr>
            </w:pPr>
          </w:p>
          <w:p>
            <w:pPr>
              <w:spacing w:after="0"/>
              <w:jc w:val="left"/>
              <w:rPr>
                <w:noProof/>
              </w:rPr>
            </w:pPr>
            <w:r>
              <w:rPr>
                <w:noProof/>
              </w:rPr>
              <w:t>Direttiva sulla sicurezza dei giocattoli</w:t>
            </w:r>
          </w:p>
          <w:p>
            <w:pPr>
              <w:spacing w:after="0"/>
              <w:jc w:val="left"/>
              <w:rPr>
                <w:noProof/>
              </w:rPr>
            </w:pPr>
          </w:p>
          <w:p>
            <w:pPr>
              <w:spacing w:after="0"/>
              <w:jc w:val="left"/>
              <w:rPr>
                <w:noProof/>
              </w:rPr>
            </w:pPr>
            <w:r>
              <w:rPr>
                <w:noProof/>
              </w:rPr>
              <w:t>Iter legislativo per altri prodotti di consumo (ad esempio, detergenti) che dovranno essere individuati dalla valutazione d'impatto</w:t>
            </w:r>
          </w:p>
        </w:tc>
        <w:tc>
          <w:tcPr>
            <w:tcW w:w="2020" w:type="dxa"/>
          </w:tcPr>
          <w:p>
            <w:pPr>
              <w:spacing w:after="0"/>
              <w:jc w:val="left"/>
              <w:rPr>
                <w:noProof/>
              </w:rPr>
            </w:pPr>
            <w:r>
              <w:rPr>
                <w:noProof/>
              </w:rPr>
              <w:t xml:space="preserve">2022 </w:t>
            </w:r>
          </w:p>
          <w:p>
            <w:pPr>
              <w:spacing w:after="0"/>
              <w:jc w:val="left"/>
              <w:rPr>
                <w:noProof/>
              </w:rPr>
            </w:pPr>
          </w:p>
          <w:p>
            <w:pPr>
              <w:spacing w:after="0"/>
              <w:jc w:val="left"/>
              <w:rPr>
                <w:noProof/>
              </w:rPr>
            </w:pPr>
            <w:r>
              <w:rPr>
                <w:noProof/>
              </w:rPr>
              <w:t xml:space="preserve">2022 </w:t>
            </w:r>
          </w:p>
          <w:p>
            <w:pPr>
              <w:spacing w:after="0"/>
              <w:jc w:val="left"/>
              <w:rPr>
                <w:noProof/>
              </w:rPr>
            </w:pPr>
          </w:p>
          <w:p>
            <w:pPr>
              <w:spacing w:after="0"/>
              <w:jc w:val="left"/>
              <w:rPr>
                <w:noProof/>
              </w:rPr>
            </w:pPr>
            <w:r>
              <w:rPr>
                <w:noProof/>
              </w:rPr>
              <w:t xml:space="preserve">2022 </w:t>
            </w:r>
          </w:p>
          <w:p>
            <w:pPr>
              <w:spacing w:after="0"/>
              <w:jc w:val="left"/>
              <w:rPr>
                <w:noProof/>
              </w:rPr>
            </w:pPr>
          </w:p>
          <w:p>
            <w:pPr>
              <w:spacing w:after="0"/>
              <w:jc w:val="left"/>
              <w:rPr>
                <w:noProof/>
              </w:rPr>
            </w:pPr>
            <w:r>
              <w:rPr>
                <w:noProof/>
              </w:rPr>
              <w:t xml:space="preserve">2022 </w:t>
            </w:r>
          </w:p>
        </w:tc>
      </w:tr>
      <w:tr>
        <w:trPr>
          <w:jc w:val="center"/>
        </w:trPr>
        <w:tc>
          <w:tcPr>
            <w:tcW w:w="4853" w:type="dxa"/>
          </w:tcPr>
          <w:p>
            <w:pPr>
              <w:spacing w:after="0"/>
              <w:rPr>
                <w:noProof/>
              </w:rPr>
            </w:pPr>
            <w:r>
              <w:rPr>
                <w:noProof/>
              </w:rPr>
              <w:t>Proposta di modifica dell'articolo 68, paragrafo 2, del regolamento REACH per includervi gli utilizzatori professionali</w:t>
            </w:r>
          </w:p>
        </w:tc>
        <w:tc>
          <w:tcPr>
            <w:tcW w:w="4043" w:type="dxa"/>
          </w:tcPr>
          <w:p>
            <w:pPr>
              <w:spacing w:after="0"/>
              <w:rPr>
                <w:noProof/>
              </w:rPr>
            </w:pPr>
            <w:r>
              <w:rPr>
                <w:noProof/>
              </w:rPr>
              <w:t>REACH</w:t>
            </w:r>
          </w:p>
        </w:tc>
        <w:tc>
          <w:tcPr>
            <w:tcW w:w="2020" w:type="dxa"/>
          </w:tcPr>
          <w:p>
            <w:pPr>
              <w:spacing w:after="0"/>
              <w:jc w:val="left"/>
              <w:rPr>
                <w:noProof/>
              </w:rPr>
            </w:pPr>
            <w:r>
              <w:rPr>
                <w:noProof/>
              </w:rPr>
              <w:t xml:space="preserve">2022 </w:t>
            </w:r>
          </w:p>
        </w:tc>
      </w:tr>
      <w:tr>
        <w:trPr>
          <w:jc w:val="center"/>
        </w:trPr>
        <w:tc>
          <w:tcPr>
            <w:tcW w:w="4853" w:type="dxa"/>
          </w:tcPr>
          <w:p>
            <w:pPr>
              <w:pStyle w:val="Text2"/>
              <w:keepNext/>
              <w:keepLines/>
              <w:spacing w:after="0"/>
              <w:ind w:left="0"/>
              <w:rPr>
                <w:noProof/>
                <w:szCs w:val="24"/>
              </w:rPr>
            </w:pPr>
            <w:r>
              <w:rPr>
                <w:noProof/>
              </w:rPr>
              <w:t>Introdurre requisiti giuridici obbligatori a norma della direttiva sulla sicurezza generale dei prodotti e restrizioni nel regolamento REACH per migliorare la sicurezza dei bambini, proteggendoli dalle sostanze chimiche pericolose contenute negli articoli di puericultura e in altri prodotti per i bambini (diversi dai giocattoli)</w:t>
            </w:r>
          </w:p>
        </w:tc>
        <w:tc>
          <w:tcPr>
            <w:tcW w:w="4043" w:type="dxa"/>
          </w:tcPr>
          <w:p>
            <w:pPr>
              <w:spacing w:after="0"/>
              <w:jc w:val="left"/>
              <w:rPr>
                <w:noProof/>
              </w:rPr>
            </w:pPr>
            <w:r>
              <w:rPr>
                <w:noProof/>
              </w:rPr>
              <w:t>REACH (comitatologia)</w:t>
            </w:r>
          </w:p>
          <w:p>
            <w:pPr>
              <w:spacing w:after="0"/>
              <w:jc w:val="left"/>
              <w:rPr>
                <w:noProof/>
              </w:rPr>
            </w:pPr>
          </w:p>
          <w:p>
            <w:pPr>
              <w:spacing w:after="0"/>
              <w:jc w:val="left"/>
              <w:rPr>
                <w:noProof/>
                <w:szCs w:val="24"/>
              </w:rPr>
            </w:pPr>
          </w:p>
          <w:p>
            <w:pPr>
              <w:spacing w:after="0"/>
              <w:jc w:val="left"/>
              <w:rPr>
                <w:noProof/>
                <w:highlight w:val="yellow"/>
              </w:rPr>
            </w:pPr>
            <w:r>
              <w:rPr>
                <w:noProof/>
              </w:rPr>
              <w:t>Direttiva sulla sicurezza generale dei prodotti</w:t>
            </w:r>
          </w:p>
        </w:tc>
        <w:tc>
          <w:tcPr>
            <w:tcW w:w="2020" w:type="dxa"/>
          </w:tcPr>
          <w:p>
            <w:pPr>
              <w:spacing w:after="0"/>
              <w:jc w:val="left"/>
              <w:rPr>
                <w:noProof/>
              </w:rPr>
            </w:pPr>
            <w:r>
              <w:rPr>
                <w:noProof/>
              </w:rPr>
              <w:t xml:space="preserve">2022 </w:t>
            </w:r>
          </w:p>
          <w:p>
            <w:pPr>
              <w:spacing w:after="0"/>
              <w:jc w:val="left"/>
              <w:rPr>
                <w:noProof/>
              </w:rPr>
            </w:pPr>
          </w:p>
          <w:p>
            <w:pPr>
              <w:spacing w:after="0"/>
              <w:jc w:val="left"/>
              <w:rPr>
                <w:noProof/>
              </w:rPr>
            </w:pPr>
          </w:p>
          <w:p>
            <w:pPr>
              <w:spacing w:after="0"/>
              <w:jc w:val="left"/>
              <w:rPr>
                <w:noProof/>
              </w:rPr>
            </w:pPr>
            <w:r>
              <w:rPr>
                <w:noProof/>
              </w:rPr>
              <w:t xml:space="preserve">2021 </w:t>
            </w:r>
          </w:p>
        </w:tc>
      </w:tr>
      <w:tr>
        <w:trPr>
          <w:jc w:val="center"/>
        </w:trPr>
        <w:tc>
          <w:tcPr>
            <w:tcW w:w="4853" w:type="dxa"/>
          </w:tcPr>
          <w:p>
            <w:pPr>
              <w:pStyle w:val="Text2"/>
              <w:spacing w:after="0"/>
              <w:ind w:left="0"/>
              <w:rPr>
                <w:noProof/>
                <w:sz w:val="20"/>
              </w:rPr>
            </w:pPr>
            <w:r>
              <w:rPr>
                <w:noProof/>
              </w:rPr>
              <w:t>In sede di elaborazione del prossimo quadro strategico in materia di salute e sicurezza sul lavoro, definire ulteriori priorità per affrontare la questione dell'esposizione dei lavoratori alle sostanze pericolose anche attraverso l'individuazione delle sostanze più nocive, per le quali la Commissione proporrà di fissare limiti di esposizione professionale a seguito dell'ormai consolidato processo di consultazione nel settore salute e sicurezza sul lavoro</w:t>
            </w:r>
          </w:p>
        </w:tc>
        <w:tc>
          <w:tcPr>
            <w:tcW w:w="4043" w:type="dxa"/>
          </w:tcPr>
          <w:p>
            <w:pPr>
              <w:spacing w:after="0"/>
              <w:jc w:val="left"/>
              <w:rPr>
                <w:noProof/>
                <w:highlight w:val="yellow"/>
              </w:rPr>
            </w:pPr>
            <w:r>
              <w:rPr>
                <w:noProof/>
              </w:rPr>
              <w:t>Quadro strategico in materia di salute e sicurezza sul lavoro,</w:t>
            </w:r>
          </w:p>
        </w:tc>
        <w:tc>
          <w:tcPr>
            <w:tcW w:w="2020" w:type="dxa"/>
          </w:tcPr>
          <w:p>
            <w:pPr>
              <w:spacing w:after="0"/>
              <w:jc w:val="left"/>
              <w:rPr>
                <w:noProof/>
              </w:rPr>
            </w:pPr>
            <w:r>
              <w:rPr>
                <w:noProof/>
              </w:rPr>
              <w:t xml:space="preserve">2021 </w:t>
            </w:r>
          </w:p>
        </w:tc>
      </w:tr>
      <w:tr>
        <w:trPr>
          <w:jc w:val="center"/>
        </w:trPr>
        <w:tc>
          <w:tcPr>
            <w:tcW w:w="4853" w:type="dxa"/>
          </w:tcPr>
          <w:p>
            <w:pPr>
              <w:pStyle w:val="Text2"/>
              <w:spacing w:after="0"/>
              <w:ind w:left="0"/>
              <w:rPr>
                <w:noProof/>
              </w:rPr>
            </w:pPr>
            <w:r>
              <w:rPr>
                <w:noProof/>
              </w:rPr>
              <w:t>In consultazione con le parti sociali, rafforzare la protezione dei lavoratori proponendo, in particolare, la riduzione degli attuali valori limite di esposizione professionale per il piombo e l'amianto e stabilendo un valore limite vincolante per i diisocianati</w:t>
            </w:r>
          </w:p>
        </w:tc>
        <w:tc>
          <w:tcPr>
            <w:tcW w:w="4043" w:type="dxa"/>
          </w:tcPr>
          <w:p>
            <w:pPr>
              <w:spacing w:before="100" w:beforeAutospacing="1" w:after="100" w:afterAutospacing="1"/>
              <w:rPr>
                <w:noProof/>
                <w:sz w:val="22"/>
              </w:rPr>
            </w:pPr>
            <w:r>
              <w:rPr>
                <w:noProof/>
              </w:rPr>
              <w:t>Direttiva sugli agenti chimici, direttiva sull'esposizione all'amianto durante il lavoro</w:t>
            </w:r>
          </w:p>
        </w:tc>
        <w:tc>
          <w:tcPr>
            <w:tcW w:w="2020" w:type="dxa"/>
          </w:tcPr>
          <w:p>
            <w:pPr>
              <w:spacing w:after="0"/>
              <w:jc w:val="left"/>
              <w:rPr>
                <w:noProof/>
                <w:highlight w:val="magenta"/>
              </w:rPr>
            </w:pPr>
            <w:r>
              <w:rPr>
                <w:noProof/>
              </w:rPr>
              <w:t xml:space="preserve">2022 </w:t>
            </w:r>
          </w:p>
        </w:tc>
      </w:tr>
      <w:tr>
        <w:trPr>
          <w:jc w:val="center"/>
        </w:trPr>
        <w:tc>
          <w:tcPr>
            <w:tcW w:w="4853" w:type="dxa"/>
          </w:tcPr>
          <w:p>
            <w:pPr>
              <w:spacing w:after="0"/>
              <w:rPr>
                <w:noProof/>
                <w:highlight w:val="yellow"/>
              </w:rPr>
            </w:pPr>
            <w:r>
              <w:rPr>
                <w:noProof/>
              </w:rPr>
              <w:t xml:space="preserve">Definire criteri per gli usi essenziali, tenendo conto della definizione del protocollo di Montreal </w:t>
            </w:r>
          </w:p>
        </w:tc>
        <w:tc>
          <w:tcPr>
            <w:tcW w:w="4043" w:type="dxa"/>
          </w:tcPr>
          <w:p>
            <w:pPr>
              <w:spacing w:after="0"/>
              <w:jc w:val="left"/>
              <w:rPr>
                <w:noProof/>
              </w:rPr>
            </w:pPr>
          </w:p>
        </w:tc>
        <w:tc>
          <w:tcPr>
            <w:tcW w:w="2020" w:type="dxa"/>
          </w:tcPr>
          <w:p>
            <w:pPr>
              <w:spacing w:after="0"/>
              <w:jc w:val="left"/>
              <w:rPr>
                <w:noProof/>
              </w:rPr>
            </w:pPr>
            <w:r>
              <w:rPr>
                <w:noProof/>
              </w:rPr>
              <w:t xml:space="preserve">2021-22 </w:t>
            </w:r>
          </w:p>
        </w:tc>
      </w:tr>
      <w:tr>
        <w:trPr>
          <w:jc w:val="center"/>
        </w:trPr>
        <w:tc>
          <w:tcPr>
            <w:tcW w:w="4853" w:type="dxa"/>
          </w:tcPr>
          <w:p>
            <w:pPr>
              <w:suppressAutoHyphens/>
              <w:spacing w:after="0"/>
              <w:rPr>
                <w:bCs/>
                <w:noProof/>
              </w:rPr>
            </w:pPr>
            <w:r>
              <w:rPr>
                <w:noProof/>
              </w:rPr>
              <w:t>Proposta di modifica del regolamento CLP per introdurre nuove classi di pericolo in materia di interferenti endocrini, PBT/vPvB e sostanze persistenti e mobili, e applicarle in tutta la legislazione</w:t>
            </w:r>
          </w:p>
        </w:tc>
        <w:tc>
          <w:tcPr>
            <w:tcW w:w="4043" w:type="dxa"/>
          </w:tcPr>
          <w:p>
            <w:pPr>
              <w:spacing w:after="0"/>
              <w:jc w:val="left"/>
              <w:rPr>
                <w:noProof/>
              </w:rPr>
            </w:pPr>
            <w:r>
              <w:rPr>
                <w:noProof/>
              </w:rPr>
              <w:t>Regolamento CLP</w:t>
            </w:r>
          </w:p>
          <w:p>
            <w:pPr>
              <w:spacing w:after="0"/>
              <w:jc w:val="left"/>
              <w:rPr>
                <w:noProof/>
              </w:rPr>
            </w:pPr>
          </w:p>
          <w:p>
            <w:pPr>
              <w:spacing w:after="0"/>
              <w:jc w:val="left"/>
              <w:rPr>
                <w:noProof/>
              </w:rPr>
            </w:pPr>
          </w:p>
        </w:tc>
        <w:tc>
          <w:tcPr>
            <w:tcW w:w="2020" w:type="dxa"/>
          </w:tcPr>
          <w:p>
            <w:pPr>
              <w:spacing w:after="0"/>
              <w:jc w:val="left"/>
              <w:rPr>
                <w:noProof/>
              </w:rPr>
            </w:pPr>
            <w:r>
              <w:rPr>
                <w:noProof/>
              </w:rPr>
              <w:t xml:space="preserve">2021 </w:t>
            </w:r>
          </w:p>
        </w:tc>
      </w:tr>
      <w:tr>
        <w:trPr>
          <w:jc w:val="center"/>
        </w:trPr>
        <w:tc>
          <w:tcPr>
            <w:tcW w:w="4853" w:type="dxa"/>
          </w:tcPr>
          <w:p>
            <w:pPr>
              <w:suppressAutoHyphens/>
              <w:spacing w:after="0"/>
              <w:rPr>
                <w:noProof/>
              </w:rPr>
            </w:pPr>
            <w:r>
              <w:rPr>
                <w:noProof/>
              </w:rPr>
              <w:t xml:space="preserve">Aggiornare gli obblighi in materia di informazione per consentire l'identificazione degli interferenti endocrini nella legislazione pertinente, in particolare nell'ambito del regolamento REACH, della legislazione sui prodotti cosmetici, i materiali a contatto con gli alimenti, i prodotti fitosanitari e i biocidi </w:t>
            </w:r>
          </w:p>
        </w:tc>
        <w:tc>
          <w:tcPr>
            <w:tcW w:w="4043" w:type="dxa"/>
          </w:tcPr>
          <w:p>
            <w:pPr>
              <w:spacing w:after="0"/>
              <w:jc w:val="left"/>
              <w:rPr>
                <w:noProof/>
              </w:rPr>
            </w:pPr>
            <w:r>
              <w:rPr>
                <w:noProof/>
              </w:rPr>
              <w:t>REACH (comitatologia)</w:t>
            </w:r>
          </w:p>
          <w:p>
            <w:pPr>
              <w:spacing w:after="0"/>
              <w:jc w:val="left"/>
              <w:rPr>
                <w:noProof/>
              </w:rPr>
            </w:pPr>
          </w:p>
          <w:p>
            <w:pPr>
              <w:spacing w:after="0"/>
              <w:jc w:val="left"/>
              <w:rPr>
                <w:noProof/>
              </w:rPr>
            </w:pPr>
            <w:r>
              <w:rPr>
                <w:noProof/>
              </w:rPr>
              <w:t>Regolamento sui biocidi (allegati)</w:t>
            </w:r>
          </w:p>
          <w:p>
            <w:pPr>
              <w:spacing w:after="0"/>
              <w:jc w:val="left"/>
              <w:rPr>
                <w:noProof/>
              </w:rPr>
            </w:pPr>
          </w:p>
          <w:p>
            <w:pPr>
              <w:spacing w:after="0"/>
              <w:jc w:val="left"/>
              <w:rPr>
                <w:noProof/>
              </w:rPr>
            </w:pPr>
            <w:r>
              <w:rPr>
                <w:noProof/>
              </w:rPr>
              <w:t>Regolamento sui prodotti fitosanitari (comunicazioni della Commissione)</w:t>
            </w:r>
          </w:p>
          <w:p>
            <w:pPr>
              <w:spacing w:after="0"/>
              <w:jc w:val="left"/>
              <w:rPr>
                <w:noProof/>
              </w:rPr>
            </w:pPr>
          </w:p>
          <w:p>
            <w:pPr>
              <w:spacing w:after="0"/>
              <w:jc w:val="left"/>
              <w:rPr>
                <w:noProof/>
              </w:rPr>
            </w:pPr>
            <w:r>
              <w:rPr>
                <w:noProof/>
              </w:rPr>
              <w:t>Regolamento sui materiali a contatto con gli alimenti</w:t>
            </w:r>
          </w:p>
          <w:p>
            <w:pPr>
              <w:spacing w:after="0"/>
              <w:jc w:val="left"/>
              <w:rPr>
                <w:noProof/>
              </w:rPr>
            </w:pPr>
          </w:p>
          <w:p>
            <w:pPr>
              <w:spacing w:after="0"/>
              <w:jc w:val="left"/>
              <w:rPr>
                <w:noProof/>
              </w:rPr>
            </w:pPr>
            <w:r>
              <w:rPr>
                <w:noProof/>
              </w:rPr>
              <w:t>Regolamento sui prodotti cosmetici</w:t>
            </w:r>
          </w:p>
        </w:tc>
        <w:tc>
          <w:tcPr>
            <w:tcW w:w="2020" w:type="dxa"/>
          </w:tcPr>
          <w:p>
            <w:pPr>
              <w:spacing w:after="0"/>
              <w:jc w:val="left"/>
              <w:rPr>
                <w:noProof/>
              </w:rPr>
            </w:pPr>
            <w:r>
              <w:rPr>
                <w:noProof/>
              </w:rPr>
              <w:t xml:space="preserve">2022 </w:t>
            </w:r>
          </w:p>
          <w:p>
            <w:pPr>
              <w:spacing w:after="0"/>
              <w:jc w:val="left"/>
              <w:rPr>
                <w:noProof/>
                <w:lang w:val="fr-BE"/>
              </w:rPr>
            </w:pPr>
          </w:p>
          <w:p>
            <w:pPr>
              <w:spacing w:after="0"/>
              <w:jc w:val="left"/>
              <w:rPr>
                <w:noProof/>
              </w:rPr>
            </w:pPr>
            <w:r>
              <w:rPr>
                <w:noProof/>
              </w:rPr>
              <w:t xml:space="preserve">2021 </w:t>
            </w:r>
          </w:p>
          <w:p>
            <w:pPr>
              <w:spacing w:after="0"/>
              <w:jc w:val="left"/>
              <w:rPr>
                <w:noProof/>
                <w:lang w:val="fr-BE"/>
              </w:rPr>
            </w:pPr>
          </w:p>
          <w:p>
            <w:pPr>
              <w:spacing w:after="0"/>
              <w:jc w:val="left"/>
              <w:rPr>
                <w:noProof/>
                <w:lang w:val="fr-BE"/>
              </w:rPr>
            </w:pPr>
          </w:p>
          <w:p>
            <w:pPr>
              <w:spacing w:after="0"/>
              <w:jc w:val="left"/>
              <w:rPr>
                <w:noProof/>
              </w:rPr>
            </w:pPr>
            <w:r>
              <w:rPr>
                <w:noProof/>
              </w:rPr>
              <w:t xml:space="preserve">2021 </w:t>
            </w:r>
          </w:p>
          <w:p>
            <w:pPr>
              <w:spacing w:after="0"/>
              <w:jc w:val="left"/>
              <w:rPr>
                <w:noProof/>
                <w:lang w:val="fr-BE"/>
              </w:rPr>
            </w:pPr>
          </w:p>
          <w:p>
            <w:pPr>
              <w:spacing w:after="0"/>
              <w:jc w:val="left"/>
              <w:rPr>
                <w:noProof/>
                <w:lang w:val="fr-BE"/>
              </w:rPr>
            </w:pPr>
          </w:p>
          <w:p>
            <w:pPr>
              <w:spacing w:after="0"/>
              <w:jc w:val="left"/>
              <w:rPr>
                <w:noProof/>
              </w:rPr>
            </w:pPr>
            <w:r>
              <w:rPr>
                <w:noProof/>
              </w:rPr>
              <w:t xml:space="preserve">2022 </w:t>
            </w:r>
          </w:p>
          <w:p>
            <w:pPr>
              <w:spacing w:after="0"/>
              <w:jc w:val="left"/>
              <w:rPr>
                <w:noProof/>
                <w:lang w:val="fr-BE"/>
              </w:rPr>
            </w:pPr>
          </w:p>
          <w:p>
            <w:pPr>
              <w:spacing w:after="0"/>
              <w:jc w:val="left"/>
              <w:rPr>
                <w:noProof/>
              </w:rPr>
            </w:pPr>
            <w:r>
              <w:rPr>
                <w:noProof/>
              </w:rPr>
              <w:t xml:space="preserve">2022 </w:t>
            </w:r>
          </w:p>
        </w:tc>
      </w:tr>
      <w:tr>
        <w:trPr>
          <w:jc w:val="center"/>
        </w:trPr>
        <w:tc>
          <w:tcPr>
            <w:tcW w:w="4853" w:type="dxa"/>
          </w:tcPr>
          <w:p>
            <w:pPr>
              <w:pStyle w:val="NumPar3"/>
              <w:numPr>
                <w:ilvl w:val="2"/>
                <w:numId w:val="0"/>
              </w:numPr>
              <w:spacing w:after="0"/>
              <w:rPr>
                <w:i w:val="0"/>
                <w:noProof/>
              </w:rPr>
            </w:pPr>
            <w:r>
              <w:rPr>
                <w:i w:val="0"/>
                <w:noProof/>
              </w:rPr>
              <w:t>Introdurre uno o più fattori di valutazione delle miscele nell'allegato I del regolamento REACH, valutando le migliori modalità attuative</w:t>
            </w:r>
          </w:p>
        </w:tc>
        <w:tc>
          <w:tcPr>
            <w:tcW w:w="4043" w:type="dxa"/>
          </w:tcPr>
          <w:p>
            <w:pPr>
              <w:spacing w:after="0"/>
              <w:jc w:val="left"/>
              <w:rPr>
                <w:noProof/>
              </w:rPr>
            </w:pPr>
            <w:r>
              <w:rPr>
                <w:noProof/>
              </w:rPr>
              <w:t>REACH (comitatologia)</w:t>
            </w:r>
          </w:p>
        </w:tc>
        <w:tc>
          <w:tcPr>
            <w:tcW w:w="2020" w:type="dxa"/>
          </w:tcPr>
          <w:p>
            <w:pPr>
              <w:spacing w:after="0"/>
              <w:jc w:val="left"/>
              <w:rPr>
                <w:noProof/>
              </w:rPr>
            </w:pPr>
            <w:r>
              <w:rPr>
                <w:noProof/>
              </w:rPr>
              <w:t xml:space="preserve">2022 </w:t>
            </w:r>
          </w:p>
        </w:tc>
      </w:tr>
      <w:tr>
        <w:trPr>
          <w:jc w:val="center"/>
        </w:trPr>
        <w:tc>
          <w:tcPr>
            <w:tcW w:w="4853" w:type="dxa"/>
          </w:tcPr>
          <w:p>
            <w:pPr>
              <w:suppressAutoHyphens/>
              <w:spacing w:after="0"/>
              <w:rPr>
                <w:noProof/>
              </w:rPr>
            </w:pPr>
            <w:r>
              <w:rPr>
                <w:noProof/>
              </w:rPr>
              <w:t>Introdurre disposizioni o rafforzare quelle vigenti per tenere conto degli effetti combinati delle sostanze chimiche nell'acqua, nei materiali a contatto con gli alimenti, negli additivi alimentari, nei giocattoli, nei detergenti e nei cosmetici</w:t>
            </w:r>
          </w:p>
        </w:tc>
        <w:tc>
          <w:tcPr>
            <w:tcW w:w="4043" w:type="dxa"/>
          </w:tcPr>
          <w:p>
            <w:pPr>
              <w:spacing w:after="0"/>
              <w:jc w:val="left"/>
              <w:rPr>
                <w:noProof/>
              </w:rPr>
            </w:pPr>
            <w:r>
              <w:rPr>
                <w:noProof/>
              </w:rPr>
              <w:t>Direttiva sugli standard di qualità ambientale/direttiva sulle acque sotterranee (allegati)</w:t>
            </w:r>
          </w:p>
          <w:p>
            <w:pPr>
              <w:spacing w:after="0"/>
              <w:jc w:val="left"/>
              <w:rPr>
                <w:noProof/>
              </w:rPr>
            </w:pPr>
          </w:p>
          <w:p>
            <w:pPr>
              <w:spacing w:after="0"/>
              <w:jc w:val="left"/>
              <w:rPr>
                <w:noProof/>
              </w:rPr>
            </w:pPr>
            <w:r>
              <w:rPr>
                <w:noProof/>
              </w:rPr>
              <w:t>Regolamento sui materiali a contatto con gli alimenti</w:t>
            </w:r>
          </w:p>
          <w:p>
            <w:pPr>
              <w:spacing w:after="0"/>
              <w:jc w:val="left"/>
              <w:rPr>
                <w:noProof/>
              </w:rPr>
            </w:pPr>
          </w:p>
          <w:p>
            <w:pPr>
              <w:spacing w:after="0"/>
              <w:jc w:val="left"/>
              <w:rPr>
                <w:noProof/>
              </w:rPr>
            </w:pPr>
            <w:r>
              <w:rPr>
                <w:noProof/>
              </w:rPr>
              <w:t>Regolamento della Commissione sugli additivi alimentari</w:t>
            </w:r>
          </w:p>
          <w:p>
            <w:pPr>
              <w:spacing w:after="0"/>
              <w:jc w:val="left"/>
              <w:rPr>
                <w:noProof/>
              </w:rPr>
            </w:pPr>
            <w:r>
              <w:rPr>
                <w:noProof/>
              </w:rPr>
              <w:t>(Comitatologia)</w:t>
            </w:r>
          </w:p>
          <w:p>
            <w:pPr>
              <w:spacing w:after="0"/>
              <w:jc w:val="left"/>
              <w:rPr>
                <w:noProof/>
              </w:rPr>
            </w:pPr>
          </w:p>
          <w:p>
            <w:pPr>
              <w:spacing w:after="0"/>
              <w:jc w:val="left"/>
              <w:rPr>
                <w:noProof/>
              </w:rPr>
            </w:pPr>
            <w:r>
              <w:rPr>
                <w:noProof/>
              </w:rPr>
              <w:t>Regolamento sui detergenti</w:t>
            </w:r>
          </w:p>
          <w:p>
            <w:pPr>
              <w:spacing w:after="0"/>
              <w:jc w:val="left"/>
              <w:rPr>
                <w:noProof/>
              </w:rPr>
            </w:pPr>
          </w:p>
          <w:p>
            <w:pPr>
              <w:spacing w:after="0"/>
              <w:jc w:val="left"/>
              <w:rPr>
                <w:noProof/>
              </w:rPr>
            </w:pPr>
            <w:r>
              <w:rPr>
                <w:noProof/>
              </w:rPr>
              <w:t>Direttiva sulla sicurezza dei giocattoli</w:t>
            </w:r>
          </w:p>
          <w:p>
            <w:pPr>
              <w:spacing w:after="0"/>
              <w:jc w:val="left"/>
              <w:rPr>
                <w:noProof/>
              </w:rPr>
            </w:pPr>
          </w:p>
          <w:p>
            <w:pPr>
              <w:spacing w:after="0"/>
              <w:jc w:val="left"/>
              <w:rPr>
                <w:noProof/>
              </w:rPr>
            </w:pPr>
            <w:r>
              <w:rPr>
                <w:noProof/>
              </w:rPr>
              <w:t>Regolamento sui prodotti cosmetici</w:t>
            </w:r>
          </w:p>
        </w:tc>
        <w:tc>
          <w:tcPr>
            <w:tcW w:w="2020" w:type="dxa"/>
          </w:tcPr>
          <w:p>
            <w:pPr>
              <w:spacing w:after="0"/>
              <w:jc w:val="left"/>
              <w:rPr>
                <w:noProof/>
              </w:rPr>
            </w:pPr>
            <w:r>
              <w:rPr>
                <w:noProof/>
              </w:rPr>
              <w:t xml:space="preserve">2022 </w:t>
            </w:r>
          </w:p>
          <w:p>
            <w:pPr>
              <w:spacing w:after="0"/>
              <w:jc w:val="left"/>
              <w:rPr>
                <w:noProof/>
              </w:rPr>
            </w:pPr>
          </w:p>
          <w:p>
            <w:pPr>
              <w:spacing w:after="0"/>
              <w:jc w:val="left"/>
              <w:rPr>
                <w:noProof/>
              </w:rPr>
            </w:pPr>
          </w:p>
          <w:p>
            <w:pPr>
              <w:spacing w:after="0"/>
              <w:jc w:val="left"/>
              <w:rPr>
                <w:noProof/>
              </w:rPr>
            </w:pPr>
          </w:p>
          <w:p>
            <w:pPr>
              <w:spacing w:after="0"/>
              <w:jc w:val="left"/>
              <w:rPr>
                <w:noProof/>
              </w:rPr>
            </w:pPr>
            <w:r>
              <w:rPr>
                <w:noProof/>
              </w:rPr>
              <w:t xml:space="preserve">2022 </w:t>
            </w:r>
          </w:p>
          <w:p>
            <w:pPr>
              <w:spacing w:after="0"/>
              <w:jc w:val="left"/>
              <w:rPr>
                <w:noProof/>
              </w:rPr>
            </w:pPr>
          </w:p>
          <w:p>
            <w:pPr>
              <w:spacing w:after="0"/>
              <w:jc w:val="left"/>
              <w:rPr>
                <w:noProof/>
              </w:rPr>
            </w:pPr>
            <w:r>
              <w:rPr>
                <w:noProof/>
              </w:rPr>
              <w:t xml:space="preserve">2022 </w:t>
            </w:r>
          </w:p>
          <w:p>
            <w:pPr>
              <w:spacing w:after="0"/>
              <w:jc w:val="left"/>
              <w:rPr>
                <w:noProof/>
              </w:rPr>
            </w:pPr>
          </w:p>
          <w:p>
            <w:pPr>
              <w:spacing w:after="0"/>
              <w:jc w:val="left"/>
              <w:rPr>
                <w:noProof/>
              </w:rPr>
            </w:pPr>
          </w:p>
          <w:p>
            <w:pPr>
              <w:spacing w:after="0"/>
              <w:jc w:val="left"/>
              <w:rPr>
                <w:noProof/>
              </w:rPr>
            </w:pPr>
            <w:r>
              <w:rPr>
                <w:noProof/>
              </w:rPr>
              <w:t>2022</w:t>
            </w:r>
          </w:p>
          <w:p>
            <w:pPr>
              <w:spacing w:after="0"/>
              <w:jc w:val="left"/>
              <w:rPr>
                <w:noProof/>
              </w:rPr>
            </w:pPr>
          </w:p>
          <w:p>
            <w:pPr>
              <w:spacing w:after="0"/>
              <w:jc w:val="left"/>
              <w:rPr>
                <w:noProof/>
              </w:rPr>
            </w:pPr>
            <w:r>
              <w:rPr>
                <w:noProof/>
              </w:rPr>
              <w:t xml:space="preserve">2022 </w:t>
            </w:r>
          </w:p>
          <w:p>
            <w:pPr>
              <w:spacing w:after="0"/>
              <w:jc w:val="left"/>
              <w:rPr>
                <w:noProof/>
              </w:rPr>
            </w:pPr>
          </w:p>
          <w:p>
            <w:pPr>
              <w:spacing w:after="0"/>
              <w:jc w:val="left"/>
              <w:rPr>
                <w:noProof/>
              </w:rPr>
            </w:pPr>
            <w:r>
              <w:rPr>
                <w:noProof/>
              </w:rPr>
              <w:t xml:space="preserve">2022 </w:t>
            </w:r>
          </w:p>
        </w:tc>
      </w:tr>
      <w:tr>
        <w:trPr>
          <w:jc w:val="center"/>
        </w:trPr>
        <w:tc>
          <w:tcPr>
            <w:tcW w:w="4853" w:type="dxa"/>
          </w:tcPr>
          <w:p>
            <w:pPr>
              <w:suppressAutoHyphens/>
              <w:spacing w:after="0"/>
              <w:rPr>
                <w:noProof/>
              </w:rPr>
            </w:pPr>
            <w:r>
              <w:rPr>
                <w:noProof/>
              </w:rPr>
              <w:t xml:space="preserve">Proposta di modifica dell'articolo 57 del regolamento REACH per aggiungere gli interferenti endocrini, le sostanze persistenti, mobili e tossiche (PMT) e le sostanze molto persistenti e molto mobili (vPvM) all'elenco delle sostanze estremamente preoccupanti </w:t>
            </w:r>
          </w:p>
        </w:tc>
        <w:tc>
          <w:tcPr>
            <w:tcW w:w="4043" w:type="dxa"/>
          </w:tcPr>
          <w:p>
            <w:pPr>
              <w:spacing w:after="0"/>
              <w:jc w:val="left"/>
              <w:rPr>
                <w:noProof/>
              </w:rPr>
            </w:pPr>
            <w:r>
              <w:rPr>
                <w:noProof/>
              </w:rPr>
              <w:t>REACH</w:t>
            </w:r>
          </w:p>
        </w:tc>
        <w:tc>
          <w:tcPr>
            <w:tcW w:w="2020" w:type="dxa"/>
          </w:tcPr>
          <w:p>
            <w:pPr>
              <w:spacing w:after="0"/>
              <w:jc w:val="left"/>
              <w:rPr>
                <w:noProof/>
                <w:szCs w:val="24"/>
              </w:rPr>
            </w:pPr>
            <w:r>
              <w:rPr>
                <w:noProof/>
              </w:rPr>
              <w:t xml:space="preserve">2022 </w:t>
            </w:r>
          </w:p>
        </w:tc>
      </w:tr>
      <w:tr>
        <w:trPr>
          <w:jc w:val="center"/>
        </w:trPr>
        <w:tc>
          <w:tcPr>
            <w:tcW w:w="4853" w:type="dxa"/>
          </w:tcPr>
          <w:p>
            <w:pPr>
              <w:suppressAutoHyphens/>
              <w:spacing w:after="0"/>
              <w:rPr>
                <w:noProof/>
              </w:rPr>
            </w:pPr>
            <w:r>
              <w:rPr>
                <w:noProof/>
              </w:rPr>
              <w:t xml:space="preserve">Proposta di limitare le PFAS a norma del regolamento REACH per tutti gli usi non essenziali, compresi i prodotti di consumo </w:t>
            </w:r>
          </w:p>
        </w:tc>
        <w:tc>
          <w:tcPr>
            <w:tcW w:w="4043" w:type="dxa"/>
          </w:tcPr>
          <w:p>
            <w:pPr>
              <w:spacing w:after="0"/>
              <w:jc w:val="left"/>
              <w:rPr>
                <w:noProof/>
              </w:rPr>
            </w:pPr>
            <w:r>
              <w:rPr>
                <w:noProof/>
              </w:rPr>
              <w:t>REACH (comitatologia)</w:t>
            </w:r>
          </w:p>
        </w:tc>
        <w:tc>
          <w:tcPr>
            <w:tcW w:w="2020" w:type="dxa"/>
          </w:tcPr>
          <w:p>
            <w:pPr>
              <w:spacing w:after="0"/>
              <w:jc w:val="left"/>
              <w:rPr>
                <w:noProof/>
              </w:rPr>
            </w:pPr>
            <w:r>
              <w:rPr>
                <w:noProof/>
              </w:rPr>
              <w:t xml:space="preserve">2022-24 </w:t>
            </w:r>
          </w:p>
        </w:tc>
      </w:tr>
      <w:tr>
        <w:trPr>
          <w:jc w:val="center"/>
        </w:trPr>
        <w:tc>
          <w:tcPr>
            <w:tcW w:w="4853" w:type="dxa"/>
          </w:tcPr>
          <w:p>
            <w:pPr>
              <w:pStyle w:val="Text2"/>
              <w:spacing w:after="0"/>
              <w:ind w:left="0"/>
              <w:rPr>
                <w:noProof/>
              </w:rPr>
            </w:pPr>
            <w:r>
              <w:rPr>
                <w:noProof/>
              </w:rPr>
              <w:t xml:space="preserve">Revisione degli allegati della direttiva sugli standard di qualità ambientale e della direttiva sulle acque sotterranee al fine di aggiungere le PFAS, ove possibile come gruppo </w:t>
            </w:r>
          </w:p>
        </w:tc>
        <w:tc>
          <w:tcPr>
            <w:tcW w:w="4043" w:type="dxa"/>
          </w:tcPr>
          <w:p>
            <w:pPr>
              <w:spacing w:after="0"/>
              <w:jc w:val="left"/>
              <w:rPr>
                <w:noProof/>
              </w:rPr>
            </w:pPr>
            <w:r>
              <w:rPr>
                <w:noProof/>
              </w:rPr>
              <w:t>Direttiva sugli standard di qualità ambientale/direttiva sulle acque sotterranee (allegati)</w:t>
            </w:r>
          </w:p>
        </w:tc>
        <w:tc>
          <w:tcPr>
            <w:tcW w:w="2020" w:type="dxa"/>
          </w:tcPr>
          <w:p>
            <w:pPr>
              <w:spacing w:after="0"/>
              <w:jc w:val="left"/>
              <w:rPr>
                <w:noProof/>
                <w:szCs w:val="24"/>
              </w:rPr>
            </w:pPr>
            <w:r>
              <w:rPr>
                <w:noProof/>
              </w:rPr>
              <w:t xml:space="preserve">2022 </w:t>
            </w:r>
          </w:p>
        </w:tc>
      </w:tr>
      <w:tr>
        <w:trPr>
          <w:jc w:val="center"/>
        </w:trPr>
        <w:tc>
          <w:tcPr>
            <w:tcW w:w="4853" w:type="dxa"/>
          </w:tcPr>
          <w:p>
            <w:pPr>
              <w:pStyle w:val="Text2"/>
              <w:spacing w:after="0"/>
              <w:ind w:left="0"/>
              <w:rPr>
                <w:noProof/>
              </w:rPr>
            </w:pPr>
            <w:r>
              <w:rPr>
                <w:noProof/>
              </w:rPr>
              <w:t xml:space="preserve">Affrontare la presenza delle PFAS nei prodotti alimentari, introducendo limiti nella legislazione sui contaminanti alimentari </w:t>
            </w:r>
          </w:p>
        </w:tc>
        <w:tc>
          <w:tcPr>
            <w:tcW w:w="4043" w:type="dxa"/>
          </w:tcPr>
          <w:p>
            <w:pPr>
              <w:spacing w:after="0"/>
              <w:jc w:val="left"/>
              <w:rPr>
                <w:noProof/>
              </w:rPr>
            </w:pPr>
            <w:r>
              <w:rPr>
                <w:noProof/>
              </w:rPr>
              <w:t>Regolamento della Commissione sui contaminanti alimentari</w:t>
            </w:r>
          </w:p>
          <w:p>
            <w:pPr>
              <w:spacing w:after="0"/>
              <w:jc w:val="left"/>
              <w:rPr>
                <w:noProof/>
              </w:rPr>
            </w:pPr>
            <w:r>
              <w:rPr>
                <w:noProof/>
              </w:rPr>
              <w:t>(Comitatologia)</w:t>
            </w:r>
          </w:p>
        </w:tc>
        <w:tc>
          <w:tcPr>
            <w:tcW w:w="2020" w:type="dxa"/>
          </w:tcPr>
          <w:p>
            <w:pPr>
              <w:spacing w:after="0"/>
              <w:rPr>
                <w:noProof/>
                <w:szCs w:val="24"/>
              </w:rPr>
            </w:pPr>
            <w:r>
              <w:rPr>
                <w:noProof/>
              </w:rPr>
              <w:t xml:space="preserve">2022 </w:t>
            </w:r>
          </w:p>
        </w:tc>
      </w:tr>
      <w:tr>
        <w:trPr>
          <w:jc w:val="center"/>
        </w:trPr>
        <w:tc>
          <w:tcPr>
            <w:tcW w:w="4853" w:type="dxa"/>
          </w:tcPr>
          <w:p>
            <w:pPr>
              <w:pStyle w:val="Text2"/>
              <w:spacing w:after="0"/>
              <w:ind w:left="0"/>
              <w:rPr>
                <w:noProof/>
              </w:rPr>
            </w:pPr>
            <w:r>
              <w:rPr>
                <w:noProof/>
              </w:rPr>
              <w:t xml:space="preserve">Proposta di revisione della legislazione sulle emissioni industriali e del registro europeo delle emissioni e dei trasferimenti di sostanze inquinanti per affrontare le emissioni e la notifica delle PFAS provenienti dagli impianti industriali </w:t>
            </w:r>
          </w:p>
        </w:tc>
        <w:tc>
          <w:tcPr>
            <w:tcW w:w="4043" w:type="dxa"/>
          </w:tcPr>
          <w:p>
            <w:pPr>
              <w:spacing w:after="0"/>
              <w:jc w:val="left"/>
              <w:rPr>
                <w:noProof/>
              </w:rPr>
            </w:pPr>
            <w:r>
              <w:rPr>
                <w:noProof/>
              </w:rPr>
              <w:t>Direttiva sulle emissioni industriali</w:t>
            </w:r>
          </w:p>
        </w:tc>
        <w:tc>
          <w:tcPr>
            <w:tcW w:w="2020" w:type="dxa"/>
          </w:tcPr>
          <w:p>
            <w:pPr>
              <w:spacing w:after="0"/>
              <w:rPr>
                <w:noProof/>
                <w:szCs w:val="24"/>
              </w:rPr>
            </w:pPr>
            <w:r>
              <w:rPr>
                <w:noProof/>
              </w:rPr>
              <w:t xml:space="preserve">2021 </w:t>
            </w:r>
          </w:p>
        </w:tc>
      </w:tr>
      <w:tr>
        <w:trPr>
          <w:jc w:val="center"/>
        </w:trPr>
        <w:tc>
          <w:tcPr>
            <w:tcW w:w="4853" w:type="dxa"/>
          </w:tcPr>
          <w:p>
            <w:pPr>
              <w:pStyle w:val="Text2"/>
              <w:spacing w:after="0"/>
              <w:ind w:left="0"/>
              <w:rPr>
                <w:noProof/>
              </w:rPr>
            </w:pPr>
            <w:r>
              <w:rPr>
                <w:noProof/>
              </w:rPr>
              <w:t>Proposta per gestire le emissioni di PFAS dalla fase di trasformazione in rifiuti, anche mediante la revisione della legislazione sui fanghi di depurazione</w:t>
            </w:r>
          </w:p>
        </w:tc>
        <w:tc>
          <w:tcPr>
            <w:tcW w:w="4043" w:type="dxa"/>
          </w:tcPr>
          <w:p>
            <w:pPr>
              <w:spacing w:after="0"/>
              <w:jc w:val="left"/>
              <w:rPr>
                <w:noProof/>
              </w:rPr>
            </w:pPr>
            <w:r>
              <w:rPr>
                <w:noProof/>
              </w:rPr>
              <w:t>Direttiva sui fanghi di depurazione</w:t>
            </w:r>
          </w:p>
        </w:tc>
        <w:tc>
          <w:tcPr>
            <w:tcW w:w="2020" w:type="dxa"/>
          </w:tcPr>
          <w:p>
            <w:pPr>
              <w:spacing w:after="0"/>
              <w:rPr>
                <w:noProof/>
                <w:szCs w:val="24"/>
              </w:rPr>
            </w:pPr>
            <w:r>
              <w:rPr>
                <w:noProof/>
              </w:rPr>
              <w:t xml:space="preserve">2023 </w:t>
            </w:r>
          </w:p>
        </w:tc>
      </w:tr>
      <w:tr>
        <w:trPr>
          <w:jc w:val="center"/>
        </w:trPr>
        <w:tc>
          <w:tcPr>
            <w:tcW w:w="4853" w:type="dxa"/>
          </w:tcPr>
          <w:p>
            <w:pPr>
              <w:pStyle w:val="Text2"/>
              <w:spacing w:after="0"/>
              <w:ind w:left="0"/>
              <w:rPr>
                <w:bCs/>
                <w:noProof/>
                <w:highlight w:val="yellow"/>
              </w:rPr>
            </w:pPr>
            <w:r>
              <w:rPr>
                <w:noProof/>
              </w:rPr>
              <w:t>Proposte nel quadro della convenzione di Stoccolma e della convenzione di Basilea per gestire il problema delle PFAS a livello mondiale</w:t>
            </w:r>
          </w:p>
        </w:tc>
        <w:tc>
          <w:tcPr>
            <w:tcW w:w="4043" w:type="dxa"/>
          </w:tcPr>
          <w:p>
            <w:pPr>
              <w:spacing w:after="0"/>
              <w:rPr>
                <w:noProof/>
              </w:rPr>
            </w:pPr>
          </w:p>
        </w:tc>
        <w:tc>
          <w:tcPr>
            <w:tcW w:w="2020" w:type="dxa"/>
          </w:tcPr>
          <w:p>
            <w:pPr>
              <w:spacing w:after="0"/>
              <w:rPr>
                <w:noProof/>
                <w:szCs w:val="24"/>
              </w:rPr>
            </w:pPr>
            <w:r>
              <w:rPr>
                <w:noProof/>
              </w:rPr>
              <w:t xml:space="preserve">2023-2024 </w:t>
            </w:r>
          </w:p>
        </w:tc>
      </w:tr>
      <w:tr>
        <w:trPr>
          <w:jc w:val="center"/>
        </w:trPr>
        <w:tc>
          <w:tcPr>
            <w:tcW w:w="4853" w:type="dxa"/>
          </w:tcPr>
          <w:p>
            <w:pPr>
              <w:pStyle w:val="Text2"/>
              <w:keepNext/>
              <w:spacing w:after="0"/>
              <w:ind w:left="0"/>
              <w:rPr>
                <w:noProof/>
                <w:highlight w:val="yellow"/>
              </w:rPr>
            </w:pPr>
            <w:r>
              <w:rPr>
                <w:noProof/>
              </w:rPr>
              <w:t>Un approccio e sostegno finanziario a livello dell'UE per trovare soluzioni innovative per la bonifica della contaminazione da PFAS</w:t>
            </w:r>
          </w:p>
        </w:tc>
        <w:tc>
          <w:tcPr>
            <w:tcW w:w="4043" w:type="dxa"/>
          </w:tcPr>
          <w:p>
            <w:pPr>
              <w:keepNext/>
              <w:spacing w:after="0"/>
              <w:rPr>
                <w:noProof/>
              </w:rPr>
            </w:pPr>
          </w:p>
        </w:tc>
        <w:tc>
          <w:tcPr>
            <w:tcW w:w="2020" w:type="dxa"/>
          </w:tcPr>
          <w:p>
            <w:pPr>
              <w:keepNext/>
              <w:spacing w:after="0"/>
              <w:rPr>
                <w:noProof/>
                <w:szCs w:val="24"/>
              </w:rPr>
            </w:pPr>
            <w:r>
              <w:rPr>
                <w:noProof/>
              </w:rPr>
              <w:t xml:space="preserve">A partire dal 2020 </w:t>
            </w:r>
          </w:p>
        </w:tc>
      </w:tr>
      <w:tr>
        <w:trPr>
          <w:jc w:val="center"/>
        </w:trPr>
        <w:tc>
          <w:tcPr>
            <w:tcW w:w="0" w:type="auto"/>
            <w:gridSpan w:val="3"/>
            <w:shd w:val="clear" w:color="auto" w:fill="C4BC96" w:themeFill="background2" w:themeFillShade="BF"/>
          </w:tcPr>
          <w:p>
            <w:pPr>
              <w:pStyle w:val="Heading2"/>
              <w:tabs>
                <w:tab w:val="clear" w:pos="1202"/>
              </w:tabs>
              <w:spacing w:after="0"/>
              <w:ind w:left="0" w:firstLine="0"/>
              <w:outlineLvl w:val="1"/>
              <w:rPr>
                <w:noProof/>
                <w:szCs w:val="24"/>
              </w:rPr>
            </w:pPr>
            <w:bookmarkStart w:id="2" w:name="_Toc44582428"/>
            <w:r>
              <w:rPr>
                <w:noProof/>
              </w:rPr>
              <w:t xml:space="preserve">Semplificazione e consolidamento del quadro giuridico </w:t>
            </w:r>
            <w:bookmarkEnd w:id="2"/>
          </w:p>
        </w:tc>
      </w:tr>
      <w:tr>
        <w:trPr>
          <w:jc w:val="center"/>
        </w:trPr>
        <w:tc>
          <w:tcPr>
            <w:tcW w:w="4853" w:type="dxa"/>
          </w:tcPr>
          <w:p>
            <w:pPr>
              <w:spacing w:after="0"/>
              <w:rPr>
                <w:noProof/>
                <w:szCs w:val="24"/>
              </w:rPr>
            </w:pPr>
            <w:r>
              <w:rPr>
                <w:noProof/>
              </w:rPr>
              <w:t xml:space="preserve">Istituzione del processo "Una sostanza, una valutazione" per coordinare la valutazione dei pericoli/rischi delle sostanze chimiche in tutta la legislazione pertinente, mediante l'uso di uno strumento unico di coordinamento delle autorità pubbliche e avvalendosi di un gruppo di esperti e di un meccanismo di coordinamento della Commissione </w:t>
            </w:r>
          </w:p>
        </w:tc>
        <w:tc>
          <w:tcPr>
            <w:tcW w:w="4043" w:type="dxa"/>
          </w:tcPr>
          <w:p>
            <w:pPr>
              <w:spacing w:after="0"/>
              <w:rPr>
                <w:noProof/>
                <w:szCs w:val="24"/>
              </w:rPr>
            </w:pPr>
          </w:p>
        </w:tc>
        <w:tc>
          <w:tcPr>
            <w:tcW w:w="2020" w:type="dxa"/>
          </w:tcPr>
          <w:p>
            <w:pPr>
              <w:spacing w:after="0"/>
              <w:rPr>
                <w:noProof/>
                <w:szCs w:val="24"/>
              </w:rPr>
            </w:pPr>
            <w:r>
              <w:rPr>
                <w:noProof/>
              </w:rPr>
              <w:t xml:space="preserve">A partire dal 2021 </w:t>
            </w:r>
          </w:p>
        </w:tc>
      </w:tr>
      <w:tr>
        <w:trPr>
          <w:jc w:val="center"/>
        </w:trPr>
        <w:tc>
          <w:tcPr>
            <w:tcW w:w="4853" w:type="dxa"/>
          </w:tcPr>
          <w:p>
            <w:pPr>
              <w:spacing w:after="0"/>
              <w:rPr>
                <w:noProof/>
              </w:rPr>
            </w:pPr>
            <w:r>
              <w:rPr>
                <w:noProof/>
              </w:rPr>
              <w:t>Proposta orizzontale per riassegnare alle agenzie dell'UE le attività tecnico-scientifiche dell'UE sulle sostanze chimiche</w:t>
            </w:r>
          </w:p>
        </w:tc>
        <w:tc>
          <w:tcPr>
            <w:tcW w:w="4043" w:type="dxa"/>
          </w:tcPr>
          <w:p>
            <w:pPr>
              <w:spacing w:after="0"/>
              <w:rPr>
                <w:noProof/>
              </w:rPr>
            </w:pPr>
          </w:p>
        </w:tc>
        <w:tc>
          <w:tcPr>
            <w:tcW w:w="2020" w:type="dxa"/>
          </w:tcPr>
          <w:p>
            <w:pPr>
              <w:spacing w:after="0"/>
              <w:rPr>
                <w:noProof/>
              </w:rPr>
            </w:pPr>
            <w:r>
              <w:rPr>
                <w:noProof/>
              </w:rPr>
              <w:t xml:space="preserve">2022 </w:t>
            </w:r>
          </w:p>
        </w:tc>
      </w:tr>
      <w:tr>
        <w:trPr>
          <w:jc w:val="center"/>
        </w:trPr>
        <w:tc>
          <w:tcPr>
            <w:tcW w:w="4853" w:type="dxa"/>
          </w:tcPr>
          <w:p>
            <w:pPr>
              <w:spacing w:after="0"/>
              <w:rPr>
                <w:noProof/>
              </w:rPr>
            </w:pPr>
            <w:r>
              <w:rPr>
                <w:noProof/>
              </w:rPr>
              <w:t xml:space="preserve">Proposta di regolamento istitutivo dell'Agenzia europea per le sostanze chimiche </w:t>
            </w:r>
          </w:p>
        </w:tc>
        <w:tc>
          <w:tcPr>
            <w:tcW w:w="4043" w:type="dxa"/>
          </w:tcPr>
          <w:p>
            <w:pPr>
              <w:spacing w:after="0"/>
              <w:rPr>
                <w:noProof/>
              </w:rPr>
            </w:pPr>
          </w:p>
        </w:tc>
        <w:tc>
          <w:tcPr>
            <w:tcW w:w="2020" w:type="dxa"/>
          </w:tcPr>
          <w:p>
            <w:pPr>
              <w:spacing w:after="0"/>
              <w:rPr>
                <w:noProof/>
              </w:rPr>
            </w:pPr>
            <w:r>
              <w:rPr>
                <w:noProof/>
              </w:rPr>
              <w:t xml:space="preserve">2023 </w:t>
            </w:r>
          </w:p>
        </w:tc>
      </w:tr>
      <w:tr>
        <w:trPr>
          <w:jc w:val="center"/>
        </w:trPr>
        <w:tc>
          <w:tcPr>
            <w:tcW w:w="4853" w:type="dxa"/>
          </w:tcPr>
          <w:p>
            <w:pPr>
              <w:spacing w:after="0"/>
              <w:rPr>
                <w:noProof/>
              </w:rPr>
            </w:pPr>
            <w:r>
              <w:rPr>
                <w:noProof/>
              </w:rPr>
              <w:t xml:space="preserve">Proposta di modifica del regolamento CLP per conferire alla Commissione il mandato di avviare una classificazione armonizzata </w:t>
            </w:r>
          </w:p>
        </w:tc>
        <w:tc>
          <w:tcPr>
            <w:tcW w:w="4043" w:type="dxa"/>
          </w:tcPr>
          <w:p>
            <w:pPr>
              <w:spacing w:after="0"/>
              <w:rPr>
                <w:noProof/>
              </w:rPr>
            </w:pPr>
            <w:r>
              <w:rPr>
                <w:noProof/>
              </w:rPr>
              <w:t>Regolamento CLP</w:t>
            </w:r>
          </w:p>
        </w:tc>
        <w:tc>
          <w:tcPr>
            <w:tcW w:w="2020" w:type="dxa"/>
          </w:tcPr>
          <w:p>
            <w:pPr>
              <w:spacing w:after="0"/>
              <w:rPr>
                <w:noProof/>
                <w:szCs w:val="24"/>
              </w:rPr>
            </w:pPr>
            <w:r>
              <w:rPr>
                <w:noProof/>
              </w:rPr>
              <w:t xml:space="preserve">2021 </w:t>
            </w:r>
          </w:p>
        </w:tc>
      </w:tr>
      <w:tr>
        <w:trPr>
          <w:jc w:val="center"/>
        </w:trPr>
        <w:tc>
          <w:tcPr>
            <w:tcW w:w="4853" w:type="dxa"/>
          </w:tcPr>
          <w:p>
            <w:pPr>
              <w:spacing w:after="0"/>
              <w:rPr>
                <w:noProof/>
              </w:rPr>
            </w:pPr>
            <w:r>
              <w:rPr>
                <w:noProof/>
              </w:rPr>
              <w:t xml:space="preserve">Riesame della definizione di nanomateriale </w:t>
            </w:r>
          </w:p>
        </w:tc>
        <w:tc>
          <w:tcPr>
            <w:tcW w:w="4043" w:type="dxa"/>
          </w:tcPr>
          <w:p>
            <w:pPr>
              <w:spacing w:after="0"/>
              <w:rPr>
                <w:noProof/>
              </w:rPr>
            </w:pPr>
          </w:p>
        </w:tc>
        <w:tc>
          <w:tcPr>
            <w:tcW w:w="2020" w:type="dxa"/>
          </w:tcPr>
          <w:p>
            <w:pPr>
              <w:spacing w:after="0"/>
              <w:rPr>
                <w:noProof/>
              </w:rPr>
            </w:pPr>
            <w:r>
              <w:rPr>
                <w:noProof/>
              </w:rPr>
              <w:t xml:space="preserve">2021 </w:t>
            </w:r>
          </w:p>
        </w:tc>
      </w:tr>
      <w:tr>
        <w:trPr>
          <w:jc w:val="center"/>
        </w:trPr>
        <w:tc>
          <w:tcPr>
            <w:tcW w:w="4853" w:type="dxa"/>
          </w:tcPr>
          <w:p>
            <w:pPr>
              <w:pStyle w:val="Text2"/>
              <w:spacing w:after="0"/>
              <w:ind w:left="0"/>
              <w:rPr>
                <w:noProof/>
              </w:rPr>
            </w:pPr>
            <w:r>
              <w:rPr>
                <w:noProof/>
              </w:rPr>
              <w:t xml:space="preserve">Proposta di revisione delle procedure di autorizzazione e restrizione REACH </w:t>
            </w:r>
          </w:p>
        </w:tc>
        <w:tc>
          <w:tcPr>
            <w:tcW w:w="4043" w:type="dxa"/>
          </w:tcPr>
          <w:p>
            <w:pPr>
              <w:spacing w:after="0"/>
              <w:rPr>
                <w:noProof/>
              </w:rPr>
            </w:pPr>
            <w:r>
              <w:rPr>
                <w:noProof/>
              </w:rPr>
              <w:t>REACH</w:t>
            </w:r>
          </w:p>
        </w:tc>
        <w:tc>
          <w:tcPr>
            <w:tcW w:w="2020" w:type="dxa"/>
          </w:tcPr>
          <w:p>
            <w:pPr>
              <w:spacing w:after="0"/>
              <w:rPr>
                <w:noProof/>
              </w:rPr>
            </w:pPr>
            <w:r>
              <w:rPr>
                <w:noProof/>
              </w:rPr>
              <w:t xml:space="preserve">2022 </w:t>
            </w:r>
          </w:p>
        </w:tc>
      </w:tr>
      <w:tr>
        <w:trPr>
          <w:jc w:val="center"/>
        </w:trPr>
        <w:tc>
          <w:tcPr>
            <w:tcW w:w="4853" w:type="dxa"/>
          </w:tcPr>
          <w:p>
            <w:pPr>
              <w:spacing w:after="0"/>
              <w:rPr>
                <w:noProof/>
              </w:rPr>
            </w:pPr>
            <w:r>
              <w:rPr>
                <w:noProof/>
              </w:rPr>
              <w:t>Istituzione di un repertorio UE di valori limite basati sulla salute umana e ambientale</w:t>
            </w:r>
          </w:p>
        </w:tc>
        <w:tc>
          <w:tcPr>
            <w:tcW w:w="4043" w:type="dxa"/>
          </w:tcPr>
          <w:p>
            <w:pPr>
              <w:spacing w:after="0"/>
              <w:rPr>
                <w:noProof/>
              </w:rPr>
            </w:pPr>
          </w:p>
        </w:tc>
        <w:tc>
          <w:tcPr>
            <w:tcW w:w="2020" w:type="dxa"/>
          </w:tcPr>
          <w:p>
            <w:pPr>
              <w:spacing w:after="0"/>
              <w:rPr>
                <w:noProof/>
              </w:rPr>
            </w:pPr>
            <w:r>
              <w:rPr>
                <w:noProof/>
              </w:rPr>
              <w:t xml:space="preserve">2022 </w:t>
            </w:r>
          </w:p>
        </w:tc>
      </w:tr>
      <w:tr>
        <w:trPr>
          <w:jc w:val="center"/>
        </w:trPr>
        <w:tc>
          <w:tcPr>
            <w:tcW w:w="4853" w:type="dxa"/>
          </w:tcPr>
          <w:p>
            <w:pPr>
              <w:spacing w:after="0"/>
              <w:rPr>
                <w:noProof/>
              </w:rPr>
            </w:pPr>
            <w:r>
              <w:rPr>
                <w:noProof/>
              </w:rPr>
              <w:t xml:space="preserve">Istituzione di una piattaforma in materia di dati sulla sicurezza chimica e strumenti per avere accesso ai pertinenti dati accademici </w:t>
            </w:r>
          </w:p>
        </w:tc>
        <w:tc>
          <w:tcPr>
            <w:tcW w:w="4043" w:type="dxa"/>
          </w:tcPr>
          <w:p>
            <w:pPr>
              <w:spacing w:after="0"/>
              <w:rPr>
                <w:noProof/>
              </w:rPr>
            </w:pPr>
          </w:p>
        </w:tc>
        <w:tc>
          <w:tcPr>
            <w:tcW w:w="2020" w:type="dxa"/>
          </w:tcPr>
          <w:p>
            <w:pPr>
              <w:spacing w:after="0"/>
              <w:rPr>
                <w:noProof/>
              </w:rPr>
            </w:pPr>
            <w:r>
              <w:rPr>
                <w:noProof/>
              </w:rPr>
              <w:t xml:space="preserve">2023 </w:t>
            </w:r>
          </w:p>
        </w:tc>
      </w:tr>
      <w:tr>
        <w:trPr>
          <w:jc w:val="center"/>
        </w:trPr>
        <w:tc>
          <w:tcPr>
            <w:tcW w:w="4853" w:type="dxa"/>
          </w:tcPr>
          <w:p>
            <w:pPr>
              <w:spacing w:after="0"/>
              <w:rPr>
                <w:noProof/>
              </w:rPr>
            </w:pPr>
            <w:r>
              <w:rPr>
                <w:noProof/>
              </w:rPr>
              <w:t>Proposta orizzontale volta a rimuovere gli ostacoli legislativi al riutilizzo dei dati, a razionalizzare il flusso di dati in tutta la legislazione e ad estendere i principi di apertura e trasparenza dei dati dal settore della sicurezza alimentare dell'UE ad altri atti legislativi nel settore delle sostanze chimiche</w:t>
            </w:r>
          </w:p>
        </w:tc>
        <w:tc>
          <w:tcPr>
            <w:tcW w:w="4043" w:type="dxa"/>
          </w:tcPr>
          <w:p>
            <w:pPr>
              <w:spacing w:after="0"/>
              <w:rPr>
                <w:noProof/>
              </w:rPr>
            </w:pPr>
          </w:p>
        </w:tc>
        <w:tc>
          <w:tcPr>
            <w:tcW w:w="2020" w:type="dxa"/>
          </w:tcPr>
          <w:p>
            <w:pPr>
              <w:spacing w:after="0"/>
              <w:rPr>
                <w:noProof/>
              </w:rPr>
            </w:pPr>
            <w:r>
              <w:rPr>
                <w:noProof/>
              </w:rPr>
              <w:t xml:space="preserve">2023 </w:t>
            </w:r>
          </w:p>
        </w:tc>
      </w:tr>
      <w:tr>
        <w:trPr>
          <w:jc w:val="center"/>
        </w:trPr>
        <w:tc>
          <w:tcPr>
            <w:tcW w:w="4853" w:type="dxa"/>
          </w:tcPr>
          <w:p>
            <w:pPr>
              <w:spacing w:after="0"/>
              <w:rPr>
                <w:noProof/>
                <w:szCs w:val="24"/>
              </w:rPr>
            </w:pPr>
            <w:r>
              <w:rPr>
                <w:noProof/>
              </w:rPr>
              <w:t>Proposta finalizzata a consentire alle autorità nazionali e dell'UE di commissionare la sperimentazione e il monitoraggio di sostanze come parte integrante del quadro normativo</w:t>
            </w:r>
          </w:p>
        </w:tc>
        <w:tc>
          <w:tcPr>
            <w:tcW w:w="4043" w:type="dxa"/>
          </w:tcPr>
          <w:p>
            <w:pPr>
              <w:spacing w:after="0"/>
              <w:rPr>
                <w:noProof/>
              </w:rPr>
            </w:pPr>
          </w:p>
        </w:tc>
        <w:tc>
          <w:tcPr>
            <w:tcW w:w="2020" w:type="dxa"/>
          </w:tcPr>
          <w:p>
            <w:pPr>
              <w:spacing w:after="0"/>
              <w:rPr>
                <w:noProof/>
              </w:rPr>
            </w:pPr>
            <w:r>
              <w:rPr>
                <w:noProof/>
              </w:rPr>
              <w:t xml:space="preserve">2023 </w:t>
            </w:r>
          </w:p>
        </w:tc>
      </w:tr>
      <w:tr>
        <w:trPr>
          <w:jc w:val="center"/>
        </w:trPr>
        <w:tc>
          <w:tcPr>
            <w:tcW w:w="4853" w:type="dxa"/>
          </w:tcPr>
          <w:p>
            <w:pPr>
              <w:spacing w:after="0"/>
              <w:rPr>
                <w:noProof/>
              </w:rPr>
            </w:pPr>
            <w:r>
              <w:rPr>
                <w:noProof/>
              </w:rPr>
              <w:t>Elaborazione di un quadro di indicatori sulle sostanze chimiche</w:t>
            </w:r>
          </w:p>
        </w:tc>
        <w:tc>
          <w:tcPr>
            <w:tcW w:w="4043" w:type="dxa"/>
          </w:tcPr>
          <w:p>
            <w:pPr>
              <w:spacing w:after="0"/>
              <w:rPr>
                <w:noProof/>
              </w:rPr>
            </w:pPr>
          </w:p>
        </w:tc>
        <w:tc>
          <w:tcPr>
            <w:tcW w:w="2020" w:type="dxa"/>
          </w:tcPr>
          <w:p>
            <w:pPr>
              <w:spacing w:after="0"/>
              <w:rPr>
                <w:noProof/>
              </w:rPr>
            </w:pPr>
            <w:r>
              <w:rPr>
                <w:noProof/>
              </w:rPr>
              <w:t xml:space="preserve">2024 </w:t>
            </w:r>
          </w:p>
        </w:tc>
      </w:tr>
      <w:tr>
        <w:trPr>
          <w:jc w:val="center"/>
        </w:trPr>
        <w:tc>
          <w:tcPr>
            <w:tcW w:w="4853" w:type="dxa"/>
          </w:tcPr>
          <w:p>
            <w:pPr>
              <w:pStyle w:val="Text2"/>
              <w:spacing w:after="0"/>
              <w:ind w:left="0"/>
              <w:rPr>
                <w:noProof/>
              </w:rPr>
            </w:pPr>
            <w:r>
              <w:rPr>
                <w:noProof/>
              </w:rPr>
              <w:t xml:space="preserve">Proposta di modifica del regolamento REACH per introdurre una struttura di audit europea </w:t>
            </w:r>
          </w:p>
        </w:tc>
        <w:tc>
          <w:tcPr>
            <w:tcW w:w="4043" w:type="dxa"/>
          </w:tcPr>
          <w:p>
            <w:pPr>
              <w:spacing w:after="0"/>
              <w:rPr>
                <w:noProof/>
              </w:rPr>
            </w:pPr>
            <w:r>
              <w:rPr>
                <w:noProof/>
              </w:rPr>
              <w:t>REACH</w:t>
            </w:r>
          </w:p>
        </w:tc>
        <w:tc>
          <w:tcPr>
            <w:tcW w:w="2020" w:type="dxa"/>
          </w:tcPr>
          <w:p>
            <w:pPr>
              <w:spacing w:after="0"/>
              <w:rPr>
                <w:noProof/>
              </w:rPr>
            </w:pPr>
            <w:r>
              <w:rPr>
                <w:noProof/>
              </w:rPr>
              <w:t xml:space="preserve">2022 </w:t>
            </w:r>
          </w:p>
        </w:tc>
      </w:tr>
      <w:tr>
        <w:trPr>
          <w:jc w:val="center"/>
        </w:trPr>
        <w:tc>
          <w:tcPr>
            <w:tcW w:w="4853" w:type="dxa"/>
          </w:tcPr>
          <w:p>
            <w:pPr>
              <w:pStyle w:val="Text2"/>
              <w:keepNext/>
              <w:keepLines/>
              <w:spacing w:after="0"/>
              <w:ind w:left="0"/>
              <w:rPr>
                <w:noProof/>
              </w:rPr>
            </w:pPr>
            <w:r>
              <w:rPr>
                <w:noProof/>
              </w:rPr>
              <w:t xml:space="preserve">Modifica del regolamento REACH per garantire i controlli di conformità su tutte le registrazioni di sostanze nell'ambito di tale regolamento e per consentire la revoca dei numeri di registrazione </w:t>
            </w:r>
          </w:p>
        </w:tc>
        <w:tc>
          <w:tcPr>
            <w:tcW w:w="4043" w:type="dxa"/>
          </w:tcPr>
          <w:p>
            <w:pPr>
              <w:keepNext/>
              <w:keepLines/>
              <w:spacing w:after="0"/>
              <w:rPr>
                <w:noProof/>
              </w:rPr>
            </w:pPr>
            <w:r>
              <w:rPr>
                <w:noProof/>
              </w:rPr>
              <w:t>REACH</w:t>
            </w:r>
          </w:p>
        </w:tc>
        <w:tc>
          <w:tcPr>
            <w:tcW w:w="2020" w:type="dxa"/>
          </w:tcPr>
          <w:p>
            <w:pPr>
              <w:keepNext/>
              <w:keepLines/>
              <w:spacing w:after="0"/>
              <w:rPr>
                <w:noProof/>
              </w:rPr>
            </w:pPr>
            <w:r>
              <w:rPr>
                <w:noProof/>
              </w:rPr>
              <w:t xml:space="preserve">2022 </w:t>
            </w:r>
          </w:p>
        </w:tc>
      </w:tr>
      <w:tr>
        <w:trPr>
          <w:jc w:val="center"/>
        </w:trPr>
        <w:tc>
          <w:tcPr>
            <w:tcW w:w="4853" w:type="dxa"/>
          </w:tcPr>
          <w:p>
            <w:pPr>
              <w:pStyle w:val="Text2"/>
              <w:spacing w:after="0"/>
              <w:ind w:left="0"/>
              <w:rPr>
                <w:rFonts w:eastAsiaTheme="minorEastAsia"/>
                <w:noProof/>
                <w:sz w:val="16"/>
                <w:szCs w:val="16"/>
              </w:rPr>
            </w:pPr>
            <w:r>
              <w:rPr>
                <w:noProof/>
              </w:rPr>
              <w:t xml:space="preserve">Proposta di estendere l'ambito di azione dell'OLAF alle indagini sulla circolazione di prodotti chimici illeciti nell'UE </w:t>
            </w:r>
          </w:p>
        </w:tc>
        <w:tc>
          <w:tcPr>
            <w:tcW w:w="4043" w:type="dxa"/>
          </w:tcPr>
          <w:p>
            <w:pPr>
              <w:spacing w:after="0"/>
              <w:rPr>
                <w:noProof/>
              </w:rPr>
            </w:pPr>
          </w:p>
        </w:tc>
        <w:tc>
          <w:tcPr>
            <w:tcW w:w="2020" w:type="dxa"/>
          </w:tcPr>
          <w:p>
            <w:pPr>
              <w:spacing w:after="0"/>
              <w:rPr>
                <w:noProof/>
              </w:rPr>
            </w:pPr>
            <w:r>
              <w:rPr>
                <w:noProof/>
              </w:rPr>
              <w:t xml:space="preserve">2022 </w:t>
            </w:r>
          </w:p>
        </w:tc>
      </w:tr>
      <w:tr>
        <w:trPr>
          <w:jc w:val="center"/>
        </w:trPr>
        <w:tc>
          <w:tcPr>
            <w:tcW w:w="4853" w:type="dxa"/>
          </w:tcPr>
          <w:p>
            <w:pPr>
              <w:pStyle w:val="Text2"/>
              <w:spacing w:after="0"/>
              <w:ind w:left="0"/>
              <w:rPr>
                <w:noProof/>
              </w:rPr>
            </w:pPr>
            <w:r>
              <w:rPr>
                <w:noProof/>
              </w:rPr>
              <w:t>Proposte di atti di esecuzione a norma del regolamento sulla vigilanza del mercato per fissare condizioni e frequenza uniformi dei controlli per taluni prodotti</w:t>
            </w:r>
          </w:p>
        </w:tc>
        <w:tc>
          <w:tcPr>
            <w:tcW w:w="4043" w:type="dxa"/>
          </w:tcPr>
          <w:p>
            <w:pPr>
              <w:spacing w:after="0"/>
              <w:rPr>
                <w:noProof/>
              </w:rPr>
            </w:pPr>
            <w:r>
              <w:rPr>
                <w:noProof/>
              </w:rPr>
              <w:t>Regolamento sulla vigilanza del mercato</w:t>
            </w:r>
          </w:p>
        </w:tc>
        <w:tc>
          <w:tcPr>
            <w:tcW w:w="2020" w:type="dxa"/>
          </w:tcPr>
          <w:p>
            <w:pPr>
              <w:spacing w:after="0"/>
              <w:rPr>
                <w:noProof/>
              </w:rPr>
            </w:pPr>
            <w:r>
              <w:rPr>
                <w:noProof/>
              </w:rPr>
              <w:t xml:space="preserve">2022-23 </w:t>
            </w:r>
          </w:p>
        </w:tc>
      </w:tr>
      <w:tr>
        <w:trPr>
          <w:jc w:val="center"/>
        </w:trPr>
        <w:tc>
          <w:tcPr>
            <w:tcW w:w="0" w:type="auto"/>
            <w:gridSpan w:val="3"/>
            <w:shd w:val="clear" w:color="auto" w:fill="C4BC96" w:themeFill="background2" w:themeFillShade="BF"/>
          </w:tcPr>
          <w:p>
            <w:pPr>
              <w:pStyle w:val="Body"/>
              <w:spacing w:before="0" w:after="0"/>
              <w:rPr>
                <w:rFonts w:ascii="Times New Roman" w:hAnsi="Times New Roman"/>
                <w:b/>
                <w:bCs/>
                <w:noProof/>
              </w:rPr>
            </w:pPr>
            <w:r>
              <w:rPr>
                <w:rFonts w:ascii="Times New Roman" w:hAnsi="Times New Roman"/>
                <w:b/>
                <w:bCs/>
                <w:noProof/>
              </w:rPr>
              <w:t>Fornire una base di conoscenze completa e trasparente sulle sostanze chimiche</w:t>
            </w:r>
          </w:p>
        </w:tc>
      </w:tr>
      <w:tr>
        <w:trPr>
          <w:jc w:val="center"/>
        </w:trPr>
        <w:tc>
          <w:tcPr>
            <w:tcW w:w="4853" w:type="dxa"/>
          </w:tcPr>
          <w:p>
            <w:pPr>
              <w:suppressAutoHyphens/>
              <w:spacing w:after="0"/>
              <w:rPr>
                <w:bCs/>
                <w:noProof/>
                <w:highlight w:val="cyan"/>
              </w:rPr>
            </w:pPr>
            <w:r>
              <w:rPr>
                <w:noProof/>
              </w:rPr>
              <w:t>Proposte di revisione degli obblighi di registrazione nel REACH al fine di garantire: l'identificazione delle sostanze con proprietà di pericolo elevate, comprese quelle che hanno effetti sui sistemi nervoso e immunitario, il passaggio a metodologie di valutazione dei gruppi di sostanze, la registrazione di sottoinsiemi di polimeri, informazioni sull'impronta ambientale complessiva delle sostanze chimiche, l'obbligo di presentare comunicazioni in materia di sicurezza per le sostanze comprese tra 1 e 10 tonnellate</w:t>
            </w:r>
          </w:p>
        </w:tc>
        <w:tc>
          <w:tcPr>
            <w:tcW w:w="4043" w:type="dxa"/>
          </w:tcPr>
          <w:p>
            <w:pPr>
              <w:spacing w:after="0"/>
              <w:rPr>
                <w:noProof/>
              </w:rPr>
            </w:pPr>
            <w:r>
              <w:rPr>
                <w:noProof/>
              </w:rPr>
              <w:t>REACH</w:t>
            </w:r>
          </w:p>
        </w:tc>
        <w:tc>
          <w:tcPr>
            <w:tcW w:w="2020" w:type="dxa"/>
          </w:tcPr>
          <w:p>
            <w:pPr>
              <w:spacing w:after="0"/>
              <w:rPr>
                <w:noProof/>
                <w:szCs w:val="24"/>
              </w:rPr>
            </w:pPr>
            <w:r>
              <w:rPr>
                <w:noProof/>
              </w:rPr>
              <w:t>2022</w:t>
            </w:r>
          </w:p>
        </w:tc>
      </w:tr>
      <w:tr>
        <w:trPr>
          <w:jc w:val="center"/>
        </w:trPr>
        <w:tc>
          <w:tcPr>
            <w:tcW w:w="4853" w:type="dxa"/>
          </w:tcPr>
          <w:p>
            <w:pPr>
              <w:suppressAutoHyphens/>
              <w:spacing w:after="0"/>
              <w:rPr>
                <w:noProof/>
              </w:rPr>
            </w:pPr>
            <w:r>
              <w:rPr>
                <w:noProof/>
              </w:rPr>
              <w:t xml:space="preserve">Mettere a punto un'agenda strategica di ricerca e innovazione per le sostanze chimiche </w:t>
            </w:r>
          </w:p>
        </w:tc>
        <w:tc>
          <w:tcPr>
            <w:tcW w:w="4043" w:type="dxa"/>
          </w:tcPr>
          <w:p>
            <w:pPr>
              <w:spacing w:after="0"/>
              <w:rPr>
                <w:noProof/>
              </w:rPr>
            </w:pPr>
          </w:p>
        </w:tc>
        <w:tc>
          <w:tcPr>
            <w:tcW w:w="2020" w:type="dxa"/>
          </w:tcPr>
          <w:p>
            <w:pPr>
              <w:spacing w:after="0"/>
              <w:rPr>
                <w:noProof/>
                <w:szCs w:val="24"/>
              </w:rPr>
            </w:pPr>
            <w:r>
              <w:rPr>
                <w:noProof/>
              </w:rPr>
              <w:t xml:space="preserve">2022 </w:t>
            </w:r>
          </w:p>
        </w:tc>
      </w:tr>
      <w:tr>
        <w:trPr>
          <w:jc w:val="center"/>
        </w:trPr>
        <w:tc>
          <w:tcPr>
            <w:tcW w:w="4853" w:type="dxa"/>
          </w:tcPr>
          <w:p>
            <w:pPr>
              <w:suppressAutoHyphens/>
              <w:spacing w:after="0"/>
              <w:rPr>
                <w:noProof/>
              </w:rPr>
            </w:pPr>
            <w:r>
              <w:rPr>
                <w:noProof/>
              </w:rPr>
              <w:t xml:space="preserve">Finanziare a livello dell'UE il (bio)monitoraggio umano e ambientale </w:t>
            </w:r>
          </w:p>
        </w:tc>
        <w:tc>
          <w:tcPr>
            <w:tcW w:w="4043" w:type="dxa"/>
          </w:tcPr>
          <w:p>
            <w:pPr>
              <w:spacing w:after="0"/>
              <w:rPr>
                <w:noProof/>
              </w:rPr>
            </w:pPr>
          </w:p>
        </w:tc>
        <w:tc>
          <w:tcPr>
            <w:tcW w:w="2020" w:type="dxa"/>
          </w:tcPr>
          <w:p>
            <w:pPr>
              <w:spacing w:after="0"/>
              <w:rPr>
                <w:noProof/>
                <w:shd w:val="clear" w:color="auto" w:fill="FFFF00"/>
              </w:rPr>
            </w:pPr>
            <w:r>
              <w:rPr>
                <w:noProof/>
              </w:rPr>
              <w:t xml:space="preserve">A partire dal 2020 </w:t>
            </w:r>
          </w:p>
        </w:tc>
      </w:tr>
      <w:tr>
        <w:trPr>
          <w:jc w:val="center"/>
        </w:trPr>
        <w:tc>
          <w:tcPr>
            <w:tcW w:w="4853" w:type="dxa"/>
          </w:tcPr>
          <w:p>
            <w:pPr>
              <w:suppressAutoHyphens/>
              <w:spacing w:after="0"/>
              <w:rPr>
                <w:noProof/>
              </w:rPr>
            </w:pPr>
            <w:r>
              <w:rPr>
                <w:noProof/>
              </w:rPr>
              <w:t xml:space="preserve">Istituire un sistema di allarme rapido e di intervento per le sostanze chimiche nell'UE </w:t>
            </w:r>
          </w:p>
        </w:tc>
        <w:tc>
          <w:tcPr>
            <w:tcW w:w="4043" w:type="dxa"/>
          </w:tcPr>
          <w:p>
            <w:pPr>
              <w:spacing w:after="0"/>
              <w:rPr>
                <w:noProof/>
              </w:rPr>
            </w:pPr>
          </w:p>
        </w:tc>
        <w:tc>
          <w:tcPr>
            <w:tcW w:w="2020" w:type="dxa"/>
          </w:tcPr>
          <w:p>
            <w:pPr>
              <w:spacing w:after="0"/>
              <w:rPr>
                <w:noProof/>
                <w:szCs w:val="24"/>
              </w:rPr>
            </w:pPr>
            <w:r>
              <w:rPr>
                <w:noProof/>
              </w:rPr>
              <w:t xml:space="preserve">2023 </w:t>
            </w:r>
          </w:p>
        </w:tc>
      </w:tr>
      <w:tr>
        <w:trPr>
          <w:jc w:val="center"/>
        </w:trPr>
        <w:tc>
          <w:tcPr>
            <w:tcW w:w="0" w:type="auto"/>
            <w:gridSpan w:val="3"/>
            <w:shd w:val="clear" w:color="auto" w:fill="C4BC96" w:themeFill="background2" w:themeFillShade="BF"/>
          </w:tcPr>
          <w:p>
            <w:pPr>
              <w:pStyle w:val="Body"/>
              <w:spacing w:before="0" w:after="0"/>
              <w:rPr>
                <w:rFonts w:ascii="Times New Roman" w:hAnsi="Times New Roman"/>
                <w:b/>
                <w:bCs/>
                <w:noProof/>
              </w:rPr>
            </w:pPr>
            <w:r>
              <w:rPr>
                <w:rFonts w:ascii="Times New Roman" w:hAnsi="Times New Roman"/>
                <w:b/>
                <w:bCs/>
                <w:noProof/>
              </w:rPr>
              <w:t>Fornire un modello che ispiri la gestione delle sostanze chimiche a livello mondiale</w:t>
            </w:r>
          </w:p>
        </w:tc>
      </w:tr>
      <w:tr>
        <w:trPr>
          <w:jc w:val="center"/>
        </w:trPr>
        <w:tc>
          <w:tcPr>
            <w:tcW w:w="4853" w:type="dxa"/>
          </w:tcPr>
          <w:p>
            <w:pPr>
              <w:pStyle w:val="Body"/>
              <w:spacing w:before="0" w:after="0"/>
              <w:rPr>
                <w:rFonts w:ascii="Times New Roman" w:hAnsi="Times New Roman"/>
                <w:noProof/>
              </w:rPr>
            </w:pPr>
            <w:r>
              <w:rPr>
                <w:rFonts w:ascii="Times New Roman" w:hAnsi="Times New Roman"/>
                <w:bCs/>
                <w:noProof/>
              </w:rPr>
              <w:t>Iniziative di concerto con le organizzazioni internazionali e l'industria per promuovere l'uso del GHS delle Nazioni Unite a livello internazionale</w:t>
            </w:r>
            <w:r>
              <w:rPr>
                <w:rFonts w:ascii="Times New Roman" w:hAnsi="Times New Roman"/>
                <w:noProof/>
              </w:rPr>
              <w:t xml:space="preserve"> </w:t>
            </w:r>
          </w:p>
        </w:tc>
        <w:tc>
          <w:tcPr>
            <w:tcW w:w="4043" w:type="dxa"/>
          </w:tcPr>
          <w:p>
            <w:pPr>
              <w:spacing w:after="0"/>
              <w:rPr>
                <w:noProof/>
              </w:rPr>
            </w:pPr>
          </w:p>
        </w:tc>
        <w:tc>
          <w:tcPr>
            <w:tcW w:w="2020" w:type="dxa"/>
          </w:tcPr>
          <w:p>
            <w:pPr>
              <w:spacing w:after="0"/>
              <w:rPr>
                <w:noProof/>
                <w:szCs w:val="24"/>
              </w:rPr>
            </w:pPr>
            <w:r>
              <w:rPr>
                <w:noProof/>
              </w:rPr>
              <w:t xml:space="preserve">A partire dal 2020 </w:t>
            </w:r>
          </w:p>
        </w:tc>
      </w:tr>
      <w:tr>
        <w:trPr>
          <w:jc w:val="center"/>
        </w:trPr>
        <w:tc>
          <w:tcPr>
            <w:tcW w:w="4853" w:type="dxa"/>
          </w:tcPr>
          <w:p>
            <w:pPr>
              <w:pStyle w:val="Body"/>
              <w:spacing w:before="0" w:after="0"/>
              <w:rPr>
                <w:rFonts w:ascii="Times New Roman" w:hAnsi="Times New Roman"/>
                <w:noProof/>
              </w:rPr>
            </w:pPr>
            <w:r>
              <w:rPr>
                <w:rFonts w:ascii="Times New Roman" w:hAnsi="Times New Roman"/>
                <w:noProof/>
              </w:rPr>
              <w:t>Proposta a livello del GHS delle Nazioni Unite di introdurre, adattare o chiarire criteri/classi di pericolo in linea con il regolamento CLP</w:t>
            </w:r>
          </w:p>
        </w:tc>
        <w:tc>
          <w:tcPr>
            <w:tcW w:w="4043" w:type="dxa"/>
          </w:tcPr>
          <w:p>
            <w:pPr>
              <w:spacing w:after="0"/>
              <w:rPr>
                <w:noProof/>
              </w:rPr>
            </w:pPr>
          </w:p>
        </w:tc>
        <w:tc>
          <w:tcPr>
            <w:tcW w:w="2020" w:type="dxa"/>
          </w:tcPr>
          <w:p>
            <w:pPr>
              <w:spacing w:after="0"/>
              <w:rPr>
                <w:noProof/>
                <w:szCs w:val="24"/>
              </w:rPr>
            </w:pPr>
            <w:r>
              <w:rPr>
                <w:noProof/>
              </w:rPr>
              <w:t xml:space="preserve">2022-24 </w:t>
            </w:r>
          </w:p>
        </w:tc>
      </w:tr>
      <w:tr>
        <w:trPr>
          <w:jc w:val="center"/>
        </w:trPr>
        <w:tc>
          <w:tcPr>
            <w:tcW w:w="4853" w:type="dxa"/>
          </w:tcPr>
          <w:p>
            <w:pPr>
              <w:pStyle w:val="Body"/>
              <w:spacing w:before="0" w:after="0"/>
              <w:rPr>
                <w:rFonts w:ascii="Times New Roman" w:hAnsi="Times New Roman"/>
                <w:noProof/>
              </w:rPr>
            </w:pPr>
            <w:r>
              <w:rPr>
                <w:rFonts w:ascii="Times New Roman" w:hAnsi="Times New Roman"/>
                <w:noProof/>
              </w:rPr>
              <w:t xml:space="preserve">Sostenere, in particolare attraverso finanziamenti, la creazione di capacità nei paesi terzi per la valutazione e la gestione delle sostanze chimiche </w:t>
            </w:r>
          </w:p>
        </w:tc>
        <w:tc>
          <w:tcPr>
            <w:tcW w:w="4043" w:type="dxa"/>
          </w:tcPr>
          <w:p>
            <w:pPr>
              <w:spacing w:after="0"/>
              <w:rPr>
                <w:noProof/>
              </w:rPr>
            </w:pPr>
          </w:p>
        </w:tc>
        <w:tc>
          <w:tcPr>
            <w:tcW w:w="2020" w:type="dxa"/>
          </w:tcPr>
          <w:p>
            <w:pPr>
              <w:spacing w:after="0"/>
              <w:rPr>
                <w:noProof/>
              </w:rPr>
            </w:pPr>
            <w:r>
              <w:rPr>
                <w:noProof/>
              </w:rPr>
              <w:t xml:space="preserve">2020-2022 </w:t>
            </w:r>
          </w:p>
        </w:tc>
      </w:tr>
      <w:tr>
        <w:trPr>
          <w:jc w:val="center"/>
        </w:trPr>
        <w:tc>
          <w:tcPr>
            <w:tcW w:w="4853" w:type="dxa"/>
          </w:tcPr>
          <w:p>
            <w:pPr>
              <w:pStyle w:val="Body"/>
              <w:spacing w:before="0" w:after="0"/>
              <w:rPr>
                <w:rFonts w:ascii="Times New Roman" w:hAnsi="Times New Roman"/>
                <w:bCs/>
                <w:noProof/>
              </w:rPr>
            </w:pPr>
            <w:r>
              <w:rPr>
                <w:rFonts w:ascii="Times New Roman" w:hAnsi="Times New Roman"/>
                <w:bCs/>
                <w:noProof/>
              </w:rPr>
              <w:t>Garantire che le sostanze chimiche pericolose vietate nell'Unione europea non siano prodotte per l'esportazione, modificando, se necessario, la legislazione in materia</w:t>
            </w:r>
          </w:p>
        </w:tc>
        <w:tc>
          <w:tcPr>
            <w:tcW w:w="4043" w:type="dxa"/>
          </w:tcPr>
          <w:p>
            <w:pPr>
              <w:spacing w:after="0"/>
              <w:rPr>
                <w:noProof/>
              </w:rPr>
            </w:pPr>
          </w:p>
        </w:tc>
        <w:tc>
          <w:tcPr>
            <w:tcW w:w="2020" w:type="dxa"/>
          </w:tcPr>
          <w:p>
            <w:pPr>
              <w:spacing w:after="0"/>
              <w:rPr>
                <w:noProof/>
                <w:szCs w:val="24"/>
              </w:rPr>
            </w:pPr>
            <w:r>
              <w:rPr>
                <w:noProof/>
              </w:rPr>
              <w:t xml:space="preserve">2023 </w:t>
            </w:r>
          </w:p>
        </w:tc>
      </w:tr>
      <w:tr>
        <w:trPr>
          <w:jc w:val="center"/>
        </w:trPr>
        <w:tc>
          <w:tcPr>
            <w:tcW w:w="4853" w:type="dxa"/>
          </w:tcPr>
          <w:p>
            <w:pPr>
              <w:pStyle w:val="Body"/>
              <w:spacing w:before="0" w:after="0"/>
              <w:rPr>
                <w:rFonts w:ascii="Times New Roman" w:hAnsi="Times New Roman"/>
                <w:noProof/>
              </w:rPr>
            </w:pPr>
            <w:r>
              <w:rPr>
                <w:rFonts w:ascii="Times New Roman" w:hAnsi="Times New Roman"/>
                <w:noProof/>
              </w:rPr>
              <w:t xml:space="preserve">Promuovere la </w:t>
            </w:r>
            <w:r>
              <w:rPr>
                <w:rFonts w:ascii="Times New Roman" w:hAnsi="Times New Roman"/>
                <w:bCs/>
                <w:noProof/>
              </w:rPr>
              <w:t xml:space="preserve">dovuta diligenza </w:t>
            </w:r>
            <w:r>
              <w:rPr>
                <w:rFonts w:ascii="Times New Roman" w:hAnsi="Times New Roman"/>
                <w:noProof/>
              </w:rPr>
              <w:t xml:space="preserve">nella produzione e nell'uso sostenibili delle sostanze chimiche nell'ambito della futura iniziativa sulla governance societaria sostenibile </w:t>
            </w:r>
          </w:p>
        </w:tc>
        <w:tc>
          <w:tcPr>
            <w:tcW w:w="4043" w:type="dxa"/>
          </w:tcPr>
          <w:p>
            <w:pPr>
              <w:spacing w:after="0"/>
              <w:rPr>
                <w:noProof/>
              </w:rPr>
            </w:pPr>
          </w:p>
        </w:tc>
        <w:tc>
          <w:tcPr>
            <w:tcW w:w="2020" w:type="dxa"/>
          </w:tcPr>
          <w:p>
            <w:pPr>
              <w:spacing w:after="0"/>
              <w:rPr>
                <w:noProof/>
                <w:szCs w:val="24"/>
              </w:rPr>
            </w:pPr>
            <w:r>
              <w:rPr>
                <w:noProof/>
              </w:rPr>
              <w:t xml:space="preserve">2020-2024 </w:t>
            </w: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274" w:bottom="709"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C Square Sans Pro">
    <w:altName w:val="Segoe UI Light"/>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7</w:t>
    </w:r>
    <w:r>
      <w:fldChar w:fldCharType="end"/>
    </w:r>
  </w:p>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010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C98"/>
    <w:multiLevelType w:val="hybridMultilevel"/>
    <w:tmpl w:val="593A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60834"/>
    <w:multiLevelType w:val="hybridMultilevel"/>
    <w:tmpl w:val="A550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2668D"/>
    <w:multiLevelType w:val="hybridMultilevel"/>
    <w:tmpl w:val="120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8079D"/>
    <w:multiLevelType w:val="hybridMultilevel"/>
    <w:tmpl w:val="850A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61C0A"/>
    <w:multiLevelType w:val="hybridMultilevel"/>
    <w:tmpl w:val="9ED6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494140"/>
    <w:multiLevelType w:val="hybridMultilevel"/>
    <w:tmpl w:val="F13C35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BC929C0"/>
    <w:multiLevelType w:val="hybridMultilevel"/>
    <w:tmpl w:val="C8B4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76708"/>
    <w:multiLevelType w:val="hybridMultilevel"/>
    <w:tmpl w:val="C2BC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01C4C"/>
    <w:multiLevelType w:val="hybridMultilevel"/>
    <w:tmpl w:val="7800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583B4B"/>
    <w:multiLevelType w:val="hybridMultilevel"/>
    <w:tmpl w:val="C002C73A"/>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68A97B35"/>
    <w:multiLevelType w:val="hybridMultilevel"/>
    <w:tmpl w:val="E376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3760E9"/>
    <w:multiLevelType w:val="hybridMultilevel"/>
    <w:tmpl w:val="07745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30295"/>
    <w:multiLevelType w:val="hybridMultilevel"/>
    <w:tmpl w:val="F3349CE4"/>
    <w:lvl w:ilvl="0" w:tplc="75A005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8E461E"/>
    <w:multiLevelType w:val="hybridMultilevel"/>
    <w:tmpl w:val="4D52D858"/>
    <w:lvl w:ilvl="0" w:tplc="197C0042">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144252"/>
    <w:multiLevelType w:val="hybridMultilevel"/>
    <w:tmpl w:val="2A4E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8913DF"/>
    <w:multiLevelType w:val="hybridMultilevel"/>
    <w:tmpl w:val="3092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AB6C63"/>
    <w:multiLevelType w:val="hybridMultilevel"/>
    <w:tmpl w:val="C54E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65145E"/>
    <w:multiLevelType w:val="multilevel"/>
    <w:tmpl w:val="D632DEE4"/>
    <w:lvl w:ilvl="0">
      <w:start w:val="1"/>
      <w:numFmt w:val="decimal"/>
      <w:lvlText w:val="%1."/>
      <w:lvlJc w:val="left"/>
      <w:pPr>
        <w:tabs>
          <w:tab w:val="num" w:pos="482"/>
        </w:tabs>
        <w:ind w:left="482" w:hanging="482"/>
      </w:pPr>
      <w:rPr>
        <w:rFonts w:ascii="Times New Roman Bold" w:hAnsi="Times New Roman Bold"/>
        <w:b/>
        <w:i w:val="0"/>
      </w:rPr>
    </w:lvl>
    <w:lvl w:ilvl="1">
      <w:start w:val="1"/>
      <w:numFmt w:val="decimal"/>
      <w:lvlText w:val="%1.%2."/>
      <w:lvlJc w:val="left"/>
      <w:pPr>
        <w:tabs>
          <w:tab w:val="num" w:pos="1202"/>
        </w:tabs>
        <w:ind w:left="120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num w:numId="1">
    <w:abstractNumId w:val="6"/>
  </w:num>
  <w:num w:numId="2">
    <w:abstractNumId w:val="18"/>
  </w:num>
  <w:num w:numId="3">
    <w:abstractNumId w:val="13"/>
  </w:num>
  <w:num w:numId="4">
    <w:abstractNumId w:val="1"/>
  </w:num>
  <w:num w:numId="5">
    <w:abstractNumId w:val="3"/>
  </w:num>
  <w:num w:numId="6">
    <w:abstractNumId w:val="2"/>
  </w:num>
  <w:num w:numId="7">
    <w:abstractNumId w:val="0"/>
  </w:num>
  <w:num w:numId="8">
    <w:abstractNumId w:val="15"/>
  </w:num>
  <w:num w:numId="9">
    <w:abstractNumId w:val="4"/>
  </w:num>
  <w:num w:numId="10">
    <w:abstractNumId w:val="7"/>
  </w:num>
  <w:num w:numId="11">
    <w:abstractNumId w:val="17"/>
  </w:num>
  <w:num w:numId="12">
    <w:abstractNumId w:val="16"/>
  </w:num>
  <w:num w:numId="13">
    <w:abstractNumId w:val="11"/>
  </w:num>
  <w:num w:numId="14">
    <w:abstractNumId w:val="8"/>
  </w:num>
  <w:num w:numId="15">
    <w:abstractNumId w:val="1"/>
  </w:num>
  <w:num w:numId="16">
    <w:abstractNumId w:val="9"/>
  </w:num>
  <w:num w:numId="17">
    <w:abstractNumId w:val="12"/>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s-ES_tradnl" w:vendorID="64" w:dllVersion="131078" w:nlCheck="1" w:checkStyle="0"/>
  <w:activeWritingStyle w:appName="MSWord" w:lang="en-IE"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revisionView w:markup="0"/>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la"/>
    <w:docVar w:name="LW_ANNEX_NBR_FIRST" w:val="1"/>
    <w:docVar w:name="LW_ANNEX_NBR_LAST" w:val="1"/>
    <w:docVar w:name="LW_ANNEX_UNIQUE" w:val="1"/>
    <w:docVar w:name="LW_CORRIGENDUM" w:val="&lt;UNUSED&gt;"/>
    <w:docVar w:name="LW_COVERPAGE_EXISTS" w:val="True"/>
    <w:docVar w:name="LW_COVERPAGE_GUID" w:val="F4D02C67-F9C6-4911-B13E-8A582F36C3FA"/>
    <w:docVar w:name="LW_COVERPAGE_TYPE" w:val="1"/>
    <w:docVar w:name="LW_CROSSREFERENCE" w:val="{SWD(2020) 225 final} - {SWD(2020) 247 final} - {SWD(2020) 248 final} - {SWD(2020) 249 final} - {SWD(2020) 250 final} - {SWD(2020) 251 final}"/>
    <w:docVar w:name="LW_DocType" w:val="NORMAL"/>
    <w:docVar w:name="LW_EMISSION" w:val="14.10.2020"/>
    <w:docVar w:name="LW_EMISSION_ISODATE" w:val="2020-10-14"/>
    <w:docVar w:name="LW_EMISSION_LOCATION" w:val="BRX"/>
    <w:docVar w:name="LW_EMISSION_PREFIX" w:val="Bruxelles, "/>
    <w:docVar w:name="LW_EMISSION_SUFFIX" w:val=" "/>
    <w:docVar w:name="LW_ID_DOCTYPE_NONLW" w:val="CP-039"/>
    <w:docVar w:name="LW_LANGUE" w:val="IT"/>
    <w:docVar w:name="LW_LEVEL_OF_SENSITIVITY" w:val="Standard treatment"/>
    <w:docVar w:name="LW_NOM.INST" w:val="COMMISSIONE EUROPEA"/>
    <w:docVar w:name="LW_NOM.INST_JOINTDOC" w:val="&lt;EMPTY&gt;"/>
    <w:docVar w:name="LW_OBJETACTEPRINCIPAL.CP" w:val="Strategia in materia di sostanze chimiche per la sostenibilità_x000d__x000d__x000d__x000d__x000d__x000d__x000d__x000b_Verso un ambiente privo di sostanze tossiche_x000d__x000d__x000d__x000d__x000d__x000d__x000d__x000d__x000d__x000d__x000b__x000d__x000d__x000d__x000d__x000d__x000d__x000d__x000d__x000d__x000d__x000b_"/>
    <w:docVar w:name="LW_PART_NBR" w:val="1"/>
    <w:docVar w:name="LW_PART_NBR_TOTAL" w:val="1"/>
    <w:docVar w:name="LW_REF.INST.NEW" w:val="COM"/>
    <w:docVar w:name="LW_REF.INST.NEW_ADOPTED" w:val="final"/>
    <w:docVar w:name="LW_REF.INST.NEW_TEXT" w:val="(2020) 6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LLEGATO_x000b_"/>
    <w:docVar w:name="LW_TYPEACTEPRINCIPAL.CP" w:val="COMUNICAZIONE DELLA COMMISSIONE AL PARLAMENTO EUROPEO, AL CONSIGLIO, AL COMITATO ECONOMICO E SOCIALE EUROPEO E AL COMITATO DELLE REGION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0" w:unhideWhenUsed="0" w:qFormat="1"/>
    <w:lsdException w:name="heading 2" w:uiPriority="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IE"/>
    </w:rPr>
  </w:style>
  <w:style w:type="paragraph" w:styleId="Heading1">
    <w:name w:val="heading 1"/>
    <w:basedOn w:val="Normal"/>
    <w:next w:val="Text1"/>
    <w:link w:val="Heading1Char"/>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Normal"/>
    <w:link w:val="Heading3Char"/>
    <w:uiPriority w:val="90"/>
    <w:qFormat/>
    <w:pPr>
      <w:keepNext/>
      <w:numPr>
        <w:ilvl w:val="2"/>
        <w:numId w:val="1"/>
      </w:numPr>
      <w:ind w:left="851" w:hanging="284"/>
      <w:outlineLvl w:val="2"/>
    </w:pPr>
    <w:rPr>
      <w:rFonts w:ascii="Garamond" w:hAnsi="Garamond"/>
      <w:i/>
    </w:rPr>
  </w:style>
  <w:style w:type="paragraph" w:styleId="Heading4">
    <w:name w:val="heading 4"/>
    <w:basedOn w:val="Normal"/>
    <w:next w:val="Normal"/>
    <w:link w:val="Heading4Char"/>
    <w:uiPriority w:val="90"/>
    <w:qFormat/>
    <w:pPr>
      <w:keepNext/>
      <w:tabs>
        <w:tab w:val="num" w:pos="1922"/>
      </w:tabs>
      <w:ind w:left="1922" w:hanging="720"/>
      <w:outlineLvl w:val="3"/>
    </w:pPr>
  </w:style>
  <w:style w:type="paragraph" w:styleId="Heading5">
    <w:name w:val="heading 5"/>
    <w:basedOn w:val="Normal"/>
    <w:next w:val="Normal"/>
    <w:link w:val="Heading5Char"/>
    <w:semiHidden/>
    <w:qFormat/>
    <w:pPr>
      <w:keepNext/>
      <w:tabs>
        <w:tab w:val="num" w:pos="2880"/>
      </w:tabs>
      <w:ind w:left="3838" w:hanging="958"/>
      <w:outlineLvl w:val="4"/>
    </w:pPr>
  </w:style>
  <w:style w:type="paragraph" w:styleId="Heading6">
    <w:name w:val="heading 6"/>
    <w:basedOn w:val="Normal"/>
    <w:next w:val="Normal"/>
    <w:link w:val="Heading6Char"/>
    <w:semiHidden/>
    <w:qFormat/>
    <w:pPr>
      <w:keepNext/>
      <w:tabs>
        <w:tab w:val="num" w:pos="2880"/>
      </w:tabs>
      <w:ind w:left="3838" w:hanging="958"/>
      <w:outlineLvl w:val="5"/>
    </w:pPr>
  </w:style>
  <w:style w:type="paragraph" w:styleId="Heading7">
    <w:name w:val="heading 7"/>
    <w:basedOn w:val="Normal"/>
    <w:next w:val="Normal"/>
    <w:link w:val="Heading7Char"/>
    <w:semiHidden/>
    <w:qFormat/>
    <w:pPr>
      <w:keepNext/>
      <w:tabs>
        <w:tab w:val="num" w:pos="2880"/>
      </w:tabs>
      <w:ind w:left="3838" w:hanging="958"/>
      <w:outlineLvl w:val="6"/>
    </w:pPr>
  </w:style>
  <w:style w:type="paragraph" w:styleId="Heading8">
    <w:name w:val="heading 8"/>
    <w:basedOn w:val="Normal"/>
    <w:next w:val="Normal"/>
    <w:link w:val="Heading8Char"/>
    <w:semiHidden/>
    <w:qFormat/>
    <w:pPr>
      <w:keepNext/>
      <w:tabs>
        <w:tab w:val="num" w:pos="2880"/>
      </w:tabs>
      <w:ind w:left="3838" w:hanging="958"/>
      <w:outlineLvl w:val="7"/>
    </w:pPr>
  </w:style>
  <w:style w:type="paragraph" w:styleId="Heading9">
    <w:name w:val="heading 9"/>
    <w:basedOn w:val="Normal"/>
    <w:next w:val="Normal"/>
    <w:link w:val="Heading9Char"/>
    <w:semiHidden/>
    <w:qFormat/>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Times New Roman" w:hAnsi="Garamond"/>
      <w:i/>
      <w:sz w:val="24"/>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Text2">
    <w:name w:val="Text 2"/>
    <w:basedOn w:val="Normal"/>
    <w:uiPriority w:val="90"/>
    <w:qFormat/>
    <w:pPr>
      <w:ind w:left="1202"/>
    </w:pPr>
  </w:style>
  <w:style w:type="paragraph" w:customStyle="1" w:styleId="Text1">
    <w:name w:val="Text 1"/>
    <w:basedOn w:val="Normal"/>
    <w:link w:val="Text1Char"/>
    <w:uiPriority w:val="90"/>
    <w:qFormat/>
    <w:pPr>
      <w:ind w:left="482"/>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eastAsia="en-IE"/>
    </w:rPr>
  </w:style>
  <w:style w:type="paragraph" w:customStyle="1" w:styleId="Body">
    <w:name w:val="Body"/>
    <w:basedOn w:val="Normal"/>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eastAsia="Times New Roman" w:hAnsi="EC Square Sans Pro"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I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I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I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I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I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I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I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IE"/>
    </w:rPr>
  </w:style>
  <w:style w:type="paragraph" w:customStyle="1" w:styleId="NumPar3">
    <w:name w:val="NumPar 3"/>
    <w:basedOn w:val="Heading3"/>
    <w:uiPriority w:val="90"/>
    <w:qFormat/>
    <w:pPr>
      <w:keepNext w:val="0"/>
      <w:tabs>
        <w:tab w:val="clear" w:pos="1920"/>
        <w:tab w:val="num" w:pos="1922"/>
      </w:tabs>
      <w:ind w:left="1922" w:hanging="720"/>
      <w:outlineLvl w:val="9"/>
    </w:pPr>
    <w:rPr>
      <w:rFonts w:ascii="Times New Roman" w:hAnsi="Times New Roman"/>
    </w:r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IE"/>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qFormat/>
    <w:locked/>
    <w:rPr>
      <w:rFonts w:ascii="Times New Roman" w:eastAsia="Times New Roman" w:hAnsi="Times New Roman" w:cs="Times New Roman"/>
      <w:sz w:val="24"/>
      <w:szCs w:val="20"/>
      <w:lang w:eastAsia="en-IE"/>
    </w:rPr>
  </w:style>
  <w:style w:type="paragraph" w:customStyle="1" w:styleId="NumPar1">
    <w:name w:val="NumPar 1"/>
    <w:basedOn w:val="Heading1"/>
    <w:uiPriority w:val="90"/>
    <w:qFormat/>
    <w:pPr>
      <w:keepNext w:val="0"/>
      <w:tabs>
        <w:tab w:val="clear" w:pos="482"/>
      </w:tabs>
      <w:spacing w:before="0"/>
      <w:ind w:left="480" w:hanging="480"/>
      <w:outlineLvl w:val="9"/>
    </w:pPr>
    <w:rPr>
      <w:b w:val="0"/>
      <w:smallCaps w:val="0"/>
    </w:rPr>
  </w:style>
  <w:style w:type="paragraph" w:customStyle="1" w:styleId="NumPar2">
    <w:name w:val="NumPar 2"/>
    <w:basedOn w:val="Heading2"/>
    <w:uiPriority w:val="90"/>
    <w:qFormat/>
    <w:pPr>
      <w:keepNext w:val="0"/>
      <w:tabs>
        <w:tab w:val="clear" w:pos="1202"/>
        <w:tab w:val="num" w:pos="1080"/>
      </w:tabs>
      <w:ind w:left="1080" w:hanging="600"/>
      <w:outlineLvl w:val="9"/>
    </w:pPr>
    <w:rPr>
      <w:b w:val="0"/>
    </w:rPr>
  </w:style>
  <w:style w:type="paragraph" w:customStyle="1" w:styleId="NumPar4">
    <w:name w:val="NumPar 4"/>
    <w:basedOn w:val="Heading4"/>
    <w:uiPriority w:val="90"/>
    <w:qFormat/>
    <w:pPr>
      <w:keepNext w:val="0"/>
      <w:tabs>
        <w:tab w:val="clear" w:pos="1922"/>
        <w:tab w:val="num" w:pos="2880"/>
      </w:tabs>
      <w:ind w:left="2880" w:hanging="960"/>
      <w:outlineLvl w:val="9"/>
    </w:pPr>
  </w:style>
  <w:style w:type="paragraph" w:customStyle="1" w:styleId="FigureTitle">
    <w:name w:val="Figure Title"/>
    <w:basedOn w:val="Normal"/>
    <w:next w:val="Normal"/>
    <w:uiPriority w:val="6"/>
    <w:pPr>
      <w:keepNext/>
      <w:spacing w:after="180"/>
    </w:pPr>
    <w:rPr>
      <w:b/>
    </w:r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IE"/>
    </w:rPr>
  </w:style>
  <w:style w:type="paragraph" w:styleId="FootnoteText">
    <w:name w:val="footnote text"/>
    <w:aliases w:val="Footnote TEXT,fn,Footnotes,Footnote ak,fn Char,footnote text Char,Footnotes Char,Footnote ak Char,ft,fn cafc,Footnotes Char Char,Footnote Text Char Char,fn Char Char,footnote text Char Char Char Ch,fn1,footnote text1,ft1,f,o,Char,Fußnote"/>
    <w:basedOn w:val="Normal"/>
    <w:link w:val="FootnoteTextChar"/>
    <w:uiPriority w:val="99"/>
    <w:qFormat/>
    <w:pPr>
      <w:spacing w:after="120"/>
      <w:ind w:left="357" w:hanging="357"/>
    </w:pPr>
    <w:rPr>
      <w:sz w:val="20"/>
    </w:rPr>
  </w:style>
  <w:style w:type="character" w:customStyle="1" w:styleId="FootnoteTextChar">
    <w:name w:val="Footnote Text Char"/>
    <w:aliases w:val="Footnote TEXT Char,fn Char1,Footnotes Char1,Footnote ak Char1,fn Char Char1,footnote text Char Char,Footnotes Char Char1,Footnote ak Char Char,ft Char,fn cafc Char,Footnotes Char Char Char,Footnote Text Char Char Char,fn1 Char,f Char"/>
    <w:basedOn w:val="DefaultParagraphFont"/>
    <w:link w:val="FootnoteText"/>
    <w:uiPriority w:val="99"/>
    <w:qFormat/>
    <w:rPr>
      <w:rFonts w:ascii="Times New Roman" w:eastAsia="Times New Roman" w:hAnsi="Times New Roman" w:cs="Times New Roman"/>
      <w:sz w:val="20"/>
      <w:szCs w:val="20"/>
      <w:lang w:eastAsia="en-I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rPr>
      <w:vertAlign w:val="superscript"/>
    </w:rPr>
  </w:style>
  <w:style w:type="character" w:styleId="Hyperlink">
    <w:name w:val="Hyperlink"/>
    <w:uiPriority w:val="99"/>
    <w:rPr>
      <w:color w:val="0563C1"/>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Subsections">
    <w:name w:val="Subsections"/>
    <w:basedOn w:val="NumPar3"/>
    <w:uiPriority w:val="90"/>
    <w:qFormat/>
    <w:pPr>
      <w:numPr>
        <w:ilvl w:val="0"/>
        <w:numId w:val="0"/>
      </w:numPr>
      <w:spacing w:after="120"/>
      <w:ind w:left="1922" w:hanging="720"/>
    </w:pPr>
  </w:style>
  <w:style w:type="paragraph" w:customStyle="1" w:styleId="Default">
    <w:name w:val="Default"/>
    <w:basedOn w:val="Normal"/>
    <w:pPr>
      <w:autoSpaceDE w:val="0"/>
      <w:autoSpaceDN w:val="0"/>
      <w:spacing w:after="0"/>
      <w:jc w:val="left"/>
    </w:pPr>
    <w:rPr>
      <w:rFonts w:eastAsiaTheme="minorHAnsi"/>
      <w:color w:val="000000"/>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en-I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I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I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ext1Char">
    <w:name w:val="Text 1 Char"/>
    <w:basedOn w:val="DefaultParagraphFont"/>
    <w:link w:val="Text1"/>
    <w:uiPriority w:val="90"/>
    <w:rPr>
      <w:rFonts w:ascii="Times New Roman" w:eastAsia="Times New Roman" w:hAnsi="Times New Roman" w:cs="Times New Roman"/>
      <w:sz w:val="24"/>
      <w:szCs w:val="20"/>
      <w:lang w:eastAsia="en-IE"/>
    </w:rPr>
  </w:style>
  <w:style w:type="character" w:customStyle="1" w:styleId="FooterSensitivityChar">
    <w:name w:val="Footer Sensitivity Char"/>
    <w:basedOn w:val="Text1Char"/>
    <w:link w:val="FooterSensitivity"/>
    <w:rPr>
      <w:rFonts w:ascii="Times New Roman" w:eastAsia="Times New Roman" w:hAnsi="Times New Roman" w:cs="Times New Roman"/>
      <w:b/>
      <w:sz w:val="32"/>
      <w:szCs w:val="20"/>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ext1Char"/>
    <w:link w:val="HeaderSensitivity"/>
    <w:rPr>
      <w:rFonts w:ascii="Times New Roman" w:eastAsia="Times New Roman" w:hAnsi="Times New Roman" w:cs="Times New Roman"/>
      <w:b/>
      <w:sz w:val="32"/>
      <w:szCs w:val="20"/>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ext1Char"/>
    <w:link w:val="HeaderSensitivityRight"/>
    <w:rPr>
      <w:rFonts w:ascii="Times New Roman" w:eastAsia="Times New Roman" w:hAnsi="Times New Roman" w:cs="Times New Roman"/>
      <w:sz w:val="28"/>
      <w:szCs w:val="20"/>
      <w:lang w:eastAsia="en-IE"/>
    </w:rPr>
  </w:style>
  <w:style w:type="character" w:customStyle="1" w:styleId="st">
    <w:name w:val="st"/>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0" w:unhideWhenUsed="0" w:qFormat="1"/>
    <w:lsdException w:name="heading 2" w:uiPriority="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IE"/>
    </w:rPr>
  </w:style>
  <w:style w:type="paragraph" w:styleId="Heading1">
    <w:name w:val="heading 1"/>
    <w:basedOn w:val="Normal"/>
    <w:next w:val="Text1"/>
    <w:link w:val="Heading1Char"/>
    <w:qFormat/>
    <w:pPr>
      <w:keepNext/>
      <w:tabs>
        <w:tab w:val="num" w:pos="482"/>
      </w:tabs>
      <w:spacing w:before="240"/>
      <w:ind w:left="482" w:hanging="482"/>
      <w:outlineLvl w:val="0"/>
    </w:pPr>
    <w:rPr>
      <w:b/>
      <w:smallCaps/>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Normal"/>
    <w:link w:val="Heading3Char"/>
    <w:uiPriority w:val="90"/>
    <w:qFormat/>
    <w:pPr>
      <w:keepNext/>
      <w:numPr>
        <w:ilvl w:val="2"/>
        <w:numId w:val="1"/>
      </w:numPr>
      <w:ind w:left="851" w:hanging="284"/>
      <w:outlineLvl w:val="2"/>
    </w:pPr>
    <w:rPr>
      <w:rFonts w:ascii="Garamond" w:hAnsi="Garamond"/>
      <w:i/>
    </w:rPr>
  </w:style>
  <w:style w:type="paragraph" w:styleId="Heading4">
    <w:name w:val="heading 4"/>
    <w:basedOn w:val="Normal"/>
    <w:next w:val="Normal"/>
    <w:link w:val="Heading4Char"/>
    <w:uiPriority w:val="90"/>
    <w:qFormat/>
    <w:pPr>
      <w:keepNext/>
      <w:tabs>
        <w:tab w:val="num" w:pos="1922"/>
      </w:tabs>
      <w:ind w:left="1922" w:hanging="720"/>
      <w:outlineLvl w:val="3"/>
    </w:pPr>
  </w:style>
  <w:style w:type="paragraph" w:styleId="Heading5">
    <w:name w:val="heading 5"/>
    <w:basedOn w:val="Normal"/>
    <w:next w:val="Normal"/>
    <w:link w:val="Heading5Char"/>
    <w:semiHidden/>
    <w:qFormat/>
    <w:pPr>
      <w:keepNext/>
      <w:tabs>
        <w:tab w:val="num" w:pos="2880"/>
      </w:tabs>
      <w:ind w:left="3838" w:hanging="958"/>
      <w:outlineLvl w:val="4"/>
    </w:pPr>
  </w:style>
  <w:style w:type="paragraph" w:styleId="Heading6">
    <w:name w:val="heading 6"/>
    <w:basedOn w:val="Normal"/>
    <w:next w:val="Normal"/>
    <w:link w:val="Heading6Char"/>
    <w:semiHidden/>
    <w:qFormat/>
    <w:pPr>
      <w:keepNext/>
      <w:tabs>
        <w:tab w:val="num" w:pos="2880"/>
      </w:tabs>
      <w:ind w:left="3838" w:hanging="958"/>
      <w:outlineLvl w:val="5"/>
    </w:pPr>
  </w:style>
  <w:style w:type="paragraph" w:styleId="Heading7">
    <w:name w:val="heading 7"/>
    <w:basedOn w:val="Normal"/>
    <w:next w:val="Normal"/>
    <w:link w:val="Heading7Char"/>
    <w:semiHidden/>
    <w:qFormat/>
    <w:pPr>
      <w:keepNext/>
      <w:tabs>
        <w:tab w:val="num" w:pos="2880"/>
      </w:tabs>
      <w:ind w:left="3838" w:hanging="958"/>
      <w:outlineLvl w:val="6"/>
    </w:pPr>
  </w:style>
  <w:style w:type="paragraph" w:styleId="Heading8">
    <w:name w:val="heading 8"/>
    <w:basedOn w:val="Normal"/>
    <w:next w:val="Normal"/>
    <w:link w:val="Heading8Char"/>
    <w:semiHidden/>
    <w:qFormat/>
    <w:pPr>
      <w:keepNext/>
      <w:tabs>
        <w:tab w:val="num" w:pos="2880"/>
      </w:tabs>
      <w:ind w:left="3838" w:hanging="958"/>
      <w:outlineLvl w:val="7"/>
    </w:pPr>
  </w:style>
  <w:style w:type="paragraph" w:styleId="Heading9">
    <w:name w:val="heading 9"/>
    <w:basedOn w:val="Normal"/>
    <w:next w:val="Normal"/>
    <w:link w:val="Heading9Char"/>
    <w:semiHidden/>
    <w:qFormat/>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Times New Roman" w:hAnsi="Garamond"/>
      <w:i/>
      <w:sz w:val="24"/>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Text2">
    <w:name w:val="Text 2"/>
    <w:basedOn w:val="Normal"/>
    <w:uiPriority w:val="90"/>
    <w:qFormat/>
    <w:pPr>
      <w:ind w:left="1202"/>
    </w:pPr>
  </w:style>
  <w:style w:type="paragraph" w:customStyle="1" w:styleId="Text1">
    <w:name w:val="Text 1"/>
    <w:basedOn w:val="Normal"/>
    <w:link w:val="Text1Char"/>
    <w:uiPriority w:val="90"/>
    <w:qFormat/>
    <w:pPr>
      <w:ind w:left="482"/>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eastAsia="en-IE"/>
    </w:rPr>
  </w:style>
  <w:style w:type="paragraph" w:customStyle="1" w:styleId="Body">
    <w:name w:val="Body"/>
    <w:basedOn w:val="Normal"/>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eastAsia="Times New Roman" w:hAnsi="EC Square Sans Pro"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I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I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I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I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I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I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I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IE"/>
    </w:rPr>
  </w:style>
  <w:style w:type="paragraph" w:customStyle="1" w:styleId="NumPar3">
    <w:name w:val="NumPar 3"/>
    <w:basedOn w:val="Heading3"/>
    <w:uiPriority w:val="90"/>
    <w:qFormat/>
    <w:pPr>
      <w:keepNext w:val="0"/>
      <w:tabs>
        <w:tab w:val="clear" w:pos="1920"/>
        <w:tab w:val="num" w:pos="1922"/>
      </w:tabs>
      <w:ind w:left="1922" w:hanging="720"/>
      <w:outlineLvl w:val="9"/>
    </w:pPr>
    <w:rPr>
      <w:rFonts w:ascii="Times New Roman" w:hAnsi="Times New Roman"/>
    </w:r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IE"/>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qFormat/>
    <w:locked/>
    <w:rPr>
      <w:rFonts w:ascii="Times New Roman" w:eastAsia="Times New Roman" w:hAnsi="Times New Roman" w:cs="Times New Roman"/>
      <w:sz w:val="24"/>
      <w:szCs w:val="20"/>
      <w:lang w:eastAsia="en-IE"/>
    </w:rPr>
  </w:style>
  <w:style w:type="paragraph" w:customStyle="1" w:styleId="NumPar1">
    <w:name w:val="NumPar 1"/>
    <w:basedOn w:val="Heading1"/>
    <w:uiPriority w:val="90"/>
    <w:qFormat/>
    <w:pPr>
      <w:keepNext w:val="0"/>
      <w:tabs>
        <w:tab w:val="clear" w:pos="482"/>
      </w:tabs>
      <w:spacing w:before="0"/>
      <w:ind w:left="480" w:hanging="480"/>
      <w:outlineLvl w:val="9"/>
    </w:pPr>
    <w:rPr>
      <w:b w:val="0"/>
      <w:smallCaps w:val="0"/>
    </w:rPr>
  </w:style>
  <w:style w:type="paragraph" w:customStyle="1" w:styleId="NumPar2">
    <w:name w:val="NumPar 2"/>
    <w:basedOn w:val="Heading2"/>
    <w:uiPriority w:val="90"/>
    <w:qFormat/>
    <w:pPr>
      <w:keepNext w:val="0"/>
      <w:tabs>
        <w:tab w:val="clear" w:pos="1202"/>
        <w:tab w:val="num" w:pos="1080"/>
      </w:tabs>
      <w:ind w:left="1080" w:hanging="600"/>
      <w:outlineLvl w:val="9"/>
    </w:pPr>
    <w:rPr>
      <w:b w:val="0"/>
    </w:rPr>
  </w:style>
  <w:style w:type="paragraph" w:customStyle="1" w:styleId="NumPar4">
    <w:name w:val="NumPar 4"/>
    <w:basedOn w:val="Heading4"/>
    <w:uiPriority w:val="90"/>
    <w:qFormat/>
    <w:pPr>
      <w:keepNext w:val="0"/>
      <w:tabs>
        <w:tab w:val="clear" w:pos="1922"/>
        <w:tab w:val="num" w:pos="2880"/>
      </w:tabs>
      <w:ind w:left="2880" w:hanging="960"/>
      <w:outlineLvl w:val="9"/>
    </w:pPr>
  </w:style>
  <w:style w:type="paragraph" w:customStyle="1" w:styleId="FigureTitle">
    <w:name w:val="Figure Title"/>
    <w:basedOn w:val="Normal"/>
    <w:next w:val="Normal"/>
    <w:uiPriority w:val="6"/>
    <w:pPr>
      <w:keepNext/>
      <w:spacing w:after="180"/>
    </w:pPr>
    <w:rPr>
      <w:b/>
    </w:r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IE"/>
    </w:rPr>
  </w:style>
  <w:style w:type="paragraph" w:styleId="FootnoteText">
    <w:name w:val="footnote text"/>
    <w:aliases w:val="Footnote TEXT,fn,Footnotes,Footnote ak,fn Char,footnote text Char,Footnotes Char,Footnote ak Char,ft,fn cafc,Footnotes Char Char,Footnote Text Char Char,fn Char Char,footnote text Char Char Char Ch,fn1,footnote text1,ft1,f,o,Char,Fußnote"/>
    <w:basedOn w:val="Normal"/>
    <w:link w:val="FootnoteTextChar"/>
    <w:uiPriority w:val="99"/>
    <w:qFormat/>
    <w:pPr>
      <w:spacing w:after="120"/>
      <w:ind w:left="357" w:hanging="357"/>
    </w:pPr>
    <w:rPr>
      <w:sz w:val="20"/>
    </w:rPr>
  </w:style>
  <w:style w:type="character" w:customStyle="1" w:styleId="FootnoteTextChar">
    <w:name w:val="Footnote Text Char"/>
    <w:aliases w:val="Footnote TEXT Char,fn Char1,Footnotes Char1,Footnote ak Char1,fn Char Char1,footnote text Char Char,Footnotes Char Char1,Footnote ak Char Char,ft Char,fn cafc Char,Footnotes Char Char Char,Footnote Text Char Char Char,fn1 Char,f Char"/>
    <w:basedOn w:val="DefaultParagraphFont"/>
    <w:link w:val="FootnoteText"/>
    <w:uiPriority w:val="99"/>
    <w:qFormat/>
    <w:rPr>
      <w:rFonts w:ascii="Times New Roman" w:eastAsia="Times New Roman" w:hAnsi="Times New Roman" w:cs="Times New Roman"/>
      <w:sz w:val="20"/>
      <w:szCs w:val="20"/>
      <w:lang w:eastAsia="en-I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rPr>
      <w:vertAlign w:val="superscript"/>
    </w:rPr>
  </w:style>
  <w:style w:type="character" w:styleId="Hyperlink">
    <w:name w:val="Hyperlink"/>
    <w:uiPriority w:val="99"/>
    <w:rPr>
      <w:color w:val="0563C1"/>
      <w:u w:val="singl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Subsections">
    <w:name w:val="Subsections"/>
    <w:basedOn w:val="NumPar3"/>
    <w:uiPriority w:val="90"/>
    <w:qFormat/>
    <w:pPr>
      <w:numPr>
        <w:ilvl w:val="0"/>
        <w:numId w:val="0"/>
      </w:numPr>
      <w:spacing w:after="120"/>
      <w:ind w:left="1922" w:hanging="720"/>
    </w:pPr>
  </w:style>
  <w:style w:type="paragraph" w:customStyle="1" w:styleId="Default">
    <w:name w:val="Default"/>
    <w:basedOn w:val="Normal"/>
    <w:pPr>
      <w:autoSpaceDE w:val="0"/>
      <w:autoSpaceDN w:val="0"/>
      <w:spacing w:after="0"/>
      <w:jc w:val="left"/>
    </w:pPr>
    <w:rPr>
      <w:rFonts w:eastAsiaTheme="minorHAnsi"/>
      <w:color w:val="000000"/>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en-I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I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I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ext1Char">
    <w:name w:val="Text 1 Char"/>
    <w:basedOn w:val="DefaultParagraphFont"/>
    <w:link w:val="Text1"/>
    <w:uiPriority w:val="90"/>
    <w:rPr>
      <w:rFonts w:ascii="Times New Roman" w:eastAsia="Times New Roman" w:hAnsi="Times New Roman" w:cs="Times New Roman"/>
      <w:sz w:val="24"/>
      <w:szCs w:val="20"/>
      <w:lang w:eastAsia="en-IE"/>
    </w:rPr>
  </w:style>
  <w:style w:type="character" w:customStyle="1" w:styleId="FooterSensitivityChar">
    <w:name w:val="Footer Sensitivity Char"/>
    <w:basedOn w:val="Text1Char"/>
    <w:link w:val="FooterSensitivity"/>
    <w:rPr>
      <w:rFonts w:ascii="Times New Roman" w:eastAsia="Times New Roman" w:hAnsi="Times New Roman" w:cs="Times New Roman"/>
      <w:b/>
      <w:sz w:val="32"/>
      <w:szCs w:val="20"/>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ext1Char"/>
    <w:link w:val="HeaderSensitivity"/>
    <w:rPr>
      <w:rFonts w:ascii="Times New Roman" w:eastAsia="Times New Roman" w:hAnsi="Times New Roman" w:cs="Times New Roman"/>
      <w:b/>
      <w:sz w:val="32"/>
      <w:szCs w:val="20"/>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ext1Char"/>
    <w:link w:val="HeaderSensitivityRight"/>
    <w:rPr>
      <w:rFonts w:ascii="Times New Roman" w:eastAsia="Times New Roman" w:hAnsi="Times New Roman" w:cs="Times New Roman"/>
      <w:sz w:val="28"/>
      <w:szCs w:val="20"/>
      <w:lang w:eastAsia="en-IE"/>
    </w:rPr>
  </w:style>
  <w:style w:type="character" w:customStyle="1" w:styleId="st">
    <w:name w:val="st"/>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8910">
      <w:bodyDiv w:val="1"/>
      <w:marLeft w:val="0"/>
      <w:marRight w:val="0"/>
      <w:marTop w:val="0"/>
      <w:marBottom w:val="0"/>
      <w:divBdr>
        <w:top w:val="none" w:sz="0" w:space="0" w:color="auto"/>
        <w:left w:val="none" w:sz="0" w:space="0" w:color="auto"/>
        <w:bottom w:val="none" w:sz="0" w:space="0" w:color="auto"/>
        <w:right w:val="none" w:sz="0" w:space="0" w:color="auto"/>
      </w:divBdr>
    </w:div>
    <w:div w:id="176774121">
      <w:bodyDiv w:val="1"/>
      <w:marLeft w:val="0"/>
      <w:marRight w:val="0"/>
      <w:marTop w:val="0"/>
      <w:marBottom w:val="0"/>
      <w:divBdr>
        <w:top w:val="none" w:sz="0" w:space="0" w:color="auto"/>
        <w:left w:val="none" w:sz="0" w:space="0" w:color="auto"/>
        <w:bottom w:val="none" w:sz="0" w:space="0" w:color="auto"/>
        <w:right w:val="none" w:sz="0" w:space="0" w:color="auto"/>
      </w:divBdr>
    </w:div>
    <w:div w:id="416246875">
      <w:bodyDiv w:val="1"/>
      <w:marLeft w:val="0"/>
      <w:marRight w:val="0"/>
      <w:marTop w:val="0"/>
      <w:marBottom w:val="0"/>
      <w:divBdr>
        <w:top w:val="none" w:sz="0" w:space="0" w:color="auto"/>
        <w:left w:val="none" w:sz="0" w:space="0" w:color="auto"/>
        <w:bottom w:val="none" w:sz="0" w:space="0" w:color="auto"/>
        <w:right w:val="none" w:sz="0" w:space="0" w:color="auto"/>
      </w:divBdr>
    </w:div>
    <w:div w:id="421992142">
      <w:bodyDiv w:val="1"/>
      <w:marLeft w:val="0"/>
      <w:marRight w:val="0"/>
      <w:marTop w:val="0"/>
      <w:marBottom w:val="0"/>
      <w:divBdr>
        <w:top w:val="none" w:sz="0" w:space="0" w:color="auto"/>
        <w:left w:val="none" w:sz="0" w:space="0" w:color="auto"/>
        <w:bottom w:val="none" w:sz="0" w:space="0" w:color="auto"/>
        <w:right w:val="none" w:sz="0" w:space="0" w:color="auto"/>
      </w:divBdr>
    </w:div>
    <w:div w:id="423846562">
      <w:bodyDiv w:val="1"/>
      <w:marLeft w:val="0"/>
      <w:marRight w:val="0"/>
      <w:marTop w:val="0"/>
      <w:marBottom w:val="0"/>
      <w:divBdr>
        <w:top w:val="none" w:sz="0" w:space="0" w:color="auto"/>
        <w:left w:val="none" w:sz="0" w:space="0" w:color="auto"/>
        <w:bottom w:val="none" w:sz="0" w:space="0" w:color="auto"/>
        <w:right w:val="none" w:sz="0" w:space="0" w:color="auto"/>
      </w:divBdr>
    </w:div>
    <w:div w:id="565186330">
      <w:bodyDiv w:val="1"/>
      <w:marLeft w:val="0"/>
      <w:marRight w:val="0"/>
      <w:marTop w:val="0"/>
      <w:marBottom w:val="0"/>
      <w:divBdr>
        <w:top w:val="none" w:sz="0" w:space="0" w:color="auto"/>
        <w:left w:val="none" w:sz="0" w:space="0" w:color="auto"/>
        <w:bottom w:val="none" w:sz="0" w:space="0" w:color="auto"/>
        <w:right w:val="none" w:sz="0" w:space="0" w:color="auto"/>
      </w:divBdr>
    </w:div>
    <w:div w:id="869343002">
      <w:bodyDiv w:val="1"/>
      <w:marLeft w:val="0"/>
      <w:marRight w:val="0"/>
      <w:marTop w:val="0"/>
      <w:marBottom w:val="0"/>
      <w:divBdr>
        <w:top w:val="none" w:sz="0" w:space="0" w:color="auto"/>
        <w:left w:val="none" w:sz="0" w:space="0" w:color="auto"/>
        <w:bottom w:val="none" w:sz="0" w:space="0" w:color="auto"/>
        <w:right w:val="none" w:sz="0" w:space="0" w:color="auto"/>
      </w:divBdr>
    </w:div>
    <w:div w:id="881403861">
      <w:bodyDiv w:val="1"/>
      <w:marLeft w:val="0"/>
      <w:marRight w:val="0"/>
      <w:marTop w:val="0"/>
      <w:marBottom w:val="0"/>
      <w:divBdr>
        <w:top w:val="none" w:sz="0" w:space="0" w:color="auto"/>
        <w:left w:val="none" w:sz="0" w:space="0" w:color="auto"/>
        <w:bottom w:val="none" w:sz="0" w:space="0" w:color="auto"/>
        <w:right w:val="none" w:sz="0" w:space="0" w:color="auto"/>
      </w:divBdr>
    </w:div>
    <w:div w:id="1096706146">
      <w:bodyDiv w:val="1"/>
      <w:marLeft w:val="0"/>
      <w:marRight w:val="0"/>
      <w:marTop w:val="0"/>
      <w:marBottom w:val="0"/>
      <w:divBdr>
        <w:top w:val="none" w:sz="0" w:space="0" w:color="auto"/>
        <w:left w:val="none" w:sz="0" w:space="0" w:color="auto"/>
        <w:bottom w:val="none" w:sz="0" w:space="0" w:color="auto"/>
        <w:right w:val="none" w:sz="0" w:space="0" w:color="auto"/>
      </w:divBdr>
    </w:div>
    <w:div w:id="1452820068">
      <w:bodyDiv w:val="1"/>
      <w:marLeft w:val="0"/>
      <w:marRight w:val="0"/>
      <w:marTop w:val="0"/>
      <w:marBottom w:val="0"/>
      <w:divBdr>
        <w:top w:val="none" w:sz="0" w:space="0" w:color="auto"/>
        <w:left w:val="none" w:sz="0" w:space="0" w:color="auto"/>
        <w:bottom w:val="none" w:sz="0" w:space="0" w:color="auto"/>
        <w:right w:val="none" w:sz="0" w:space="0" w:color="auto"/>
      </w:divBdr>
    </w:div>
    <w:div w:id="1465466929">
      <w:bodyDiv w:val="1"/>
      <w:marLeft w:val="0"/>
      <w:marRight w:val="0"/>
      <w:marTop w:val="0"/>
      <w:marBottom w:val="0"/>
      <w:divBdr>
        <w:top w:val="none" w:sz="0" w:space="0" w:color="auto"/>
        <w:left w:val="none" w:sz="0" w:space="0" w:color="auto"/>
        <w:bottom w:val="none" w:sz="0" w:space="0" w:color="auto"/>
        <w:right w:val="none" w:sz="0" w:space="0" w:color="auto"/>
      </w:divBdr>
    </w:div>
    <w:div w:id="1665628439">
      <w:bodyDiv w:val="1"/>
      <w:marLeft w:val="0"/>
      <w:marRight w:val="0"/>
      <w:marTop w:val="0"/>
      <w:marBottom w:val="0"/>
      <w:divBdr>
        <w:top w:val="none" w:sz="0" w:space="0" w:color="auto"/>
        <w:left w:val="none" w:sz="0" w:space="0" w:color="auto"/>
        <w:bottom w:val="none" w:sz="0" w:space="0" w:color="auto"/>
        <w:right w:val="none" w:sz="0" w:space="0" w:color="auto"/>
      </w:divBdr>
    </w:div>
    <w:div w:id="1741564436">
      <w:bodyDiv w:val="1"/>
      <w:marLeft w:val="0"/>
      <w:marRight w:val="0"/>
      <w:marTop w:val="0"/>
      <w:marBottom w:val="0"/>
      <w:divBdr>
        <w:top w:val="none" w:sz="0" w:space="0" w:color="auto"/>
        <w:left w:val="none" w:sz="0" w:space="0" w:color="auto"/>
        <w:bottom w:val="none" w:sz="0" w:space="0" w:color="auto"/>
        <w:right w:val="none" w:sz="0" w:space="0" w:color="auto"/>
      </w:divBdr>
    </w:div>
    <w:div w:id="1745832909">
      <w:bodyDiv w:val="1"/>
      <w:marLeft w:val="0"/>
      <w:marRight w:val="0"/>
      <w:marTop w:val="0"/>
      <w:marBottom w:val="0"/>
      <w:divBdr>
        <w:top w:val="none" w:sz="0" w:space="0" w:color="auto"/>
        <w:left w:val="none" w:sz="0" w:space="0" w:color="auto"/>
        <w:bottom w:val="none" w:sz="0" w:space="0" w:color="auto"/>
        <w:right w:val="none" w:sz="0" w:space="0" w:color="auto"/>
      </w:divBdr>
    </w:div>
    <w:div w:id="18114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CD16-7817-4A20-BC2A-42696F56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11610</Characters>
  <Application>Microsoft Office Word</Application>
  <DocSecurity>0</DocSecurity>
  <Lines>483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2020-10-13T07:30:00Z</dcterms:created>
  <dcterms:modified xsi:type="dcterms:W3CDTF">2020-10-21T17:42:00Z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CP-039</vt:lpwstr>
  </property>
</Properties>
</file>