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A1CDB35C-F269-455F-8798-0F8A097CA681" style="width:450.75pt;height:447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26"/>
        </w:sectPr>
      </w:pPr>
    </w:p>
    <w:p>
      <w:pPr>
        <w:pStyle w:val="Text1"/>
        <w:ind w:left="0"/>
        <w:jc w:val="center"/>
        <w:rPr>
          <w:b/>
          <w:bCs/>
          <w:noProof/>
        </w:rPr>
      </w:pPr>
      <w:bookmarkStart w:id="1" w:name="_GoBack"/>
      <w:bookmarkEnd w:id="1"/>
      <w:r>
        <w:rPr>
          <w:b/>
          <w:bCs/>
          <w:noProof/>
        </w:rPr>
        <w:lastRenderedPageBreak/>
        <w:t>AKČNÝ PLÁN</w:t>
      </w:r>
    </w:p>
    <w:p>
      <w:pPr>
        <w:pStyle w:val="Text1"/>
        <w:ind w:left="0"/>
        <w:jc w:val="center"/>
        <w:rPr>
          <w:i/>
          <w:iCs/>
          <w:noProof/>
        </w:rPr>
      </w:pPr>
      <w:r>
        <w:rPr>
          <w:i/>
          <w:iCs/>
          <w:noProof/>
        </w:rPr>
        <w:t xml:space="preserve">Všetky opatrenia uvedené v tomto akčnom pláne vrátane legislatívnych návrhov a cielených zmien nariadenia REACH sa budú musieť vykonávať v súlade so zásadami lepšej právnej regulácie a podľa potreby podliehať hodnoteniam a posúdeniam vplyvu. </w:t>
      </w:r>
    </w:p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4853"/>
        <w:gridCol w:w="4043"/>
        <w:gridCol w:w="2020"/>
      </w:tblGrid>
      <w:tr>
        <w:trPr>
          <w:jc w:val="center"/>
        </w:trPr>
        <w:tc>
          <w:tcPr>
            <w:tcW w:w="4853" w:type="dxa"/>
          </w:tcPr>
          <w:p>
            <w:pPr>
              <w:suppressAutoHyphens/>
              <w:spacing w:after="0"/>
              <w:rPr>
                <w:noProof/>
                <w:szCs w:val="24"/>
              </w:rPr>
            </w:pPr>
            <w:r>
              <w:rPr>
                <w:b/>
                <w:bCs/>
                <w:noProof/>
              </w:rPr>
              <w:t>Kľúčové opatrenia, ktoré má prijať Komisia</w:t>
            </w:r>
          </w:p>
        </w:tc>
        <w:tc>
          <w:tcPr>
            <w:tcW w:w="4043" w:type="dxa"/>
          </w:tcPr>
          <w:p>
            <w:pPr>
              <w:spacing w:after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Právne predpisy EÚ</w:t>
            </w:r>
          </w:p>
        </w:tc>
        <w:tc>
          <w:tcPr>
            <w:tcW w:w="2020" w:type="dxa"/>
          </w:tcPr>
          <w:p>
            <w:pPr>
              <w:spacing w:after="0"/>
              <w:rPr>
                <w:noProof/>
                <w:szCs w:val="24"/>
              </w:rPr>
            </w:pPr>
            <w:r>
              <w:rPr>
                <w:b/>
                <w:bCs/>
                <w:noProof/>
              </w:rPr>
              <w:t xml:space="preserve">Orientačný harmonogram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>Zorganizovať okrúhly stôl na vysokej úrovni s cieľom podporiť efektívnosť a účinnosť právnych predpisov o chemikáliách, podporiť rozvoj a zavádzanie inovačných bezpečných a udržateľných chemikálií a monitorovať vplyv opatrení stratégie.</w:t>
            </w:r>
          </w:p>
        </w:tc>
        <w:tc>
          <w:tcPr>
            <w:tcW w:w="4043" w:type="dxa"/>
          </w:tcPr>
          <w:p>
            <w:pPr>
              <w:spacing w:after="0"/>
              <w:rPr>
                <w:noProof/>
              </w:rPr>
            </w:pPr>
          </w:p>
        </w:tc>
        <w:tc>
          <w:tcPr>
            <w:tcW w:w="2020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2021 </w:t>
            </w:r>
          </w:p>
        </w:tc>
      </w:tr>
      <w:tr>
        <w:trPr>
          <w:jc w:val="center"/>
        </w:trPr>
        <w:tc>
          <w:tcPr>
            <w:tcW w:w="10916" w:type="dxa"/>
            <w:gridSpan w:val="3"/>
            <w:shd w:val="clear" w:color="auto" w:fill="C4BC96" w:themeFill="background2" w:themeFillShade="BF"/>
          </w:tcPr>
          <w:p>
            <w:pPr>
              <w:spacing w:after="0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 xml:space="preserve">Inovácie v oblasti bezpečných a udržateľných chemikálií v EÚ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spacing w:after="0"/>
              <w:rPr>
                <w:rFonts w:eastAsiaTheme="minorEastAsia"/>
                <w:noProof/>
              </w:rPr>
            </w:pPr>
            <w:r>
              <w:rPr>
                <w:noProof/>
              </w:rPr>
              <w:t xml:space="preserve">Vypracovať kritériá EÚ pre navrhovanie bezpečných a udržateľných chemikálií. </w:t>
            </w:r>
          </w:p>
        </w:tc>
        <w:tc>
          <w:tcPr>
            <w:tcW w:w="4043" w:type="dxa"/>
          </w:tcPr>
          <w:p>
            <w:pPr>
              <w:spacing w:after="0"/>
              <w:rPr>
                <w:noProof/>
              </w:rPr>
            </w:pPr>
          </w:p>
        </w:tc>
        <w:tc>
          <w:tcPr>
            <w:tcW w:w="2020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2022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 xml:space="preserve">Zriadiť celoeurópsku podpornú sieť pre bezpečnosť a udržateľnosť už v štádiu návrhu. </w:t>
            </w:r>
          </w:p>
        </w:tc>
        <w:tc>
          <w:tcPr>
            <w:tcW w:w="4043" w:type="dxa"/>
          </w:tcPr>
          <w:p>
            <w:pPr>
              <w:spacing w:after="0"/>
              <w:rPr>
                <w:noProof/>
              </w:rPr>
            </w:pPr>
          </w:p>
        </w:tc>
        <w:tc>
          <w:tcPr>
            <w:tcW w:w="2020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2023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 xml:space="preserve"> Finančná podpora na vývoj, komercializáciu, zavádzanie a využívanie látok, materiálov a výrobkov navrhnutých ako bezpečné a udržateľné.</w:t>
            </w:r>
          </w:p>
        </w:tc>
        <w:tc>
          <w:tcPr>
            <w:tcW w:w="4043" w:type="dxa"/>
          </w:tcPr>
          <w:p>
            <w:pPr>
              <w:spacing w:after="0"/>
              <w:rPr>
                <w:noProof/>
              </w:rPr>
            </w:pPr>
          </w:p>
        </w:tc>
        <w:tc>
          <w:tcPr>
            <w:tcW w:w="2020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Od roku 2021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>Mapovanie prípadov nesúladu a nedostatkov v kompetenciách v súvislosti so zručnosťami v oblasti bezpečnosti a udržateľnosti už v štádiu návrhu.</w:t>
            </w:r>
          </w:p>
        </w:tc>
        <w:tc>
          <w:tcPr>
            <w:tcW w:w="4043" w:type="dxa"/>
          </w:tcPr>
          <w:p>
            <w:pPr>
              <w:spacing w:after="0"/>
              <w:rPr>
                <w:noProof/>
              </w:rPr>
            </w:pPr>
          </w:p>
        </w:tc>
        <w:tc>
          <w:tcPr>
            <w:tcW w:w="2020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2021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spacing w:after="0"/>
              <w:rPr>
                <w:noProof/>
                <w:szCs w:val="24"/>
              </w:rPr>
            </w:pPr>
            <w:r>
              <w:rPr>
                <w:noProof/>
              </w:rPr>
              <w:t>Stanoviť kľúčové ukazovatele výkonnosti na meranie prechodu priemyslu na výrobu bezpečných a udržateľných chemikálií.</w:t>
            </w:r>
          </w:p>
        </w:tc>
        <w:tc>
          <w:tcPr>
            <w:tcW w:w="4043" w:type="dxa"/>
          </w:tcPr>
          <w:p>
            <w:pPr>
              <w:spacing w:after="0"/>
              <w:rPr>
                <w:noProof/>
              </w:rPr>
            </w:pPr>
          </w:p>
        </w:tc>
        <w:tc>
          <w:tcPr>
            <w:tcW w:w="2020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2021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>Zaviesť právne požiadavky na prítomnosť látok vzbudzujúcich obavy (vrátane PFAS) vo výrobkoch prostredníctvom iniciatívy týkajúcej sa udržateľných výrobkov.</w:t>
            </w:r>
          </w:p>
        </w:tc>
        <w:tc>
          <w:tcPr>
            <w:tcW w:w="4043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 xml:space="preserve">(Nadchádzajúca) iniciatíva zameraná na udržateľné výrobky </w:t>
            </w:r>
          </w:p>
        </w:tc>
        <w:tc>
          <w:tcPr>
            <w:tcW w:w="2020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2021 – 2022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 xml:space="preserve">Iniciatívy a financovanie na podporu vývoja zelených a inteligentných technológií, progresívnych materiálov a inovačných obchodných modelov pre nízkouhlíkovú priemyselnú výrobu a využívanie chemikálií s nízkym vplyvom na životné prostredie. </w:t>
            </w:r>
          </w:p>
        </w:tc>
        <w:tc>
          <w:tcPr>
            <w:tcW w:w="4043" w:type="dxa"/>
          </w:tcPr>
          <w:p>
            <w:pPr>
              <w:spacing w:after="0"/>
              <w:rPr>
                <w:noProof/>
              </w:rPr>
            </w:pPr>
          </w:p>
        </w:tc>
        <w:tc>
          <w:tcPr>
            <w:tcW w:w="2020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Od roku 2021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>Prístup k rizikovému financovaniu, najmä pre MSP a startupy</w:t>
            </w:r>
          </w:p>
        </w:tc>
        <w:tc>
          <w:tcPr>
            <w:tcW w:w="4043" w:type="dxa"/>
          </w:tcPr>
          <w:p>
            <w:pPr>
              <w:spacing w:after="0"/>
              <w:rPr>
                <w:noProof/>
              </w:rPr>
            </w:pPr>
          </w:p>
        </w:tc>
        <w:tc>
          <w:tcPr>
            <w:tcW w:w="2020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Od roku 2021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 xml:space="preserve">Realizovať zmeny právnych predpisov EÚ o priemyselných emisiách s cieľom podporiť používanie bezpečnejších chemických látok v priemysle EÚ. </w:t>
            </w:r>
          </w:p>
        </w:tc>
        <w:tc>
          <w:tcPr>
            <w:tcW w:w="4043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>Smernica o priemyselných emisiách</w:t>
            </w:r>
          </w:p>
        </w:tc>
        <w:tc>
          <w:tcPr>
            <w:tcW w:w="2020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>2021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 xml:space="preserve">Identifikovať kľúčové hodnotové reťazce a závislosti, v ktorých sú chemické látky dôležitými stavebnými prvkami, a spolupracovať so zainteresovanými stranami s cieľom zvýšiť strategickú prognózu EÚ v oblasti chemikálií. </w:t>
            </w:r>
          </w:p>
        </w:tc>
        <w:tc>
          <w:tcPr>
            <w:tcW w:w="4043" w:type="dxa"/>
          </w:tcPr>
          <w:p>
            <w:pPr>
              <w:spacing w:after="0"/>
              <w:rPr>
                <w:noProof/>
              </w:rPr>
            </w:pPr>
          </w:p>
        </w:tc>
        <w:tc>
          <w:tcPr>
            <w:tcW w:w="2020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Od roku 2021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>Podporovať medziregionálnu spoluprácu v rámci udržateľných hodnotových reťazcov v oblasti chemikálií, a to prostredníctvom inteligentnej špecializácie, s cieľom urýchliť rozvoj spoločných investičných projektov.</w:t>
            </w:r>
          </w:p>
        </w:tc>
        <w:tc>
          <w:tcPr>
            <w:tcW w:w="4043" w:type="dxa"/>
          </w:tcPr>
          <w:p>
            <w:pPr>
              <w:spacing w:after="0"/>
              <w:rPr>
                <w:noProof/>
              </w:rPr>
            </w:pPr>
          </w:p>
        </w:tc>
        <w:tc>
          <w:tcPr>
            <w:tcW w:w="2020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Od roku 2021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spacing w:after="0"/>
              <w:rPr>
                <w:noProof/>
                <w:szCs w:val="24"/>
              </w:rPr>
            </w:pPr>
            <w:r>
              <w:rPr>
                <w:noProof/>
              </w:rPr>
              <w:t>Podpora zvyšovania a rekvalifikácie pracovnej sily v záujme digitálnej a zelenej transformácie.</w:t>
            </w:r>
          </w:p>
        </w:tc>
        <w:tc>
          <w:tcPr>
            <w:tcW w:w="4043" w:type="dxa"/>
          </w:tcPr>
          <w:p>
            <w:pPr>
              <w:spacing w:after="0"/>
              <w:rPr>
                <w:noProof/>
              </w:rPr>
            </w:pPr>
          </w:p>
        </w:tc>
        <w:tc>
          <w:tcPr>
            <w:tcW w:w="2020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Od roku 2020 </w:t>
            </w:r>
          </w:p>
        </w:tc>
      </w:tr>
      <w:tr>
        <w:trPr>
          <w:jc w:val="center"/>
        </w:trPr>
        <w:tc>
          <w:tcPr>
            <w:tcW w:w="0" w:type="auto"/>
            <w:gridSpan w:val="3"/>
            <w:shd w:val="clear" w:color="auto" w:fill="C4BC96" w:themeFill="background2" w:themeFillShade="BF"/>
          </w:tcPr>
          <w:p>
            <w:pPr>
              <w:pStyle w:val="Body"/>
              <w:spacing w:before="0" w:after="0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Silnejší právny rámec EÚ na riešenie naliehavých problémov v oblasti životného prostredia a zdravia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pStyle w:val="Text2"/>
              <w:spacing w:after="0"/>
              <w:ind w:left="0"/>
              <w:rPr>
                <w:noProof/>
              </w:rPr>
            </w:pPr>
            <w:r>
              <w:rPr>
                <w:noProof/>
              </w:rPr>
              <w:t xml:space="preserve">Plán priorizovať karcinogénne a mutagénne látky a látky poškodzujúcimi reprodukciu (CMR), endokrinné disruptory, perzistentné, bioakumulatívne a toxické látky [PBT a veľmi perzistentné a veľmi bioakumulatívne látky (vPvB)], imunotoxické látky, neurotoxické látky, látky toxické pre špecifické orgány a respiračné senzibilizátory pre (skupinové) obmedzenia podľa nariadenia REACH. </w:t>
            </w:r>
          </w:p>
        </w:tc>
        <w:tc>
          <w:tcPr>
            <w:tcW w:w="4043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>Nariadenie REACH (komitológia)</w:t>
            </w:r>
          </w:p>
        </w:tc>
        <w:tc>
          <w:tcPr>
            <w:tcW w:w="2020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2021 </w:t>
            </w:r>
          </w:p>
          <w:p>
            <w:pPr>
              <w:spacing w:after="0"/>
              <w:jc w:val="left"/>
              <w:rPr>
                <w:noProof/>
              </w:rPr>
            </w:pP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>Návrhy na rozšírenie všeobecného prístupu k riadeniu rizík s cieľom zabezpečiť, aby v spotrebných výrobkoch neboli obsiahnuté chemikálie, ktoré spôsobujú rakovinu, génové mutácie, ovplyvňujú reprodukčný alebo endokrinný systém alebo sú perzistentné, bioakumulatívne a toxické; posúdiť spôsoby a harmonogram s cieľom uplatňovať rovnaký prístup aj pri ďalších chemikáliách vrátane tých, ktoré majú vplyv na imunitné, neurologické alebo respiračné systémy, ako aj pri chemikáliách toxických pre špecifický orgán.</w:t>
            </w:r>
          </w:p>
        </w:tc>
        <w:tc>
          <w:tcPr>
            <w:tcW w:w="4043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>Pozri článok 68 ods. 2 nariadenia REACH</w:t>
            </w:r>
          </w:p>
          <w:p>
            <w:pPr>
              <w:spacing w:after="0"/>
              <w:jc w:val="left"/>
              <w:rPr>
                <w:noProof/>
              </w:rPr>
            </w:pPr>
          </w:p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>Nariadenie o materiáloch prichádzajúcich do styku s potravinami</w:t>
            </w:r>
          </w:p>
          <w:p>
            <w:pPr>
              <w:spacing w:after="0"/>
              <w:jc w:val="left"/>
              <w:rPr>
                <w:noProof/>
              </w:rPr>
            </w:pPr>
          </w:p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>Nariadenie o kozmetických výrobkoch</w:t>
            </w:r>
          </w:p>
          <w:p>
            <w:pPr>
              <w:spacing w:after="0"/>
              <w:jc w:val="left"/>
              <w:rPr>
                <w:noProof/>
              </w:rPr>
            </w:pPr>
          </w:p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>Smernica o bezpečnosti hračiek</w:t>
            </w:r>
          </w:p>
          <w:p>
            <w:pPr>
              <w:spacing w:after="0"/>
              <w:jc w:val="left"/>
              <w:rPr>
                <w:noProof/>
              </w:rPr>
            </w:pPr>
          </w:p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>Legislatívny postup pre iné spotrebné výrobky (napr. detergenty), ktorý sa má určiť na základe posúdenia vplyvu.</w:t>
            </w:r>
          </w:p>
        </w:tc>
        <w:tc>
          <w:tcPr>
            <w:tcW w:w="2020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2022 </w:t>
            </w:r>
          </w:p>
          <w:p>
            <w:pPr>
              <w:spacing w:after="0"/>
              <w:jc w:val="left"/>
              <w:rPr>
                <w:noProof/>
              </w:rPr>
            </w:pPr>
          </w:p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2022 </w:t>
            </w:r>
          </w:p>
          <w:p>
            <w:pPr>
              <w:spacing w:after="0"/>
              <w:jc w:val="left"/>
              <w:rPr>
                <w:noProof/>
              </w:rPr>
            </w:pPr>
          </w:p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2022 </w:t>
            </w:r>
          </w:p>
          <w:p>
            <w:pPr>
              <w:spacing w:after="0"/>
              <w:jc w:val="left"/>
              <w:rPr>
                <w:noProof/>
              </w:rPr>
            </w:pPr>
          </w:p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2022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>Návrh na zmenu článku 68 ods. 2 nariadenia REACH s cieľom zahrnúť profesionálnych užívateľov.</w:t>
            </w:r>
          </w:p>
        </w:tc>
        <w:tc>
          <w:tcPr>
            <w:tcW w:w="4043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>Nariadenie REACH</w:t>
            </w:r>
          </w:p>
        </w:tc>
        <w:tc>
          <w:tcPr>
            <w:tcW w:w="2020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2022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pStyle w:val="Text2"/>
              <w:spacing w:after="0"/>
              <w:ind w:left="0"/>
              <w:rPr>
                <w:noProof/>
                <w:szCs w:val="24"/>
              </w:rPr>
            </w:pPr>
            <w:r>
              <w:rPr>
                <w:noProof/>
              </w:rPr>
              <w:t>Zaviesť povinné právne požiadavky do smernice o všeobecnej bezpečnosti výrobkov a obmedzenia do nariadenia REACH s cieľom zvýšiť bezpečnosť detí pred nebezpečnými chemikáliami obsiahnutými vo výrobkoch určených na starostlivosť o dieťa a v iných výrobkoch pre deti (iných ako hračky).</w:t>
            </w:r>
          </w:p>
        </w:tc>
        <w:tc>
          <w:tcPr>
            <w:tcW w:w="4043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>Nariadenie REACH (komitológia)</w:t>
            </w:r>
          </w:p>
          <w:p>
            <w:pPr>
              <w:spacing w:after="0"/>
              <w:jc w:val="left"/>
              <w:rPr>
                <w:noProof/>
              </w:rPr>
            </w:pPr>
          </w:p>
          <w:p>
            <w:pPr>
              <w:spacing w:after="0"/>
              <w:jc w:val="left"/>
              <w:rPr>
                <w:noProof/>
                <w:szCs w:val="24"/>
              </w:rPr>
            </w:pPr>
          </w:p>
          <w:p>
            <w:pPr>
              <w:spacing w:after="0"/>
              <w:jc w:val="left"/>
              <w:rPr>
                <w:noProof/>
                <w:highlight w:val="yellow"/>
              </w:rPr>
            </w:pPr>
            <w:r>
              <w:rPr>
                <w:noProof/>
              </w:rPr>
              <w:t>Smernica o všeobecnej bezpečnosti výrobkov</w:t>
            </w:r>
          </w:p>
        </w:tc>
        <w:tc>
          <w:tcPr>
            <w:tcW w:w="2020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2022 </w:t>
            </w:r>
          </w:p>
          <w:p>
            <w:pPr>
              <w:spacing w:after="0"/>
              <w:jc w:val="left"/>
              <w:rPr>
                <w:noProof/>
              </w:rPr>
            </w:pPr>
          </w:p>
          <w:p>
            <w:pPr>
              <w:spacing w:after="0"/>
              <w:jc w:val="left"/>
              <w:rPr>
                <w:noProof/>
              </w:rPr>
            </w:pPr>
          </w:p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2021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pStyle w:val="Text2"/>
              <w:spacing w:after="0"/>
              <w:ind w:left="0"/>
              <w:rPr>
                <w:noProof/>
                <w:sz w:val="20"/>
              </w:rPr>
            </w:pPr>
            <w:r>
              <w:rPr>
                <w:noProof/>
              </w:rPr>
              <w:t>V procese pripravovaného strategického rámca pre bezpečnosť a ochranu zdravia pri práci vymedziť ďalšie priority na riešenie problému vystavenia pracovníkov nebezpečným látkam, a to aj identifikáciou najškodlivejších látok, v prípade ktorých navrhne Komisia stanoviť limitné hodnoty ohrozenia pri práci v nadväznosti na stanovený konzultačný proces v oblasti bezpečnosti a ochrany zdravia pri práci.</w:t>
            </w:r>
          </w:p>
        </w:tc>
        <w:tc>
          <w:tcPr>
            <w:tcW w:w="4043" w:type="dxa"/>
          </w:tcPr>
          <w:p>
            <w:pPr>
              <w:spacing w:after="0"/>
              <w:jc w:val="left"/>
              <w:rPr>
                <w:noProof/>
                <w:highlight w:val="yellow"/>
              </w:rPr>
            </w:pPr>
            <w:r>
              <w:rPr>
                <w:noProof/>
              </w:rPr>
              <w:t>Strategický rámec v oblasti ochrany zdravia a bezpečnosti pri práci.</w:t>
            </w:r>
          </w:p>
        </w:tc>
        <w:tc>
          <w:tcPr>
            <w:tcW w:w="2020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2021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pStyle w:val="Text2"/>
              <w:spacing w:after="0"/>
              <w:ind w:left="0"/>
              <w:rPr>
                <w:noProof/>
              </w:rPr>
            </w:pPr>
            <w:r>
              <w:rPr>
                <w:noProof/>
              </w:rPr>
              <w:t>V konzultácii so sociálnymi partnermi zvýšiť ochranu pracovníkov, a to predovšetkým navrhnutím zníženia existujúcich limitných hodnôt ohrozenia pri práci v prípade olova a azbestu, ako aj stanovením záväznej limitnej hodnoty pre diizokyanáty.</w:t>
            </w:r>
          </w:p>
        </w:tc>
        <w:tc>
          <w:tcPr>
            <w:tcW w:w="4043" w:type="dxa"/>
          </w:tcPr>
          <w:p>
            <w:pPr>
              <w:spacing w:before="100" w:beforeAutospacing="1" w:after="100" w:afterAutospacing="1"/>
              <w:rPr>
                <w:noProof/>
                <w:sz w:val="22"/>
              </w:rPr>
            </w:pPr>
            <w:r>
              <w:rPr>
                <w:noProof/>
              </w:rPr>
              <w:t>Smernica o chemických faktoroch, smernica o azbeste pri práci.</w:t>
            </w:r>
          </w:p>
        </w:tc>
        <w:tc>
          <w:tcPr>
            <w:tcW w:w="2020" w:type="dxa"/>
          </w:tcPr>
          <w:p>
            <w:pPr>
              <w:spacing w:after="0"/>
              <w:jc w:val="left"/>
              <w:rPr>
                <w:noProof/>
                <w:highlight w:val="magenta"/>
              </w:rPr>
            </w:pPr>
            <w:r>
              <w:rPr>
                <w:noProof/>
              </w:rPr>
              <w:t xml:space="preserve">2022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spacing w:after="0"/>
              <w:rPr>
                <w:noProof/>
                <w:highlight w:val="yellow"/>
              </w:rPr>
            </w:pPr>
            <w:r>
              <w:rPr>
                <w:noProof/>
              </w:rPr>
              <w:t xml:space="preserve">Vymedziť kritériá pre nevyhnutné použitia s prihliadnutím na ich vymedzenie v Montrealskom protokole. </w:t>
            </w:r>
          </w:p>
        </w:tc>
        <w:tc>
          <w:tcPr>
            <w:tcW w:w="4043" w:type="dxa"/>
          </w:tcPr>
          <w:p>
            <w:pPr>
              <w:spacing w:after="0"/>
              <w:jc w:val="left"/>
              <w:rPr>
                <w:noProof/>
              </w:rPr>
            </w:pPr>
          </w:p>
        </w:tc>
        <w:tc>
          <w:tcPr>
            <w:tcW w:w="2020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2021 – 2022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suppressAutoHyphens/>
              <w:spacing w:after="0"/>
              <w:rPr>
                <w:bCs/>
                <w:noProof/>
              </w:rPr>
            </w:pPr>
            <w:r>
              <w:rPr>
                <w:noProof/>
              </w:rPr>
              <w:t>Návrh na zmenu nariadenia o klasifikácii, označovaní a balení látok a zmesí s cieľom zaviesť nové triedy nebezpečnosti pre endokrinné disruptory, PBT/vPvB a perzistentné a mobilné látky a uplatňovať ich vo všetkých právnych predpisoch.</w:t>
            </w:r>
          </w:p>
        </w:tc>
        <w:tc>
          <w:tcPr>
            <w:tcW w:w="4043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>Nariadenie o klasifikácii, označovaní a balení látok a zmesí</w:t>
            </w:r>
          </w:p>
          <w:p>
            <w:pPr>
              <w:spacing w:after="0"/>
              <w:jc w:val="left"/>
              <w:rPr>
                <w:noProof/>
              </w:rPr>
            </w:pPr>
          </w:p>
          <w:p>
            <w:pPr>
              <w:spacing w:after="0"/>
              <w:jc w:val="left"/>
              <w:rPr>
                <w:noProof/>
              </w:rPr>
            </w:pPr>
          </w:p>
        </w:tc>
        <w:tc>
          <w:tcPr>
            <w:tcW w:w="2020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2021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suppressAutoHyphens/>
              <w:spacing w:after="0"/>
              <w:rPr>
                <w:noProof/>
              </w:rPr>
            </w:pPr>
            <w:r>
              <w:rPr>
                <w:noProof/>
              </w:rPr>
              <w:t xml:space="preserve">Aktualizovať požiadavky na informácie s cieľom umožniť identifikáciu endokrinných disruptorov v príslušných právnych predpisoch, najmä v nariadení REACH, právnych predpisoch o kozmetických výrobkoch, materiáloch prichádzajúcich do styku s potravinami, prípravkoch na ochranu rastlín a biocídnych výrobkoch. </w:t>
            </w:r>
          </w:p>
        </w:tc>
        <w:tc>
          <w:tcPr>
            <w:tcW w:w="4043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>Nariadenie REACH (komitológia)</w:t>
            </w:r>
          </w:p>
          <w:p>
            <w:pPr>
              <w:spacing w:after="0"/>
              <w:jc w:val="left"/>
              <w:rPr>
                <w:noProof/>
              </w:rPr>
            </w:pPr>
          </w:p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>Nariadenie o biocídnych výrobkoch (prílohy)</w:t>
            </w:r>
          </w:p>
          <w:p>
            <w:pPr>
              <w:spacing w:after="0"/>
              <w:jc w:val="left"/>
              <w:rPr>
                <w:noProof/>
              </w:rPr>
            </w:pPr>
          </w:p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>Nariadenie o prípravkoch na ochranu rastlín (oznámenia Komisie)</w:t>
            </w:r>
          </w:p>
          <w:p>
            <w:pPr>
              <w:spacing w:after="0"/>
              <w:jc w:val="left"/>
              <w:rPr>
                <w:noProof/>
              </w:rPr>
            </w:pPr>
          </w:p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>Nariadenie o materiáloch prichádzajúcich do styku s potravinami</w:t>
            </w:r>
          </w:p>
          <w:p>
            <w:pPr>
              <w:spacing w:after="0"/>
              <w:jc w:val="left"/>
              <w:rPr>
                <w:noProof/>
              </w:rPr>
            </w:pPr>
          </w:p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>Nariadenie o kozmetických výrobkoch</w:t>
            </w:r>
          </w:p>
        </w:tc>
        <w:tc>
          <w:tcPr>
            <w:tcW w:w="2020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2022 </w:t>
            </w:r>
          </w:p>
          <w:p>
            <w:pPr>
              <w:spacing w:after="0"/>
              <w:jc w:val="left"/>
              <w:rPr>
                <w:noProof/>
              </w:rPr>
            </w:pPr>
          </w:p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2021 </w:t>
            </w:r>
          </w:p>
          <w:p>
            <w:pPr>
              <w:spacing w:after="0"/>
              <w:jc w:val="left"/>
              <w:rPr>
                <w:noProof/>
              </w:rPr>
            </w:pPr>
          </w:p>
          <w:p>
            <w:pPr>
              <w:spacing w:after="0"/>
              <w:jc w:val="left"/>
              <w:rPr>
                <w:noProof/>
              </w:rPr>
            </w:pPr>
          </w:p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2021 </w:t>
            </w:r>
          </w:p>
          <w:p>
            <w:pPr>
              <w:spacing w:after="0"/>
              <w:jc w:val="left"/>
              <w:rPr>
                <w:noProof/>
              </w:rPr>
            </w:pPr>
          </w:p>
          <w:p>
            <w:pPr>
              <w:spacing w:after="0"/>
              <w:jc w:val="left"/>
              <w:rPr>
                <w:noProof/>
              </w:rPr>
            </w:pPr>
          </w:p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2022 </w:t>
            </w:r>
          </w:p>
          <w:p>
            <w:pPr>
              <w:spacing w:after="0"/>
              <w:jc w:val="left"/>
              <w:rPr>
                <w:noProof/>
              </w:rPr>
            </w:pPr>
          </w:p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2022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pStyle w:val="NumPar3"/>
              <w:numPr>
                <w:ilvl w:val="2"/>
                <w:numId w:val="0"/>
              </w:numPr>
              <w:spacing w:after="0"/>
              <w:rPr>
                <w:i w:val="0"/>
                <w:noProof/>
              </w:rPr>
            </w:pPr>
            <w:r>
              <w:rPr>
                <w:i w:val="0"/>
                <w:noProof/>
              </w:rPr>
              <w:t>Posúdiť optimálnosť faktorov posudzovania zmesí a zaviesť ich do prílohy I k nariadeniu REACH.</w:t>
            </w:r>
          </w:p>
        </w:tc>
        <w:tc>
          <w:tcPr>
            <w:tcW w:w="4043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>Nariadenie REACH (komitológia)</w:t>
            </w:r>
          </w:p>
        </w:tc>
        <w:tc>
          <w:tcPr>
            <w:tcW w:w="2020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2022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suppressAutoHyphens/>
              <w:spacing w:after="0"/>
              <w:rPr>
                <w:noProof/>
              </w:rPr>
            </w:pPr>
            <w:r>
              <w:rPr>
                <w:noProof/>
              </w:rPr>
              <w:t>Zaviesť alebo posilniť ustanovenia s cieľom zohľadniť kombinované účinky chemikálií vo vode, v materiáloch prichádzajúcich do styku s potravinami, prídavných látkach v potravinách, hračkách, detergentoch, kozmetike.</w:t>
            </w:r>
          </w:p>
        </w:tc>
        <w:tc>
          <w:tcPr>
            <w:tcW w:w="4043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>Smernica o environmentálnych normách kvality/smernica o podzemných vodách (prílohy)</w:t>
            </w:r>
          </w:p>
          <w:p>
            <w:pPr>
              <w:spacing w:after="0"/>
              <w:jc w:val="left"/>
              <w:rPr>
                <w:noProof/>
              </w:rPr>
            </w:pPr>
          </w:p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>Nariadenie o materiáloch prichádzajúcich do styku s potravinami</w:t>
            </w:r>
          </w:p>
          <w:p>
            <w:pPr>
              <w:spacing w:after="0"/>
              <w:jc w:val="left"/>
              <w:rPr>
                <w:noProof/>
              </w:rPr>
            </w:pPr>
          </w:p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>Nariadenie Komisie o prídavné látky v potravinách</w:t>
            </w:r>
          </w:p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>(Komitológia)</w:t>
            </w:r>
          </w:p>
          <w:p>
            <w:pPr>
              <w:spacing w:after="0"/>
              <w:jc w:val="left"/>
              <w:rPr>
                <w:noProof/>
              </w:rPr>
            </w:pPr>
          </w:p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>Nariadenie o detergentoch</w:t>
            </w:r>
          </w:p>
          <w:p>
            <w:pPr>
              <w:spacing w:after="0"/>
              <w:jc w:val="left"/>
              <w:rPr>
                <w:noProof/>
              </w:rPr>
            </w:pPr>
          </w:p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>Smernica o bezpečnosti hračiek</w:t>
            </w:r>
          </w:p>
          <w:p>
            <w:pPr>
              <w:spacing w:after="0"/>
              <w:jc w:val="left"/>
              <w:rPr>
                <w:noProof/>
              </w:rPr>
            </w:pPr>
          </w:p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>Nariadenie o kozmetických výrobkoch</w:t>
            </w:r>
          </w:p>
        </w:tc>
        <w:tc>
          <w:tcPr>
            <w:tcW w:w="2020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2022 </w:t>
            </w:r>
          </w:p>
          <w:p>
            <w:pPr>
              <w:spacing w:after="0"/>
              <w:jc w:val="left"/>
              <w:rPr>
                <w:noProof/>
              </w:rPr>
            </w:pPr>
          </w:p>
          <w:p>
            <w:pPr>
              <w:spacing w:after="0"/>
              <w:jc w:val="left"/>
              <w:rPr>
                <w:noProof/>
              </w:rPr>
            </w:pPr>
          </w:p>
          <w:p>
            <w:pPr>
              <w:spacing w:after="0"/>
              <w:jc w:val="left"/>
              <w:rPr>
                <w:noProof/>
              </w:rPr>
            </w:pPr>
          </w:p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2022 </w:t>
            </w:r>
          </w:p>
          <w:p>
            <w:pPr>
              <w:spacing w:after="0"/>
              <w:jc w:val="left"/>
              <w:rPr>
                <w:noProof/>
              </w:rPr>
            </w:pPr>
          </w:p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2022 </w:t>
            </w:r>
          </w:p>
          <w:p>
            <w:pPr>
              <w:spacing w:after="0"/>
              <w:jc w:val="left"/>
              <w:rPr>
                <w:noProof/>
              </w:rPr>
            </w:pPr>
          </w:p>
          <w:p>
            <w:pPr>
              <w:spacing w:after="0"/>
              <w:jc w:val="left"/>
              <w:rPr>
                <w:noProof/>
              </w:rPr>
            </w:pPr>
          </w:p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>2022</w:t>
            </w:r>
          </w:p>
          <w:p>
            <w:pPr>
              <w:spacing w:after="0"/>
              <w:jc w:val="left"/>
              <w:rPr>
                <w:noProof/>
              </w:rPr>
            </w:pPr>
          </w:p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2022 </w:t>
            </w:r>
          </w:p>
          <w:p>
            <w:pPr>
              <w:spacing w:after="0"/>
              <w:jc w:val="left"/>
              <w:rPr>
                <w:noProof/>
              </w:rPr>
            </w:pPr>
          </w:p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>2022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suppressAutoHyphens/>
              <w:spacing w:after="0"/>
              <w:rPr>
                <w:noProof/>
              </w:rPr>
            </w:pPr>
            <w:r>
              <w:rPr>
                <w:noProof/>
              </w:rPr>
              <w:t xml:space="preserve">Návrh na zmenu článku 57 nariadenia REACH s cieľom doplniť endokrinné disruptory, perzistentné, mobilné a toxické látky (PMT) a veľmi perzistentné a veľmi mobilné látky (vPvM) do zoznamu látok vzbudzujúcich veľmi veľké obavy </w:t>
            </w:r>
          </w:p>
        </w:tc>
        <w:tc>
          <w:tcPr>
            <w:tcW w:w="4043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>Nariadenie REACH</w:t>
            </w:r>
          </w:p>
        </w:tc>
        <w:tc>
          <w:tcPr>
            <w:tcW w:w="2020" w:type="dxa"/>
          </w:tcPr>
          <w:p>
            <w:pPr>
              <w:spacing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2022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suppressAutoHyphens/>
              <w:spacing w:after="0"/>
              <w:rPr>
                <w:noProof/>
              </w:rPr>
            </w:pPr>
            <w:r>
              <w:rPr>
                <w:noProof/>
              </w:rPr>
              <w:t xml:space="preserve">Návrh obmedziť PFAS v nariadení REACH pre všetky nevyhnutné použitia, vrátane použití v spotrebiteľských výrobkoch. </w:t>
            </w:r>
          </w:p>
        </w:tc>
        <w:tc>
          <w:tcPr>
            <w:tcW w:w="4043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>Nariadenie REACH (komitológia)</w:t>
            </w:r>
          </w:p>
        </w:tc>
        <w:tc>
          <w:tcPr>
            <w:tcW w:w="2020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2022 – 2024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pStyle w:val="Text2"/>
              <w:spacing w:after="0"/>
              <w:ind w:left="0"/>
              <w:rPr>
                <w:noProof/>
              </w:rPr>
            </w:pPr>
            <w:r>
              <w:rPr>
                <w:noProof/>
              </w:rPr>
              <w:t xml:space="preserve">Preskúmať prílohy smernice o environmentálnych normách kvality a smernice o podzemných vodách s cieľom doplniť PFAS tam, kde je to možné, ako skupinu. </w:t>
            </w:r>
          </w:p>
        </w:tc>
        <w:tc>
          <w:tcPr>
            <w:tcW w:w="4043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>Smernica o environmentálnych normách kvality/smernica o podzemných vodách (prílohy)</w:t>
            </w:r>
          </w:p>
        </w:tc>
        <w:tc>
          <w:tcPr>
            <w:tcW w:w="2020" w:type="dxa"/>
          </w:tcPr>
          <w:p>
            <w:pPr>
              <w:spacing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2022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pStyle w:val="Text2"/>
              <w:spacing w:after="0"/>
              <w:ind w:left="0"/>
              <w:rPr>
                <w:noProof/>
              </w:rPr>
            </w:pPr>
            <w:r>
              <w:rPr>
                <w:noProof/>
              </w:rPr>
              <w:t xml:space="preserve">Riešiť prítomnosť PFAS v potravinách zavedením limitov do právnych predpisov týkajúcich sa kontaminantov v potravinách. </w:t>
            </w:r>
          </w:p>
        </w:tc>
        <w:tc>
          <w:tcPr>
            <w:tcW w:w="4043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>Nariadenie Komisie o kontaminantoch v potravinách</w:t>
            </w:r>
          </w:p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>(Komitológia)</w:t>
            </w:r>
          </w:p>
        </w:tc>
        <w:tc>
          <w:tcPr>
            <w:tcW w:w="2020" w:type="dxa"/>
          </w:tcPr>
          <w:p>
            <w:pPr>
              <w:spacing w:after="0"/>
              <w:rPr>
                <w:noProof/>
                <w:szCs w:val="24"/>
              </w:rPr>
            </w:pPr>
            <w:r>
              <w:rPr>
                <w:noProof/>
              </w:rPr>
              <w:t xml:space="preserve">2022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pStyle w:val="Text2"/>
              <w:spacing w:after="0"/>
              <w:ind w:left="0"/>
              <w:rPr>
                <w:noProof/>
              </w:rPr>
            </w:pPr>
            <w:r>
              <w:rPr>
                <w:noProof/>
              </w:rPr>
              <w:t xml:space="preserve">Návrh na revíziu právnych predpisov o priemyselných emisiách a Európskom registri uvoľňovania a prenosov znečisťujúcich látok s cieľom zaoberať sa emisiami PFAS z priemyselných zariadení a podávať o nich správy </w:t>
            </w:r>
          </w:p>
        </w:tc>
        <w:tc>
          <w:tcPr>
            <w:tcW w:w="4043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>Smernica o priemyselných emisiách</w:t>
            </w:r>
          </w:p>
        </w:tc>
        <w:tc>
          <w:tcPr>
            <w:tcW w:w="2020" w:type="dxa"/>
          </w:tcPr>
          <w:p>
            <w:pPr>
              <w:spacing w:after="0"/>
              <w:rPr>
                <w:noProof/>
                <w:szCs w:val="24"/>
              </w:rPr>
            </w:pPr>
            <w:r>
              <w:rPr>
                <w:noProof/>
              </w:rPr>
              <w:t xml:space="preserve">2021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pStyle w:val="Text2"/>
              <w:spacing w:after="0"/>
              <w:ind w:left="0"/>
              <w:rPr>
                <w:noProof/>
              </w:rPr>
            </w:pPr>
            <w:r>
              <w:rPr>
                <w:noProof/>
              </w:rPr>
              <w:t>Návrh na riešenie emisií PFAS, ktoré sa uvoľňujú vo fáze odpadu, a to aj prostredníctvom revízie právnych predpisov o splaškových kaloch</w:t>
            </w:r>
          </w:p>
        </w:tc>
        <w:tc>
          <w:tcPr>
            <w:tcW w:w="4043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>Smernica o splaškových kaloch</w:t>
            </w:r>
          </w:p>
        </w:tc>
        <w:tc>
          <w:tcPr>
            <w:tcW w:w="2020" w:type="dxa"/>
          </w:tcPr>
          <w:p>
            <w:pPr>
              <w:spacing w:after="0"/>
              <w:rPr>
                <w:noProof/>
                <w:szCs w:val="24"/>
              </w:rPr>
            </w:pPr>
            <w:r>
              <w:rPr>
                <w:noProof/>
              </w:rPr>
              <w:t xml:space="preserve">2023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pStyle w:val="Text2"/>
              <w:spacing w:after="0"/>
              <w:ind w:left="0"/>
              <w:rPr>
                <w:bCs/>
                <w:noProof/>
                <w:highlight w:val="yellow"/>
              </w:rPr>
            </w:pPr>
            <w:r>
              <w:rPr>
                <w:noProof/>
              </w:rPr>
              <w:t>Návrhy v rámci Štokholmského dohovoru a Bazilejského dohovoru na riešenie celosvetových obáv z PFAS.</w:t>
            </w:r>
          </w:p>
        </w:tc>
        <w:tc>
          <w:tcPr>
            <w:tcW w:w="4043" w:type="dxa"/>
          </w:tcPr>
          <w:p>
            <w:pPr>
              <w:spacing w:after="0"/>
              <w:rPr>
                <w:noProof/>
              </w:rPr>
            </w:pPr>
          </w:p>
        </w:tc>
        <w:tc>
          <w:tcPr>
            <w:tcW w:w="2020" w:type="dxa"/>
          </w:tcPr>
          <w:p>
            <w:pPr>
              <w:spacing w:after="0"/>
              <w:rPr>
                <w:noProof/>
                <w:szCs w:val="24"/>
              </w:rPr>
            </w:pPr>
            <w:r>
              <w:rPr>
                <w:noProof/>
              </w:rPr>
              <w:t xml:space="preserve">2023 – 2024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pStyle w:val="Text2"/>
              <w:spacing w:after="0"/>
              <w:ind w:left="0"/>
              <w:rPr>
                <w:noProof/>
                <w:highlight w:val="yellow"/>
              </w:rPr>
            </w:pPr>
            <w:r>
              <w:rPr>
                <w:noProof/>
              </w:rPr>
              <w:t>Celoúnijný prístup a finančná podpora inovatívnych riešení na sanáciu prostredia kontaminovaného PFAS</w:t>
            </w:r>
          </w:p>
        </w:tc>
        <w:tc>
          <w:tcPr>
            <w:tcW w:w="4043" w:type="dxa"/>
          </w:tcPr>
          <w:p>
            <w:pPr>
              <w:spacing w:after="0"/>
              <w:rPr>
                <w:noProof/>
              </w:rPr>
            </w:pPr>
          </w:p>
        </w:tc>
        <w:tc>
          <w:tcPr>
            <w:tcW w:w="2020" w:type="dxa"/>
          </w:tcPr>
          <w:p>
            <w:pPr>
              <w:spacing w:after="0"/>
              <w:rPr>
                <w:noProof/>
                <w:szCs w:val="24"/>
              </w:rPr>
            </w:pPr>
            <w:r>
              <w:rPr>
                <w:noProof/>
              </w:rPr>
              <w:t xml:space="preserve">Od roku 2020 </w:t>
            </w:r>
          </w:p>
        </w:tc>
      </w:tr>
      <w:tr>
        <w:trPr>
          <w:jc w:val="center"/>
        </w:trPr>
        <w:tc>
          <w:tcPr>
            <w:tcW w:w="0" w:type="auto"/>
            <w:gridSpan w:val="3"/>
            <w:shd w:val="clear" w:color="auto" w:fill="C4BC96" w:themeFill="background2" w:themeFillShade="BF"/>
          </w:tcPr>
          <w:p>
            <w:pPr>
              <w:pStyle w:val="Heading2"/>
              <w:tabs>
                <w:tab w:val="clear" w:pos="1202"/>
              </w:tabs>
              <w:spacing w:after="0"/>
              <w:ind w:left="0" w:firstLine="0"/>
              <w:outlineLvl w:val="1"/>
              <w:rPr>
                <w:noProof/>
                <w:szCs w:val="24"/>
              </w:rPr>
            </w:pPr>
            <w:bookmarkStart w:id="2" w:name="_Toc44582428"/>
            <w:r>
              <w:rPr>
                <w:noProof/>
              </w:rPr>
              <w:t xml:space="preserve">Zjednodušenie a konsolidácia právneho rámca </w:t>
            </w:r>
            <w:bookmarkEnd w:id="2"/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spacing w:after="0"/>
              <w:rPr>
                <w:noProof/>
                <w:szCs w:val="24"/>
              </w:rPr>
            </w:pPr>
            <w:r>
              <w:rPr>
                <w:noProof/>
              </w:rPr>
              <w:t xml:space="preserve">Zavedenie postupu „jedna látka, jedno hodnotenie“ na koordináciu posudzovania nebezpečnosti/rizika chemikálií v právnych predpisoch týkajúcich sa chemikálií prostredníctvom jednotného koordinačného nástroja, ktorý majú k dispozícii verejné orgány, expertnej skupiny a koordinačného mechanizmu Komisie. </w:t>
            </w:r>
          </w:p>
        </w:tc>
        <w:tc>
          <w:tcPr>
            <w:tcW w:w="4043" w:type="dxa"/>
          </w:tcPr>
          <w:p>
            <w:pPr>
              <w:spacing w:after="0"/>
              <w:rPr>
                <w:noProof/>
                <w:szCs w:val="24"/>
              </w:rPr>
            </w:pPr>
          </w:p>
        </w:tc>
        <w:tc>
          <w:tcPr>
            <w:tcW w:w="2020" w:type="dxa"/>
          </w:tcPr>
          <w:p>
            <w:pPr>
              <w:spacing w:after="0"/>
              <w:rPr>
                <w:noProof/>
                <w:szCs w:val="24"/>
              </w:rPr>
            </w:pPr>
            <w:r>
              <w:rPr>
                <w:noProof/>
              </w:rPr>
              <w:t xml:space="preserve">Od roku 2021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>Horizontálny návrh na prerozdelenie technickej a vedeckej práce EÚ v oblasti chemikálií agentúram EÚ</w:t>
            </w:r>
          </w:p>
        </w:tc>
        <w:tc>
          <w:tcPr>
            <w:tcW w:w="4043" w:type="dxa"/>
          </w:tcPr>
          <w:p>
            <w:pPr>
              <w:spacing w:after="0"/>
              <w:rPr>
                <w:noProof/>
              </w:rPr>
            </w:pPr>
          </w:p>
        </w:tc>
        <w:tc>
          <w:tcPr>
            <w:tcW w:w="2020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 xml:space="preserve">2022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 xml:space="preserve">Návrh základného nariadenia týkajúceho sa Európskej chemickej agentúry </w:t>
            </w:r>
          </w:p>
        </w:tc>
        <w:tc>
          <w:tcPr>
            <w:tcW w:w="4043" w:type="dxa"/>
          </w:tcPr>
          <w:p>
            <w:pPr>
              <w:spacing w:after="0"/>
              <w:rPr>
                <w:noProof/>
              </w:rPr>
            </w:pPr>
          </w:p>
        </w:tc>
        <w:tc>
          <w:tcPr>
            <w:tcW w:w="2020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 xml:space="preserve">2023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 xml:space="preserve">Návrh na zmenu nariadenia o klasifikácii, označovaní a balení látok a zmesí s cieľom udeliť Komisii mandát na začatie harmonizovanej klasifikácie </w:t>
            </w:r>
          </w:p>
        </w:tc>
        <w:tc>
          <w:tcPr>
            <w:tcW w:w="4043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>Nariadenie o klasifikácii, označovaní a balení látok a zmesí</w:t>
            </w:r>
          </w:p>
        </w:tc>
        <w:tc>
          <w:tcPr>
            <w:tcW w:w="2020" w:type="dxa"/>
          </w:tcPr>
          <w:p>
            <w:pPr>
              <w:spacing w:after="0"/>
              <w:rPr>
                <w:noProof/>
                <w:szCs w:val="24"/>
              </w:rPr>
            </w:pPr>
            <w:r>
              <w:rPr>
                <w:noProof/>
              </w:rPr>
              <w:t xml:space="preserve">2021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 xml:space="preserve">Preskúmanie vymedzenia pojmu nanomateriál </w:t>
            </w:r>
          </w:p>
        </w:tc>
        <w:tc>
          <w:tcPr>
            <w:tcW w:w="4043" w:type="dxa"/>
          </w:tcPr>
          <w:p>
            <w:pPr>
              <w:spacing w:after="0"/>
              <w:rPr>
                <w:noProof/>
              </w:rPr>
            </w:pPr>
          </w:p>
        </w:tc>
        <w:tc>
          <w:tcPr>
            <w:tcW w:w="2020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 xml:space="preserve">2021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pStyle w:val="Text2"/>
              <w:spacing w:after="0"/>
              <w:ind w:left="0"/>
              <w:rPr>
                <w:noProof/>
              </w:rPr>
            </w:pPr>
            <w:r>
              <w:rPr>
                <w:noProof/>
              </w:rPr>
              <w:t xml:space="preserve">Návrh na revíziu postupov autorizácie a obmedzovania vyplývajúcich z nariadenia REACH </w:t>
            </w:r>
          </w:p>
        </w:tc>
        <w:tc>
          <w:tcPr>
            <w:tcW w:w="4043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>Nariadenie REACH</w:t>
            </w:r>
          </w:p>
        </w:tc>
        <w:tc>
          <w:tcPr>
            <w:tcW w:w="2020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 xml:space="preserve">2022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>Vytvorenie únijného archívu limitných hodnôt na ochranu ľudského zdravia a životného prostredia.</w:t>
            </w:r>
          </w:p>
        </w:tc>
        <w:tc>
          <w:tcPr>
            <w:tcW w:w="4043" w:type="dxa"/>
          </w:tcPr>
          <w:p>
            <w:pPr>
              <w:spacing w:after="0"/>
              <w:rPr>
                <w:noProof/>
              </w:rPr>
            </w:pPr>
          </w:p>
        </w:tc>
        <w:tc>
          <w:tcPr>
            <w:tcW w:w="2020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 xml:space="preserve">2022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 xml:space="preserve">Zriadenie otvorenej platformy pre údaje o bezpečnosti chemikálií a nástroje na prístup k príslušným akademickým údajom. </w:t>
            </w:r>
          </w:p>
        </w:tc>
        <w:tc>
          <w:tcPr>
            <w:tcW w:w="4043" w:type="dxa"/>
          </w:tcPr>
          <w:p>
            <w:pPr>
              <w:spacing w:after="0"/>
              <w:rPr>
                <w:noProof/>
              </w:rPr>
            </w:pPr>
          </w:p>
        </w:tc>
        <w:tc>
          <w:tcPr>
            <w:tcW w:w="2020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 xml:space="preserve">2023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>Horizontálny návrh na odstránenie legislatívnych prekážok opätovného využívania údajov v záujme zefektívnenia toku údajov naprieč právnymi predpismi a rozšírenia otvorených údajov a zásad transparentnosti zo sektora bezpečnosti potravín EÚ na ďalšie právne predpisy v oblasti chemikálií.</w:t>
            </w:r>
          </w:p>
        </w:tc>
        <w:tc>
          <w:tcPr>
            <w:tcW w:w="4043" w:type="dxa"/>
          </w:tcPr>
          <w:p>
            <w:pPr>
              <w:spacing w:after="0"/>
              <w:rPr>
                <w:noProof/>
              </w:rPr>
            </w:pPr>
          </w:p>
        </w:tc>
        <w:tc>
          <w:tcPr>
            <w:tcW w:w="2020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 xml:space="preserve">2023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spacing w:after="0"/>
              <w:rPr>
                <w:noProof/>
                <w:szCs w:val="24"/>
              </w:rPr>
            </w:pPr>
            <w:r>
              <w:rPr>
                <w:noProof/>
              </w:rPr>
              <w:t>Návrhy s cieľom umožniť orgánom EÚ a vnútroštátnym orgánom zadávať testovanie a monitorovanie látok v medziach regulačného rámca.</w:t>
            </w:r>
          </w:p>
        </w:tc>
        <w:tc>
          <w:tcPr>
            <w:tcW w:w="4043" w:type="dxa"/>
          </w:tcPr>
          <w:p>
            <w:pPr>
              <w:spacing w:after="0"/>
              <w:rPr>
                <w:noProof/>
              </w:rPr>
            </w:pPr>
          </w:p>
        </w:tc>
        <w:tc>
          <w:tcPr>
            <w:tcW w:w="2020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 xml:space="preserve">2023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>Vypracovanie rámca ukazovateľov týkajúcich sa chemikálií</w:t>
            </w:r>
          </w:p>
        </w:tc>
        <w:tc>
          <w:tcPr>
            <w:tcW w:w="4043" w:type="dxa"/>
          </w:tcPr>
          <w:p>
            <w:pPr>
              <w:spacing w:after="0"/>
              <w:rPr>
                <w:noProof/>
              </w:rPr>
            </w:pPr>
          </w:p>
        </w:tc>
        <w:tc>
          <w:tcPr>
            <w:tcW w:w="2020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 xml:space="preserve">2024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pStyle w:val="Text2"/>
              <w:spacing w:after="0"/>
              <w:ind w:left="0"/>
              <w:rPr>
                <w:noProof/>
              </w:rPr>
            </w:pPr>
            <w:r>
              <w:rPr>
                <w:noProof/>
              </w:rPr>
              <w:t xml:space="preserve">Návrh na zmenu nariadenia REACH s cieľom zaviesť európsky audítorský útvar. </w:t>
            </w:r>
          </w:p>
        </w:tc>
        <w:tc>
          <w:tcPr>
            <w:tcW w:w="4043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>Nariadenie REACH</w:t>
            </w:r>
          </w:p>
        </w:tc>
        <w:tc>
          <w:tcPr>
            <w:tcW w:w="2020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 xml:space="preserve">2022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pStyle w:val="Text2"/>
              <w:spacing w:after="0"/>
              <w:ind w:left="0"/>
              <w:rPr>
                <w:noProof/>
              </w:rPr>
            </w:pPr>
            <w:r>
              <w:rPr>
                <w:noProof/>
              </w:rPr>
              <w:t xml:space="preserve">Zmeniť nariadenie REACH s cieľom zabezpečiť kontroly súladu všetkých registrácií látok podľa nariadenia REACH a umožniť odňatie registračných čísel </w:t>
            </w:r>
          </w:p>
        </w:tc>
        <w:tc>
          <w:tcPr>
            <w:tcW w:w="4043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>Nariadenie REACH</w:t>
            </w:r>
          </w:p>
        </w:tc>
        <w:tc>
          <w:tcPr>
            <w:tcW w:w="2020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 xml:space="preserve">2022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pStyle w:val="Text2"/>
              <w:spacing w:after="0"/>
              <w:ind w:left="0"/>
              <w:rPr>
                <w:rFonts w:eastAsiaTheme="minorEastAsia"/>
                <w:noProof/>
                <w:sz w:val="16"/>
                <w:szCs w:val="16"/>
              </w:rPr>
            </w:pPr>
            <w:r>
              <w:rPr>
                <w:noProof/>
              </w:rPr>
              <w:t xml:space="preserve">Návrh rozšíriť rozsah pôsobnosti opatrení úradu OLAF na vyšetrovania týkajúce sa obehu nezákonných chemických výrobkov v EÚ. </w:t>
            </w:r>
          </w:p>
        </w:tc>
        <w:tc>
          <w:tcPr>
            <w:tcW w:w="4043" w:type="dxa"/>
          </w:tcPr>
          <w:p>
            <w:pPr>
              <w:spacing w:after="0"/>
              <w:rPr>
                <w:noProof/>
              </w:rPr>
            </w:pPr>
          </w:p>
        </w:tc>
        <w:tc>
          <w:tcPr>
            <w:tcW w:w="2020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 xml:space="preserve">2022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pStyle w:val="Text2"/>
              <w:spacing w:after="0"/>
              <w:ind w:left="0"/>
              <w:rPr>
                <w:noProof/>
              </w:rPr>
            </w:pPr>
            <w:r>
              <w:rPr>
                <w:noProof/>
              </w:rPr>
              <w:t>Návrhy vykonávacích aktov podľa nariadenia o dohľade nad trhom s cieľom stanoviť v súvislosti s určitými výrobkami jednotné podmienky a frekvenciu kontrol.</w:t>
            </w:r>
          </w:p>
        </w:tc>
        <w:tc>
          <w:tcPr>
            <w:tcW w:w="4043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>Nariadenie o dohľade nad trhom</w:t>
            </w:r>
          </w:p>
        </w:tc>
        <w:tc>
          <w:tcPr>
            <w:tcW w:w="2020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 xml:space="preserve">2022 – 2023 </w:t>
            </w:r>
          </w:p>
        </w:tc>
      </w:tr>
      <w:tr>
        <w:trPr>
          <w:jc w:val="center"/>
        </w:trPr>
        <w:tc>
          <w:tcPr>
            <w:tcW w:w="0" w:type="auto"/>
            <w:gridSpan w:val="3"/>
            <w:shd w:val="clear" w:color="auto" w:fill="C4BC96" w:themeFill="background2" w:themeFillShade="BF"/>
          </w:tcPr>
          <w:p>
            <w:pPr>
              <w:pStyle w:val="Body"/>
              <w:spacing w:before="0" w:after="0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Poskytovanie komplexnej a transparentnej vedomostnej základne týkajúcej sa chemikálií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suppressAutoHyphens/>
              <w:spacing w:after="0"/>
              <w:rPr>
                <w:bCs/>
                <w:noProof/>
                <w:highlight w:val="cyan"/>
              </w:rPr>
            </w:pPr>
            <w:r>
              <w:rPr>
                <w:noProof/>
              </w:rPr>
              <w:t>Návrhy na revíziu požiadaviek na registráciu v nariadení REACH, aby sa zabezpečila: identifikácia látok s kritickými nebezpečnými vlastnosťami vrátane účinkov na nervové a imunitné systémy, presun smerom k zoskupovaniu, registrácia podskupiny polymérov, informácie o celkovej environmentálnej stope chemikálií, povinnosť podávať správy o chemickej bezpečnosti látok v objeme od 1 do 10 ton.</w:t>
            </w:r>
          </w:p>
        </w:tc>
        <w:tc>
          <w:tcPr>
            <w:tcW w:w="4043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>Nariadenie REACH</w:t>
            </w:r>
          </w:p>
        </w:tc>
        <w:tc>
          <w:tcPr>
            <w:tcW w:w="2020" w:type="dxa"/>
          </w:tcPr>
          <w:p>
            <w:pPr>
              <w:spacing w:after="0"/>
              <w:rPr>
                <w:noProof/>
                <w:szCs w:val="24"/>
              </w:rPr>
            </w:pPr>
            <w:r>
              <w:rPr>
                <w:noProof/>
              </w:rPr>
              <w:t>2022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suppressAutoHyphens/>
              <w:spacing w:after="0"/>
              <w:rPr>
                <w:noProof/>
              </w:rPr>
            </w:pPr>
            <w:r>
              <w:rPr>
                <w:noProof/>
              </w:rPr>
              <w:t xml:space="preserve">Vypracovať strategický výskumný a inovačný program pre chemikálie. </w:t>
            </w:r>
          </w:p>
        </w:tc>
        <w:tc>
          <w:tcPr>
            <w:tcW w:w="4043" w:type="dxa"/>
          </w:tcPr>
          <w:p>
            <w:pPr>
              <w:spacing w:after="0"/>
              <w:rPr>
                <w:noProof/>
              </w:rPr>
            </w:pPr>
          </w:p>
        </w:tc>
        <w:tc>
          <w:tcPr>
            <w:tcW w:w="2020" w:type="dxa"/>
          </w:tcPr>
          <w:p>
            <w:pPr>
              <w:spacing w:after="0"/>
              <w:rPr>
                <w:noProof/>
                <w:szCs w:val="24"/>
              </w:rPr>
            </w:pPr>
            <w:r>
              <w:rPr>
                <w:noProof/>
              </w:rPr>
              <w:t xml:space="preserve">2022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suppressAutoHyphens/>
              <w:spacing w:after="0"/>
              <w:rPr>
                <w:noProof/>
              </w:rPr>
            </w:pPr>
            <w:r>
              <w:rPr>
                <w:noProof/>
              </w:rPr>
              <w:t xml:space="preserve">Financovať celoúnijné (bio)monitorovanie ľudí a životného prostredia. </w:t>
            </w:r>
          </w:p>
        </w:tc>
        <w:tc>
          <w:tcPr>
            <w:tcW w:w="4043" w:type="dxa"/>
          </w:tcPr>
          <w:p>
            <w:pPr>
              <w:spacing w:after="0"/>
              <w:rPr>
                <w:noProof/>
              </w:rPr>
            </w:pPr>
          </w:p>
        </w:tc>
        <w:tc>
          <w:tcPr>
            <w:tcW w:w="2020" w:type="dxa"/>
          </w:tcPr>
          <w:p>
            <w:pPr>
              <w:spacing w:after="0"/>
              <w:rPr>
                <w:noProof/>
                <w:shd w:val="clear" w:color="auto" w:fill="FFFF00"/>
              </w:rPr>
            </w:pPr>
            <w:r>
              <w:rPr>
                <w:noProof/>
              </w:rPr>
              <w:t xml:space="preserve">Od roku 2020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suppressAutoHyphens/>
              <w:spacing w:after="0"/>
              <w:rPr>
                <w:noProof/>
              </w:rPr>
            </w:pPr>
            <w:r>
              <w:rPr>
                <w:noProof/>
              </w:rPr>
              <w:t xml:space="preserve">Zriadiť systém EÚ slúžiaci na včasné varovanie a intervenciu v oblasti chemikálií. </w:t>
            </w:r>
          </w:p>
        </w:tc>
        <w:tc>
          <w:tcPr>
            <w:tcW w:w="4043" w:type="dxa"/>
          </w:tcPr>
          <w:p>
            <w:pPr>
              <w:spacing w:after="0"/>
              <w:rPr>
                <w:noProof/>
              </w:rPr>
            </w:pPr>
          </w:p>
        </w:tc>
        <w:tc>
          <w:tcPr>
            <w:tcW w:w="2020" w:type="dxa"/>
          </w:tcPr>
          <w:p>
            <w:pPr>
              <w:spacing w:after="0"/>
              <w:rPr>
                <w:noProof/>
                <w:szCs w:val="24"/>
              </w:rPr>
            </w:pPr>
            <w:r>
              <w:rPr>
                <w:noProof/>
              </w:rPr>
              <w:t xml:space="preserve">2023 </w:t>
            </w:r>
          </w:p>
        </w:tc>
      </w:tr>
      <w:tr>
        <w:trPr>
          <w:jc w:val="center"/>
        </w:trPr>
        <w:tc>
          <w:tcPr>
            <w:tcW w:w="0" w:type="auto"/>
            <w:gridSpan w:val="3"/>
            <w:shd w:val="clear" w:color="auto" w:fill="C4BC96" w:themeFill="background2" w:themeFillShade="BF"/>
          </w:tcPr>
          <w:p>
            <w:pPr>
              <w:pStyle w:val="Body"/>
              <w:spacing w:before="0" w:after="0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Poskytnúť model, ktorý bude pre celý svet inšpiráciou v oblasti nakladania s chemikáliami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pStyle w:val="Body"/>
              <w:spacing w:before="0"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Iniciatívy v spolupráci s medzinárodnými organizáciami a priemyselnou obcou na podporu využívania GHS OSN na medzinárodnej úrovni.</w:t>
            </w:r>
            <w:r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4043" w:type="dxa"/>
          </w:tcPr>
          <w:p>
            <w:pPr>
              <w:spacing w:after="0"/>
              <w:rPr>
                <w:noProof/>
              </w:rPr>
            </w:pPr>
          </w:p>
        </w:tc>
        <w:tc>
          <w:tcPr>
            <w:tcW w:w="2020" w:type="dxa"/>
          </w:tcPr>
          <w:p>
            <w:pPr>
              <w:spacing w:after="0"/>
              <w:rPr>
                <w:noProof/>
                <w:szCs w:val="24"/>
              </w:rPr>
            </w:pPr>
            <w:r>
              <w:rPr>
                <w:noProof/>
              </w:rPr>
              <w:t xml:space="preserve">Od roku 2020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pStyle w:val="Body"/>
              <w:spacing w:before="0"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Návrh na úrovni </w:t>
            </w:r>
            <w:r>
              <w:rPr>
                <w:rFonts w:ascii="Times New Roman" w:hAnsi="Times New Roman"/>
                <w:bCs/>
                <w:noProof/>
              </w:rPr>
              <w:t>GHS OSN na zavedenie, prispôsobenie alebo objasnenie</w:t>
            </w:r>
            <w:r>
              <w:rPr>
                <w:rFonts w:ascii="Times New Roman" w:hAnsi="Times New Roman"/>
                <w:noProof/>
              </w:rPr>
              <w:t xml:space="preserve"> kritérií/tried nebezpečnosti v súlade s nariadením o klasifikácii, označovaní a balení látok a zmesí.</w:t>
            </w:r>
          </w:p>
        </w:tc>
        <w:tc>
          <w:tcPr>
            <w:tcW w:w="4043" w:type="dxa"/>
          </w:tcPr>
          <w:p>
            <w:pPr>
              <w:spacing w:after="0"/>
              <w:rPr>
                <w:noProof/>
              </w:rPr>
            </w:pPr>
          </w:p>
        </w:tc>
        <w:tc>
          <w:tcPr>
            <w:tcW w:w="2020" w:type="dxa"/>
          </w:tcPr>
          <w:p>
            <w:pPr>
              <w:spacing w:after="0"/>
              <w:rPr>
                <w:noProof/>
                <w:szCs w:val="24"/>
              </w:rPr>
            </w:pPr>
            <w:r>
              <w:rPr>
                <w:noProof/>
              </w:rPr>
              <w:t xml:space="preserve">2022 – 2024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pStyle w:val="Body"/>
              <w:spacing w:before="0"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Podpora, najmä prostredníctvom financovania, v záujme budovania kapacít tretích krajín na posudzovanie a nakladanie s chemikáliami. </w:t>
            </w:r>
          </w:p>
        </w:tc>
        <w:tc>
          <w:tcPr>
            <w:tcW w:w="4043" w:type="dxa"/>
          </w:tcPr>
          <w:p>
            <w:pPr>
              <w:spacing w:after="0"/>
              <w:rPr>
                <w:noProof/>
              </w:rPr>
            </w:pPr>
          </w:p>
        </w:tc>
        <w:tc>
          <w:tcPr>
            <w:tcW w:w="2020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 xml:space="preserve">2020 – 2022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pStyle w:val="Body"/>
              <w:spacing w:before="0" w:after="0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Zaistiť, aby sa nebezpečné chemikálie zakázané v Európskej únii nevyrábali na vývoz, a to v prípade potreby aj zmenou príslušných právnych predpisov.</w:t>
            </w:r>
          </w:p>
        </w:tc>
        <w:tc>
          <w:tcPr>
            <w:tcW w:w="4043" w:type="dxa"/>
          </w:tcPr>
          <w:p>
            <w:pPr>
              <w:spacing w:after="0"/>
              <w:rPr>
                <w:noProof/>
              </w:rPr>
            </w:pPr>
          </w:p>
        </w:tc>
        <w:tc>
          <w:tcPr>
            <w:tcW w:w="2020" w:type="dxa"/>
          </w:tcPr>
          <w:p>
            <w:pPr>
              <w:spacing w:after="0"/>
              <w:rPr>
                <w:noProof/>
                <w:szCs w:val="24"/>
              </w:rPr>
            </w:pPr>
            <w:r>
              <w:rPr>
                <w:noProof/>
              </w:rPr>
              <w:t xml:space="preserve">2023 </w:t>
            </w:r>
          </w:p>
        </w:tc>
      </w:tr>
      <w:tr>
        <w:trPr>
          <w:jc w:val="center"/>
        </w:trPr>
        <w:tc>
          <w:tcPr>
            <w:tcW w:w="4853" w:type="dxa"/>
          </w:tcPr>
          <w:p>
            <w:pPr>
              <w:pStyle w:val="Body"/>
              <w:spacing w:before="0"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Presadzovať </w:t>
            </w:r>
            <w:r>
              <w:rPr>
                <w:rFonts w:ascii="Times New Roman" w:hAnsi="Times New Roman"/>
                <w:bCs/>
                <w:noProof/>
              </w:rPr>
              <w:t>náležitú starostlivosť</w:t>
            </w:r>
            <w:r>
              <w:rPr>
                <w:rFonts w:ascii="Times New Roman" w:hAnsi="Times New Roman"/>
                <w:noProof/>
              </w:rPr>
              <w:t xml:space="preserve"> pri udržateľnej výrobe a používaní chemikálií v kontexte budúcej iniciatívy týkajúcej sa udržateľnej správy a riadenia spoločností. </w:t>
            </w:r>
          </w:p>
        </w:tc>
        <w:tc>
          <w:tcPr>
            <w:tcW w:w="4043" w:type="dxa"/>
          </w:tcPr>
          <w:p>
            <w:pPr>
              <w:spacing w:after="0"/>
              <w:rPr>
                <w:noProof/>
              </w:rPr>
            </w:pPr>
          </w:p>
        </w:tc>
        <w:tc>
          <w:tcPr>
            <w:tcW w:w="2020" w:type="dxa"/>
          </w:tcPr>
          <w:p>
            <w:pPr>
              <w:spacing w:after="0"/>
              <w:rPr>
                <w:noProof/>
                <w:szCs w:val="24"/>
              </w:rPr>
            </w:pPr>
            <w:r>
              <w:rPr>
                <w:noProof/>
              </w:rPr>
              <w:t xml:space="preserve">2020 – 2024 </w:t>
            </w:r>
          </w:p>
        </w:tc>
      </w:tr>
    </w:tbl>
    <w:p>
      <w:pPr>
        <w:rPr>
          <w:noProof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020" w:right="1274" w:bottom="709" w:left="1587" w:header="601" w:footer="107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  <w:endnote w:type="continuationNotice" w:id="1">
    <w:p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C Square Sans Pro">
    <w:panose1 w:val="020B0506040000020004"/>
    <w:charset w:val="00"/>
    <w:family w:val="swiss"/>
    <w:pitch w:val="variable"/>
    <w:sig w:usb0="A00002BF" w:usb1="5000E0F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ine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/>
  <w:p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i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/>
  <w:p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701024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  <w:footnote w:type="continuationNotice" w:id="1">
    <w:p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C98"/>
    <w:multiLevelType w:val="hybridMultilevel"/>
    <w:tmpl w:val="593A7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60834"/>
    <w:multiLevelType w:val="hybridMultilevel"/>
    <w:tmpl w:val="A5508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2668D"/>
    <w:multiLevelType w:val="hybridMultilevel"/>
    <w:tmpl w:val="1200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8079D"/>
    <w:multiLevelType w:val="hybridMultilevel"/>
    <w:tmpl w:val="850A3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61C0A"/>
    <w:multiLevelType w:val="hybridMultilevel"/>
    <w:tmpl w:val="9ED61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94140"/>
    <w:multiLevelType w:val="hybridMultilevel"/>
    <w:tmpl w:val="F13C35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A432656"/>
    <w:multiLevelType w:val="multilevel"/>
    <w:tmpl w:val="AC885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BC929C0"/>
    <w:multiLevelType w:val="hybridMultilevel"/>
    <w:tmpl w:val="C8B4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76708"/>
    <w:multiLevelType w:val="hybridMultilevel"/>
    <w:tmpl w:val="C2BC2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01C4C"/>
    <w:multiLevelType w:val="hybridMultilevel"/>
    <w:tmpl w:val="7800F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83B4B"/>
    <w:multiLevelType w:val="hybridMultilevel"/>
    <w:tmpl w:val="C002C73A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68A97B35"/>
    <w:multiLevelType w:val="hybridMultilevel"/>
    <w:tmpl w:val="E376E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760E9"/>
    <w:multiLevelType w:val="hybridMultilevel"/>
    <w:tmpl w:val="07745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30295"/>
    <w:multiLevelType w:val="hybridMultilevel"/>
    <w:tmpl w:val="F3349CE4"/>
    <w:lvl w:ilvl="0" w:tplc="75A00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E461E"/>
    <w:multiLevelType w:val="hybridMultilevel"/>
    <w:tmpl w:val="4D52D858"/>
    <w:lvl w:ilvl="0" w:tplc="197C004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44252"/>
    <w:multiLevelType w:val="hybridMultilevel"/>
    <w:tmpl w:val="2A4E4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13DF"/>
    <w:multiLevelType w:val="hybridMultilevel"/>
    <w:tmpl w:val="3092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B6C63"/>
    <w:multiLevelType w:val="hybridMultilevel"/>
    <w:tmpl w:val="C54ED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5145E"/>
    <w:multiLevelType w:val="multilevel"/>
    <w:tmpl w:val="D632DEE4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ascii="Times New Roman Bold" w:hAnsi="Times New Roman Bold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02"/>
        </w:tabs>
        <w:ind w:left="1202" w:hanging="720"/>
      </w:pPr>
    </w:lvl>
    <w:lvl w:ilvl="2">
      <w:start w:val="1"/>
      <w:numFmt w:val="decimal"/>
      <w:lvlText w:val="%1.%2.%3."/>
      <w:lvlJc w:val="left"/>
      <w:pPr>
        <w:tabs>
          <w:tab w:val="num" w:pos="1922"/>
        </w:tabs>
        <w:ind w:left="1922" w:hanging="720"/>
      </w:p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922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3838" w:hanging="958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838" w:hanging="958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838" w:hanging="958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3838" w:hanging="958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3838" w:hanging="958"/>
      </w:p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15"/>
  </w:num>
  <w:num w:numId="9">
    <w:abstractNumId w:val="4"/>
  </w:num>
  <w:num w:numId="10">
    <w:abstractNumId w:val="7"/>
  </w:num>
  <w:num w:numId="11">
    <w:abstractNumId w:val="17"/>
  </w:num>
  <w:num w:numId="12">
    <w:abstractNumId w:val="16"/>
  </w:num>
  <w:num w:numId="13">
    <w:abstractNumId w:val="11"/>
  </w:num>
  <w:num w:numId="14">
    <w:abstractNumId w:val="8"/>
  </w:num>
  <w:num w:numId="15">
    <w:abstractNumId w:val="1"/>
  </w:num>
  <w:num w:numId="16">
    <w:abstractNumId w:val="9"/>
  </w:num>
  <w:num w:numId="17">
    <w:abstractNumId w:val="12"/>
  </w:num>
  <w:num w:numId="18">
    <w:abstractNumId w:val="10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activeWritingStyle w:appName="MSWord" w:lang="es-ES_tradnl" w:vendorID="64" w:dllVersion="131078" w:nlCheck="1" w:checkStyle="0"/>
  <w:activeWritingStyle w:appName="MSWord" w:lang="en-IE" w:vendorID="64" w:dllVersion="131078" w:nlCheck="1" w:checkStyle="1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revisionView w:markup="0"/>
  <w:doNotTrackFormatting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A1CDB35C-F269-455F-8798-0F8A097CA681"/>
    <w:docVar w:name="LW_COVERPAGE_TYPE" w:val="1"/>
    <w:docVar w:name="LW_CROSSREFERENCE" w:val="{SWD(2020) 225 final} - {SWD(2020) 247 final} - {SWD(2020) 248 final} - {SWD(2020) 249 final} - {SWD(2020) 250 final} - {SWD(2020) 251 final}"/>
    <w:docVar w:name="LW_DocType" w:val="NORMAL"/>
    <w:docVar w:name="LW_EMISSION" w:val="14. 10. 2020"/>
    <w:docVar w:name="LW_EMISSION_ISODATE" w:val="2020-10-14"/>
    <w:docVar w:name="LW_EMISSION_LOCATION" w:val="BRX"/>
    <w:docVar w:name="LW_EMISSION_PREFIX" w:val="V Bruseli"/>
    <w:docVar w:name="LW_EMISSION_SUFFIX" w:val=" "/>
    <w:docVar w:name="LW_ID_DOCTYPE_NONLW" w:val="CP-039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.CP" w:val="_x000b__x000b_Chemikálie \u8211? stratégia udr\u382?ate\u318?nosti_x000d__x000b_Na ceste k \u382?ivotnému prostrediu bez toxických látok"/>
    <w:docVar w:name="LW_PART_NBR" w:val="1"/>
    <w:docVar w:name="LW_PART_NBR_TOTAL" w:val="1"/>
    <w:docVar w:name="LW_REF.INST.NEW" w:val="COM"/>
    <w:docVar w:name="LW_REF.INST.NEW_ADOPTED" w:val="final"/>
    <w:docVar w:name="LW_REF.INST.NEW_TEXT" w:val="(2020) 66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PRÍLOHA_x000b_"/>
    <w:docVar w:name="LW_TYPEACTEPRINCIPAL.CP" w:val="OZNÁMENIU KOMISIE EURÓPSKEMU PARLAMENTU, RADE, EURÓPSKEMU HOSPODÁRSKEMU A SOCIÁLNEMU VÝBORU A VÝBORU REGIÓNOV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90" w:unhideWhenUsed="0" w:qFormat="1"/>
    <w:lsdException w:name="heading 1" w:semiHidden="0" w:uiPriority="0" w:unhideWhenUsed="0" w:qFormat="1"/>
    <w:lsdException w:name="heading 2" w:uiPriority="0" w:qFormat="1"/>
    <w:lsdException w:name="heading 3" w:uiPriority="90" w:qFormat="1"/>
    <w:lsdException w:name="heading 4" w:uiPriority="9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0"/>
    <w:qFormat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1">
    <w:name w:val="heading 1"/>
    <w:basedOn w:val="Normal"/>
    <w:next w:val="Text1"/>
    <w:link w:val="Heading1Char"/>
    <w:qFormat/>
    <w:pPr>
      <w:keepNext/>
      <w:tabs>
        <w:tab w:val="num" w:pos="482"/>
      </w:tabs>
      <w:spacing w:before="240"/>
      <w:ind w:left="482" w:hanging="482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qFormat/>
    <w:pPr>
      <w:keepNext/>
      <w:tabs>
        <w:tab w:val="num" w:pos="1202"/>
      </w:tabs>
      <w:ind w:left="1202" w:hanging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0"/>
    <w:qFormat/>
    <w:pPr>
      <w:keepNext/>
      <w:numPr>
        <w:ilvl w:val="2"/>
        <w:numId w:val="1"/>
      </w:numPr>
      <w:ind w:left="851" w:hanging="284"/>
      <w:outlineLvl w:val="2"/>
    </w:pPr>
    <w:rPr>
      <w:rFonts w:ascii="Garamond" w:hAnsi="Garamond"/>
      <w:i/>
    </w:rPr>
  </w:style>
  <w:style w:type="paragraph" w:styleId="Heading4">
    <w:name w:val="heading 4"/>
    <w:basedOn w:val="Normal"/>
    <w:next w:val="Normal"/>
    <w:link w:val="Heading4Char"/>
    <w:uiPriority w:val="90"/>
    <w:qFormat/>
    <w:pPr>
      <w:keepNext/>
      <w:tabs>
        <w:tab w:val="num" w:pos="1922"/>
      </w:tabs>
      <w:ind w:left="1922" w:hanging="720"/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pPr>
      <w:keepNext/>
      <w:tabs>
        <w:tab w:val="num" w:pos="2880"/>
      </w:tabs>
      <w:ind w:left="3838" w:hanging="958"/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pPr>
      <w:keepNext/>
      <w:tabs>
        <w:tab w:val="num" w:pos="2880"/>
      </w:tabs>
      <w:ind w:left="3838" w:hanging="958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pPr>
      <w:keepNext/>
      <w:tabs>
        <w:tab w:val="num" w:pos="2880"/>
      </w:tabs>
      <w:ind w:left="3838" w:hanging="958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pPr>
      <w:keepNext/>
      <w:tabs>
        <w:tab w:val="num" w:pos="2880"/>
      </w:tabs>
      <w:ind w:left="3838" w:hanging="958"/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pPr>
      <w:keepNext/>
      <w:tabs>
        <w:tab w:val="num" w:pos="2880"/>
      </w:tabs>
      <w:ind w:left="3838" w:hanging="958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Garamond" w:eastAsia="Times New Roman" w:hAnsi="Garamond"/>
      <w:i/>
      <w:sz w:val="24"/>
    </w:rPr>
  </w:style>
  <w:style w:type="paragraph" w:customStyle="1" w:styleId="FooterLine">
    <w:name w:val="Footer Line"/>
    <w:basedOn w:val="Footer"/>
    <w:next w:val="Footer"/>
    <w:uiPriority w:val="99"/>
    <w:pPr>
      <w:tabs>
        <w:tab w:val="right" w:pos="8646"/>
      </w:tabs>
      <w:spacing w:before="120" w:line="264" w:lineRule="auto"/>
      <w:ind w:right="0"/>
      <w:jc w:val="both"/>
    </w:pPr>
  </w:style>
  <w:style w:type="paragraph" w:customStyle="1" w:styleId="Text2">
    <w:name w:val="Text 2"/>
    <w:basedOn w:val="Normal"/>
    <w:uiPriority w:val="90"/>
    <w:qFormat/>
    <w:pPr>
      <w:ind w:left="1202"/>
    </w:pPr>
  </w:style>
  <w:style w:type="paragraph" w:customStyle="1" w:styleId="Text1">
    <w:name w:val="Text 1"/>
    <w:basedOn w:val="Normal"/>
    <w:link w:val="Text1Char"/>
    <w:uiPriority w:val="90"/>
    <w:qFormat/>
    <w:pPr>
      <w:ind w:left="482"/>
    </w:p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16"/>
      <w:szCs w:val="20"/>
      <w:lang w:eastAsia="en-IE"/>
    </w:rPr>
  </w:style>
  <w:style w:type="paragraph" w:customStyle="1" w:styleId="Body">
    <w:name w:val="Body"/>
    <w:basedOn w:val="Normal"/>
    <w:link w:val="BodyChar"/>
    <w:qFormat/>
    <w:pPr>
      <w:spacing w:before="120" w:after="120"/>
    </w:pPr>
    <w:rPr>
      <w:rFonts w:ascii="EC Square Sans Pro" w:hAnsi="EC Square Sans Pro"/>
      <w:szCs w:val="24"/>
      <w:lang w:eastAsia="en-US"/>
    </w:rPr>
  </w:style>
  <w:style w:type="character" w:customStyle="1" w:styleId="BodyChar">
    <w:name w:val="Body Char"/>
    <w:link w:val="Body"/>
    <w:rPr>
      <w:rFonts w:ascii="EC Square Sans Pro" w:eastAsia="Times New Roman" w:hAnsi="EC Square Sans Pro" w:cs="Times New Roman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mallCaps/>
      <w:sz w:val="24"/>
      <w:szCs w:val="20"/>
      <w:lang w:eastAsia="en-IE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  <w:lang w:eastAsia="en-IE"/>
    </w:rPr>
  </w:style>
  <w:style w:type="character" w:customStyle="1" w:styleId="Heading4Char">
    <w:name w:val="Heading 4 Char"/>
    <w:basedOn w:val="DefaultParagraphFont"/>
    <w:link w:val="Heading4"/>
    <w:uiPriority w:val="90"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5Char">
    <w:name w:val="Heading 5 Char"/>
    <w:basedOn w:val="DefaultParagraphFont"/>
    <w:link w:val="Heading5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6Char">
    <w:name w:val="Heading 6 Char"/>
    <w:basedOn w:val="DefaultParagraphFont"/>
    <w:link w:val="Heading6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7Char">
    <w:name w:val="Heading 7 Char"/>
    <w:basedOn w:val="DefaultParagraphFont"/>
    <w:link w:val="Heading7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8Char">
    <w:name w:val="Heading 8 Char"/>
    <w:basedOn w:val="DefaultParagraphFont"/>
    <w:link w:val="Heading8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9Char">
    <w:name w:val="Heading 9 Char"/>
    <w:basedOn w:val="DefaultParagraphFont"/>
    <w:link w:val="Heading9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customStyle="1" w:styleId="NumPar3">
    <w:name w:val="NumPar 3"/>
    <w:basedOn w:val="Heading3"/>
    <w:uiPriority w:val="90"/>
    <w:qFormat/>
    <w:pPr>
      <w:keepNext w:val="0"/>
      <w:tabs>
        <w:tab w:val="clear" w:pos="1920"/>
        <w:tab w:val="num" w:pos="1922"/>
      </w:tabs>
      <w:ind w:left="1922" w:hanging="720"/>
      <w:outlineLvl w:val="9"/>
    </w:pPr>
    <w:rPr>
      <w:rFonts w:ascii="Times New Roman" w:hAnsi="Times New Roman"/>
    </w:rPr>
  </w:style>
  <w:style w:type="paragraph" w:styleId="ListParagraph">
    <w:name w:val="List Paragraph"/>
    <w:aliases w:val="List Paragraph Char Char Char,Indicator Text,Bullet Points,MAIN CONTENT,OBC Bullet,List Paragraph12,Dot pt,No Spacing1,Numbered Para 1,List Paragraph1,List Paragraph11,F5 List Paragraph,Colorful List - Accent 11,Normal numbered,Bullet 1"/>
    <w:basedOn w:val="Normal"/>
    <w:link w:val="ListParagraphChar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eastAsia="en-IE"/>
    </w:rPr>
  </w:style>
  <w:style w:type="character" w:customStyle="1" w:styleId="ListParagraphChar">
    <w:name w:val="List Paragraph Char"/>
    <w:aliases w:val="List Paragraph Char Char Char Char,Indicator Text Char,Bullet Points Char,MAIN CONTENT Char,OBC Bullet Char,List Paragraph12 Char,Dot pt Char,No Spacing1 Char,Numbered Para 1 Char,List Paragraph1 Char,List Paragraph11 Char"/>
    <w:link w:val="ListParagraph"/>
    <w:uiPriority w:val="34"/>
    <w:qFormat/>
    <w:locked/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customStyle="1" w:styleId="NumPar1">
    <w:name w:val="NumPar 1"/>
    <w:basedOn w:val="Heading1"/>
    <w:uiPriority w:val="90"/>
    <w:qFormat/>
    <w:pPr>
      <w:keepNext w:val="0"/>
      <w:tabs>
        <w:tab w:val="clear" w:pos="482"/>
      </w:tabs>
      <w:spacing w:before="0"/>
      <w:ind w:left="480" w:hanging="48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uiPriority w:val="90"/>
    <w:qFormat/>
    <w:pPr>
      <w:keepNext w:val="0"/>
      <w:tabs>
        <w:tab w:val="clear" w:pos="1202"/>
        <w:tab w:val="num" w:pos="1080"/>
      </w:tabs>
      <w:ind w:left="1080" w:hanging="600"/>
      <w:outlineLvl w:val="9"/>
    </w:pPr>
    <w:rPr>
      <w:b w:val="0"/>
    </w:rPr>
  </w:style>
  <w:style w:type="paragraph" w:customStyle="1" w:styleId="NumPar4">
    <w:name w:val="NumPar 4"/>
    <w:basedOn w:val="Heading4"/>
    <w:uiPriority w:val="90"/>
    <w:qFormat/>
    <w:pPr>
      <w:keepNext w:val="0"/>
      <w:tabs>
        <w:tab w:val="clear" w:pos="1922"/>
        <w:tab w:val="num" w:pos="2880"/>
      </w:tabs>
      <w:ind w:left="2880" w:hanging="960"/>
      <w:outlineLvl w:val="9"/>
    </w:pPr>
  </w:style>
  <w:style w:type="paragraph" w:customStyle="1" w:styleId="FigureTitle">
    <w:name w:val="Figure Title"/>
    <w:basedOn w:val="Normal"/>
    <w:next w:val="Normal"/>
    <w:uiPriority w:val="6"/>
    <w:pPr>
      <w:keepNext/>
      <w:spacing w:after="180"/>
    </w:pPr>
    <w:rPr>
      <w:b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FootnoteText">
    <w:name w:val="footnote text"/>
    <w:aliases w:val="Footnote TEXT,fn,Footnotes,Footnote ak,fn Char,footnote text Char,Footnotes Char,Footnote ak Char,ft,fn cafc,Footnotes Char Char,Footnote Text Char Char,fn Char Char,footnote text Char Char Char Ch,fn1,footnote text1,ft1,f,o,Char,Fußnote"/>
    <w:basedOn w:val="Normal"/>
    <w:link w:val="FootnoteTextChar"/>
    <w:uiPriority w:val="99"/>
    <w:qFormat/>
    <w:pPr>
      <w:spacing w:after="120"/>
      <w:ind w:left="357" w:hanging="357"/>
    </w:pPr>
    <w:rPr>
      <w:sz w:val="20"/>
    </w:rPr>
  </w:style>
  <w:style w:type="character" w:customStyle="1" w:styleId="FootnoteTextChar">
    <w:name w:val="Footnote Text Char"/>
    <w:aliases w:val="Footnote TEXT Char,fn Char1,Footnotes Char1,Footnote ak Char1,fn Char Char1,footnote text Char Char,Footnotes Char Char1,Footnote ak Char Char,ft Char,fn cafc Char,Footnotes Char Char Char,Footnote Text Char Char Char,fn1 Char,f Char"/>
    <w:basedOn w:val="DefaultParagraphFont"/>
    <w:link w:val="FootnoteText"/>
    <w:uiPriority w:val="99"/>
    <w:qFormat/>
    <w:rPr>
      <w:rFonts w:ascii="Times New Roman" w:eastAsia="Times New Roman" w:hAnsi="Times New Roman" w:cs="Times New Roman"/>
      <w:sz w:val="20"/>
      <w:szCs w:val="20"/>
      <w:lang w:eastAsia="en-IE"/>
    </w:rPr>
  </w:style>
  <w:style w:type="character" w:styleId="FootnoteReference">
    <w:name w:val="footnote reference"/>
    <w:aliases w:val="Footnote Reference Superscript,BVI fnr, BVI fnr,Footnote symbol,Footnote reference number,note TESI,Appel note de bas de p,Nota,SUPERS,Footnote number,EN Footnote Reference,-E Fußnotenzeichen,number Char Char,number,Ref,styl,FR,styli"/>
    <w:link w:val="SUPERSCharCharCharCharCharCharCharChar"/>
    <w:uiPriority w:val="99"/>
    <w:qFormat/>
    <w:rPr>
      <w:vertAlign w:val="superscript"/>
    </w:rPr>
  </w:style>
  <w:style w:type="character" w:styleId="Hyperlink">
    <w:name w:val="Hyperlink"/>
    <w:uiPriority w:val="99"/>
    <w:rPr>
      <w:color w:val="0563C1"/>
      <w:u w:val="single"/>
    </w:rPr>
  </w:style>
  <w:style w:type="paragraph" w:customStyle="1" w:styleId="SUPERSCharCharCharCharCharCharCharChar">
    <w:name w:val="SUPERS Char Char Char Char Char Char Char Char"/>
    <w:aliases w:val="SUPERS Tegn Char Char Char Char Char Char Char Char Char,Footnote Reference Number Tegn Char Char Char Char Char Char Char Char Char"/>
    <w:basedOn w:val="Normal"/>
    <w:link w:val="FootnoteReference"/>
    <w:uiPriority w:val="99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customStyle="1" w:styleId="Subsections">
    <w:name w:val="Subsections"/>
    <w:basedOn w:val="NumPar3"/>
    <w:uiPriority w:val="90"/>
    <w:qFormat/>
    <w:pPr>
      <w:numPr>
        <w:ilvl w:val="0"/>
        <w:numId w:val="0"/>
      </w:numPr>
      <w:spacing w:after="120"/>
      <w:ind w:left="1922" w:hanging="720"/>
    </w:pPr>
  </w:style>
  <w:style w:type="paragraph" w:customStyle="1" w:styleId="Default">
    <w:name w:val="Default"/>
    <w:basedOn w:val="Normal"/>
    <w:pPr>
      <w:autoSpaceDE w:val="0"/>
      <w:autoSpaceDN w:val="0"/>
      <w:spacing w:after="0"/>
      <w:jc w:val="left"/>
    </w:pPr>
    <w:rPr>
      <w:rFonts w:eastAsiaTheme="minorHAnsi"/>
      <w:color w:val="000000"/>
      <w:szCs w:val="24"/>
      <w:lang w:eastAsia="en-GB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eastAsiaTheme="minorHAnsi"/>
      <w:szCs w:val="22"/>
      <w:lang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Text1Char">
    <w:name w:val="Text 1 Char"/>
    <w:basedOn w:val="DefaultParagraphFont"/>
    <w:link w:val="Text1"/>
    <w:uiPriority w:val="90"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FooterSensitivityChar">
    <w:name w:val="Footer Sensitivity Char"/>
    <w:basedOn w:val="Text1Char"/>
    <w:link w:val="FooterSensitivity"/>
    <w:rPr>
      <w:rFonts w:ascii="Times New Roman" w:eastAsia="Times New Roman" w:hAnsi="Times New Roman" w:cs="Times New Roman"/>
      <w:b/>
      <w:sz w:val="32"/>
      <w:szCs w:val="20"/>
      <w:lang w:eastAsia="en-IE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Text1Char"/>
    <w:link w:val="HeaderSensitivity"/>
    <w:rPr>
      <w:rFonts w:ascii="Times New Roman" w:eastAsia="Times New Roman" w:hAnsi="Times New Roman" w:cs="Times New Roman"/>
      <w:b/>
      <w:sz w:val="32"/>
      <w:szCs w:val="20"/>
      <w:lang w:eastAsia="en-IE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/>
      <w:jc w:val="right"/>
    </w:pPr>
    <w:rPr>
      <w:sz w:val="28"/>
    </w:rPr>
  </w:style>
  <w:style w:type="character" w:customStyle="1" w:styleId="HeaderSensitivityRightChar">
    <w:name w:val="Header Sensitivity Right Char"/>
    <w:basedOn w:val="Text1Char"/>
    <w:link w:val="HeaderSensitivityRight"/>
    <w:rPr>
      <w:rFonts w:ascii="Times New Roman" w:eastAsia="Times New Roman" w:hAnsi="Times New Roman" w:cs="Times New Roman"/>
      <w:sz w:val="28"/>
      <w:szCs w:val="20"/>
      <w:lang w:eastAsia="en-IE"/>
    </w:rPr>
  </w:style>
  <w:style w:type="character" w:customStyle="1" w:styleId="st">
    <w:name w:val="st"/>
    <w:basedOn w:val="DefaultParagraphFont"/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/>
    </w:pPr>
    <w:rPr>
      <w:rFonts w:eastAsiaTheme="minorHAnsi"/>
      <w:szCs w:val="22"/>
      <w:lang w:eastAsia="en-US"/>
    </w:rPr>
  </w:style>
  <w:style w:type="paragraph" w:customStyle="1" w:styleId="SecurityMarking">
    <w:name w:val="SecurityMarking"/>
    <w:basedOn w:val="Normal"/>
    <w:pPr>
      <w:spacing w:after="0" w:line="276" w:lineRule="auto"/>
      <w:ind w:left="5103"/>
      <w:jc w:val="left"/>
    </w:pPr>
    <w:rPr>
      <w:rFonts w:eastAsiaTheme="minorHAnsi"/>
      <w:sz w:val="28"/>
      <w:szCs w:val="22"/>
      <w:lang w:eastAsia="en-US"/>
    </w:rPr>
  </w:style>
  <w:style w:type="paragraph" w:customStyle="1" w:styleId="DateMarking">
    <w:name w:val="DateMarking"/>
    <w:basedOn w:val="Normal"/>
    <w:pPr>
      <w:spacing w:after="0" w:line="276" w:lineRule="auto"/>
      <w:ind w:left="5103"/>
      <w:jc w:val="left"/>
    </w:pPr>
    <w:rPr>
      <w:rFonts w:eastAsiaTheme="minorHAnsi"/>
      <w:i/>
      <w:sz w:val="28"/>
      <w:szCs w:val="22"/>
      <w:lang w:eastAsia="en-US"/>
    </w:rPr>
  </w:style>
  <w:style w:type="paragraph" w:customStyle="1" w:styleId="ReleasableTo">
    <w:name w:val="ReleasableTo"/>
    <w:basedOn w:val="Normal"/>
    <w:pPr>
      <w:spacing w:after="0" w:line="276" w:lineRule="auto"/>
      <w:ind w:left="5103"/>
      <w:jc w:val="left"/>
    </w:pPr>
    <w:rPr>
      <w:rFonts w:eastAsiaTheme="minorHAnsi"/>
      <w:i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90" w:unhideWhenUsed="0" w:qFormat="1"/>
    <w:lsdException w:name="heading 1" w:semiHidden="0" w:uiPriority="0" w:unhideWhenUsed="0" w:qFormat="1"/>
    <w:lsdException w:name="heading 2" w:uiPriority="0" w:qFormat="1"/>
    <w:lsdException w:name="heading 3" w:uiPriority="90" w:qFormat="1"/>
    <w:lsdException w:name="heading 4" w:uiPriority="9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0"/>
    <w:qFormat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1">
    <w:name w:val="heading 1"/>
    <w:basedOn w:val="Normal"/>
    <w:next w:val="Text1"/>
    <w:link w:val="Heading1Char"/>
    <w:qFormat/>
    <w:pPr>
      <w:keepNext/>
      <w:tabs>
        <w:tab w:val="num" w:pos="482"/>
      </w:tabs>
      <w:spacing w:before="240"/>
      <w:ind w:left="482" w:hanging="482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qFormat/>
    <w:pPr>
      <w:keepNext/>
      <w:tabs>
        <w:tab w:val="num" w:pos="1202"/>
      </w:tabs>
      <w:ind w:left="1202" w:hanging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0"/>
    <w:qFormat/>
    <w:pPr>
      <w:keepNext/>
      <w:numPr>
        <w:ilvl w:val="2"/>
        <w:numId w:val="1"/>
      </w:numPr>
      <w:ind w:left="851" w:hanging="284"/>
      <w:outlineLvl w:val="2"/>
    </w:pPr>
    <w:rPr>
      <w:rFonts w:ascii="Garamond" w:hAnsi="Garamond"/>
      <w:i/>
    </w:rPr>
  </w:style>
  <w:style w:type="paragraph" w:styleId="Heading4">
    <w:name w:val="heading 4"/>
    <w:basedOn w:val="Normal"/>
    <w:next w:val="Normal"/>
    <w:link w:val="Heading4Char"/>
    <w:uiPriority w:val="90"/>
    <w:qFormat/>
    <w:pPr>
      <w:keepNext/>
      <w:tabs>
        <w:tab w:val="num" w:pos="1922"/>
      </w:tabs>
      <w:ind w:left="1922" w:hanging="720"/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pPr>
      <w:keepNext/>
      <w:tabs>
        <w:tab w:val="num" w:pos="2880"/>
      </w:tabs>
      <w:ind w:left="3838" w:hanging="958"/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pPr>
      <w:keepNext/>
      <w:tabs>
        <w:tab w:val="num" w:pos="2880"/>
      </w:tabs>
      <w:ind w:left="3838" w:hanging="958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pPr>
      <w:keepNext/>
      <w:tabs>
        <w:tab w:val="num" w:pos="2880"/>
      </w:tabs>
      <w:ind w:left="3838" w:hanging="958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pPr>
      <w:keepNext/>
      <w:tabs>
        <w:tab w:val="num" w:pos="2880"/>
      </w:tabs>
      <w:ind w:left="3838" w:hanging="958"/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pPr>
      <w:keepNext/>
      <w:tabs>
        <w:tab w:val="num" w:pos="2880"/>
      </w:tabs>
      <w:ind w:left="3838" w:hanging="958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Garamond" w:eastAsia="Times New Roman" w:hAnsi="Garamond"/>
      <w:i/>
      <w:sz w:val="24"/>
    </w:rPr>
  </w:style>
  <w:style w:type="paragraph" w:customStyle="1" w:styleId="FooterLine">
    <w:name w:val="Footer Line"/>
    <w:basedOn w:val="Footer"/>
    <w:next w:val="Footer"/>
    <w:uiPriority w:val="99"/>
    <w:pPr>
      <w:tabs>
        <w:tab w:val="right" w:pos="8646"/>
      </w:tabs>
      <w:spacing w:before="120" w:line="264" w:lineRule="auto"/>
      <w:ind w:right="0"/>
      <w:jc w:val="both"/>
    </w:pPr>
  </w:style>
  <w:style w:type="paragraph" w:customStyle="1" w:styleId="Text2">
    <w:name w:val="Text 2"/>
    <w:basedOn w:val="Normal"/>
    <w:uiPriority w:val="90"/>
    <w:qFormat/>
    <w:pPr>
      <w:ind w:left="1202"/>
    </w:pPr>
  </w:style>
  <w:style w:type="paragraph" w:customStyle="1" w:styleId="Text1">
    <w:name w:val="Text 1"/>
    <w:basedOn w:val="Normal"/>
    <w:link w:val="Text1Char"/>
    <w:uiPriority w:val="90"/>
    <w:qFormat/>
    <w:pPr>
      <w:ind w:left="482"/>
    </w:p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16"/>
      <w:szCs w:val="20"/>
      <w:lang w:eastAsia="en-IE"/>
    </w:rPr>
  </w:style>
  <w:style w:type="paragraph" w:customStyle="1" w:styleId="Body">
    <w:name w:val="Body"/>
    <w:basedOn w:val="Normal"/>
    <w:link w:val="BodyChar"/>
    <w:qFormat/>
    <w:pPr>
      <w:spacing w:before="120" w:after="120"/>
    </w:pPr>
    <w:rPr>
      <w:rFonts w:ascii="EC Square Sans Pro" w:hAnsi="EC Square Sans Pro"/>
      <w:szCs w:val="24"/>
      <w:lang w:eastAsia="en-US"/>
    </w:rPr>
  </w:style>
  <w:style w:type="character" w:customStyle="1" w:styleId="BodyChar">
    <w:name w:val="Body Char"/>
    <w:link w:val="Body"/>
    <w:rPr>
      <w:rFonts w:ascii="EC Square Sans Pro" w:eastAsia="Times New Roman" w:hAnsi="EC Square Sans Pro" w:cs="Times New Roman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mallCaps/>
      <w:sz w:val="24"/>
      <w:szCs w:val="20"/>
      <w:lang w:eastAsia="en-IE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  <w:lang w:eastAsia="en-IE"/>
    </w:rPr>
  </w:style>
  <w:style w:type="character" w:customStyle="1" w:styleId="Heading4Char">
    <w:name w:val="Heading 4 Char"/>
    <w:basedOn w:val="DefaultParagraphFont"/>
    <w:link w:val="Heading4"/>
    <w:uiPriority w:val="90"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5Char">
    <w:name w:val="Heading 5 Char"/>
    <w:basedOn w:val="DefaultParagraphFont"/>
    <w:link w:val="Heading5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6Char">
    <w:name w:val="Heading 6 Char"/>
    <w:basedOn w:val="DefaultParagraphFont"/>
    <w:link w:val="Heading6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7Char">
    <w:name w:val="Heading 7 Char"/>
    <w:basedOn w:val="DefaultParagraphFont"/>
    <w:link w:val="Heading7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8Char">
    <w:name w:val="Heading 8 Char"/>
    <w:basedOn w:val="DefaultParagraphFont"/>
    <w:link w:val="Heading8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9Char">
    <w:name w:val="Heading 9 Char"/>
    <w:basedOn w:val="DefaultParagraphFont"/>
    <w:link w:val="Heading9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customStyle="1" w:styleId="NumPar3">
    <w:name w:val="NumPar 3"/>
    <w:basedOn w:val="Heading3"/>
    <w:uiPriority w:val="90"/>
    <w:qFormat/>
    <w:pPr>
      <w:keepNext w:val="0"/>
      <w:tabs>
        <w:tab w:val="clear" w:pos="1920"/>
        <w:tab w:val="num" w:pos="1922"/>
      </w:tabs>
      <w:ind w:left="1922" w:hanging="720"/>
      <w:outlineLvl w:val="9"/>
    </w:pPr>
    <w:rPr>
      <w:rFonts w:ascii="Times New Roman" w:hAnsi="Times New Roman"/>
    </w:rPr>
  </w:style>
  <w:style w:type="paragraph" w:styleId="ListParagraph">
    <w:name w:val="List Paragraph"/>
    <w:aliases w:val="List Paragraph Char Char Char,Indicator Text,Bullet Points,MAIN CONTENT,OBC Bullet,List Paragraph12,Dot pt,No Spacing1,Numbered Para 1,List Paragraph1,List Paragraph11,F5 List Paragraph,Colorful List - Accent 11,Normal numbered,Bullet 1"/>
    <w:basedOn w:val="Normal"/>
    <w:link w:val="ListParagraphChar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eastAsia="en-IE"/>
    </w:rPr>
  </w:style>
  <w:style w:type="character" w:customStyle="1" w:styleId="ListParagraphChar">
    <w:name w:val="List Paragraph Char"/>
    <w:aliases w:val="List Paragraph Char Char Char Char,Indicator Text Char,Bullet Points Char,MAIN CONTENT Char,OBC Bullet Char,List Paragraph12 Char,Dot pt Char,No Spacing1 Char,Numbered Para 1 Char,List Paragraph1 Char,List Paragraph11 Char"/>
    <w:link w:val="ListParagraph"/>
    <w:uiPriority w:val="34"/>
    <w:qFormat/>
    <w:locked/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customStyle="1" w:styleId="NumPar1">
    <w:name w:val="NumPar 1"/>
    <w:basedOn w:val="Heading1"/>
    <w:uiPriority w:val="90"/>
    <w:qFormat/>
    <w:pPr>
      <w:keepNext w:val="0"/>
      <w:tabs>
        <w:tab w:val="clear" w:pos="482"/>
      </w:tabs>
      <w:spacing w:before="0"/>
      <w:ind w:left="480" w:hanging="48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uiPriority w:val="90"/>
    <w:qFormat/>
    <w:pPr>
      <w:keepNext w:val="0"/>
      <w:tabs>
        <w:tab w:val="clear" w:pos="1202"/>
        <w:tab w:val="num" w:pos="1080"/>
      </w:tabs>
      <w:ind w:left="1080" w:hanging="600"/>
      <w:outlineLvl w:val="9"/>
    </w:pPr>
    <w:rPr>
      <w:b w:val="0"/>
    </w:rPr>
  </w:style>
  <w:style w:type="paragraph" w:customStyle="1" w:styleId="NumPar4">
    <w:name w:val="NumPar 4"/>
    <w:basedOn w:val="Heading4"/>
    <w:uiPriority w:val="90"/>
    <w:qFormat/>
    <w:pPr>
      <w:keepNext w:val="0"/>
      <w:tabs>
        <w:tab w:val="clear" w:pos="1922"/>
        <w:tab w:val="num" w:pos="2880"/>
      </w:tabs>
      <w:ind w:left="2880" w:hanging="960"/>
      <w:outlineLvl w:val="9"/>
    </w:pPr>
  </w:style>
  <w:style w:type="paragraph" w:customStyle="1" w:styleId="FigureTitle">
    <w:name w:val="Figure Title"/>
    <w:basedOn w:val="Normal"/>
    <w:next w:val="Normal"/>
    <w:uiPriority w:val="6"/>
    <w:pPr>
      <w:keepNext/>
      <w:spacing w:after="180"/>
    </w:pPr>
    <w:rPr>
      <w:b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FootnoteText">
    <w:name w:val="footnote text"/>
    <w:aliases w:val="Footnote TEXT,fn,Footnotes,Footnote ak,fn Char,footnote text Char,Footnotes Char,Footnote ak Char,ft,fn cafc,Footnotes Char Char,Footnote Text Char Char,fn Char Char,footnote text Char Char Char Ch,fn1,footnote text1,ft1,f,o,Char,Fußnote"/>
    <w:basedOn w:val="Normal"/>
    <w:link w:val="FootnoteTextChar"/>
    <w:uiPriority w:val="99"/>
    <w:qFormat/>
    <w:pPr>
      <w:spacing w:after="120"/>
      <w:ind w:left="357" w:hanging="357"/>
    </w:pPr>
    <w:rPr>
      <w:sz w:val="20"/>
    </w:rPr>
  </w:style>
  <w:style w:type="character" w:customStyle="1" w:styleId="FootnoteTextChar">
    <w:name w:val="Footnote Text Char"/>
    <w:aliases w:val="Footnote TEXT Char,fn Char1,Footnotes Char1,Footnote ak Char1,fn Char Char1,footnote text Char Char,Footnotes Char Char1,Footnote ak Char Char,ft Char,fn cafc Char,Footnotes Char Char Char,Footnote Text Char Char Char,fn1 Char,f Char"/>
    <w:basedOn w:val="DefaultParagraphFont"/>
    <w:link w:val="FootnoteText"/>
    <w:uiPriority w:val="99"/>
    <w:qFormat/>
    <w:rPr>
      <w:rFonts w:ascii="Times New Roman" w:eastAsia="Times New Roman" w:hAnsi="Times New Roman" w:cs="Times New Roman"/>
      <w:sz w:val="20"/>
      <w:szCs w:val="20"/>
      <w:lang w:eastAsia="en-IE"/>
    </w:rPr>
  </w:style>
  <w:style w:type="character" w:styleId="FootnoteReference">
    <w:name w:val="footnote reference"/>
    <w:aliases w:val="Footnote Reference Superscript,BVI fnr, BVI fnr,Footnote symbol,Footnote reference number,note TESI,Appel note de bas de p,Nota,SUPERS,Footnote number,EN Footnote Reference,-E Fußnotenzeichen,number Char Char,number,Ref,styl,FR,styli"/>
    <w:link w:val="SUPERSCharCharCharCharCharCharCharChar"/>
    <w:uiPriority w:val="99"/>
    <w:qFormat/>
    <w:rPr>
      <w:vertAlign w:val="superscript"/>
    </w:rPr>
  </w:style>
  <w:style w:type="character" w:styleId="Hyperlink">
    <w:name w:val="Hyperlink"/>
    <w:uiPriority w:val="99"/>
    <w:rPr>
      <w:color w:val="0563C1"/>
      <w:u w:val="single"/>
    </w:rPr>
  </w:style>
  <w:style w:type="paragraph" w:customStyle="1" w:styleId="SUPERSCharCharCharCharCharCharCharChar">
    <w:name w:val="SUPERS Char Char Char Char Char Char Char Char"/>
    <w:aliases w:val="SUPERS Tegn Char Char Char Char Char Char Char Char Char,Footnote Reference Number Tegn Char Char Char Char Char Char Char Char Char"/>
    <w:basedOn w:val="Normal"/>
    <w:link w:val="FootnoteReference"/>
    <w:uiPriority w:val="99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customStyle="1" w:styleId="Subsections">
    <w:name w:val="Subsections"/>
    <w:basedOn w:val="NumPar3"/>
    <w:uiPriority w:val="90"/>
    <w:qFormat/>
    <w:pPr>
      <w:numPr>
        <w:ilvl w:val="0"/>
        <w:numId w:val="0"/>
      </w:numPr>
      <w:spacing w:after="120"/>
      <w:ind w:left="1922" w:hanging="720"/>
    </w:pPr>
  </w:style>
  <w:style w:type="paragraph" w:customStyle="1" w:styleId="Default">
    <w:name w:val="Default"/>
    <w:basedOn w:val="Normal"/>
    <w:pPr>
      <w:autoSpaceDE w:val="0"/>
      <w:autoSpaceDN w:val="0"/>
      <w:spacing w:after="0"/>
      <w:jc w:val="left"/>
    </w:pPr>
    <w:rPr>
      <w:rFonts w:eastAsiaTheme="minorHAnsi"/>
      <w:color w:val="000000"/>
      <w:szCs w:val="24"/>
      <w:lang w:eastAsia="en-GB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eastAsiaTheme="minorHAnsi"/>
      <w:szCs w:val="22"/>
      <w:lang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Text1Char">
    <w:name w:val="Text 1 Char"/>
    <w:basedOn w:val="DefaultParagraphFont"/>
    <w:link w:val="Text1"/>
    <w:uiPriority w:val="90"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FooterSensitivityChar">
    <w:name w:val="Footer Sensitivity Char"/>
    <w:basedOn w:val="Text1Char"/>
    <w:link w:val="FooterSensitivity"/>
    <w:rPr>
      <w:rFonts w:ascii="Times New Roman" w:eastAsia="Times New Roman" w:hAnsi="Times New Roman" w:cs="Times New Roman"/>
      <w:b/>
      <w:sz w:val="32"/>
      <w:szCs w:val="20"/>
      <w:lang w:eastAsia="en-IE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Text1Char"/>
    <w:link w:val="HeaderSensitivity"/>
    <w:rPr>
      <w:rFonts w:ascii="Times New Roman" w:eastAsia="Times New Roman" w:hAnsi="Times New Roman" w:cs="Times New Roman"/>
      <w:b/>
      <w:sz w:val="32"/>
      <w:szCs w:val="20"/>
      <w:lang w:eastAsia="en-IE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/>
      <w:jc w:val="right"/>
    </w:pPr>
    <w:rPr>
      <w:sz w:val="28"/>
    </w:rPr>
  </w:style>
  <w:style w:type="character" w:customStyle="1" w:styleId="HeaderSensitivityRightChar">
    <w:name w:val="Header Sensitivity Right Char"/>
    <w:basedOn w:val="Text1Char"/>
    <w:link w:val="HeaderSensitivityRight"/>
    <w:rPr>
      <w:rFonts w:ascii="Times New Roman" w:eastAsia="Times New Roman" w:hAnsi="Times New Roman" w:cs="Times New Roman"/>
      <w:sz w:val="28"/>
      <w:szCs w:val="20"/>
      <w:lang w:eastAsia="en-IE"/>
    </w:rPr>
  </w:style>
  <w:style w:type="character" w:customStyle="1" w:styleId="st">
    <w:name w:val="st"/>
    <w:basedOn w:val="DefaultParagraphFont"/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/>
    </w:pPr>
    <w:rPr>
      <w:rFonts w:eastAsiaTheme="minorHAnsi"/>
      <w:szCs w:val="22"/>
      <w:lang w:eastAsia="en-US"/>
    </w:rPr>
  </w:style>
  <w:style w:type="paragraph" w:customStyle="1" w:styleId="SecurityMarking">
    <w:name w:val="SecurityMarking"/>
    <w:basedOn w:val="Normal"/>
    <w:pPr>
      <w:spacing w:after="0" w:line="276" w:lineRule="auto"/>
      <w:ind w:left="5103"/>
      <w:jc w:val="left"/>
    </w:pPr>
    <w:rPr>
      <w:rFonts w:eastAsiaTheme="minorHAnsi"/>
      <w:sz w:val="28"/>
      <w:szCs w:val="22"/>
      <w:lang w:eastAsia="en-US"/>
    </w:rPr>
  </w:style>
  <w:style w:type="paragraph" w:customStyle="1" w:styleId="DateMarking">
    <w:name w:val="DateMarking"/>
    <w:basedOn w:val="Normal"/>
    <w:pPr>
      <w:spacing w:after="0" w:line="276" w:lineRule="auto"/>
      <w:ind w:left="5103"/>
      <w:jc w:val="left"/>
    </w:pPr>
    <w:rPr>
      <w:rFonts w:eastAsiaTheme="minorHAnsi"/>
      <w:i/>
      <w:sz w:val="28"/>
      <w:szCs w:val="22"/>
      <w:lang w:eastAsia="en-US"/>
    </w:rPr>
  </w:style>
  <w:style w:type="paragraph" w:customStyle="1" w:styleId="ReleasableTo">
    <w:name w:val="ReleasableTo"/>
    <w:basedOn w:val="Normal"/>
    <w:pPr>
      <w:spacing w:after="0" w:line="276" w:lineRule="auto"/>
      <w:ind w:left="5103"/>
      <w:jc w:val="left"/>
    </w:pPr>
    <w:rPr>
      <w:rFonts w:eastAsiaTheme="minorHAnsi"/>
      <w:i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64517-B3C2-4647-908B-E763CB95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1635</Words>
  <Characters>10746</Characters>
  <Application>Microsoft Office Word</Application>
  <DocSecurity>0</DocSecurity>
  <Lines>467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2020-10-13T07:30:00Z</dcterms:created>
  <dcterms:modified xsi:type="dcterms:W3CDTF">2020-10-21T17:42:00Z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Last edited using">
    <vt:lpwstr>LW 7.0.1, Build 20190916</vt:lpwstr>
  </property>
  <property fmtid="{D5CDD505-2E9C-101B-9397-08002B2CF9AE}" pid="4" name="First annex">
    <vt:lpwstr>1</vt:lpwstr>
  </property>
  <property fmtid="{D5CDD505-2E9C-101B-9397-08002B2CF9AE}" pid="5" name="Last annex">
    <vt:lpwstr>1</vt:lpwstr>
  </property>
  <property fmtid="{D5CDD505-2E9C-101B-9397-08002B2CF9AE}" pid="6" name="Unique annex">
    <vt:lpwstr>1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DocStatus">
    <vt:lpwstr>Green</vt:lpwstr>
  </property>
  <property fmtid="{D5CDD505-2E9C-101B-9397-08002B2CF9AE}" pid="10" name="CPTemplateID">
    <vt:lpwstr>CP-039</vt:lpwstr>
  </property>
</Properties>
</file>