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3C105A8-19A2-4910-9D1A-179CC4CB539A" style="width:451.25pt;height:379.25pt">
            <v:imagedata r:id="rId9" o:title=""/>
          </v:shape>
        </w:pict>
      </w:r>
    </w:p>
    <w:p>
      <w:pPr>
        <w:rPr>
          <w:noProof/>
        </w:rPr>
        <w:sectPr>
          <w:footerReference w:type="default" r:id="rId10"/>
          <w:pgSz w:w="11907" w:h="16839"/>
          <w:pgMar w:top="1440" w:right="1440" w:bottom="1440" w:left="1440" w:header="720" w:footer="720" w:gutter="0"/>
          <w:pgNumType w:start="0"/>
          <w:cols w:space="720"/>
          <w:docGrid w:linePitch="326"/>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noProof/>
        </w:rPr>
      </w:pPr>
      <w:r>
        <w:rPr>
          <w:noProof/>
        </w:rPr>
        <w:t>•</w:t>
      </w:r>
      <w:r>
        <w:rPr>
          <w:noProof/>
        </w:rPr>
        <w:tab/>
        <w:t>Αιτιολόγηση και στόχοι της πρότασης</w:t>
      </w:r>
    </w:p>
    <w:p>
      <w:pPr>
        <w:rPr>
          <w:noProof/>
        </w:rPr>
      </w:pPr>
      <w:r>
        <w:rPr>
          <w:noProof/>
        </w:rPr>
        <w:t>Το διεθνές εμπορικό περιβάλλον διαρκώς μεταβάλλεται. Συνεχώς επιβάλλονται νέοι κανόνες για τη ρύθμιση της διασυνοριακής διακίνησης εμπορευμάτων και τη διαφύλαξη της ασφάλειας και της προστασίας. Ο ενωσιακός τελωνειακός κώδικας</w:t>
      </w:r>
      <w:r>
        <w:rPr>
          <w:rStyle w:val="FootnoteReference"/>
          <w:noProof/>
        </w:rPr>
        <w:footnoteReference w:id="2"/>
      </w:r>
      <w:r>
        <w:rPr>
          <w:noProof/>
        </w:rPr>
        <w:t xml:space="preserve"> (ΕΤΚ) παρέχει τη νομική βάση για ένα σύγχρονο και ηλεκτρονικό τελωνειακό περιβάλλον. Σύμφωνα με το άρθρο 3 του ΕΤΚ, οι τελωνειακές αρχές είναι επιφορτισμένες με τη διαφύλαξη της ασφάλειας και της προστασίας της Ευρωπαϊκής Ένωσης και των κατοίκων της, καθώς και της προστασίας του περιβάλλοντος, σε στενή συνεργασία με άλλες αρχές εφόσον χρειάζεται, και, παράλληλα, με τη διατήρηση ισορροπίας ανάμεσα στους τελωνειακούς ελέγχους και τη διευκόλυνση του θεμιτού εμπορίου. Στις εν λόγω αρμοδιότητες των τελωνείων περιλαμβάνεται η επιβολή της εφαρμογής άνω των 60 ενωσιακών μη τελωνειακών νομικών πράξεων</w:t>
      </w:r>
      <w:r>
        <w:rPr>
          <w:rStyle w:val="FootnoteReference"/>
          <w:noProof/>
        </w:rPr>
        <w:footnoteReference w:id="3"/>
      </w:r>
      <w:r>
        <w:rPr>
          <w:noProof/>
        </w:rPr>
        <w:t xml:space="preserve"> στα εξωτερικά σύνορα της ΕΕ, οι οποίες αφορούν συγκεκριμένες πολιτικές που εφαρμόζονται σε διάφορους τομείς, όπως η υγεία και η ασφάλεια, η προστασία του περιβάλλοντος, η αλιεία και η γεωργία, η εποπτεία της αγοράς και η συμμόρφωση των προϊόντων</w:t>
      </w:r>
      <w:r>
        <w:rPr>
          <w:rStyle w:val="FootnoteReference"/>
          <w:noProof/>
        </w:rPr>
        <w:footnoteReference w:id="4"/>
      </w:r>
      <w:r>
        <w:rPr>
          <w:noProof/>
        </w:rPr>
        <w:t>, η πολιτιστική κληρονομιά κ.λπ. Οι πράξεις αυτές επιβάλλουν διάφορες υποχρεώσεις όσον αφορά την εισαγωγή, την εξαγωγή ή τη διαμετακόμιση των πλέον ευαίσθητων εμπορευμάτων και επηρεάζουν κατ’ εκτίμηση 39,7 εκατομμύρια τελωνειακές διασαφήσεις ετησίως. Επιβαρύνουν τους εμπόρους με υποχρεώσεις υποβολής στοιχείων που, στις περισσότερες περιπτώσεις, απαιτούν επιπρόσθετα έγγραφα πέραν της τελωνειακής διασάφησης.</w:t>
      </w:r>
    </w:p>
    <w:p>
      <w:pPr>
        <w:rPr>
          <w:noProof/>
        </w:rPr>
      </w:pPr>
      <w:r>
        <w:rPr>
          <w:noProof/>
        </w:rPr>
        <w:t>Τα τελευταία έτη, οι πρωτοβουλίες «ενιαίας θυρίδας» έχουν κερδίσει έδαφος ως τρόπος εξορθολογισμού της διαδικασίας τελωνισμού στα εσωτερικά και εξωτερικά σύνορα της ΕΕ. Ως «ενιαία θυρίδα» νοείται μια ψηφιακή λύση για την ανταλλαγή ηλεκτρονικών πληροφοριών μεταξύ διαφορετικών κυβερνητικών αρχών, καθώς και μεταξύ των τελευταίων και των οικονομικών φορέων. Το 2008 τα κράτη μέλη και η Επιτροπή δεσμεύτηκαν να προωθήσουν ένα ηλεκτρονικό περιβάλλον για τα τελωνεία στην ΕΕ</w:t>
      </w:r>
      <w:r>
        <w:rPr>
          <w:rStyle w:val="FootnoteReference"/>
          <w:noProof/>
        </w:rPr>
        <w:footnoteReference w:id="5"/>
      </w:r>
      <w:r>
        <w:rPr>
          <w:noProof/>
        </w:rPr>
        <w:t>, επιδιώκοντας να δημιουργήσουν το πλαίσιο για τις υπηρεσίες ενιαίας ηλεκτρονικής θυρίδας. Η Δήλωση της Βενετίας το 2014</w:t>
      </w:r>
      <w:r>
        <w:rPr>
          <w:rStyle w:val="FootnoteReference"/>
          <w:noProof/>
        </w:rPr>
        <w:footnoteReference w:id="6"/>
      </w:r>
      <w:r>
        <w:rPr>
          <w:noProof/>
        </w:rPr>
        <w:t xml:space="preserve"> πρότεινε ένα σταδιακό σχέδιο δράσης για την υλοποίηση ενός περιβάλλοντος ενιαίας θυρίδας της ΕΕ για τα τελωνεία και την ανάπτυξη του νομικού πλαισίου του. Την πρόταση επανέλαβε η Επιτροπή στην ανακοίνωση του 2016 για την </w:t>
      </w:r>
      <w:r>
        <w:rPr>
          <w:noProof/>
        </w:rPr>
        <w:lastRenderedPageBreak/>
        <w:t>ανάπτυξη της τελωνειακής ένωσης της ΕΕ και της διακυβέρνησής της</w:t>
      </w:r>
      <w:r>
        <w:rPr>
          <w:rStyle w:val="FootnoteReference"/>
          <w:noProof/>
        </w:rPr>
        <w:footnoteReference w:id="7"/>
      </w:r>
      <w:r>
        <w:rPr>
          <w:noProof/>
        </w:rPr>
        <w:t>, στην οποία η Επιτροπή εξήγγειλε τα σχέδιά της να διερευνήσει μια εφαρμόσιμη λύση για την ανάπτυξη και τη δημιουργία περιβάλλοντος ενιαίας θυρίδας της ΕΕ για τα τελωνεία. Η προσέγγιση αυτή υποστηρίζεται από τα συμπεράσματα του Συμβουλίου ECOFIN της 23ης Μαΐου 2017</w:t>
      </w:r>
      <w:r>
        <w:rPr>
          <w:rStyle w:val="FootnoteReference"/>
          <w:noProof/>
        </w:rPr>
        <w:footnoteReference w:id="8"/>
      </w:r>
      <w:r>
        <w:rPr>
          <w:noProof/>
        </w:rPr>
        <w:t>. Η πρώτη διετής έκθεση προόδου σχετικά με την ανάπτυξη της τελωνειακής ένωσης της ΕΕ και της διακυβέρνησής της</w:t>
      </w:r>
      <w:r>
        <w:rPr>
          <w:rStyle w:val="FootnoteReference"/>
          <w:noProof/>
        </w:rPr>
        <w:footnoteReference w:id="9"/>
      </w:r>
      <w:r>
        <w:rPr>
          <w:noProof/>
        </w:rPr>
        <w:t> επικεντρώθηκε επίσης σε τομείς προτεραιότητας που περιγράφονται στα συμπεράσματα του Συμβουλίου και ανακοίνωσε την πρόθεση της Επιτροπής να συνεχίσει τις εργασίες προς ένα περιβάλλον ενιαίας θυρίδας της ΕΕ για τα τελωνεία.</w:t>
      </w:r>
    </w:p>
    <w:p>
      <w:pPr>
        <w:rPr>
          <w:noProof/>
        </w:rPr>
      </w:pPr>
      <w:r>
        <w:rPr>
          <w:noProof/>
        </w:rPr>
        <w:t>Σύμφωνα με αυτές τις προτεραιότητες, η Επιτροπή δρομολόγησε το 2015 δοκιμαστικό σχέδιο με τίτλο «EU Customs Single Window-Common Veterinary Entry Document» [Ενιαία τελωνειακή θυρίδα της ΕΕ-Κοινό κτηνιατρικό έγγραφο εισόδου (EU CSW-CVED)]. Το σχέδιο τελούσε υπό την κοινή διαχείριση της Γενικής Διεύθυνσης Φορολογίας και Τελωνειακής Ένωσης (ΓΔ TAXUD) και της Γενικής Διεύθυνσης Υγείας και Ασφάλειας των Τροφίμων (ΓΔ SANTE) με στόχο να καταστεί δυνατή η αυτοματοποιημένη επαλήθευση από τα τελωνεία τριών μη τελωνειακών κανονιστικών διατυπώσεων που υποβάλλονταν με την τελωνειακή διασάφηση ως αποδεικτικά συμμόρφωσης. Στο εν λόγω δοκιμαστικό σχέδιο συμμετείχαν αρχικά οι τελωνειακές διοικήσεις πέντε κρατών μελών σε εθελοντική βάση. Το διάδοχο σχέδιο, το σύστημα ενιαίας τελωνειακής θυρίδας της ΕΕ για την ανταλλαγή πιστοποιητικών (EU CSW-CERTEX), διεύρυνε το πεδίο εφαρμογής των κανονιστικών απαιτήσεων και εισήγαγε νέες λειτουργίες, όπως τη διαχείριση ποσοτήτων</w:t>
      </w:r>
      <w:r>
        <w:rPr>
          <w:rStyle w:val="FootnoteReference"/>
          <w:noProof/>
        </w:rPr>
        <w:footnoteReference w:id="10"/>
      </w:r>
      <w:r>
        <w:rPr>
          <w:noProof/>
        </w:rPr>
        <w:t xml:space="preserve">. Ο αριθμός των συμμετεχόντων κρατών μελών αυξήθηκε από πέντε σε εννέα και καλύπτονται περισσότεροι τομείς πολιτικής. </w:t>
      </w:r>
    </w:p>
    <w:p>
      <w:pPr>
        <w:rPr>
          <w:noProof/>
        </w:rPr>
      </w:pPr>
      <w:r>
        <w:rPr>
          <w:noProof/>
        </w:rPr>
        <w:t>Το δοκιμαστικό σχέδιο EU CSW-CERTEX αντιμετώπισε επιτυχώς την ανάγκη εξασφάλισης κατάλληλου ψηφιακού περιβάλλοντος για όλα τα μέρη που εμπλέκονται στο διεθνές εμπόριο. Με την παροχή κεντρικής λύσης μέσω του δοκιμαστικού σχεδίου, μειώθηκαν οι απαιτήσεις για τα συμμετέχοντα κράτη μέλη να αναπτύξουν δικές τους λύσεις και, με αυτόν τον τρόπο, επιτεύχθηκαν οικονομίες κλίμακας. Η αυτοματοποιημένη διαδικασία για την επαλήθευση της τήρησης των μη τελωνειακών κανονιστικών απαιτήσεων είχε ιδιαίτερα θετικό αντίκτυπο στις επιχειρηματικές δραστηριότητες, ιδίως σε σχέση με τον περιορισμό του διοικητικού φόρτου, την ίση αντιμετώπιση των οικονομικών φορέων και την καταπολέμηση των δόλιων δραστηριοτήτων. Παρά την επιτυχία του δοκιμαστικού σχεδίου, τα επιθυμητά οφέλη του δεν μπορούν να επιτευχθούν χωρίς τη συμμετοχή όλων των κρατών μελών. Σε αρκετά μη συμμετέχοντα κράτη μέλη, οι τελωνειακές αρχές και οι αρμόδιες αρχές-εταίροι εξακολουθούν να εργάζονται με κερματισμένο τρόπο, γεγονός που θέτει σημαντικούς φραγμούς στην αποτελεσματική διαδικασία τελωνισμού των εμπορευμάτων. Η κατάσταση περιπλέκεται ακόμη περισσότερο από νέες πρωτοβουλίες ενιαίας θυρίδας σε εθνικό επίπεδο, οι οποίες παραμένουν μεμονωμένες και χαρακτηρίζονται από διαφορετικές ρυθμίσεις με βάση το επίπεδο της υφιστάμενης αρχιτεκτονικής ΤΠ των τελωνείων, τις προτεραιότητες και τη διάρθρωση του κόστους. Τα υφιστάμενα προβλήματα δεν είναι πιθανόν να επιλυθούν χωρίς ενωσιακή δράση, κυρίως διότι οι σχετικές κανονιστικές απαιτήσεις αφορούν τη διασυνοριακή διακίνηση εμπορευμάτων και, ως εκ τούτου, πρέπει να πληρούνται σε επίπεδο ΕΕ. </w:t>
      </w:r>
    </w:p>
    <w:p>
      <w:pPr>
        <w:rPr>
          <w:noProof/>
        </w:rPr>
      </w:pPr>
      <w:r>
        <w:rPr>
          <w:noProof/>
        </w:rPr>
        <w:lastRenderedPageBreak/>
        <w:t>Η πανδημία Covid-19 κατέστησε σημαντικότερη από ποτέ τη θέσπιση ενός ισχυρότερου πλαισίου για την τελωνειακή ένωση και την περαιτέρω διευκόλυνση της εκπλήρωσης των τελωνειακών και των ενωσιακών μη τελωνειακών διατυπώσεων για τη στήριξη της οικονομικής ανάκαμψης. Για τον σκοπό αυτό, η εντεινόμενη ψηφιοποίηση των τελωνειακών και ενωσιακών μη τελωνειακών διατυπώσεων που εφαρμόζονται στο διεθνές εμπόριο προσφέρει νέες ευκαιρίες για τα κράτη μέλη προκειμένου να ενισχύσουν την ψηφιακή συνεργασία. Σε εναρμόνιση με τις πολιτικές κατευθύνσεις της προέδρου von der Leyen</w:t>
      </w:r>
      <w:r>
        <w:rPr>
          <w:rStyle w:val="FootnoteReference"/>
          <w:noProof/>
        </w:rPr>
        <w:footnoteReference w:id="11"/>
      </w:r>
      <w:r>
        <w:rPr>
          <w:noProof/>
        </w:rPr>
        <w:t xml:space="preserve">, η παρούσα πρόταση θα θέσει τις κατάλληλες προϋποθέσεις για την ψηφιακή συνεργασία μεταξύ των τελωνείων και των αρμόδιων αρχών-εταίρων με σκοπό την ορθή εφαρμογή των εξωτερικών πτυχών πολλών πολιτικών για την εσωτερική αγορά και για τη μείωση του διοικητικού φόρτου του εμπορίου. Μία πτυχή αυτού του πλαισίου ψηφιακής συνεργασίας επιβάλλει στις ρυθμιστικές αρχές την υποχρέωση να παρέχουν στους οικονομικούς φορείς τη δυνατότητα να υποβάλλουν σε ένα ενιαίο σημείο τόσο τα τελωνειακά όσο και τα μη τελωνειακά δεδομένα που απαιτούνται για τον τελωνισμό των εμπορευμάτων. Αυτό θα περιορίσει τις επικαλύψεις, τον χρόνο και το κόστος συμμόρφωσης για τους οικονομικούς φορείς. </w:t>
      </w:r>
    </w:p>
    <w:p>
      <w:pPr>
        <w:rPr>
          <w:noProof/>
        </w:rPr>
      </w:pPr>
      <w:r>
        <w:rPr>
          <w:noProof/>
        </w:rPr>
        <w:t>Η παρούσα πρόταση αποτελεί το πρώτο βήμα για την εφαρμογή ενός ευρύτερου σχεδίου δράσης</w:t>
      </w:r>
      <w:r>
        <w:rPr>
          <w:rStyle w:val="FootnoteReference"/>
          <w:noProof/>
        </w:rPr>
        <w:footnoteReference w:id="12"/>
      </w:r>
      <w:r>
        <w:rPr>
          <w:noProof/>
        </w:rPr>
        <w:t xml:space="preserve"> που δρομολογήθηκε τον Σεπτέμβριο του 2020 και συνάδει πλήρως με το μακροπρόθεσμο όραμα της Επιτροπής για τη μετάβαση της τελωνειακής ένωσης στο επόμενο στάδιο. Η προσέγγιση αυτή επαναλαμβάνεται επίσης στη δεύτερη διετή έκθεση του 2020 που συνοδεύει την ανακοίνωση της Επιτροπής προς το Ευρωπαϊκό Κοινοβούλιο, το Συμβούλιο και την Ευρωπαϊκή Οικονομική και Κοινωνική Επιτροπή με τίτλο «Μετάβαση της τελωνειακής ένωσης στο επόμενο στάδιο: σχέδιο δράσης»</w:t>
      </w:r>
      <w:r>
        <w:rPr>
          <w:rStyle w:val="FootnoteReference"/>
          <w:noProof/>
        </w:rPr>
        <w:footnoteReference w:id="13"/>
      </w:r>
      <w:r>
        <w:rPr>
          <w:noProof/>
        </w:rPr>
        <w:t xml:space="preserve">. </w:t>
      </w:r>
    </w:p>
    <w:p>
      <w:pPr>
        <w:rPr>
          <w:noProof/>
        </w:rPr>
      </w:pPr>
      <w:r>
        <w:rPr>
          <w:noProof/>
        </w:rPr>
        <w:t>Προκειμένου να αντιμετωπιστούν τα διαπιστωθέντα προβλήματα που επηρεάζουν τη διαδικασία τελωνισμού των εμπορευμάτων (ιδίως ο ανεπαρκής συντονισμός και ο κατακερματισμός της διαλειτουργικότητας μεταξύ τελωνείων και αρμόδιων αρχών-εταίρων), η πρόταση θα επιδιώξει τρεις ειδικούς σκοπούς:</w:t>
      </w:r>
    </w:p>
    <w:p>
      <w:pPr>
        <w:pStyle w:val="Point0"/>
        <w:rPr>
          <w:noProof/>
        </w:rPr>
      </w:pPr>
      <w:r>
        <w:rPr>
          <w:noProof/>
        </w:rPr>
        <w:t>1.</w:t>
      </w:r>
      <w:r>
        <w:rPr>
          <w:noProof/>
        </w:rPr>
        <w:tab/>
        <w:t>τον καθορισμό ενός πλαισίου διακυβέρνησης για την ενισχυμένη συνεργασία μεταξύ τελωνειακών και αρμόδιων αρχών-εταίρων και για την ανάπτυξη διαλειτουργικών λύσεων</w:t>
      </w:r>
      <w:r>
        <w:rPr>
          <w:rStyle w:val="FootnoteReference"/>
          <w:noProof/>
        </w:rPr>
        <w:footnoteReference w:id="14"/>
      </w:r>
      <w:r>
        <w:rPr>
          <w:noProof/>
        </w:rPr>
        <w:t xml:space="preserve"> όπου κρίνεται ωφέλιμο και σκόπιμο·</w:t>
      </w:r>
    </w:p>
    <w:p>
      <w:pPr>
        <w:pStyle w:val="Point0"/>
        <w:rPr>
          <w:noProof/>
        </w:rPr>
      </w:pPr>
      <w:r>
        <w:rPr>
          <w:noProof/>
        </w:rPr>
        <w:t>2.</w:t>
      </w:r>
      <w:r>
        <w:rPr>
          <w:noProof/>
        </w:rPr>
        <w:tab/>
        <w:t>τη βελτίωση των εργασιακών πρακτικών μεταξύ των ρυθμιστικών αρχών που εμπλέκονται στο διεθνές εμπόριο, ώστε να καταστούν δυνατές περισσότερες αυτοματοποιημένες, ηλεκτρονικές και ολοκληρωμένες διαδικασίες διεκπεραίωσης του τελωνισμού των εμπορευμάτων· και</w:t>
      </w:r>
    </w:p>
    <w:p>
      <w:pPr>
        <w:pStyle w:val="Point0"/>
        <w:rPr>
          <w:noProof/>
        </w:rPr>
      </w:pPr>
      <w:r>
        <w:rPr>
          <w:noProof/>
        </w:rPr>
        <w:t>3.</w:t>
      </w:r>
      <w:r>
        <w:rPr>
          <w:noProof/>
        </w:rPr>
        <w:tab/>
        <w:t>τον προσδιορισμό ενός πλαισίου εναρμόνισης των δεδομένων και τη δυνατότητα επαναχρησιμοποίησης των δεδομένων για την εκπλήρωση των διαφορετικών διατυπώσεων που απαιτούν οι τελωνειακές και μη τελωνειακές αρχές για το διεθνές εμπόριο.</w:t>
      </w:r>
    </w:p>
    <w:p>
      <w:pPr>
        <w:rPr>
          <w:noProof/>
        </w:rPr>
      </w:pPr>
      <w:r>
        <w:rPr>
          <w:noProof/>
        </w:rPr>
        <w:lastRenderedPageBreak/>
        <w:t>Οι στόχοι αυτοί θα επιτευχθούν με την αξιοποίηση του υφιστάμενου δοκιμαστικού σχεδίου, της ενιαίας θυρίδας EU CSW-CERTEX που ανέπτυξε η ΓΔ TAXUD, και με τη θέσπιση νομικής βάσης που θα καθιστά υποχρεωτική τη χρήση της από όλα τα κράτη μέλη. Με τον τρόπο αυτό θα διευκολυνθεί η ανταλλαγή πληροφοριών και η ανάπτυξη ενός πλαισίου ψηφιακής συνεργασίας μεταξύ τελωνείων και αρμόδιων αρχών-εταίρων όσον αφορά ορισμένες κανονιστικές διατυπώσεις στο πλαίσιο των οποίων τα δεδομένα που απαιτούνται για τον τελωνισμό των εμπορευμάτων παρέχονται από όλες τις συναφείς αρμόδιες αρχές-εταίρους σε ηλεκτρονικά συστήματα της ΕΕ. Οι συνδέσεις μεταξύ της ενιαίας θυρίδας EU CSW-CERTEX και των μελλοντικών ηλεκτρονικών συστημάτων της ΕΕ για τη διαχείριση μη τελωνειακών διατυπώσεων θα δημιουργηθούν σταδιακά, μετά τη θέσπιση της αντίστοιχης ενωσιακής μη τελωνειακής νομοθεσίας και των επιχειρησιακών πτυχών. Το πλήρως ολοκληρωμένο κανονιστικό περιβάλλον της ΕΕ αναμένεται να αποφέρει στην ΕΕ μακροχρόνια οφέλη σε πολλούς τομείς.</w:t>
      </w:r>
    </w:p>
    <w:p>
      <w:pPr>
        <w:pStyle w:val="ManualHeading2"/>
        <w:rPr>
          <w:noProof/>
        </w:rPr>
      </w:pPr>
      <w:r>
        <w:rPr>
          <w:noProof/>
        </w:rPr>
        <w:t>•</w:t>
      </w:r>
      <w:r>
        <w:rPr>
          <w:noProof/>
        </w:rPr>
        <w:tab/>
        <w:t>Συνέπεια με τις ισχύουσες διατάξεις στον τομέα πολιτικής</w:t>
      </w:r>
    </w:p>
    <w:p>
      <w:pPr>
        <w:rPr>
          <w:noProof/>
        </w:rPr>
      </w:pPr>
      <w:r>
        <w:rPr>
          <w:noProof/>
        </w:rPr>
        <w:t>Η παρούσα πρόταση είναι συνεπής με τον στόχο του ΕΤΚ για την εφαρμογή ενός σύγχρονου και ηλεκτρονικού τελωνειακού περιβάλλοντος και για την προαγωγή της ψηφιακής συνεργασίας των τελωνείων και των διαφόρων κρατικών αρχών σε όλους τους τομείς πολιτικής. Επίσης, συμπληρώνει τα εκτενή σχέδια για τα ηλεκτρονικά τελωνεία που περιγράφονται αναλυτικά στο πρόγραμμα εργασίας του ΕΤΚ</w:t>
      </w:r>
      <w:r>
        <w:rPr>
          <w:rStyle w:val="FootnoteReference"/>
          <w:noProof/>
        </w:rPr>
        <w:footnoteReference w:id="15"/>
      </w:r>
      <w:r>
        <w:rPr>
          <w:noProof/>
        </w:rPr>
        <w:t xml:space="preserve"> και συνάδει με το πολυετές στρατηγικό σχέδιο για τα ηλεκτρονικά τελωνεία (MASP-C), το οποίο διασφαλίζει τον επιχειρησιακό σχεδιασμό και το χρονοδιάγραμμα εφαρμογής όλων των σχεδίων ΤΠ για τα ηλεκτρονικά τελωνεία. </w:t>
      </w:r>
    </w:p>
    <w:p>
      <w:pPr>
        <w:rPr>
          <w:noProof/>
        </w:rPr>
      </w:pPr>
      <w:r>
        <w:rPr>
          <w:noProof/>
        </w:rPr>
        <w:t>Η πλέον συναφής πρωτοβουλία της ΕΕ στον τομέα, η ενιαία θυρίδα EU CSW-CERTEX, είναι αποκλειστικά εθελοντική και έχει περιορισμένο πεδίο εφαρμογής. Η πρόταση βασίζεται στην υφιστάμενη δοκιμαστική λύση και καθιστά υποχρεωτική για όλα τα κράτη μέλη την ανταλλαγή δεδομένων όσον αφορά ορισμένες κανονιστικές διατυπώσεις για τις οποίες όλα τα κράτη μέλη παρέχουν τις συναφείς πληροφορίες τελωνισμού σε ηλεκτρονικά συστήματα της ΕΕ. Προϋπόθεση για να επιτευχθούν τα επιθυμητά οφέλη του παρόντος σχεδίου σε επίπεδο βελτίωσης της αποδοτικότητας, επιβολής της νομοθεσίας και περιορισμού της απάτης και των σφαλμάτων είναι η συμμετοχή όλων των κρατών μελών.</w:t>
      </w:r>
    </w:p>
    <w:p>
      <w:pPr>
        <w:pStyle w:val="ManualHeading2"/>
        <w:rPr>
          <w:noProof/>
        </w:rPr>
      </w:pPr>
      <w:r>
        <w:rPr>
          <w:noProof/>
        </w:rPr>
        <w:t>•</w:t>
      </w:r>
      <w:r>
        <w:rPr>
          <w:noProof/>
        </w:rPr>
        <w:tab/>
        <w:t>Συνέπεια με άλλες πολιτικές της Ένωσης</w:t>
      </w:r>
    </w:p>
    <w:p>
      <w:pPr>
        <w:autoSpaceDE w:val="0"/>
        <w:autoSpaceDN w:val="0"/>
        <w:spacing w:before="40" w:after="40"/>
        <w:rPr>
          <w:noProof/>
        </w:rPr>
      </w:pPr>
      <w:r>
        <w:rPr>
          <w:noProof/>
        </w:rPr>
        <w:t>Το εύρος της πρωτοβουλίας, που σχετίζεται με το διεθνές εμπόριο και επικεντρώνεται στα τελωνεία και σε ένα ευρύ φάσμα μη τελωνειακών κανονιστικών διατυπώσεων που είναι απαραίτητες για την εισαγωγή, την εξαγωγή και τη διαμετακόμιση εμπορευμάτων, καθιστά ιδιαίτερα σημαντική την ευθυγράμμισή της με άλλες πολιτικές της ΕΕ. Όπως περιγράφεται στο πρώτο τμήμα, η πολιτική υψηλού επιπέδου της ΕΕ αποσκοπεί στη θέσπιση ενός περιβάλλοντος ενιαίας θυρίδας της ΕΕ για τα τελωνεία, σύμφωνα με το ευρύτερο θεματολόγιο της Επιτροπής για την ενίσχυση της ψηφιοποίησης και την απλούστευση των διαδικασιών τελωνισμού. Στο πλαίσιο αυτό, το περιβάλλον ενιαίας θυρίδας της ΕΕ για τα τελωνεία θα συνάδει με τους στόχους του σχεδίου δράσης της ΕΕ για την ηλεκτρονική διακυβέρνηση 2016-2020</w:t>
      </w:r>
      <w:r>
        <w:rPr>
          <w:rStyle w:val="FootnoteReference"/>
          <w:noProof/>
        </w:rPr>
        <w:footnoteReference w:id="16"/>
      </w:r>
      <w:r>
        <w:rPr>
          <w:noProof/>
        </w:rPr>
        <w:t xml:space="preserve">, που αποσκοπεί στην ενίσχυση της αποδοτικότητας των δημόσιων υπηρεσιών με την άρση των υφιστάμενων ψηφιακών φραγμών, τη μείωση του διοικητικού φόρτου και την ενίσχυση της ποιότητας των αλληλεπιδράσεων μεταξύ των εθνικών </w:t>
      </w:r>
      <w:r>
        <w:rPr>
          <w:noProof/>
        </w:rPr>
        <w:lastRenderedPageBreak/>
        <w:t>διοικήσεων. Η πρωτοβουλία συνάδει επίσης με τη Δήλωση του Ταλίν</w:t>
      </w:r>
      <w:r>
        <w:rPr>
          <w:rStyle w:val="FootnoteReference"/>
          <w:noProof/>
        </w:rPr>
        <w:footnoteReference w:id="17"/>
      </w:r>
      <w:r>
        <w:rPr>
          <w:noProof/>
        </w:rPr>
        <w:t>, η οποία καθορίζει στόχους σχετικά με τον «εξ ορισμού ψηφιακό χαρακτήρα» των αλληλεπιδράσεων μεταξύ του ευρέος κοινού και των επιχειρήσεων και τις αρχές «μόνον άπαξ»</w:t>
      </w:r>
      <w:r>
        <w:rPr>
          <w:rStyle w:val="FootnoteReference"/>
          <w:noProof/>
        </w:rPr>
        <w:footnoteReference w:id="18"/>
      </w:r>
      <w:r>
        <w:rPr>
          <w:noProof/>
        </w:rPr>
        <w:t xml:space="preserve"> και της «διαλειτουργικότητας εξ ορισμού». Σημαντική εξέλιξη εν προκειμένω αποτέλεσε ο κανονισμός eIDAS</w:t>
      </w:r>
      <w:r>
        <w:rPr>
          <w:rStyle w:val="FootnoteReference"/>
          <w:noProof/>
          <w:szCs w:val="24"/>
        </w:rPr>
        <w:footnoteReference w:id="19"/>
      </w:r>
      <w:r>
        <w:rPr>
          <w:noProof/>
        </w:rPr>
        <w:t xml:space="preserve">, με τον οποίο θεσπίστηκε νέα νομική δομή για την ηλεκτρονική ταυτοποίηση, τις υπογραφές, τις σφραγίδες και τα έγγραφα σε ολόκληρη την ΕΕ. </w:t>
      </w:r>
    </w:p>
    <w:p>
      <w:pPr>
        <w:rPr>
          <w:noProof/>
        </w:rPr>
      </w:pPr>
      <w:r>
        <w:rPr>
          <w:noProof/>
        </w:rPr>
        <w:t>Σε επίπεδο ΕΕ, θεσπίζονται πρόσθετες σχετικές πρωτοβουλίες για τη μεγιστοποίηση του αναπτυξιακού δυναμικού της ψηφιακής οικονομίας, σύμφωνα με το ευρύτερο όραμα της ανακοίνωσης της Επιτροπής με τίτλο «Διαμόρφωση του ψηφιακού μέλλοντος της Ευρώπης»</w:t>
      </w:r>
      <w:r>
        <w:rPr>
          <w:rStyle w:val="FootnoteReference"/>
          <w:noProof/>
        </w:rPr>
        <w:footnoteReference w:id="20"/>
      </w:r>
      <w:r>
        <w:rPr>
          <w:noProof/>
        </w:rPr>
        <w:t xml:space="preserve"> για την προώθηση του ψηφιακού μετασχηματισμού και της διαλειτουργικότητας των δημόσιων διοικήσεων σε ολόκληρη την Ευρώπη. Επί παραδείγματι, ο εκτελεστικός κανονισμός για τη θέσπιση κανόνων σχετικά με τη λειτουργία του συστήματος διαχείρισης πληροφοριών για τους επίσημους ελέγχους</w:t>
      </w:r>
      <w:r>
        <w:rPr>
          <w:rStyle w:val="FootnoteReference"/>
          <w:noProof/>
        </w:rPr>
        <w:footnoteReference w:id="21"/>
      </w:r>
      <w:r>
        <w:rPr>
          <w:noProof/>
        </w:rPr>
        <w:t xml:space="preserve"> κάνει ειδική αναφορά στο περιβάλλον ενιαίας θυρίδας της ΕΕ για τα τελωνεία, ως το κατάλληλο πλαίσιο για τη συνεργασία και την απρόσκοπτη ανταλλαγή πληροφοριών μεταξύ των τελωνείων και των κρατικών αρχών που είναι αρμόδιες για την πιστοποίηση της συμμόρφωσης με τις εφαρμοστέες κανονιστικές απαιτήσεις στον τομέα πολιτικής της υγείας των ανθρώπων, των ζώων και των φυτών. Άλλες νομικές πράξεις αντιμετωπίζουν το περιβάλλον ενιαίας θυρίδας της ΕΕ για τα τελωνεία ως πιθανή διεπαφή μεταξύ των υφιστάμενων συστημάτων ΤΠ. Ειδικότερα, ο κανονισμός (ΕΕ) 2019/1020 για την εποπτεία της αγοράς και τη συμμόρφωση των προϊόντων</w:t>
      </w:r>
      <w:r>
        <w:rPr>
          <w:rStyle w:val="FootnoteReference"/>
          <w:noProof/>
        </w:rPr>
        <w:footnoteReference w:id="22"/>
      </w:r>
      <w:r>
        <w:rPr>
          <w:noProof/>
        </w:rPr>
        <w:t> αναφέρεται στην εθελοντική χρήση του περιβάλλοντος ενιαίας θυρίδας της ΕΕ για τα τελωνεία για την ανταλλαγή δεδομένων μεταξύ τελωνείων και αρχών εποπτείας της αγοράς κατά τη διάρκεια της διαδικασίας τελωνισμού. Οι εν λόγω ανταλλαγές δεν εμπίπτουν στο πεδίο εφαρμογής του παρόντος σχεδίου, το οποίο καλύπτει την υποχρεωτική χρήση της ενιαίας θυρίδας EU CSW-CERTEX από όλα τα κράτη μέλη.</w:t>
      </w:r>
    </w:p>
    <w:p>
      <w:pPr>
        <w:pStyle w:val="ManualHeading1"/>
        <w:rPr>
          <w:noProof/>
        </w:rPr>
      </w:pPr>
      <w:r>
        <w:rPr>
          <w:noProof/>
        </w:rPr>
        <w:t>2.</w:t>
      </w:r>
      <w:r>
        <w:rPr>
          <w:noProof/>
        </w:rPr>
        <w:tab/>
        <w:t>ΝΟΜΙΚΗ ΒΑΣΗ, ΕΠΙΚΟΥΡΙΚΟΤΗΤΑ ΚΑΙ ΑΝΑΛΟΓΙΚΟΤΗΤΑ</w:t>
      </w:r>
    </w:p>
    <w:p>
      <w:pPr>
        <w:pStyle w:val="ManualHeading2"/>
        <w:rPr>
          <w:noProof/>
        </w:rPr>
      </w:pPr>
      <w:r>
        <w:rPr>
          <w:noProof/>
        </w:rPr>
        <w:t>•</w:t>
      </w:r>
      <w:r>
        <w:rPr>
          <w:noProof/>
        </w:rPr>
        <w:tab/>
        <w:t>Νομική βάση</w:t>
      </w:r>
    </w:p>
    <w:p>
      <w:pPr>
        <w:rPr>
          <w:noProof/>
        </w:rPr>
      </w:pPr>
      <w:r>
        <w:rPr>
          <w:noProof/>
        </w:rPr>
        <w:t>Τη νομική βάση για την ανάληψη δράσης από την ΕΕ παρέχουν τα άρθρα 33, 114 και 207 της Συνθήκης για τη λειτουργία της Ευρωπαϊκής Ένωσης</w:t>
      </w:r>
      <w:r>
        <w:rPr>
          <w:rStyle w:val="FootnoteReference"/>
          <w:noProof/>
        </w:rPr>
        <w:footnoteReference w:id="23"/>
      </w:r>
      <w:r>
        <w:rPr>
          <w:noProof/>
        </w:rPr>
        <w:t xml:space="preserve"> (ΣΛΕΕ). Τα άρθρα 33 και 114 της </w:t>
      </w:r>
      <w:r>
        <w:rPr>
          <w:noProof/>
        </w:rPr>
        <w:lastRenderedPageBreak/>
        <w:t>ΣΛΕΕ παρέχουν στο Ευρωπαϊκό Κοινοβούλιο και το Συμβούλιο το δικαίωμα να λαμβάνουν μέτρα για την ενίσχυση της τελωνειακής συνεργασίας τόσο μεταξύ των κρατών μελών όσο και μεταξύ των κρατών μελών και της Επιτροπής για τη διασφάλιση της ορθής λειτουργίας της εσωτερικής αγοράς. Ειδικότερα, η παρούσα πρόταση επιδιώκει την εξασφάλιση της ορθής εφαρμογής των εξωτερικών πτυχών ενός ευρέος φάσματος πολιτικών της εσωτερικής αγοράς. Το άρθρο 207 της ΣΛΕΕ βασίζεται στην παραδοχή ότι το πεδίο εφαρμογής της πρωτοβουλίας δεν περιορίζεται στη συνεργασία μεταξύ τελωνειακών αρχών αλλά καλύπτει τη διευκόλυνση του εμπορίου και την προστασία έναντι του παράνομου εμπορίου ως σημαντική πτυχή της εμπορικής πολιτικής. Τα τρία αυτά άρθρα της ΣΛΕΕ συνιστούν επίσης τη νομική βάση του ΕΤΚ, ο οποίος τροποποιείται με την παρούσα πράξη.</w:t>
      </w:r>
    </w:p>
    <w:p>
      <w:pPr>
        <w:pStyle w:val="ManualHeading2"/>
        <w:rPr>
          <w:noProof/>
        </w:rPr>
      </w:pPr>
      <w:r>
        <w:rPr>
          <w:noProof/>
        </w:rPr>
        <w:t>•</w:t>
      </w:r>
      <w:r>
        <w:rPr>
          <w:noProof/>
        </w:rPr>
        <w:tab/>
        <w:t>Επικουρικότητα (σε περίπτωση μη αποκλειστικής αρμοδιότητας)</w:t>
      </w:r>
    </w:p>
    <w:p>
      <w:pPr>
        <w:rPr>
          <w:noProof/>
        </w:rPr>
      </w:pPr>
      <w:r>
        <w:rPr>
          <w:noProof/>
        </w:rPr>
        <w:t>Το περίπλοκο κανονιστικό πλαίσιο και η συνεχής θέσπιση νέων κανόνων που διέπουν τις κανονιστικές απαιτήσεις για τον τελωνισμό των εμπορευμάτων έχει ως αποτέλεσμα ανεπαρκή συντονισμό και κατακερματισμό της διαλειτουργικότητας μεταξύ των τελωνείων και των αρχών που είναι αρμόδιες για τις εν λόγω απαιτήσεις. Το γεγονός αυτό δεν αφορά μόνο την τελωνειακή ένωση, αλλά και την εσωτερική αγορά σε ευρύ φάσμα τομέων πολιτικής που σχετίζονται με διασυνοριακές λειτουργίες ρυθμιζόμενες από το δίκαιο της ΕΕ. Τα εν λόγω εγγενή διεθνικά προβλήματα θα περιορίσουν τα οφέλη της σταδιακής ψηφιοποίησης και του εκσυγχρονισμού των διαδικασιών που σχετίζονται με τον τελωνισμό συγκεκριμένων εμπορευμάτων τα οποία υπόκεινται σε ενωσιακές μη τελωνειακές κανονιστικές απαιτήσεις σε διάφορους τομείς πολιτικής. Επιπλέον, οι εθνικές πρωτοβουλίες θα είναι ελάχιστες λόγω περιορισμένων πόρων, ενώ η εθελοντική δοκιμαστική λύση, η ενιαία θυρίδα EU CSW-CERTEX, θα χάσει τη δυναμική της αν δεν συνοδεύεται από υποχρεωτική δράση. Ως εκ τούτου, η ΕΕ είναι σε θέση να αναλάβει συντονιστική δράση, να περιορίσει τον κατακερματισμό και να δημιουργήσει οικονομίες κλίμακας, ιδίως δεδομένης της αρμοδιότητάς της για τον τελωνειακό κώδικα και την αποτελεσματική εφαρμογή των κανόνων της εσωτερικής αγοράς.</w:t>
      </w:r>
    </w:p>
    <w:p>
      <w:pPr>
        <w:rPr>
          <w:noProof/>
        </w:rPr>
      </w:pPr>
      <w:r>
        <w:rPr>
          <w:noProof/>
        </w:rPr>
        <w:t>Οι στόχοι της πρότασης μπορούν να επιτευχθούν καλύτερα σε ενωσιακό επίπεδο για αρκετούς λόγους. Μια κεντρική λύση (η ενιαία θυρίδα EU CSW-CERTEX) που θα διευκολύνει την ψηφιακή συνεργασία και τις ανταλλαγές πληροφοριών μεταξύ των εθνικών περιβαλλόντων ενιαίας θυρίδας για τα τελωνεία και των ενωσιακών μη τελωνειακών συστημάτων, σε συνδυασμό με την εντεινόμενη ψηφιοποίηση των ενωσιακών μη τελωνειακών διατυπώσεων, θα εξασφαλίσει διαλειτουργικούς τελωνειακούς και μη τελωνειακούς τομείς, θα περιορίσει τον διοικητικό φόρτο για όλα τα ενδιαφερόμενα μέρη που επηρεάζονται και θα επιτύχει σημαντικές οικονομίες κλίμακας. Η δράση της ΕΕ αναμένεται επίσης να αποφέρει άμεσα οφέλη όσον αφορά τις κανονιστικές διατυπώσεις στις περιπτώσεις που οι ποσότητες των εγκεκριμένων εμπορευμάτων μπορούν να κατανεμηθούν σε περισσότερες τελωνειακές διασαφήσεις, μέσω της καθιέρωσης αυτοματοποιημένης διαχείρισης ποσοτήτων σε επίπεδο ΕΕ.</w:t>
      </w:r>
    </w:p>
    <w:p>
      <w:pPr>
        <w:rPr>
          <w:noProof/>
        </w:rPr>
      </w:pPr>
      <w:r>
        <w:rPr>
          <w:noProof/>
        </w:rPr>
        <w:t xml:space="preserve">Η δράση της ΕΕ στον τομέα αυτό θα ενισχύσει επίσης τη λειτουργία της εσωτερικής αγοράς με τη βελτίωση και την εναρμόνιση της τελωνειακής επιβολής των ενωσιακών μη τελωνειακών απαιτήσεων που επιβάλλονται στις διεθνείς εμπορευματικές συναλλαγές. Κάτι τέτοιο θα προσέδιδε σαφή προστιθέμενη αξία στην αλληλεπίδραση μεταξύ τελωνείων και αρμόδιων αρχών-εταίρων και οικονομικών φορέων. Η παρέμβαση της ΕΕ θα επιφέρει, τελικά, θετικές οικονομικές επιπτώσεις μέσω της αυξημένης αποδοτικότητας και της διευκόλυνσης των συναλλαγών, καθώς και κοινωνικά και περιβαλλοντικά οφέλη ως αποτέλεσμα της βελτίωσης του συντονισμού και της διαχείρισης των κινδύνων στα σύνορα. Τούτο θα αποφέρει καλύτερη τήρηση και επιβολή των ενωσιακών μη τελωνειακών απαιτήσεων που αποσκοπούν στην προστασία της δημόσιας υγείας και ασφάλειας και θα </w:t>
      </w:r>
      <w:r>
        <w:rPr>
          <w:noProof/>
        </w:rPr>
        <w:lastRenderedPageBreak/>
        <w:t>βελτιώσει την ασφάλεια και την προστασία της καλής μεταχείρισης των ζώων και του περιβάλλοντος σε ολόκληρη την ΕΕ.</w:t>
      </w:r>
    </w:p>
    <w:p>
      <w:pPr>
        <w:pStyle w:val="ManualHeading2"/>
        <w:rPr>
          <w:noProof/>
        </w:rPr>
      </w:pPr>
      <w:r>
        <w:rPr>
          <w:noProof/>
        </w:rPr>
        <w:t>•</w:t>
      </w:r>
      <w:r>
        <w:rPr>
          <w:noProof/>
        </w:rPr>
        <w:tab/>
        <w:t>Αναλογικότητα</w:t>
      </w:r>
    </w:p>
    <w:p>
      <w:pPr>
        <w:rPr>
          <w:noProof/>
        </w:rPr>
      </w:pPr>
      <w:r>
        <w:rPr>
          <w:noProof/>
        </w:rPr>
        <w:t>Σύμφωνα με την αρχή της αναλογικότητας, το πεδίο εφαρμογής της παρούσας πρότασης περιορίζεται σε μη τελωνειακές κανονιστικές διατυπώσεις που προβλέπει η νομοθεσία της ΕΕ, για τις οποίες υπάρχει ενωσιακό ηλεκτρονικό σύστημα αποθήκευσης των συναφών πληροφοριών που απαιτούν τα τελωνεία προκειμένου να επαληθεύουν τη συμμόρφωση προς τα αντίστοιχα μέτρα. Η διασύνδεση των εν λόγω συστημάτων με τα εθνικά περιβάλλοντα ενιαίας θυρίδας για τα τελωνεία μέσω της ενιαίας θυρίδας EU CSW-CERTEX και μέσω των ανταλλαγών ψηφιακών πληροφοριών που προβλέπονται στην πρόταση είναι αναγκαία για τη βελτίωση και την εξασφάλιση της ενιαίας επιβολής των εν λόγω κανονιστικών διατυπώσεων σε ολόκληρη την ΕΕ. Αυτό ισχύει ιδίως όταν η νομοθεσία επιτρέπει την κατανομή εγκεκριμένων ποσοτήτων εμπορευμάτων σε περισσότερες τελωνειακές διασαφήσεις που μπορούν να υποβάλλονται σε ολόκληρη την ΕΕ, ή απαγορεύει τις εισαγωγές ή εξαγωγές εμπορευμάτων που υπόκεινται σε ποσοστώσεις μόλις επιτευχθεί ένα συγκεκριμένο κατώτατο όριο. Ενώ οι τελωνειακές αρχές είναι αναγκαίο να επαληθεύουν τις ποσότητες που χρησιμοποιούνται στον τελωνισμό των προηγούμενων αποστολών, οι φυσικοί έλεγχοι είναι χρονοβόροι και όχι αρκετά ακριβείς. Τα προβλήματα αυτά δεν μπορούν να αντιμετωπιστούν χωρίς νέα δράση σε επίπεδο ΕΕ, κυρίως διότι αφορούν διατυπώσεις της ΕΕ. Επιπλέον, οι κανόνες που προβλέπει η παρούσα πρόταση για την εναρμόνιση των εθνικών περιβαλλόντων ενιαίας θυρίδας για τα τελωνεία είναι απαραίτητοι για την επίτευξη ισότιμων όρων ανταγωνισμού για τους οικονομικούς φορείς κατά την εκπλήρωση των οικείων κανονιστικών απαιτήσεων. Όπως διαπιστώνεται στο έγγραφο εργασίας των υπηρεσιών της Επιτροπής σχετικά με την έκθεση εκτίμησης των επιπτώσεων, το κόστος που σχετίζεται με τα προτεινόμενα μέτρα είναι ανάλογο με τους στόχους πολιτικής που πρόκειται να επιτευχθούν.</w:t>
      </w:r>
    </w:p>
    <w:p>
      <w:pPr>
        <w:pStyle w:val="ManualHeading2"/>
        <w:rPr>
          <w:noProof/>
        </w:rPr>
      </w:pPr>
      <w:r>
        <w:rPr>
          <w:noProof/>
        </w:rPr>
        <w:t>•</w:t>
      </w:r>
      <w:r>
        <w:rPr>
          <w:noProof/>
        </w:rPr>
        <w:tab/>
        <w:t>Επιλογή της νομικής πράξης</w:t>
      </w:r>
    </w:p>
    <w:p>
      <w:pPr>
        <w:rPr>
          <w:noProof/>
        </w:rPr>
      </w:pPr>
      <w:r>
        <w:rPr>
          <w:noProof/>
        </w:rPr>
        <w:t>Η επιλεγείσα νομική πράξη είναι κανονισμός του Ευρωπαϊκού Κοινοβουλίου και του Συμβουλίου ώστε να εξασφαλιστεί η ομοιόμορφη τήρηση των κανονιστικών διατάξεων σε ολόκληρη την ΕΕ.</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noProof/>
        </w:rPr>
      </w:pPr>
      <w:r>
        <w:rPr>
          <w:noProof/>
        </w:rPr>
        <w:t>•</w:t>
      </w:r>
      <w:r>
        <w:rPr>
          <w:noProof/>
        </w:rPr>
        <w:tab/>
        <w:t>Εκ των υστέρων αξιολογήσεις / έλεγχοι καταλληλότητας της ισχύουσας νομοθεσίας</w:t>
      </w:r>
    </w:p>
    <w:p>
      <w:pPr>
        <w:rPr>
          <w:noProof/>
        </w:rPr>
      </w:pPr>
      <w:r>
        <w:rPr>
          <w:noProof/>
        </w:rPr>
        <w:t>Άνευ αντικειμένου</w:t>
      </w:r>
    </w:p>
    <w:p>
      <w:pPr>
        <w:pStyle w:val="ManualHeading2"/>
        <w:rPr>
          <w:noProof/>
        </w:rPr>
      </w:pPr>
      <w:r>
        <w:rPr>
          <w:noProof/>
        </w:rPr>
        <w:t>•</w:t>
      </w:r>
      <w:r>
        <w:rPr>
          <w:noProof/>
        </w:rPr>
        <w:tab/>
        <w:t>Διαβουλεύσεις με τα ενδιαφερόμενα μέρη</w:t>
      </w:r>
    </w:p>
    <w:p>
      <w:pPr>
        <w:rPr>
          <w:noProof/>
        </w:rPr>
      </w:pPr>
      <w:r>
        <w:rPr>
          <w:noProof/>
        </w:rPr>
        <w:t>Συγκεντρώθηκαν απόψεις από τα εξής ενδιαφερόμενα μέρη:</w:t>
      </w:r>
    </w:p>
    <w:p>
      <w:pPr>
        <w:pStyle w:val="Point0"/>
        <w:rPr>
          <w:noProof/>
        </w:rPr>
      </w:pPr>
      <w:r>
        <w:rPr>
          <w:noProof/>
        </w:rPr>
        <w:t>•</w:t>
      </w:r>
      <w:r>
        <w:rPr>
          <w:noProof/>
        </w:rPr>
        <w:tab/>
        <w:t>τελωνειακές αρχές των κρατών μελών·</w:t>
      </w:r>
    </w:p>
    <w:p>
      <w:pPr>
        <w:pStyle w:val="Point0"/>
        <w:rPr>
          <w:noProof/>
        </w:rPr>
      </w:pPr>
      <w:r>
        <w:rPr>
          <w:noProof/>
        </w:rPr>
        <w:t>•</w:t>
      </w:r>
      <w:r>
        <w:rPr>
          <w:noProof/>
        </w:rPr>
        <w:tab/>
        <w:t>αρμόδιες αρχές-εταίρους (λ.χ. την Επιτροπή και τις αρμόδιες αρχές ή οργανισμούς-εταίρους των κρατών μελών) που βασίζονται στα τελωνεία για τον έλεγχο ή την εφαρμογή των πολιτικών τους στα σύνορα. Στις αρχές αυτές περιλαμβάνονται κτηνιατρικές, υγειονομικές, φυτοϋγειονομικές, γεωργικές και αλιευτικές, περιβαλλοντικές και φαρμακευτικές αρχές·</w:t>
      </w:r>
    </w:p>
    <w:p>
      <w:pPr>
        <w:pStyle w:val="Point0"/>
        <w:rPr>
          <w:noProof/>
        </w:rPr>
      </w:pPr>
      <w:r>
        <w:rPr>
          <w:noProof/>
        </w:rPr>
        <w:lastRenderedPageBreak/>
        <w:t>•</w:t>
      </w:r>
      <w:r>
        <w:rPr>
          <w:noProof/>
        </w:rPr>
        <w:tab/>
        <w:t>οικονομικοί φορείς που ασχολούνται με τη διασυνοριακή διακίνηση εμπορευμάτων, είτε ως μεμονωμένες εταιρείες είτε εκπροσωπούμενοι από εθνικές, ευρωπαϊκές και/ή διεθνείς εμπορικές και επιχειρηματικές ενώσεις, όπως κατασκευαστές, εισαγωγικές/εξαγωγικές επιχειρήσεις, ναυτιλιακές και μεταφορικές εταιρείες, φορείς διαχείρισης λιμένων και αερολιμένων κ.λπ.·</w:t>
      </w:r>
    </w:p>
    <w:p>
      <w:pPr>
        <w:pStyle w:val="Point0"/>
        <w:rPr>
          <w:noProof/>
        </w:rPr>
      </w:pPr>
      <w:r>
        <w:rPr>
          <w:noProof/>
        </w:rPr>
        <w:t>•</w:t>
      </w:r>
      <w:r>
        <w:rPr>
          <w:noProof/>
        </w:rPr>
        <w:tab/>
        <w:t>διεθνείς τελωνειακοί και εμπορικοί οργανισμοί όπως η Οικονομική Επιτροπή των Ηνωμένων Εθνών για την Ευρώπη (ΟΕΕ/ΗΕ), ο Παγκόσμιος Οργανισμός Τελωνείων (ΠΟΤ) και η Παγκόσμια Οργάνωση Εμπορίου (ΠΟΕ)·</w:t>
      </w:r>
    </w:p>
    <w:p>
      <w:pPr>
        <w:pStyle w:val="Point0"/>
        <w:rPr>
          <w:noProof/>
        </w:rPr>
      </w:pPr>
      <w:r>
        <w:rPr>
          <w:noProof/>
        </w:rPr>
        <w:t>•</w:t>
      </w:r>
      <w:r>
        <w:rPr>
          <w:noProof/>
        </w:rPr>
        <w:tab/>
        <w:t>λοιπές ενδιαφερόμενες ομάδες όπως πανεπιστημιακοί/ερευνητές, επαγγελματίες σύμβουλοι και το ευρύ κοινό.</w:t>
      </w:r>
    </w:p>
    <w:p>
      <w:pPr>
        <w:rPr>
          <w:noProof/>
        </w:rPr>
      </w:pPr>
      <w:r>
        <w:rPr>
          <w:noProof/>
        </w:rPr>
        <w:t>Πραγματοποιήθηκαν εκτενείς δραστηριότητες δημόσιας και στοχευμένης διαβούλευσης και τα στοιχεία που προέκυψαν τροφοδότησαν την έκθεση της εκτίμησης επιπτώσεων. Η δημόσια διαβούλευση ξεκίνησε στις 9 Οκτωβρίου 2018 και διήρκεσε έως τις 17 Ιανουαρίου 2019. Διατέθηκε ηλεκτρονικά ερωτηματολόγιο σε όλες τις επίσημες γλώσσες της ΕΕ</w:t>
      </w:r>
      <w:r>
        <w:rPr>
          <w:rStyle w:val="FootnoteReference"/>
          <w:noProof/>
        </w:rPr>
        <w:footnoteReference w:id="24"/>
      </w:r>
      <w:r>
        <w:rPr>
          <w:noProof/>
        </w:rPr>
        <w:t>, το οποίο περιείχε 24 ερωτήσεις επικεντρωμένες στο προφίλ των ερωτώμενων, στις εμπειρίες τους από τις διασυνοριακές πράξεις και στη γνώμη τους για ενδεχόμενα μέτρα πολιτικής. Συνοπτική παρουσίαση της διαβούλευσης δημοσιεύτηκε στον δικτυακό τόπο Europa</w:t>
      </w:r>
      <w:r>
        <w:rPr>
          <w:rStyle w:val="FootnoteReference"/>
          <w:noProof/>
        </w:rPr>
        <w:footnoteReference w:id="25"/>
      </w:r>
      <w:r>
        <w:rPr>
          <w:noProof/>
        </w:rPr>
        <w:t>. Στο πλαίσιο της διαβούλευσης προέκυψε ευρεία συναίνεση όσον αφορά την ύπαρξη και τη σοβαρότητα των προβλημάτων που διαπιστώθηκαν και επικροτήθηκε το ενδεχόμενο ανάληψης δράσης σε επίπεδο ΕΕ για την αντιμετώπισή τους. Συνολικά ελήφθησαν 371 έγκυρες απαντήσεις, στην πλειονότητά τους από επιχειρήσεις. Οι δυνητικοί στόχοι μιας νέας πρωτοβουλίας κρίθηκαν σημαντικοί από ποσοστό άνω του 90 % των απαντησάντων. Όλες οι προτεινόμενες αλλαγές που θα προκύψουν από μια νέα δράση της ΕΕ αναμένεται ότι θα έχουν ιδιαίτερα θετικό αντίκτυπο στις επιχειρηματικές δραστηριότητες, ιδίως σε σχέση με τον περιορισμό του διοικητικού φόρτου, την ίση αντιμετώπιση των οικονομικών φορέων και την καταπολέμηση των δόλιων δραστηριοτήτων.</w:t>
      </w:r>
    </w:p>
    <w:p>
      <w:pPr>
        <w:rPr>
          <w:noProof/>
        </w:rPr>
      </w:pPr>
      <w:r>
        <w:rPr>
          <w:noProof/>
        </w:rPr>
        <w:t>Πολλά στοιχεία συγκεντρώθηκαν από την ομάδα έργου του προγράμματος Τελωνεία 2020 με αντικείμενο τη μελέτη ενός πιθανού πλαισίου για την ανάπτυξη ενός περιβάλλοντος ενιαίας θυρίδας της ΕΕ για τα τελωνεία, συμπεριλαμβανομένου του νομικού πλαισίου. Η ομάδα έργου, που ξεκίνησε τις εργασίες της τον Δεκέμβριο του 2016, συνέχισε να πραγματοποιεί τακτικές συναντήσεις έως τον Ιούνιο του 2019, συνδυάζοντας την εμπειρογνωμοσύνη εκπροσώπων τελωνείων και ΤΠ από τις διοικήσεις 19 κρατών μελών και έξι εκπροσώπων εμπορικών ενώσεων. Κατά κύριο λόγο, η ομάδα έργου ανέλυσε και συζήτησε ζητήματα και τάσεις που σχετίζονται με την έννοια της ενιαίας θυρίδας σε ενωσιακό και εθνικό επίπεδο, ώστε να αξιολογήσει το χάσμα ανάμεσα στην τρέχουσα κατάσταση που αντιμετωπίζουν οι διοικήσεις και οι οικονομικοί φορείς και στις μελλοντικές προοπτικές της. Στο πλαίσιο των παραδοτέων της, η ομάδα έργου συνεργάστηκε στενά προκειμένου να αναπτύξει τον ορισμό του προβλήματος, καθώς και τους στόχους και τις επιλογές πολιτικής που εξετάστηκαν περαιτέρω στο πλαίσιο της έκθεσης για την εκτίμηση των επιπτώσεων.</w:t>
      </w:r>
    </w:p>
    <w:p>
      <w:pPr>
        <w:rPr>
          <w:noProof/>
        </w:rPr>
      </w:pPr>
      <w:r>
        <w:rPr>
          <w:noProof/>
        </w:rPr>
        <w:t xml:space="preserve">Επιπρόσθετα δεδομένα συγκεντρώθηκαν επίσης σε συνάντηση εργασίας υψηλού επιπέδου σχετικά με το περιβάλλον ενιαίας θυρίδας της ΕΕ για τα τελωνεία, το οποίο διοργάνωσε η Ρουμανική Προεδρία τον Μάιο του 2019, με τη συμμετοχή διευθυντικών στελεχών από εθνικές τελωνειακές διοικήσεις, υποψήφιων χωρών, εκπροσώπων εμπορικών ενώσεων και </w:t>
      </w:r>
      <w:r>
        <w:rPr>
          <w:noProof/>
        </w:rPr>
        <w:lastRenderedPageBreak/>
        <w:t>κύριων ομιλητών από την Υπηρεσία Τελωνείων και Προστασίας των Συνόρων των ΗΠΑ και διεθνείς οργανισμούς. Διοργανώθηκε σειρά συναντήσεων εργασίας με σκοπό την εξέταση της συνάφειας των επιλογών πολιτικής σε διακυβερνητικό πλαίσιο και μεταξύ επιχειρήσεων και δημόσιων αρχών, με ανεπίσημες δημοσκοπήσεις για τη συγκέντρωση απόψεων σχετικά με τις προσδιοριζόμενες επιλογές πολιτικής.</w:t>
      </w:r>
    </w:p>
    <w:p>
      <w:pPr>
        <w:pStyle w:val="ManualHeading2"/>
        <w:rPr>
          <w:noProof/>
        </w:rPr>
      </w:pPr>
      <w:r>
        <w:rPr>
          <w:noProof/>
        </w:rPr>
        <w:t>•</w:t>
      </w:r>
      <w:r>
        <w:rPr>
          <w:noProof/>
        </w:rPr>
        <w:tab/>
        <w:t>Συλλογή και χρήση εμπειρογνωσίας</w:t>
      </w:r>
    </w:p>
    <w:p>
      <w:pPr>
        <w:rPr>
          <w:noProof/>
        </w:rPr>
      </w:pPr>
      <w:r>
        <w:rPr>
          <w:noProof/>
        </w:rPr>
        <w:t>Οι δραστηριότητες διαβούλευσης κατέστησαν εφικτή τη συγκέντρωση τόσο ποιοτικών όσο και ποσοτικών δεδομένων, τα οποία υποβλήθηκαν σε επεξεργασία και αναλύθηκαν συστηματικά με τη χρήση κατάλληλων τεχνικών. Τα ποιοτικά δεδομένα (στα οποία συμπεριλαμβάνονται απαντήσεις σε συνεντεύξεις) επανεξετάστηκαν και αναλύθηκαν από διαφορετικές σκοπιές και παρουσιάστηκαν σε περιγραφική μορφή. Τα ποσοτικά δεδομένα (στα οποία συμπεριλαμβάνονται απαντήσεις σε έρευνες και αριθμητικά στοιχεία που παρασχέθηκαν από τα ενδιαφερόμενα μέρη) υποβλήθηκαν σε επεξεργασία με τη χρήση Excel, και αναλύθηκαν με στατιστικές μεθόδους, όπως μετρήσεις συχνότητας, συνδυαστικούς πίνακες και απλές τάσεις. Τα αποτελέσματα παρουσιάστηκαν με τη μορφή πινάκων, διαγραμμάτων και γραφημάτων.</w:t>
      </w:r>
    </w:p>
    <w:p>
      <w:pPr>
        <w:pStyle w:val="ManualHeading2"/>
        <w:rPr>
          <w:noProof/>
        </w:rPr>
      </w:pPr>
      <w:r>
        <w:rPr>
          <w:noProof/>
        </w:rPr>
        <w:t>•</w:t>
      </w:r>
      <w:r>
        <w:rPr>
          <w:noProof/>
        </w:rPr>
        <w:tab/>
        <w:t>Εκτίμηση επιπτώσεων</w:t>
      </w:r>
    </w:p>
    <w:p>
      <w:pPr>
        <w:rPr>
          <w:noProof/>
        </w:rPr>
      </w:pPr>
      <w:r>
        <w:rPr>
          <w:noProof/>
        </w:rPr>
        <w:t>Εκπονήθηκε έκθεση εκτίμησης επιπτώσεων</w:t>
      </w:r>
      <w:r>
        <w:rPr>
          <w:rStyle w:val="FootnoteReference"/>
          <w:noProof/>
        </w:rPr>
        <w:footnoteReference w:id="26"/>
      </w:r>
      <w:r>
        <w:rPr>
          <w:noProof/>
        </w:rPr>
        <w:t> με σκοπό την τεκμηρίωση της απόφασης της Επιτροπής σχετικά με την προτιμώμενη επιλογή πολιτικής και τη στήριξη της εφαρμογής της. Μια διυπηρεσιακή διευθύνουσα ομάδα, στην οποία συμμετείχαν οι οικείες Γενικές Διευθύνσεις (ΓΔ) της Επιτροπής, παρείχε υποστήριξη στις προπαρασκευαστικές εργασίες. Η αρμόδια Γενική Διεύθυνση Φορολογίας και Τελωνειακής Ένωσης υπέβαλε την εκτίμηση επιπτώσεων στην επιτροπή ρυθμιστικού ελέγχου (ΕΡΕ) προς αξιολόγηση της ποιότητας στις 13 Μαρτίου 2020. Μετά τη συνάντηση της 29ης Απριλίου 2020, η ΕΡΕ εξέδωσε αρνητική γνώμη στις 5 Μαΐου 2020, προτείνοντας διάφορους τομείς προς περαιτέρω βελτίωση. Στους τομείς αυτούς περιλαμβάνονταν η ευρύτερη διατύπωση του οράματος της πρωτοβουλίας, η πληρέστερη ανάλυση των επιλογών πολιτικής (ιδίως για τις κεντρικές εθνικές βάσεις δεδομένων), η παροχή αιτιολόγησης για την απορριφθείσα επιλογή ενός ενιαίου σημείου εισόδου σε επίπεδο ΕΕ για όλες τις κανονιστικές διατυπώσεις, και η διευκρίνιση του τρόπου με τον οποίο σταθμίστηκαν τα κριτήρια έναντι της εκτίμησης επιπτώσεων. Η αναθεωρημένη έκθεση υποβλήθηκε εκ νέου στις 18 Ιουνίου 2020 και η ΕΡΕ εξέδωσε θετική γνώμη στις 15 Ιουλίου 2020. Στις τελικές συστάσεις βελτίωσης συμπεριλαμβάνονταν η περαιτέρω εξέταση των πιθανών αβεβαιοτήτων στα αποτελέσματα της ανάλυσης καθαρού κέρδους και η ενσωμάτωση των απόψεων ομάδων ενδιαφερομένων σχετικά με τις βιώσιμες επιλογές στα κριτήρια της εκτίμησης.</w:t>
      </w:r>
    </w:p>
    <w:p>
      <w:pPr>
        <w:rPr>
          <w:noProof/>
        </w:rPr>
      </w:pPr>
      <w:r>
        <w:rPr>
          <w:noProof/>
        </w:rPr>
        <w:t>Η εκτίμηση επιπτώσεων βασίζεται σε αποδεικτικά στοιχεία προερχόμενα από ευρύ φάσμα πηγών, τα οποία αναλύθηκαν με τη χρήση των συνήθων μεθόδων κοινωνικής και οικονομικής έρευνας. Προσδιορίστηκαν οκτώ επιλογές πολιτικής, που εντάσσονται σε τρεις ευρείες κατηγορίες, οι οποίες θα μπορούσαν να συνδυαστούν ώστε να αποτελέσουν μία επιλογή πολιτικής:</w:t>
      </w:r>
    </w:p>
    <w:p>
      <w:pPr>
        <w:rPr>
          <w:noProof/>
        </w:rPr>
      </w:pPr>
      <w:r>
        <w:rPr>
          <w:noProof/>
        </w:rPr>
        <w:t xml:space="preserve">•       Κατηγορία I (επιλογές 1-4· πιθανός συνδυασμός επιλογών): επιλογές διακυβερνητικού τύπου, ώστε να διευκολύνεται η ανταλλαγή πληροφοριών και η ψηφιακή συνεργασία μεταξύ τελωνείων και αρμόδιων αρχών-εταίρων. Κάθε επιλογή έχει διαφορετικό πεδίο εφαρμογής. Η επιλογή 1 καθιστά υποχρεωτική την ενιαία θυρίδα EU CSW-CERTEX και καλύπτει τις κανονιστικές απαιτήσεις της ΕΕ για τις οποίες διατίθενται συναφείς τελωνειακές </w:t>
      </w:r>
      <w:r>
        <w:rPr>
          <w:noProof/>
        </w:rPr>
        <w:lastRenderedPageBreak/>
        <w:t>πληροφορίες σε επίπεδο ΕΕ για όλα τα κράτη μέλη, παρέχοντας μια αυτοματοποιημένη λειτουργία για τη διαχείριση ποσοτήτων. Η επιλογή 2 καλύπτει τις κανονιστικές απαιτήσεις της ΕΕ για τις οποίες υπάρχουν διαθέσιμες πληροφορίες σε εθνικό επίπεδο. Η επιλογή 3 καλύπτει εθνικές κανονιστικές απαιτήσεις και η επιλογή 4 έγγραφα τρίτων χωρών.</w:t>
      </w:r>
    </w:p>
    <w:p>
      <w:pPr>
        <w:rPr>
          <w:noProof/>
        </w:rPr>
      </w:pPr>
      <w:r>
        <w:rPr>
          <w:noProof/>
        </w:rPr>
        <w:t>•       Κατηγορία II (επιλογές 5-7· μόνο μία επιλογή είναι πιθανή): Επιλογές συνεργασίας μεταξύ επιχειρήσεων και δημόσιων αρχών, που αποσκοπεί στην ενίσχυση των αλληλεπιδράσεων των οικονομικών φορέων με τις αρχές. Η επιλογή 5 καθιερώνει μια κοινή πύλη για τη διαχείριση των ενωσιακών μη τελωνειακών διατυπώσεων. Η επιλογή 6 θεσπίζει ενιαίες θυρίδες σε εθνικό επίπεδο για την παροχή εναρμονισμένων σημείων ενιαίας εισόδου στους οικονομικούς φορείς για την εκπλήρωση τελωνειακών και μη τελωνειακών διατυπώσεων. Η επιλογή 7 εγκαθιδρύει ένα σημείο ενιαίας εισόδου σε επίπεδο ΕΕ για την εκπλήρωση τελωνειακών και μη τελωνειακών απαιτήσεων.</w:t>
      </w:r>
    </w:p>
    <w:p>
      <w:pPr>
        <w:rPr>
          <w:noProof/>
        </w:rPr>
      </w:pPr>
      <w:r>
        <w:rPr>
          <w:noProof/>
        </w:rPr>
        <w:t>•       Κατηγορία III (επιλογή 8): οριζόντια επιλογή για τον εξορθολογισμό του τρόπου ταυτοποίησης των οικονομικών φορέων από τα τελωνεία και τις αρμόδιες αρχές-εταίρους. Η επιλογή αυτή θα βασίζεται στην εκτεταμένη χρήση του υφιστάμενου συστήματος καταχώρισης και αναγνώρισης οικονομικών φορέων (EORI), είτε για καταχώριση και επικύρωση (8i) είτε μόνο για επικύρωση (8ii).</w:t>
      </w:r>
    </w:p>
    <w:p>
      <w:pPr>
        <w:rPr>
          <w:noProof/>
        </w:rPr>
      </w:pPr>
      <w:r>
        <w:rPr>
          <w:noProof/>
        </w:rPr>
        <w:t>Οι επιλογές 1, 2, 6, 7 και 8(ii) διατηρήθηκαν για εις βάθος ανάλυση βάσει διαδικασίας λεπτομερούς ελέγχου. Κατά την εκτίμηση επιπτώσεων διαπιστώθηκαν παρόμοιες επιπτώσεις για όλες τις επιλογές. Οι άμεσες οικονομικές επιπτώσεις θα αφορούν το εφάπαξ κόστος υλοποίησης και τις τακτικές δαπάνες, καθώς και την εξοικονόμηση από τον περιορισμό του διοικητικού φόρτου για όλα τα ενδιαφερόμενα μέρη που επηρεάζονται. Η ενίσχυση της συνεργασίας και η διευκόλυνση της ανταλλαγής πληροφοριών μεταξύ των αρμόδιων για τον τελωνισμό εμπορευμάτων αρχών αναμένεται επίσης να βελτιώσει τις διαδικασίες διαχείρισης των κινδύνων και να περιορίσει τα περιστατικά απάτης και ανθρώπινου σφάλματος. Τα παραπάνω με τη σειρά τους θα βελτιώσουν την τήρηση και της επιβολή της μη τελωνειακής νομοθεσίας και θα αποφέρουν συναφή κοινωνικά και περιβαλλοντικά οφέλη.</w:t>
      </w:r>
    </w:p>
    <w:p>
      <w:pPr>
        <w:rPr>
          <w:noProof/>
        </w:rPr>
      </w:pPr>
      <w:r>
        <w:rPr>
          <w:noProof/>
        </w:rPr>
        <w:t>Οι διαφορετικές δέσμες επιλογών συγκρίθηκαν από άποψη αποτελεσματικότητας (ήτοι επιβολής των συναφών κανονιστικών απαιτήσεων και διευκόλυνσης του εμπορίου), αποδοτικότητας, συνάφειας με άλλες πολιτικές και αναλογικότητας προκειμένου να προσδιοριστεί η προτιμώμενη επιλογή. Από τη σύγκριση προέκυψε ότι τα μεγαλύτερα οφέλη προέρχονται από τις δέσμες που περιλαμβάνουν επιλογές τόσο της κατηγορίας I όσο και της κατηγορίας II, ενώ η επιλογή 8(ii) αποφέρει επιπρόσθετα οφέλη σε οποιαδήποτε δέσμη. Οι επιλογές 1 και 6 αποδείχτηκαν αποτελεσματικές ως προς το κόστος, συναφείς και αναλογικές, ενώ οι επιλογές 2 και (κυρίως) 7 αποδείχτηκαν προβληματικές από τις απόψεις αυτές, λόγω της πολυπλοκότητας και του υψηλού κόστους τους. Συνεπώς, η προτιμώμενη δέσμη αποτελείται από τις επιλογές 1+6+8(ii).</w:t>
      </w:r>
    </w:p>
    <w:p>
      <w:pPr>
        <w:pStyle w:val="ManualHeading2"/>
        <w:rPr>
          <w:noProof/>
        </w:rPr>
      </w:pPr>
      <w:r>
        <w:rPr>
          <w:noProof/>
        </w:rPr>
        <w:t>•</w:t>
      </w:r>
      <w:r>
        <w:rPr>
          <w:noProof/>
        </w:rPr>
        <w:tab/>
        <w:t>Καταλληλότητα και απλούστευση του κανονιστικού πλαισίου</w:t>
      </w:r>
    </w:p>
    <w:p>
      <w:pPr>
        <w:rPr>
          <w:noProof/>
        </w:rPr>
      </w:pPr>
      <w:r>
        <w:rPr>
          <w:noProof/>
        </w:rPr>
        <w:t>Άνευ αντικειμένου</w:t>
      </w:r>
    </w:p>
    <w:p>
      <w:pPr>
        <w:pStyle w:val="ManualHeading2"/>
        <w:rPr>
          <w:noProof/>
        </w:rPr>
      </w:pPr>
      <w:r>
        <w:rPr>
          <w:noProof/>
        </w:rPr>
        <w:t>•</w:t>
      </w:r>
      <w:r>
        <w:rPr>
          <w:noProof/>
        </w:rPr>
        <w:tab/>
        <w:t>Θεμελιώδη δικαιώματα</w:t>
      </w:r>
    </w:p>
    <w:p>
      <w:pPr>
        <w:rPr>
          <w:noProof/>
        </w:rPr>
      </w:pPr>
      <w:r>
        <w:rPr>
          <w:noProof/>
        </w:rPr>
        <w:t xml:space="preserve">Η εναρμονισμένη εφαρμογή της νομοθεσίας της ΕΕ στον τομέα της συμμόρφωσης προς τις κανονιστικές διατάξεις θα συμβάλλει στην εξασφάλιση της ίσης μεταχείρισης των οικονομικών φορέων σε ολόκληρη την ΕΕ, ενώ θα ενισχύσει επίσης τη διαφάνεια των συναφών τελωνειακών δραστηριοτήτων. Οι τελωνειακές διατυπώσεις περιέχουν δεδομένα προσωπικού χαρακτήρα και εμπορικά ευαίσθητα δεδομένα. Οι όποιες απαιτήσεις σχετικά με τα επιχειρηματικά και τεχνικά δεδομένα στο πλαίσιο της πρωτοβουλίας θα διασφαλίζουν την ευρεία κάλυψη της επεξεργασίας δεδομένων προσωπικού χαρακτήρα ως θεμελιώδες </w:t>
      </w:r>
      <w:r>
        <w:rPr>
          <w:noProof/>
        </w:rPr>
        <w:lastRenderedPageBreak/>
        <w:t>ανθρώπινο δικαίωμα σύμφωνα με τον κανονισμό (ΕΕ) 2016/679</w:t>
      </w:r>
      <w:r>
        <w:rPr>
          <w:rStyle w:val="FootnoteReference"/>
          <w:noProof/>
        </w:rPr>
        <w:footnoteReference w:id="27"/>
      </w:r>
      <w:r>
        <w:rPr>
          <w:noProof/>
        </w:rPr>
        <w:t xml:space="preserve"> και τον κανονισμό (ΕΕ) 2018/1725</w:t>
      </w:r>
      <w:r>
        <w:rPr>
          <w:rStyle w:val="FootnoteReference"/>
          <w:noProof/>
        </w:rPr>
        <w:footnoteReference w:id="28"/>
      </w:r>
      <w:r>
        <w:rPr>
          <w:noProof/>
        </w:rPr>
        <w:t>.</w:t>
      </w:r>
    </w:p>
    <w:p>
      <w:pPr>
        <w:pStyle w:val="ManualHeading1"/>
        <w:rPr>
          <w:noProof/>
        </w:rPr>
      </w:pPr>
      <w:r>
        <w:rPr>
          <w:noProof/>
        </w:rPr>
        <w:t>4.</w:t>
      </w:r>
      <w:r>
        <w:rPr>
          <w:noProof/>
        </w:rPr>
        <w:tab/>
        <w:t>ΔΗΜΟΣΙΟΝΟΜΙΚΕΣ ΕΠΙΠΤΩΣΕΙΣ</w:t>
      </w:r>
    </w:p>
    <w:p>
      <w:pPr>
        <w:rPr>
          <w:noProof/>
        </w:rPr>
      </w:pPr>
      <w:r>
        <w:rPr>
          <w:noProof/>
        </w:rPr>
        <w:t>Οι απαιτούμενοι δημοσιονομικοί και ανθρώπινοι πόροι περιλαμβάνονται στο συνημμένο δημοσιονομικό δελτίο.</w:t>
      </w:r>
    </w:p>
    <w:p>
      <w:pPr>
        <w:pStyle w:val="ManualHeading1"/>
        <w:rPr>
          <w:noProof/>
        </w:rPr>
      </w:pPr>
      <w:r>
        <w:rPr>
          <w:noProof/>
        </w:rPr>
        <w:t>5.</w:t>
      </w:r>
      <w:r>
        <w:rPr>
          <w:noProof/>
        </w:rPr>
        <w:tab/>
        <w:t>ΛΟΙΠΑ ΣΤΟΙΧΕΙΑ</w:t>
      </w:r>
    </w:p>
    <w:p>
      <w:pPr>
        <w:pStyle w:val="ManualHeading2"/>
        <w:rPr>
          <w:noProof/>
        </w:rPr>
      </w:pPr>
      <w:r>
        <w:rPr>
          <w:noProof/>
        </w:rPr>
        <w:t>•</w:t>
      </w:r>
      <w:r>
        <w:rPr>
          <w:noProof/>
        </w:rPr>
        <w:tab/>
        <w:t>Σχέδια εφαρμογής και ρυθμίσεις παρακολούθησης, αξιολόγησης και υποβολής εκθέσεων</w:t>
      </w:r>
    </w:p>
    <w:p>
      <w:pPr>
        <w:rPr>
          <w:noProof/>
        </w:rPr>
      </w:pPr>
      <w:r>
        <w:rPr>
          <w:noProof/>
        </w:rPr>
        <w:t>Η Επιτροπή θα εξασφαλίσει τη θέσπιση μηχανισμών για την παρακολούθηση και την αξιολόγηση της λειτουργίας του περιβάλλοντος ενιαίας θυρίδας της ΕΕ για τα τελωνεία. Η τακτική παρακολούθηση θα βασίζεται όσο το δυνατόν περισσότερο σε ενωσιακές πηγές, όπως οι αναλυτικές εκθέσεις σχετικά με τις επιδόσεις της τελωνειακής ένωσης, καθώς και τα παραδοτέα και τα στατιστικά στοιχεία της ενιαίας θυρίδας EU CSW-CERTEX σε επιχειρηματικό επίπεδο και σε επίπεδο ΤΠ. Θα ζητηθεί η γνώμη των εθνικών τελωνειακών διοικήσεων ώστε να προσδιοριστεί κατά πόσον και σε ποιο βαθμό θα είναι εφικτή η χρήση άλλων πηγών.</w:t>
      </w:r>
    </w:p>
    <w:p>
      <w:pPr>
        <w:rPr>
          <w:noProof/>
        </w:rPr>
      </w:pPr>
      <w:r>
        <w:rPr>
          <w:noProof/>
        </w:rPr>
        <w:t>Έως τις 31 Δεκεμβρίου 2027, και στη συνέχεια ανά τρία έτη, η Επιτροπή θα πρέπει να υποβάλλει στο Ευρωπαϊκό Κοινοβούλιο και στο Συμβούλιο έκθεση σχετικά με τη λειτουργία του περιβάλλοντος ενιαίας θυρίδας της ΕΕ για τα τελωνεία, συμπεριλαμβανομένης μιας συνολικής αξιολόγησης της ενιαίας θυρίδας EU CSW-CERTEX. Δεδομένου ότι κάποια στοιχεία της ψηφιακής συνεργασίας δεν θα είναι πλήρως εφαρμοστέα κατά τον χρόνο της πρώτης αξιολόγησης, στο επίκεντρο θα βρίσκονται η καταγραφή της προόδου, ο προσδιορισμός τομέων που χρήζουν βελτίωσης και η εκπόνηση συστάσεων για το μέλλον. Η δεύτερη αξιολόγηση θα ακολουθεί συνολικότερη προσέγγιση. Η Επιτροπή θα αξιολογήσει τη λειτουργία του περιβάλλοντος ενιαίας θυρίδας της ΕΕ για τα τελωνεία υπό το φως της ενισχυμένης ψηφιακής συνεργασίας μεταξύ των τελωνείων και των αρμόδιων αρχών-εταίρων που εμπλέκονται στον τελωνισμό εμπορευμάτων, ώστε να διασφαλίζονται απλουστευμένες διαδικασίες για τους οικονομικούς φορείς και η αποδοτική επιβολή των ενωσιακών μη τελωνειακών διατυπώσεων. </w:t>
      </w:r>
    </w:p>
    <w:p>
      <w:pPr>
        <w:rPr>
          <w:noProof/>
        </w:rPr>
      </w:pPr>
      <w:r>
        <w:rPr>
          <w:noProof/>
        </w:rPr>
        <w:t>Οι δείκτες παρακολούθησης αναμένεται να συλλέγονται, εφόσον είναι δυνατόν, σε συνεχή βάση από το σύστημα ενιαίας θυρίδας EU CSW-CERTEX. Τα ετήσια στατιστικά στοιχεία θα συγκεντρώνονται και θα αντιπαραβάλλονται μεταξύ διαδοχικών ετών για λόγους αξιολόγησης. Όπου είναι εφικτό, μπορεί να γίνεται αντιπαραβολή με την κατάσταση αναφοράς, η οποία νοείται ως η τάση ή ο μέσος όρος των τριών ετών που προηγούνται της έναρξης εφαρμογής.</w:t>
      </w:r>
    </w:p>
    <w:p>
      <w:pPr>
        <w:pStyle w:val="ManualHeading2"/>
        <w:rPr>
          <w:noProof/>
        </w:rPr>
      </w:pPr>
      <w:r>
        <w:rPr>
          <w:noProof/>
        </w:rPr>
        <w:lastRenderedPageBreak/>
        <w:t>•</w:t>
      </w:r>
      <w:r>
        <w:rPr>
          <w:noProof/>
        </w:rPr>
        <w:tab/>
        <w:t>Αναλυτική επεξήγηση των επιμέρους διατάξεων της πρότασης</w:t>
      </w:r>
    </w:p>
    <w:p>
      <w:pPr>
        <w:rPr>
          <w:noProof/>
        </w:rPr>
      </w:pPr>
      <w:r>
        <w:rPr>
          <w:noProof/>
        </w:rPr>
        <w:t>Η πρόταση κανονισμού έχει την ακόλουθη διάρθρωση:</w:t>
      </w:r>
    </w:p>
    <w:p>
      <w:pPr>
        <w:rPr>
          <w:noProof/>
        </w:rPr>
      </w:pPr>
      <w:r>
        <w:rPr>
          <w:b/>
          <w:noProof/>
        </w:rPr>
        <w:t>Κεφάλαιο I- Γενικές διατάξεις</w:t>
      </w:r>
    </w:p>
    <w:p>
      <w:pPr>
        <w:rPr>
          <w:noProof/>
        </w:rPr>
      </w:pPr>
      <w:r>
        <w:rPr>
          <w:noProof/>
        </w:rPr>
        <w:t>Το κεφάλαιο I περιγράφει τις γενικές διατάξεις που σχετίζονται με τον παρόντα κανονισμό, συμπεριλαμβανομένου του αντικειμένου του και των ορισμών βασικών όρων. Θεσπίζει το περιβάλλον ενιαίας θυρίδας της ΕΕ για τα τελωνεία ως ένα ολοκληρωμένο σύνολο διαλειτουργικών ηλεκτρονικών υπηρεσιών που παρέχονται σε ενωσιακό και εθνικό επίπεδο. Οι υπηρεσίες αυτές προορίζονται να συμβάλουν στην τήρηση και την επιβολή των ενωσιακών μη τελωνειακών διατυπώσεων για την υπαγωγή των εμπορευμάτων σε ένα δεδομένο τελωνειακό καθεστώς με στόχο τη διευκόλυνση του εμπορίου και την περαιτέρω προστασία της Ένωσης. Οι γενικοί και ειδικοί στόχοι της νομοθετικής πρότασης οριοθετούν το πεδίο εφαρμογής του περιβάλλοντος ενιαίας θυρίδας της ΕΕ για τα τελωνεία και καθορίζουν το πλαίσιο για τη ρύθμιση των ηλεκτρονικών υπηρεσιών που θα διασφαλίσουν την ακριβή και αποδοτική του λειτουργία.</w:t>
      </w:r>
    </w:p>
    <w:p>
      <w:pPr>
        <w:rPr>
          <w:noProof/>
        </w:rPr>
      </w:pPr>
      <w:r>
        <w:rPr>
          <w:noProof/>
        </w:rPr>
        <w:t>Πιο συγκεκριμένα, τα παραπάνω περιλαμβάνουν τα εξής: 1) τη δημιουργία κεντρικού ενωσιακού συστήματος για τη διασύνδεση των εθνικών περιβαλλόντων ενιαίας θυρίδας για τα τελωνεία και των ενωσιακών μη τελωνειακών συστημάτων, ώστε να καθίσταται δυνατή η ψηφιακή συνεργασία μεταξύ των ρυθμιστικών αρχών που εμπλέκονται στον τελωνισμό των εμπορευμάτων, 2) την εναρμόνιση των εθνικών περιβαλλόντων ενιαίας θυρίδας για τα τελωνεία και των λειτουργιών τους, και 3) τη θέσπιση ειδικών κανόνων για την ψηφιακή διοικητική συνεργασία.</w:t>
      </w:r>
    </w:p>
    <w:p>
      <w:pPr>
        <w:rPr>
          <w:noProof/>
        </w:rPr>
      </w:pPr>
      <w:r>
        <w:rPr>
          <w:b/>
          <w:noProof/>
        </w:rPr>
        <w:t>Κεφάλαιο II - Σύστημα ενιαίας τελωνειακής θυρίδας της ΕΕ για την ανταλλαγή πιστοποιητικών (EU CSW-CERTEX)</w:t>
      </w:r>
    </w:p>
    <w:p>
      <w:pPr>
        <w:rPr>
          <w:noProof/>
        </w:rPr>
      </w:pPr>
      <w:r>
        <w:rPr>
          <w:noProof/>
        </w:rPr>
        <w:t>Το κεφάλαιο II περιγράφει τις διατάξεις που αφορούν το κεντρικό σύστημα ενιαίας τελωνειακής θυρίδας της ΕΕ για την ανταλλαγή πιστοποιητικών (EU CSW-CERTEX). Προβλέπει τη θέσπιση της ενιαίας θυρίδας EU CSW-CERTEX ως διεπαφής σε πραγματικό χρόνο μεταξύ των εθνικών περιβαλλόντων ενιαίας θυρίδας για τα τελωνεία και των ενωσιακών μη τελωνειακών συστημάτων.</w:t>
      </w:r>
    </w:p>
    <w:p>
      <w:pPr>
        <w:rPr>
          <w:noProof/>
        </w:rPr>
      </w:pPr>
      <w:r>
        <w:rPr>
          <w:noProof/>
        </w:rPr>
        <w:t>Η ενιαία θυρίδα EU CSW-CERTEX θα αναπτυχθεί και θα συντηρείται από κοινού από την Επιτροπή και τα κράτη μέλη. Θα καλύπτει τις ενωσιακές μη τελωνειακές διατυπώσεις, ψηφιοποιημένες σε επίπεδο ΕΕ, για τις οποίες οι συναφείς πληροφορίες που απαιτούν τα τελωνεία για λόγους τελωνισμού παρέχονται από όλες τις αρμόδιες αρχές-εταίρους σε ένα ενωσιακό σύστημα. Οι διατυπώσεις αυτές προσδιορίζονται στο παράρτημα</w:t>
      </w:r>
      <w:r>
        <w:rPr>
          <w:rStyle w:val="FootnoteReference"/>
          <w:noProof/>
        </w:rPr>
        <w:footnoteReference w:id="29"/>
      </w:r>
      <w:r>
        <w:rPr>
          <w:noProof/>
        </w:rPr>
        <w:t xml:space="preserve"> του κανονισμού και μπορούν να τροποποιηθούν με κατ’ εξουσιοδότηση πράξεις. Η Επιτροπή θα συνδέσει την ενιαία θυρίδα EU CSW-CERTEX με τα αντίστοιχα ενωσιακά μη τελωνειακά συστήματα, και τα κράτη μέλη θα την συνδέσουν με το εθνικό περιβάλλον ενιαίας θυρίδας για τα τελωνεία.</w:t>
      </w:r>
    </w:p>
    <w:p>
      <w:pPr>
        <w:rPr>
          <w:noProof/>
        </w:rPr>
      </w:pPr>
      <w:r>
        <w:rPr>
          <w:noProof/>
        </w:rPr>
        <w:t xml:space="preserve">Τα προσωπικά δεδομένα που θα ανταλλάσσονται μεταξύ του εθνικού περιβάλλοντος ενιαίας θυρίδας για τα τελωνεία και των ενωσιακών μη τελωνειακών συστημάτων θα υποβάλλονται σε επεξεργασία στην ενιαία θυρίδα EU CSW-CERTEX χωρίς να αποθηκεύονται. Η επεξεργασία αυτή θα εξυπηρετεί δύο κύριους στόχους: θα διευκολύνει την ανταλλαγή πληροφοριών μεταξύ των εθνικών περιβαλλόντων για τα τελωνεία και των ενωσιακών μη </w:t>
      </w:r>
      <w:r>
        <w:rPr>
          <w:noProof/>
        </w:rPr>
        <w:lastRenderedPageBreak/>
        <w:t>τελωνειακών συστημάτων, και θα μετατρέπει δεδομένα, κατά περίπτωση, ώστε να εκτελούνται απρόσκοπτα οι διαδικασίες μεταξύ τελωνειακών και μη τελωνειακών ψηφιακών τομέων. Στις κατηγορίες υποκειμένων των δεδομένων στις οποίες απαιτείται επεξεργασία δεδομένων προσωπικού χαρακτήρα περιλαμβάνονται φυσικά πρόσωπα, όπως εξουσιοδοτημένοι υπάλληλοι τελωνείων, αρμόδιων αρχών-εταίρων ή οποιουδήποτε άλλου πιστοποιημένου φορέα, στοιχεία των οποίων περιέχονται στην τελωνειακή διασάφηση ή στα συνοδευτικά έγγραφα που απαιτούνται για την εκπλήρωση των ενωσιακών μη τελωνειακών διατυπώσεων που καλύπτει η ενιαία θυρίδα EU CSW-CERTEX. Μία ακόμη κατηγορία υποκειμένων των δεδομένων είναι οι υπάλληλοι της Επιτροπής και τρίτοι πάροχοι που ενεργούν εξ ονόματός της, οι οποίοι εμπλέκονται σε δραστηριότητες λειτουργίας και συντήρησης σχετιζόμενες με την ενιαία θυρίδα EU CSW-CERTEX. Η Επιτροπή και τα κράτη μέλη της θα ενεργούν από κοινού ως υπεύθυνοι επεξεργασίας των δεδομένων προσωπικού χαρακτήρα στην ενιαία θυρίδα EU CSW-CERTEX σύμφωνα με τους κανονισμούς (ΕΕ) 2016/679 και (ΕΕ) 2018/1725. </w:t>
      </w:r>
    </w:p>
    <w:p>
      <w:pPr>
        <w:rPr>
          <w:noProof/>
        </w:rPr>
      </w:pPr>
      <w:r>
        <w:rPr>
          <w:b/>
          <w:noProof/>
        </w:rPr>
        <w:t>Κεφάλαιο III - Εθνικά περιβάλλοντα ενιαίας θυρίδας για τα τελωνεία</w:t>
      </w:r>
    </w:p>
    <w:p>
      <w:pPr>
        <w:rPr>
          <w:noProof/>
        </w:rPr>
      </w:pPr>
      <w:r>
        <w:rPr>
          <w:noProof/>
        </w:rPr>
        <w:t>Το κεφάλαιο III ορίζει τις διατάξεις που αφορούν τις εθνικές συνιστώσες του περιβάλλοντος ενιαίας θυρίδας της ΕΕ για τα τελωνεία, οι οποίες, για τους σκοπούς του παρόντος κανονισμού, αποκαλούνται εθνικά περιβάλλοντα ενιαίας θυρίδας για τα τελωνεία. Κάθε κράτος μέλος θα είναι υπεύθυνο για την ανάπτυξη, την εφαρμογή και τη συντήρηση της ακριβούς και αποδοτικής λειτουργίας των εθνικών περιβαλλόντων ενιαίας θυρίδας για τα τελωνεία.</w:t>
      </w:r>
    </w:p>
    <w:p>
      <w:pPr>
        <w:rPr>
          <w:noProof/>
        </w:rPr>
      </w:pPr>
      <w:r>
        <w:rPr>
          <w:noProof/>
        </w:rPr>
        <w:t>Προκειμένου να διασφαλίζεται η εναρμονισμένη τήρηση και επιβολή των μη τελωνειακών ενωσιακών κανονιστικών απαιτήσεων, βασική μέριμνα των εθνικών περιβαλλόντων ενιαίας θυρίδας για τα τελωνεία θα είναι να καθιστούν δυνατή την αυτόματη επαλήθευση από τις τελωνειακές αρχές της τήρησης των εν λόγω διατυπώσεων και να παρέχουν στις αρμόδιες αρχές-εταίρους τη δυνατότητα να προβαίνουν στη διαχείριση ποσοτήτων των εγκεκριμένων εμπορευμάτων βάσει της θέσης σε ελεύθερη κυκλοφορία από τα τελωνεία.</w:t>
      </w:r>
    </w:p>
    <w:p>
      <w:pPr>
        <w:rPr>
          <w:noProof/>
        </w:rPr>
      </w:pPr>
      <w:r>
        <w:rPr>
          <w:noProof/>
        </w:rPr>
        <w:t>Για την περαιτέρω ευθυγράμμιση των διαδικασιών συμμόρφωσης και τη διευκόλυνση του εμπορίου, τα εθνικά περιβάλλοντα ενιαίας θυρίδας για τα τελωνεία θα εξελιχθούν σε ενιαίο δίαυλο επικοινωνίας όπου οι οικονομικοί φορείς θα διεκπεραιώνουν τις συναφείς τελωνειακές και συγκεκριμένες ενωσιακές μη τελωνειακές διατυπώσεις που απαιτούνται προκειμένου τα εμπορεύματα να υπαχθούν σε τελωνειακό καθεστώς. Ο εν λόγω μηχανισμός διευκόλυνσης θα παρέχει στους οικονομικούς φορείς τη δυνατότητα να υποβάλλουν σε ένα ενιαίο σημείο τελωνειακά αλλά και ενωσιακά μη τελωνειακά δεδομένα που ζητούνται από τις διάφορες αρχές που εμπλέκονται στον τελωνισμό των εμπορευμάτων. Αυτό θα περιορίσει τις επικαλύψεις, τον χρόνο και το κόστος συμμόρφωσης για τους οικονομικούς φορείς. Οι ενωσιακές μη τελωνειακές διατυπώσεις που υπάγονται στο συγκεκριμένο μέτρο διευκόλυνσης συνιστούν ένα υποσύνολο των κύριων διατυπώσεων που παρατίθενται στο παράρτημα και τις οποίες θα προσδιορίσει η Επιτροπή μέσω εκτελεστικών πράξεων κατόπιν αξιολόγησης μιας δέσμης κριτηρίων συναφών με τη διευκόλυνση του εμπορίου, καθώς και της νομικής και τεχνικής σκοπιμότητας. Τα εθνικά περιβάλλοντα ενιαίας θυρίδας για τα τελωνεία μπορούν επίσης να λειτουργούν ως πλατφόρμες για τον «συντονισμό» αντίστοιχων ελέγχων, παρέχοντας μια λύση μονοαπευθυντικής διαδικασίας σύμφωνα με το άρθρο 47 παράγραφος 1 του κανονισμού (ΕΕ) αριθ. 952/2013.</w:t>
      </w:r>
    </w:p>
    <w:p>
      <w:pPr>
        <w:rPr>
          <w:noProof/>
        </w:rPr>
      </w:pPr>
      <w:r>
        <w:rPr>
          <w:noProof/>
        </w:rPr>
        <w:t xml:space="preserve">Η επεξεργασία δεδομένων προσωπικού χαρακτήρα στο πλαίσιο του εθνικού περιβάλλοντος ενιαίας θυρίδας για τα τελωνεία θα πραγματοποιείται σύμφωνα με τον κανονισμό (ΕΕ) 2016/679. Κάθε κράτος μέλος θα είναι ο αποκλειστικός υπεύθυνος επεξεργασίας των πράξεων επεξεργασίας δεδομένων στο πλαίσιο του αντίστοιχου περιβάλλοντος και θα </w:t>
      </w:r>
      <w:r>
        <w:rPr>
          <w:noProof/>
        </w:rPr>
        <w:lastRenderedPageBreak/>
        <w:t>ενημερώνει την Επιτροπή σε περίπτωση παραβίασης δεδομένων προσωπικού χαρακτήρα η οποία θέτει σε κίνδυνο την ασφάλεια, την εμπιστευτικότητα, τη διαθεσιμότητα ή την ακεραιότητα των δεδομένων προσωπικού χαρακτήρα. </w:t>
      </w:r>
    </w:p>
    <w:p>
      <w:pPr>
        <w:rPr>
          <w:noProof/>
        </w:rPr>
      </w:pPr>
      <w:r>
        <w:rPr>
          <w:b/>
          <w:noProof/>
        </w:rPr>
        <w:t xml:space="preserve">Κεφάλαιο IV - Ψηφιακή συνεργασία: Ανταλλαγή πληροφοριών και λοιποί διαδικαστικοί κανόνες </w:t>
      </w:r>
    </w:p>
    <w:p>
      <w:pPr>
        <w:rPr>
          <w:noProof/>
        </w:rPr>
      </w:pPr>
      <w:r>
        <w:rPr>
          <w:noProof/>
        </w:rPr>
        <w:t>Το κεφάλαιο IV περιέχει τις βασικές διατάξεις που αφορούν την αποδοτική λειτουργία του περιβάλλοντος ενιαίας θυρίδας της ΕΕ για τα τελωνεία. Το κεφάλαιο αυτό χωρίζεται σε τρία βασικά τμήματα τα οποία αντιστοιχούν σε διαφορετικές πτυχές της ψηφιακής συνεργασίας και της ανταλλαγής πληροφοριών μεταξύ τελωνείων, αρμόδιων αρχών-εταίρων και οικονομικών φορέων, όπως διευκρινίζεται κατωτέρω.</w:t>
      </w:r>
    </w:p>
    <w:p>
      <w:pPr>
        <w:rPr>
          <w:noProof/>
        </w:rPr>
      </w:pPr>
      <w:r>
        <w:rPr>
          <w:noProof/>
        </w:rPr>
        <w:t>Το τμήμα 1 ορίζει κανόνες για την ανταλλαγή πληροφοριών μεταξύ εθνικών περιβαλλόντων ενιαίας θυρίδας για τα τελωνεία και ενωσιακών μη τελωνειακών συστημάτων που υπόκεινται σε επεξεργασία μέσω της ενιαίας θυρίδας EU CSW-CERTEX, οι οποίοι εφαρμόζονται σε όλες τις ενωσιακές μη τελωνειακές διατυπώσεις του παραρτήματος. Οι ανταλλαγές πληροφοριών θα εξυπηρετούν τους εξής στόχους:</w:t>
      </w:r>
    </w:p>
    <w:p>
      <w:pPr>
        <w:pStyle w:val="Point0"/>
        <w:rPr>
          <w:noProof/>
        </w:rPr>
      </w:pPr>
      <w:r>
        <w:rPr>
          <w:noProof/>
        </w:rPr>
        <w:t>1.</w:t>
      </w:r>
      <w:r>
        <w:rPr>
          <w:noProof/>
        </w:rPr>
        <w:tab/>
        <w:t>τη διάθεση των συναφών δεδομένων στις τελωνειακές αρχές για την καλύτερη επιβολή των μη τελωνειακών κανονιστικών πολιτικών μέσω της αυτοματοποιημένης επαλήθευσης των εν λόγω διατυπώσεων·</w:t>
      </w:r>
    </w:p>
    <w:p>
      <w:pPr>
        <w:pStyle w:val="Point0"/>
        <w:rPr>
          <w:noProof/>
        </w:rPr>
      </w:pPr>
      <w:r>
        <w:rPr>
          <w:noProof/>
        </w:rPr>
        <w:t>2.</w:t>
      </w:r>
      <w:r>
        <w:rPr>
          <w:noProof/>
        </w:rPr>
        <w:tab/>
        <w:t>την παροχή των συναφών δεδομένων στις αρμόδιες αρχές-εταίρους ώστε να μπορούν να παρακολουθούν και να προσδιορίζουν την εναπομένουσα ποσότητα των εγκεκριμένων εμπορευμάτων που δεν έχουν διαγραφεί από τα τελωνεία κατά τον τελωνισμό άλλων αποστολών·</w:t>
      </w:r>
    </w:p>
    <w:p>
      <w:pPr>
        <w:pStyle w:val="Point0"/>
        <w:rPr>
          <w:noProof/>
        </w:rPr>
      </w:pPr>
      <w:r>
        <w:rPr>
          <w:noProof/>
        </w:rPr>
        <w:t>3.</w:t>
      </w:r>
      <w:r>
        <w:rPr>
          <w:noProof/>
        </w:rPr>
        <w:tab/>
        <w:t>τη διευκόλυνση της ολοκλήρωσης των τελωνειακών και των ενωσιακών μη τελωνειακών διαδικασιών για μια πλήρως αυτοματοποιημένη διαδικασία τελωνισμού των εμπορευμάτων, ώστε να υποστηρίζεται η εφαρμογή λύσεων μονοαπευθυντικής διαδικασίας·</w:t>
      </w:r>
    </w:p>
    <w:p>
      <w:pPr>
        <w:pStyle w:val="Point0"/>
        <w:rPr>
          <w:noProof/>
        </w:rPr>
      </w:pPr>
      <w:r>
        <w:rPr>
          <w:noProof/>
        </w:rPr>
        <w:t>4.</w:t>
      </w:r>
      <w:r>
        <w:rPr>
          <w:noProof/>
        </w:rPr>
        <w:tab/>
        <w:t>τη δυνατότητα αυτοματοποιημένης ανταλλαγής δεδομένων μεταξύ τελωνείων και αρμόδιων αρχών-εταίρων που προβλέπεται από τη νομοθεσία της ΕΕ. </w:t>
      </w:r>
    </w:p>
    <w:p>
      <w:pPr>
        <w:rPr>
          <w:noProof/>
        </w:rPr>
      </w:pPr>
      <w:r>
        <w:rPr>
          <w:noProof/>
        </w:rPr>
        <w:t>Εφόσον απαιτείται, η ενιαία θυρίδα EU CSW-CERTEX θα εκτελεί επίσης μετατροπή δεδομένων για λόγους διαλειτουργικότητας των συστημάτων και των επιχειρήσεων.</w:t>
      </w:r>
    </w:p>
    <w:p>
      <w:pPr>
        <w:rPr>
          <w:noProof/>
        </w:rPr>
      </w:pPr>
      <w:r>
        <w:rPr>
          <w:noProof/>
        </w:rPr>
        <w:t>Το τμήμα 2 καθορίζει πρόσθετες διατάξεις που ισχύουν μόνο για το υποσύνολο των ενωσιακών μη τελωνειακών διατυπώσεων που καλύπτει η ενιαία θυρίδα EU CSW-CERTEX, τις οποίες θα πρέπει να προσδιορίσει η Επιτροπή αξιολογώντας κατά πόσον πληρούται ένα σύνολο κριτηρίων. Τα πρόσθετα μέτρα διευκόλυνσης για τις συγκεκριμένες διατυπώσεις απαιτούν από τα εθνικά περιβάλλοντα ενιαίας θυρίδας για τα τελωνεία να καταστούν ένας ενιαίος δίαυλος επικοινωνίας όπου οι οικονομικοί φορείς θα εκπληρώνουν τόσο τελωνειακές όσο και ενωσιακές μη τελωνειακές διατυπώσεις. Χάρη στη λύση αυτή θα απλουστευθούν οι διαδικασίες τελωνισμού και θα αντιμετωπιστούν βασικά προβλήματα, όπως η απαίτηση υποβολής παρόμοιων πληροφοριών για τις ίδιες διακινήσεις εμπορευμάτων σε περισσότερες αρχές και μέσω πολλαπλών συστημάτων. Ειδικότερα, οι οικονομικοί φορείς θα μπορούν να υποβάλλουν όλα τα απαιτούμενα δεδομένα για την υπαγωγή των εμπορευμάτων σε τελωνειακά καθεστώτα και να λαμβάνουν ηλεκτρονική ανατροφοδότηση σε ένα ενιαίο σημείο από τις εμπλεκόμενες ρυθμιστικές αρχές.</w:t>
      </w:r>
    </w:p>
    <w:p>
      <w:pPr>
        <w:rPr>
          <w:noProof/>
        </w:rPr>
      </w:pPr>
      <w:r>
        <w:rPr>
          <w:noProof/>
        </w:rPr>
        <w:t xml:space="preserve">Η Επιτροπή θα καθορίσει ένα πλαίσιο για την εναρμόνιση και τον εξορθολογισμό των δεδομένων, ώστε να καταστεί δυνατή η επαναχρησιμοποίηση των δεδομένων που παρέχουν οι οικονομικοί φορείς σύμφωνα με την αρχή της «άπαξ υποβολής». Πιο συγκεκριμένα, θα </w:t>
      </w:r>
      <w:r>
        <w:rPr>
          <w:noProof/>
        </w:rPr>
        <w:lastRenderedPageBreak/>
        <w:t>ορίζει τα στοιχεία που είναι κοινά τόσο στην τελωνειακή διασάφηση όσο και στην αίτηση για συνοδευτικά έγγραφα και θα προσδιορίζει τα πρόσθετα στοιχεία που προβλέπονται μόνο από την ενωσιακή μη τελωνειακή νομοθεσία. Για τους σκοπούς του παρόντος κανονισμού, τα τελευταία θα αναφέρονται ως «σύνολο/-α δεδομένων της αρμόδιας αρχής-εταίρου (ΑΑΕ)». Τα δεδομένα της τελωνειακής διασάφησης και το/τα σύνολο/-α δεδομένων της ΑΑΕ θα συνθέτουν μια ολοκληρωμένη διασάφηση η οποία θα περιλαμβάνει όλες τις συναφείς με τον τελωνισμό πληροφορίες που απαιτούνται για την εκπλήρωση των οικείων τελωνειακών και ενωσιακών μη τελωνειακών διατυπώσεων. Μεταξύ άλλων δυνατοτήτων, η εξορθολογισμένη αυτή προσέγγιση θα παρέχει στους οικονομικούς φορείς τη δυνατότητα να υποβάλλουν από κοινού όλα τα απαιτούμενα δεδομένα για την υπαγωγή των εμπορευμάτων σε τελωνειακά καθεστώτα. Από διαδικαστική και χρονική άποψη, τούτο μπορεί να επιτευχθεί σύμφωνα με το άρθρο 171 του κανονισμού (ΕΕ) αριθ. 952/2013, που επιτρέπει την υποβολή της τελωνειακής διασάφησης πριν από την προσκόμιση των εμπορευμάτων. Η υποβολή της τελωνειακής διασάφησης σε συνδυασμό με το/τα συναφές/-ή σύνολο/-α δεδομένων της ΕΕΑ συνεπάγεται ότι ο οικονομικός φορέας προβαίνει ταυτόχρονα σε διασάφηση των εμπορευμάτων για την υπαγωγή τους σε τελωνειακό καθεστώς και σε αίτηση για τα απαιτούμενα συνοδευτικά έγγραφα.</w:t>
      </w:r>
    </w:p>
    <w:p>
      <w:pPr>
        <w:rPr>
          <w:noProof/>
        </w:rPr>
      </w:pPr>
      <w:r>
        <w:rPr>
          <w:noProof/>
        </w:rPr>
        <w:t>Η ενιαία θυρίδα EU CSW-CERTEX θα προωθεί τα συναφή δεδομένα από το εθνικό περιβάλλον ενιαίας θυρίδας για τα τελωνεία στα κατάλληλα ενωσιακά μη τελωνειακά συστήματα, ώστε να είναι διαθέσιμα στις αρμόδιες αρχές-εταίρους προκειμένου να ασκούν τα καθήκοντά τους. Κατά την παραλαβή, οι αρμόδιες αρχές-εταίροι θα εξετάζουν τα στοιχεία που τους αποστέλλονται και θα κοινοποιούν τις αποφάσεις τους σχετικά με τον τελωνισμό στα τελωνεία μέσω της ενιαίας θυρίδας EU CSW-CERTEX. Οι τελωνειακές αρχές, με τη σειρά τους, θα διαβιβάζουν τις εν λόγω πληροφορίες στον οικονομικό φορέα. Ο αριθμός EORI θα χρησιμοποιείται ως αναγνωριστικό για την ανταλλαγή και τη διασταύρωση πληροφοριών που σχετίζονται με τις εν λόγω ανταλλαγές. </w:t>
      </w:r>
    </w:p>
    <w:p>
      <w:pPr>
        <w:rPr>
          <w:noProof/>
        </w:rPr>
      </w:pPr>
      <w:r>
        <w:rPr>
          <w:noProof/>
        </w:rPr>
        <w:t>Προς διευκόλυνση της εφαρμογής του παρόντος κανονισμού, εισάγονται επιπρόσθετοι διαδικαστικοί κανόνες στο τμήμα 3, οι οποίοι αφορούν όλες τις ενωσιακές μη τελωνειακές διατυπώσεις που απαιτούνται για το διεθνές εμπόριο. Σε αυτούς περιλαμβάνονται η χρήση του συστήματος καταχώρισης και αναγνώρισης των οικονομικών φορέων (EORI) από αρμόδιες αρχές-εταίρους και ο διορισμός εθνικών συντονιστών.</w:t>
      </w:r>
    </w:p>
    <w:p>
      <w:pPr>
        <w:rPr>
          <w:noProof/>
        </w:rPr>
      </w:pPr>
      <w:r>
        <w:rPr>
          <w:noProof/>
        </w:rPr>
        <w:t>Σε κάθε οικονομικό φορέα που εμπλέκεται σε τελωνειακές επιχειρήσεις αποδίδεται ένας αριθμός EORI ως αναγνωριστικό στοιχείο για όλες τις συναλλαγές με τις τελωνειακές αρχές στην ΕΕ. Η Επιτροπή διατηρεί ένα κεντρικό σύστημα EORI για την αποθήκευση και τον χειρισμό δεδομένων που σχετίζονται με το EORI. Προκειμένου να διευκολύνεται η συνεργασία μεταξύ των διαφορετικών αρχών που εμπλέκονται στη διαδικασία τελωνισμού εμπορευμάτων, θα επιτρέπεται στις αρμόδιες αρχές-εταίρους η πρόσβαση στο σύστημα EORI για λόγους επικύρωσης. Τούτο σημαίνει ότι μπορούν να ζητούν τον αριθμό EORI από τους οικονομικούς φορείς στο πλαίσιο των διατυπώσεών τους και να τον επικυρώνουν στο σύστημα EORI.</w:t>
      </w:r>
    </w:p>
    <w:p>
      <w:pPr>
        <w:rPr>
          <w:noProof/>
        </w:rPr>
      </w:pPr>
      <w:r>
        <w:rPr>
          <w:noProof/>
        </w:rPr>
        <w:t>Κάθε κράτος μέλος θα διορίσει μια αρμόδια αρχή ως εθνικό συντονιστή προκειμένου να συνδράμει τα εμπλεκόμενα μέρη σε κάθε ζήτημα που σχετίζεται με το περιβάλλον ενιαίας θυρίδας της ΕΕ για τα τελωνεία. Ο εθνικός συντονιστής θα είναι το σημείο επαφής για την Επιτροπή, ενώ παράλληλα θα προωθεί τη συνεργασία σε εθνικό επίπεδο και θα εξασφαλίζει ότι τα αντίστοιχα εθνικά περιβάλλοντα είναι συνδεδεμένα με την ενιαία θυρίδα EU CSW-CERTEX με σκοπό την αποτελεσματική εφαρμογή του κανονισμού.</w:t>
      </w:r>
    </w:p>
    <w:p>
      <w:pPr>
        <w:rPr>
          <w:noProof/>
        </w:rPr>
      </w:pPr>
      <w:r>
        <w:rPr>
          <w:b/>
          <w:noProof/>
        </w:rPr>
        <w:t>Κεφάλαιο V - Κόστος της ενιαίας θυρίδας EU CSW-CERTEX, πρόγραμμα εργασιών και παρακολούθηση και υποβολή εκθέσεων</w:t>
      </w:r>
    </w:p>
    <w:p>
      <w:pPr>
        <w:rPr>
          <w:noProof/>
        </w:rPr>
      </w:pPr>
      <w:r>
        <w:rPr>
          <w:noProof/>
        </w:rPr>
        <w:lastRenderedPageBreak/>
        <w:t>Το κεφάλαιο V περιλαμβάνει τις διατάξεις που σχετίζονται με την κατανομή του κόστους, την κατάρτιση του προγράμματος εργασιών και την παρακολούθηση και υποβολή εκθέσεων.</w:t>
      </w:r>
    </w:p>
    <w:p>
      <w:pPr>
        <w:rPr>
          <w:noProof/>
        </w:rPr>
      </w:pPr>
      <w:r>
        <w:rPr>
          <w:noProof/>
        </w:rPr>
        <w:t>Όλες οι δαπάνες που σχετίζονται με την ανάπτυξη, την ολοκλήρωση και τη λειτουργία της ενιαίας θυρίδας EU CSW-CERTEX, συμπεριλαμβανομένων των διεπαφών του με τα ενωσιακά μη τελωνειακά συστήματα, θα επιβαρύνουν την Επιτροπή, ενώ τα κράτη μέλη θα αναλάβουν τις δαπάνες που σχετίζονται με τις διεπαφές της ενιαίας θυρίδας EU CSW-CERTEX με το εθνικό περιβάλλον ενιαίας θυρίδας για τα τελωνεία. Έως την 31η Δεκεμβρίου 2027 και στη συνέχεια ανά τρία έτη, η Επιτροπή θα υποβάλλει έκθεση αξιολόγησης σχετικά με τη λειτουργία του περιβάλλοντος ενιαίας θυρίδας της ΕΕ για τα τελωνεία στο Ευρωπαϊκό Κοινοβούλιο και το Συμβούλιο. Τα κράτη μέλη θα είναι αρμόδια για την παροχή των πληροφοριών που απαιτούνται για την εκπόνηση της εν λόγω έκθεσης.</w:t>
      </w:r>
    </w:p>
    <w:p>
      <w:pPr>
        <w:rPr>
          <w:noProof/>
        </w:rPr>
      </w:pPr>
      <w:r>
        <w:rPr>
          <w:noProof/>
        </w:rPr>
        <w:t xml:space="preserve">Η Επιτροπή θα καταρτίσει πρόγραμμα εργασιών για να στηρίξει τη σταδιακή εφαρμογή των διατάξεων που σχετίζονται με τις ενωσιακές μη τελωνειακές διατυπώσεις που παρατίθενται στο παράρτημα. </w:t>
      </w:r>
    </w:p>
    <w:p>
      <w:pPr>
        <w:rPr>
          <w:noProof/>
        </w:rPr>
      </w:pPr>
      <w:r>
        <w:rPr>
          <w:b/>
          <w:noProof/>
        </w:rPr>
        <w:t>Κεφάλαιο VI - Διαδικασίες έκδοσης εκτελεστικών και κατ’ εξουσιοδότηση πράξεων, τροποποιήσεις και τελικές διατάξεις</w:t>
      </w:r>
    </w:p>
    <w:p>
      <w:pPr>
        <w:rPr>
          <w:noProof/>
        </w:rPr>
      </w:pPr>
      <w:r>
        <w:rPr>
          <w:noProof/>
        </w:rPr>
        <w:t>Το κεφάλαιο VI περιγράφει τις διατάξεις που αφορούν τη θέσπιση κατ’ εξουσιοδότηση και εκτελεστικών πράξεων σύμφωνα με τα άρθρα 290 και 291 της ΣΛΕΕ, δύο τροποποιήσεις του κανονισμού (ΕΕ) αριθ. 952/2013 και την έναρξη ισχύος και την εφαρμογή.</w:t>
      </w:r>
    </w:p>
    <w:p>
      <w:pPr>
        <w:rPr>
          <w:noProof/>
        </w:rPr>
      </w:pPr>
      <w:r>
        <w:rPr>
          <w:noProof/>
        </w:rPr>
        <w:t xml:space="preserve">Όπως περιγράφεται στο άρθρο 3 του κανονισμού (ΕΕ) αριθ. 952/2013, η αποστολή των τελωνειακών αρχών να διευκολύνουν το νόμιμο εμπόριο και να διαφυλάσσουν την ασφάλεια και την προστασία της ΕΕ και των κατοίκων της, καθώς και την προστασία του περιβάλλοντος, σε στενή συνεργασία ενδεχομένως με άλλες αρχές, συνάδει με τους στόχους του παρόντος κανονισμού. Για τον λόγο αυτόν, ο ορισμός της τελωνειακής νομοθεσίας που προβλέπεται στο άρθρο 5 παράγραφος 2 του κανονισμού (ΕΕ) αριθ. 952/2013 θα τροποποιηθεί ώστε να συμπεριλαμβάνει ένα νέο στοιχείο ε), το οποίο θα παραπέμπει στον παρόντα κανονισμό και στις διατάξεις που τον συμπληρώνουν και τις διατάξεις εφαρμογής του. </w:t>
      </w:r>
    </w:p>
    <w:p>
      <w:pPr>
        <w:rPr>
          <w:noProof/>
        </w:rPr>
      </w:pPr>
      <w:r>
        <w:rPr>
          <w:noProof/>
        </w:rPr>
        <w:t>Η δεύτερη τροποποίηση αφορά την προσθήκη ενός εδαφίου στο άρθρο 163 παράγραφος 1, με το οποίο τεκμαίρεται ότι τα συνοδευτικά έγγραφα που πιστοποιούν την τήρηση των ενωσιακών μη τελωνειακών διατυπώσεων που καλύπτει η ενιαία θυρίδα EU CSW-CERTEX βρίσκονται στην κατοχή του διασαφιστή και στη διάθεση των τελωνειακών αρχών κατά την υποβολή της τελωνειακής διασάφησης. Η υποχρέωση αυτή θεωρείται ότι έχει ικανοποιηθεί καθώς οι τελωνειακές αρχές θα είναι σε θέση να αποκτούν, μέσω της ενιαίας θυρίδας EU CSW-CERTEX, τα δεδομένα που απαιτούνται για τον τελωνισμό βάσει των ανταλλαγών πληροφοριών που περιγράφονται ανωτέρω.</w:t>
      </w:r>
    </w:p>
    <w:p>
      <w:pPr>
        <w:rPr>
          <w:noProof/>
        </w:rPr>
      </w:pPr>
      <w:r>
        <w:rPr>
          <w:noProof/>
        </w:rPr>
        <w:t>Ο κανονισμός θα αρχίσει να ισχύει 20 ημέρες μετά τη δημοσίευσή του στην Επίσημη Εφημερίδα της ΕΕ. Τα άρθρα που αφορούν την ενσωμάτωση των ενωσιακών μη τελωνειακών διατυπώσεων του παραρτήματος στην ενιαία θυρίδα EU CSW-CERTEX θα αρχίσουν να ισχύουν σταδιακά τις ημερομηνίες που προσδιορίζονται για κάθε διατύπωση. Τα άρθρα σχετικά με τα επιπρόσθετα μέτρα διευκόλυνσης που επηρεάζουν τις συγκεκριμένες ενωσιακές μη τελωνειακές διατυπώσεις, τις οποίες πρόκειται να προσδιορίσει η Επιτροπή μέσω εκτελεστικών πράξεων, θα αρχίσουν να εφαρμόζονται από την 1η Ιανουαρίου 2031.</w:t>
      </w:r>
    </w:p>
    <w:p>
      <w:pPr>
        <w:rPr>
          <w:noProof/>
        </w:rPr>
      </w:pPr>
      <w:r>
        <w:rPr>
          <w:b/>
          <w:noProof/>
        </w:rPr>
        <w:t>Το παράρτημα</w:t>
      </w:r>
    </w:p>
    <w:p>
      <w:pPr>
        <w:rPr>
          <w:noProof/>
        </w:rPr>
      </w:pPr>
      <w:r>
        <w:rPr>
          <w:noProof/>
        </w:rPr>
        <w:t xml:space="preserve">Το παράρτημα του παρόντος κανονισμού θα περιέχει κατάλογο των ενωσιακών μη τελωνειακών διατυπώσεων που απαιτούνται για τις διεθνείς εμπορευματικές συναλλαγές, τα αντίστοιχα συστήματα των οποίων θα συνδέονται με την ενιαία θυρίδα EU CSW-CERTEX </w:t>
      </w:r>
      <w:r>
        <w:rPr>
          <w:noProof/>
        </w:rPr>
        <w:lastRenderedPageBreak/>
        <w:t xml:space="preserve">ώστε να ανταλλάσσουν πληροφορίες με τα εθνικά περιβάλλοντα ενιαίας θυρίδας για τα τελωνεία. Ο κατάλογος θα περιλαμβάνει τα ενωσιακά μη τελωνειακά συστήματα και την ισχύουσα συναφή νομοθεσία της ΕΕ η οποία διέπει τις διατυπώσεις που καλύπτονται από τον παρόντα κανονισμό. Οι εν λόγω διατυπώσεις θα ενσωματωθούν στο περιβάλλον ενιαίας θυρίδας της ΕΕ για τα τελωνεία μέσω σταδιακής εφαρμογής έως τις 3 Μαρτίου 2025. Το παράρτημα μπορεί να τροποποιηθεί με κατ’ εξουσιοδότηση πράξεις, ενώ το Ευρωπαϊκό Κοινοβούλιο και το Συμβούλιο διατηρούν το δικαίωμα να διατυπώσουν αντιρρήσεις.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2020/0306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περιβάλλοντος ενιαίας θυρίδας της Ευρωπαϊκής Ένωσης για τα τελωνεία και για την τροποποίηση του κανονισμού (ΕΕ) αριθ. 952/2013</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τα άρθρα 33, 114 και 207,</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30"/>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rPr>
          <w:noProof/>
        </w:rPr>
        <w:t>(1)</w:t>
      </w:r>
      <w:r>
        <w:rPr>
          <w:noProof/>
        </w:rPr>
        <w:tab/>
        <w:t>Το διεθνές εμπόριο της Ένωσης διέπεται τόσο από την τελωνειακή νομοθεσία όσο και από την ενωσιακή μη τελωνειακή νομοθεσία. Η τελευταία εφαρμόζεται σε συγκεκριμένα εμπορεύματα, σε τομείς πολιτικής όπως η υγεία και ασφάλεια, το περιβάλλον, η γεωργία, η αλιεία, η πολιτιστική κληρονομιά και η εποπτεία της αγοράς. Ένα από τα κύρια καθήκοντα με τα οποία επιφορτίζονται οι τελωνειακές αρχές σύμφωνα με τον κανονισμό (ΕΕ) αριθ. 952/2013 του Ευρωπαϊκού Κοινοβουλίου και του Συμβουλίου</w:t>
      </w:r>
      <w:r>
        <w:rPr>
          <w:rStyle w:val="FootnoteReference"/>
          <w:noProof/>
        </w:rPr>
        <w:footnoteReference w:id="31"/>
      </w:r>
      <w:r>
        <w:rPr>
          <w:noProof/>
        </w:rPr>
        <w:t xml:space="preserve"> είναι η διαφύλαξη της ασφάλειας και της προστασίας της Ένωσης και των κατοίκων της, καθώς και η προστασία του περιβάλλοντος, σε στενή συνεργασία ενδεχομένως με άλλες αρχές. Οι αρχές που είναι αρμόδιες για ενωσιακές μη τελωνειακές κανονιστικές διατυπώσεις (στο εξής: αρμόδιες αρχές-εταίροι) και οι τελωνειακές αρχές συχνά εργάζονται χωρίς επικοινωνία και συντονισμό μεταξύ τους, με αποτέλεσμα να δημιουργούνται περίπλοκες και επαχθείς υποχρεώσεις υποβολής στοιχείων για τους εμπόρους και μη αποδοτικές διαδικασίες τελωνισμού των εμπορευμάτων που ευνοούν σφάλματα και απάτες. Προκειμένου να αντιμετωπιστεί ο κατακερματισμός της διαλειτουργικότητας μεταξύ τελωνείων και αρμόδιων αρχών-εταίρων στη διαχείριση των διαδικασιών τελωνισμού των εμπορευμάτων και να συντονιστεί η δράση στον συγκεκριμένο τομέα, η Επιτροπή και τα κράτη μέλη έχουν αναλάβει, με την πάροδο των ετών, ορισμένες δεσμεύσεις για την ανάπτυξη πρωτοβουλιών ενιαίας θυρίδας όσον αφορά τον τελωνισμό των εμπορευμάτων.</w:t>
      </w:r>
    </w:p>
    <w:p>
      <w:pPr>
        <w:pStyle w:val="ManualConsidrant"/>
        <w:rPr>
          <w:noProof/>
        </w:rPr>
      </w:pPr>
      <w:r>
        <w:rPr>
          <w:noProof/>
        </w:rPr>
        <w:lastRenderedPageBreak/>
        <w:t>(2)</w:t>
      </w:r>
      <w:r>
        <w:rPr>
          <w:noProof/>
        </w:rPr>
        <w:tab/>
        <w:t>Σύμφωνα με το άρθρο 4 παράγραφος 6 της απόφασης αριθ. 70/2008/ΕΚ του Ευρωπαϊκού Κοινοβουλίου και του Συμβουλίου</w:t>
      </w:r>
      <w:r>
        <w:rPr>
          <w:rStyle w:val="FootnoteReference"/>
          <w:noProof/>
        </w:rPr>
        <w:footnoteReference w:id="32"/>
      </w:r>
      <w:r>
        <w:rPr>
          <w:noProof/>
        </w:rPr>
        <w:t>, τα κράτη μέλη και η Επιτροπή θα επιδιώξουν να δημιουργήσουν και να θέσουν σε λειτουργία το πλαίσιο για τις υπηρεσίες ενιαίας ηλεκτρονικής θυρίδας. Όπως αναφέρεται στην τελική έκθεση για την αξιολόγηση της εφαρμογής των ηλεκτρονικών τελωνείων στην ΕΕ της 21ης Ιανουαρίου 2015</w:t>
      </w:r>
      <w:r>
        <w:rPr>
          <w:rStyle w:val="FootnoteReference"/>
          <w:noProof/>
        </w:rPr>
        <w:footnoteReference w:id="33"/>
      </w:r>
      <w:r>
        <w:rPr>
          <w:noProof/>
        </w:rPr>
        <w:t>, ενώ ορισμένα στοιχεία της εν λόγω οδηγίας παραμένουν ιδιαιτέρως συναφή, άλλα μέρη είτε έχουν αντικατασταθεί είτε δεν είναι αρκετά συγκεκριμένα ώστε να ευνοούν και να παρέχουν κίνητρα για την επίτευξη περαιτέρω προόδου, ιδίως σε σχέση με την πρωτοβουλία ενιαίας θυρίδας. Σε συνέχεια των παραπάνω, το Συμβούλιο στα συμπεράσματά του της 17ης Δεκεμβρίου 2014 για την εφαρμογή των ηλεκτρονικών τελωνείων και της ενιαίας θυρίδας στην Ευρωπαϊκή Ένωση</w:t>
      </w:r>
      <w:r>
        <w:rPr>
          <w:rStyle w:val="FootnoteReference"/>
          <w:noProof/>
        </w:rPr>
        <w:footnoteReference w:id="34"/>
      </w:r>
      <w:r>
        <w:rPr>
          <w:noProof/>
        </w:rPr>
        <w:t> ενέκρινε τη Δήλωση της Βενετίας της 15ης Οκτωβρίου 2014</w:t>
      </w:r>
      <w:r>
        <w:rPr>
          <w:rStyle w:val="FootnoteReference"/>
          <w:noProof/>
        </w:rPr>
        <w:footnoteReference w:id="35"/>
      </w:r>
      <w:r>
        <w:rPr>
          <w:noProof/>
        </w:rPr>
        <w:t xml:space="preserve"> και κάλεσε την Επιτροπή να υποβάλει πρόταση για την αναθεώρηση της οδηγίας αριθ. 70/2008/ΕΚ. </w:t>
      </w:r>
    </w:p>
    <w:p>
      <w:pPr>
        <w:pStyle w:val="ManualConsidrant"/>
        <w:rPr>
          <w:noProof/>
        </w:rPr>
      </w:pPr>
      <w:r>
        <w:rPr>
          <w:noProof/>
        </w:rPr>
        <w:t>(3)</w:t>
      </w:r>
      <w:r>
        <w:rPr>
          <w:noProof/>
        </w:rPr>
        <w:tab/>
        <w:t>Την 1η Οκτωβρίου 2015, το Συμβούλιο εξέδωσε την απόφαση (ΕΕ) 2015/1947</w:t>
      </w:r>
      <w:r>
        <w:rPr>
          <w:rStyle w:val="FootnoteReference"/>
          <w:noProof/>
        </w:rPr>
        <w:footnoteReference w:id="36"/>
      </w:r>
      <w:r>
        <w:rPr>
          <w:noProof/>
        </w:rPr>
        <w:t xml:space="preserve"> με την οποία εγκρίθηκε, εξ ονόματος της Ένωσης, η συμφωνία για τη διευκόλυνση του εμπορίου, η οποία άρχισε να ισχύει στις 22 Φεβρουαρίου 2017. Η συμφωνία αυτή αποτελεί την εκτενέστερη προσπάθεια για τη διευκόλυνση του εμπορίου και τη μεταρρύθμιση του τελωνειακού συστήματος που έχει αναληφθεί στο πλαίσιο του Παγκόσμιου Οργανισμού Εμπορίου. Περιέχει διατάξεις που αποσκοπούν στη σημαντική βελτίωση του τελωνισμού των εμπορευμάτων και στην αποτελεσματική συνεργασία μεταξύ τελωνείων και λοιπών ρυθμιστικών αρχών για τη διευκόλυνση του εμπορίου και για ζητήματα τελωνειακής συμμόρφωσης. Σύμφωνα με το άρθρο 10 παράγραφος 4 της συμφωνίας, τα μέλη πρέπει να επιδιώξουν τη δημιουργία και την τήρηση μιας υπηρεσίας μίας στάσης, η οποία θα επιτρέπει στους εμπόρους να υποβάλουν έγγραφα και/ή απαιτήσεις δεδομένων για εισαγωγές, εξαγωγές ή διαμετακομίσεις εμπορευμάτων, μέσω ενός ενιαίου σημείου εισόδου, στις συμμετέχουσες αρχές ή υπηρεσίες.  </w:t>
      </w:r>
    </w:p>
    <w:p>
      <w:pPr>
        <w:pStyle w:val="ManualConsidrant"/>
        <w:rPr>
          <w:noProof/>
        </w:rPr>
      </w:pPr>
      <w:r>
        <w:rPr>
          <w:noProof/>
        </w:rPr>
        <w:t>(4)</w:t>
      </w:r>
      <w:r>
        <w:rPr>
          <w:noProof/>
        </w:rPr>
        <w:tab/>
        <w:t xml:space="preserve">Η διευκόλυνση του εμπορίου, καθώς και η ασφάλεια και η προστασία, είναι μέλημα όλων των αρχών που συμμετέχουν στη διαδικασία τελωνισμού των εμπορευμάτων μεταξύ των συνόρων της Ευρωπαϊκής Ένωσης. Η ραγδαία αύξηση του διεθνούς εμπορίου έχει αυξήσει την ανάγκη για ενίσχυση της συνεργασίας και του συντονισμού μεταξύ των εν λόγω αρχών. Η εν εξελίξει διαδικασία ψηφιοποίησης καθιστά δυνατή την αποτελεσματικότερη αντιμετώπιση της κατάστασης μέσα από τη σύνδεση των συστημάτων τελωνείων και αρμόδιων αρχών-εταίρων και παρέχει τη δυνατότητα για μεταξύ τους συστηματική και αυτοματοποιημένη ανταλλαγή πληροφοριών. Υπό την έννοια αυτή, το τρέχον πλαίσιο συμμόρφωσης προς τις κανονιστικές διατάξεις δεν επαρκεί για να εξασφαλιστεί αποτελεσματική αλληλεπίδραση μεταξύ τελωνείων και </w:t>
      </w:r>
      <w:r>
        <w:rPr>
          <w:noProof/>
        </w:rPr>
        <w:lastRenderedPageBreak/>
        <w:t>αρμόδιων αρχών-εταίρων, τα συστήματα και οι διαδικασίες των οποίων είναι κατακερματισμένα και παρωχημένα. Προϋπόθεση για μια απόλυτα συντονισμένη και αποτελεσματική διαδικασία τελωνισμού των εμπορευμάτων αποτελεί ένα εξορθολογισμένο ενωσιακό κανονιστικό περιβάλλον για το διεθνές εμπόριο, το οποίο θα παρέχει μακροχρόνια οφέλη στην Ένωση και τους κατοίκους της σε όλους τους τομείς πολιτικής.</w:t>
      </w:r>
    </w:p>
    <w:p>
      <w:pPr>
        <w:pStyle w:val="ManualConsidrant"/>
        <w:rPr>
          <w:noProof/>
        </w:rPr>
      </w:pPr>
      <w:r>
        <w:rPr>
          <w:noProof/>
        </w:rPr>
        <w:t>(5)</w:t>
      </w:r>
      <w:r>
        <w:rPr>
          <w:noProof/>
        </w:rPr>
        <w:tab/>
        <w:t>Το ευρωπαϊκό σχέδιο δράσης για την ηλεκτρονική διακυβέρνηση 2016-2020 που προβλέπεται στην ανακοίνωση της Επιτροπής της 19ης Απριλίου 2016</w:t>
      </w:r>
      <w:r>
        <w:rPr>
          <w:rStyle w:val="FootnoteReference"/>
          <w:noProof/>
        </w:rPr>
        <w:footnoteReference w:id="37"/>
      </w:r>
      <w:r>
        <w:rPr>
          <w:noProof/>
        </w:rPr>
        <w:t xml:space="preserve"> αποσκοπεί στην ενίσχυση της αποτελεσματικότητας των δημόσιων υπηρεσιών με την άρση των υφιστάμενων ψηφιακών φραγμών, τη μείωση του διοικητικού φόρτου και την ενίσχυση της ποιότητας των αλληλεπιδράσεων μεταξύ των εθνικών διοικήσεων. Η Επιτροπή, ευθυγραμμιζόμενη με αυτό το όραμα και με τις ευρύτερες προσπάθειες για απλούστευση και ψηφιοποίηση των διαδικασιών υποβολής εκθέσεων για τις διεθνείς εμπορευματικές συναλλαγές, ανέπτυξε ένα εθελοντικό δοκιμαστικό σχέδιο με την ονομασία «Ενιαία τελωνειακή θυρίδα της ΕΕ για την ανταλλαγή πιστοποιητικών». Το σχέδιο αυτό παρέχει στις τελωνειακές αρχές τη δυνατότητα να επαληθεύουν αυτόματα τη συμμόρφωση με έναν περιορισμένο αριθμό τελωνειακών διατυπώσεων, καθιστώντας δυνατή την ανταλλαγή πληροφοριών μεταξύ των τελωνειακών συστημάτων των συμμετεχόντων κρατών μελών και των αντίστοιχων ενωσιακών μη τελωνειακών συστημάτων διαχείρισης μη τελωνειακών διατυπώσεων. Παρόλο που το σχέδιο έχει βελτιώσει τις διαδικασίες τελωνισμού, ο εθελοντικός χαρακτήρας του περιορίζει σαφέστατα τη δυνατότητά του να αποφέρει ουσιαστικά οφέλη στις τελωνειακές αρχές, στις αρμόδιες αρχές-εταίρους και στους οικονομικούς φορείς.</w:t>
      </w:r>
    </w:p>
    <w:p>
      <w:pPr>
        <w:pStyle w:val="ManualConsidrant"/>
        <w:rPr>
          <w:noProof/>
        </w:rPr>
      </w:pPr>
      <w:r>
        <w:rPr>
          <w:noProof/>
        </w:rPr>
        <w:t>(6)</w:t>
      </w:r>
      <w:r>
        <w:rPr>
          <w:noProof/>
        </w:rPr>
        <w:tab/>
        <w:t>Προκειμένου να επιτευχθεί ένα πλήρως ψηφιακό περιβάλλον και μια αποτελεσματική διαδικασία τελωνισμού των εμπορευμάτων για όλα τα μέρη που εμπλέκονται στο διεθνές εμπόριο, είναι αναγκαίο να θεσπιστούν κοινοί κανόνες για ένα εναρμονισμένο και ολοκληρωμένο περιβάλλον ενιαίας θυρίδας της Ευρωπαϊκής Ένωσης για τα τελωνεία (στο εξής: περιβάλλον ενιαίας θυρίδας της ΕΕ για τα τελωνεία). Το περιβάλλον αυτό θα πρέπει να περιλαμβάνει ένα σύνολο πλήρως ολοκληρωμένων ηλεκτρονικών υπηρεσιών παρεχόμενων σε ενωσιακό και εθνικό επίπεδο, ώστε να διευκολύνεται η ανταλλαγή πληροφοριών και η ψηφιακή συνεργασία μεταξύ τελωνείων και αρμόδιων αρχών-εταίρων και να εξορθολογιστούν οι διαδικασίες τελωνισμού των εμπορευμάτων για τους οικονομικούς φορείς. Το περιβάλλον ενιαίας θυρίδας της ΕΕ για τα τελωνεία θα πρέπει να αναπτυχθεί σε συνάρτηση με τις δυνατότητες αξιόπιστης ταυτοποίησης και επαλήθευσης της ταυτότητας που παρέχει ο κανονισμός eIDAS</w:t>
      </w:r>
      <w:r>
        <w:rPr>
          <w:rStyle w:val="FootnoteReference"/>
          <w:noProof/>
        </w:rPr>
        <w:footnoteReference w:id="38"/>
      </w:r>
      <w:r>
        <w:rPr>
          <w:noProof/>
        </w:rPr>
        <w:t xml:space="preserve"> και την αρχή «μόνον άπαξ», κατά περίπτωση, όπως επαναλαμβάνεται στον κανονισμό για την ενιαία ψηφιακή πύλη</w:t>
      </w:r>
      <w:r>
        <w:rPr>
          <w:rStyle w:val="FootnoteReference"/>
          <w:noProof/>
        </w:rPr>
        <w:footnoteReference w:id="39"/>
      </w:r>
      <w:r>
        <w:rPr>
          <w:noProof/>
        </w:rPr>
        <w:t xml:space="preserve">. Προκειμένου να </w:t>
      </w:r>
      <w:r>
        <w:rPr>
          <w:noProof/>
        </w:rPr>
        <w:lastRenderedPageBreak/>
        <w:t>υλοποιηθεί το περιβάλλον ενιαίας θυρίδας της ΕΕ για τα τελωνεία, είναι αναγκαίο να θεσπιστεί, βάσει του δοκιμαστικού σχεδίου, ένα σύστημα ανταλλαγής πιστοποιητικών, το σύστημα τελωνειακής ενιαίας θυρίδας της ΕΕ για την ανταλλαγή πιστοποιητικών (στο εξής: ενιαία θυρίδα EU CSW-CERTEX), το οποίο θα διασυνδέει τα εθνικά περιβάλλοντα ενιαίας θυρίδας για τα τελωνεία με τα ενωσιακά μη τελωνειακά συστήματα που διαχειρίζονται συγκεκριμένες μη τελωνειακές διατυπώσεις. Είναι επίσης αναγκαίο να εναρμονιστούν τα εθνικά περιβάλλοντα ενιαίας θυρίδας για τα τελωνεία, να ενσωματωθούν τα εν λόγω περιβάλλοντα στο περιβάλλον ενιαίας θυρίδας της ΕΕ για τα τελωνεία, και να θεσπιστεί μια δέσμη κανόνων για την ψηφιακή συνεργασία στο πλαίσιο του περιβάλλοντος ενιαίας θυρίδας της ΕΕ για τα τελωνεία.</w:t>
      </w:r>
    </w:p>
    <w:p>
      <w:pPr>
        <w:pStyle w:val="ManualConsidrant"/>
        <w:rPr>
          <w:noProof/>
        </w:rPr>
      </w:pPr>
      <w:r>
        <w:rPr>
          <w:noProof/>
        </w:rPr>
        <w:t>(7)</w:t>
      </w:r>
      <w:r>
        <w:rPr>
          <w:noProof/>
        </w:rPr>
        <w:tab/>
        <w:t>Η ανταλλαγή ψηφιακών πληροφοριών μέσω της ενιαίας θυρίδας EU CSW-CERTEX θα πρέπει να καλύπτει τις ενωσιακές μη τελωνειακές διατυπώσεις που προβλέπει η ενωσιακή νομοθεσία, με την επιβολή της εφαρμογής των οποίων είναι επιφορτισμένες οι τελωνειακές αρχές. Οι εν λόγω διατυπώσεις επιβάλλουν διάφορες υποχρεώσεις για την εισαγωγή, την εξαγωγή ή τη διαμετακόμιση ορισμένων εμπορευμάτων, και η επαλήθευσή τους μέσω τελωνειακών ελέγχων είναι ουσιώδους σημασίας για την αποτελεσματική λειτουργία του περιβάλλοντος ενιαίας θυρίδας της ΕΕ για τα τελωνεία. Η ενιαία θυρίδα EU CSW-CERTEX θα πρέπει να καλύπτει τις ψηφιοποιημένες κανονιστικές διατυπώσεις που προβλέπονται στην ενωσιακή νομοθεσία και τις οποίες διαχειρίζονται οι αρμόδιες αρχές-εταίροι σε ηλεκτρονικά ενωσιακά μη τελωνειακά συστήματα, και να αποθηκεύει τις συναφείς πληροφορίες από όλα τα κράτη μέλη οι οποίες απαιτούνται για τον τελωνισμό των εμπορευμάτων. Ως εκ τούτου, είναι σκόπιμο να προσδιοριστούν οι ενωσιακές μη τελωνειακές διατυπώσεις που θα πρέπει να υπόκεινται στην ψηφιακή συνεργασία μέσω της ενιαίας θυρίδας EU CSW-CERTEX. Ειδικότερα, η ενιαία θυρίδα EU CSW-CERTEX θα πρέπει αρχικά να καλύπτει υγειονομικές και φυτοϋγειονομικές απαιτήσεις, κανόνες για τη ρύθμιση των εισαγωγών βιολογικών προϊόντων, περιβαλλοντικές απαιτήσεις σε σχέση με φθοριούχα αέρια του θερμοκηπίου και με ουσίες που καταστρέφουν το όζον, καθώς και διατυπώσεις που σχετίζονται με την εισαγωγή πολιτιστικών αγαθών.</w:t>
      </w:r>
    </w:p>
    <w:p>
      <w:pPr>
        <w:pStyle w:val="ManualConsidrant"/>
        <w:rPr>
          <w:noProof/>
        </w:rPr>
      </w:pPr>
      <w:r>
        <w:rPr>
          <w:noProof/>
        </w:rPr>
        <w:t>(8)</w:t>
      </w:r>
      <w:r>
        <w:rPr>
          <w:noProof/>
        </w:rPr>
        <w:tab/>
        <w:t>Η ενιαία θυρίδα EU CSW-CERTEX θα πρέπει να διευκολύνει την ανταλλαγή πληροφοριών μεταξύ εθνικών περιβαλλόντων ενιαίας θυρίδας για τα τελωνεία και ενωσιακών μη τελωνειακών συστημάτων. Αυτό σημαίνει ότι όταν ένας οικονομικός φορέας υποβάλλει τελωνειακή διασάφηση που προϋποθέτει την τήρηση ενωσιακών μη τελωνειακών διατυπώσεων, οι τελωνειακές αρχές και οι αρμόδιες αρχές-εταίροι μπορούν αυτόματα και αποτελεσματικά να ανταλλάσσουν και να επαληθεύουν τις πληροφορίες που απαιτούνται για τη διαδικασία τελωνισμού. Η βελτιωμένη ψηφιακή συνεργασία και ο καλύτερος συντονισμός μεταξύ τελωνειακών αρχών και αρμόδιων αρχών-εταίρων αναμένεται να οδηγήσει σε περισσότερο ολοκληρωμένες, ταχύτερες και απλούστερες διαδικασίες τελωνισμού των εμπορευμάτων χωρίς χαρτί, καθώς και στην καλύτερη επιβολή και τήρηση των ενωσιακών μη τελωνειακών διατυπώσεων. </w:t>
      </w:r>
    </w:p>
    <w:p>
      <w:pPr>
        <w:pStyle w:val="ManualConsidrant"/>
        <w:rPr>
          <w:noProof/>
        </w:rPr>
      </w:pPr>
      <w:r>
        <w:rPr>
          <w:noProof/>
        </w:rPr>
        <w:t>(9)</w:t>
      </w:r>
      <w:r>
        <w:rPr>
          <w:noProof/>
        </w:rPr>
        <w:tab/>
        <w:t xml:space="preserve">Η Επιτροπή, σε συνεργασία με τα κράτη μέλη, θα πρέπει να αναπτύξει, να ολοκληρώσει, να εγκαταστήσει και να συντηρεί την ενιαία θυρίδα EU CSW-CERTEX. Προκειμένου να παρέχονται οι δέουσες και εναρμονισμένες υπηρεσίες ενιαίας θυρίδας σε ενωσιακό επίπεδο για τις ενωσιακές μη τελωνειακές διατυπώσεις, η Επιτροπή θα πρέπει να συνδέσει τα αντίστοιχα ενωσιακά μη τελωνειακά συστήματα </w:t>
      </w:r>
      <w:r>
        <w:rPr>
          <w:noProof/>
        </w:rPr>
        <w:lastRenderedPageBreak/>
        <w:t>με την ενιαία θυρίδα EU CSW-CERTEX. Τα κράτη μέλη θα πρέπει να είναι υπεύθυνα για τη σύνδεση των εθνικών τους περιβαλλόντων ενιαίας θυρίδας με την ενιαία θυρίδα EU CSW-CERTEX.</w:t>
      </w:r>
    </w:p>
    <w:p>
      <w:pPr>
        <w:pStyle w:val="ManualConsidrant"/>
        <w:rPr>
          <w:noProof/>
        </w:rPr>
      </w:pPr>
      <w:r>
        <w:rPr>
          <w:noProof/>
        </w:rPr>
        <w:t>(10)</w:t>
      </w:r>
      <w:r>
        <w:rPr>
          <w:noProof/>
        </w:rPr>
        <w:tab/>
        <w:t>Η επεξεργασία δεδομένων προσωπικού χαρακτήρα στο πλαίσιο της ενιαίας θυρίδας EU CSW-CERTEX θα πρέπει να διευκολύνει την ανταλλαγή πληροφοριών μεταξύ των εθνικών περιβαλλόντων για τα τελωνεία και των ενωσιακών μη τελωνειακών συστημάτων, χωρίς να γίνεται αποθήκευση των δεδομένων. Θα πρέπει επίσης να μετατρέπει δεδομένα, κατά περίπτωση, ώστε να καθίσταται δυνατή η ανταλλαγή πληροφοριών μεταξύ αμφότερων των ψηφιακών τομέων. Οι υποδομές τεχνολογίας πληροφοριών που χρησιμοποιούνται για τη μετατροπή δεδομένων θα πρέπει να είναι εγκατεστημένες εντός της Ένωσης.</w:t>
      </w:r>
    </w:p>
    <w:p>
      <w:pPr>
        <w:pStyle w:val="ManualConsidrant"/>
        <w:rPr>
          <w:noProof/>
        </w:rPr>
      </w:pPr>
      <w:r>
        <w:rPr>
          <w:noProof/>
        </w:rPr>
        <w:t>(11)</w:t>
      </w:r>
      <w:r>
        <w:rPr>
          <w:noProof/>
        </w:rPr>
        <w:tab/>
        <w:t>Ανάλογα με τον τύπο των μη τελωνειακών διατυπώσεων, οι ηλεκτρονικές πληροφορίες που πρέπει να ανταλλάσσονται μέσω της ενιαίας θυρίδας EU CSW-CERTEX μπορεί να περιέχουν διάφορες κατηγορίες υποκειμένων των δεδομένων και τα οικεία δεδομένα προσωπικού χαρακτήρα που απαιτούνται για την υποβολή της τελωνειακής διασάφησης ή για την υποβολή αίτησης για συνοδευτικά έγγραφα. Οι τελωνειακές διασαφήσεις μπορούν να περιέχουν δεδομένα προσωπικού χαρακτήρα διάφορων κατηγοριών υποκειμένων των δεδομένων όπως, μεταξύ άλλων, εξαγωγέων, εισαγωγέων, παραληπτών και άλλων φορέων της αλυσίδας εφοδιασμού. Τα συνοδευτικά έγγραφα μπορούν να περιλαμβάνουν τις ίδιες πληροφορίες για άλλες κατηγορίες υποκειμένων των δεδομένων, όπως αποστολείς, εξαγωγείς, παραλήπτες, εισαγωγείς και κατόχους άδειας. Σε μια τρίτη κατηγορία υποκειμένων των δεδομένων τα δεδομένα προσωπικού χαρακτήρα των οποίων θα μπορούσαν να υποβληθούν σε επεξεργασία στην ενιαία θυρίδα EU CSW-CERTEX συμπεριλαμβάνονται εξουσιοδοτημένοι υπάλληλοι τελωνειακών αρχών, αρμόδιων αρχών-εταίρων ή άλλου πιστοποιημένου φορέα, καθώς και υπάλληλοι της Επιτροπής και τρίτων παρόχων που ενεργούν εξ ονόματος της Επιτροπής και συμμετέχουν σε δραστηριότητες λειτουργίας και συντήρησης της ενιαίας θυρίδας EU CSW-CERTEX.</w:t>
      </w:r>
    </w:p>
    <w:p>
      <w:pPr>
        <w:pStyle w:val="ManualConsidrant"/>
        <w:rPr>
          <w:noProof/>
        </w:rPr>
      </w:pPr>
      <w:r>
        <w:rPr>
          <w:noProof/>
        </w:rPr>
        <w:t>(12)</w:t>
      </w:r>
      <w:r>
        <w:rPr>
          <w:noProof/>
        </w:rPr>
        <w:tab/>
        <w:t>Σε περίπτωση που δεδομένα προσωπικού χαρακτήρα υπόκεινται σε επεξεργασία δύο ή περισσότερων οντοτήτων οι οποίες προσδιορίζουν από κοινού τον σκοπό και τον τρόπο επεξεργασίας, οι οντότητες αυτές θα πρέπει να είναι από κοινού υπεύθυνοι επεξεργασίας. Εφόσον η Επιτροπή και τα κράτη μέλη είναι αρμόδια για τη λειτουργία της ενιαίας θυρίδας EU CSW-CERTEX, θα πρέπει να είναι από κοινού υπεύθυνοι επεξεργασίας δεδομένων προσωπικού χαρακτήρα στην ενιαία θυρίδα EU CSW-CERTEX σύμφωνα με τους κανονισμούς (ΕΕ) 2018/1725</w:t>
      </w:r>
      <w:r>
        <w:rPr>
          <w:rStyle w:val="FootnoteReference"/>
          <w:noProof/>
        </w:rPr>
        <w:footnoteReference w:id="40"/>
      </w:r>
      <w:r>
        <w:rPr>
          <w:noProof/>
        </w:rPr>
        <w:t xml:space="preserve"> και (ΕΕ) 2016/679 του Ευρωπαϊκού Κοινοβουλίου και του Συμβουλίου</w:t>
      </w:r>
      <w:r>
        <w:rPr>
          <w:rStyle w:val="FootnoteReference"/>
          <w:noProof/>
        </w:rPr>
        <w:footnoteReference w:id="41"/>
      </w:r>
      <w:r>
        <w:rPr>
          <w:noProof/>
        </w:rPr>
        <w:t>. </w:t>
      </w:r>
    </w:p>
    <w:p>
      <w:pPr>
        <w:pStyle w:val="ManualConsidrant"/>
        <w:rPr>
          <w:noProof/>
        </w:rPr>
      </w:pPr>
      <w:r>
        <w:rPr>
          <w:noProof/>
        </w:rPr>
        <w:t>(13)</w:t>
      </w:r>
      <w:r>
        <w:rPr>
          <w:noProof/>
        </w:rPr>
        <w:tab/>
        <w:t xml:space="preserve">Η εντεινόμενη ψηφιοποίηση των τελωνειακών και ενωσιακών μη τελωνειακών διατυπώσεων που εφαρμόζονται στο διεθνές εμπόριο έχει ανοίξει νέες ευκαιρίες για τα κράτη μέλη προκειμένου να ενισχύσουν την ψηφιακή συνεργασία μεταξύ </w:t>
      </w:r>
      <w:r>
        <w:rPr>
          <w:noProof/>
        </w:rPr>
        <w:lastRenderedPageBreak/>
        <w:t>τελωνείων και αρμόδιων αρχών-εταίρων. Ενόψει αυτών των προτεραιοτήτων, αρκετά κράτη μέλη έχουν αρχίσει να αναπτύσσουν πλαίσια για εθνικά περιβάλλοντα ενιαίας θυρίδας για τα τελωνεία. Οι πρωτοβουλίες αυτές διαφοροποιούνται σημαντικά, ανάλογα με το επίπεδο της υφιστάμενης αρχιτεκτονικής της τεχνολογίας, τις προτεραιότητες και τη διάρθρωση του κόστους. Ως εκ τούτου, είναι αναγκαίο τα κράτη μέλη να υποχρεωθούν να θεσπίσουν και να θέσουν σε λειτουργία εθνικά περιβάλλοντα ενιαίας θυρίδας για τα τελωνεία για τις ενωσιακές μη τελωνειακές διατυπώσεις που καλύπτει η ενιαία θυρίδα EU CSW-CERTEX. Τα εν λόγω περιβάλλοντα θα πρέπει να αποτελούν τις εθνικές συνιστώσες του περιβάλλοντος ενιαίας θυρίδας της ΕΕ για τα τελωνεία, που θα καθιστούν δυνατή την ανταλλαγή ηλεκτρονικών πληροφοριών και τον συντονισμό μεταξύ τελωνείων, αρμόδιων αρχών-εταίρων και οικονομικών φορέων, ώστε να διασφαλίζεται η τήρηση και η αποδοτική επιβολή της τελωνειακής νομοθεσίας και των ενωσιακών μη τελωνειακών διατυπώσεων που καλύπτει η ενιαία θυρίδα EU CSW-CERTEX. Σύμφωνα με τον στόχο αυτό, τα εθνικά περιβάλλοντα ενιαίας θυρίδας για τα τελωνεία θα πρέπει να καθιστούν δυνατή την αυτοματοποιημένη επαλήθευση των διατυπώσεων από τις τελωνειακές αρχές σε ό,τι αφορά τα δεδομένα που διαβιβάζονται από το αντίστοιχο ενωσιακό μη τελωνειακό σύστημα μέσω της ενιαίας θυρίδας EU CSW-CERTEX. Τα εθνικά περιβάλλοντα ενιαίας θυρίδας για τα τελωνεία θα πρέπει επίσης να παρέχουν στις αρμόδιες αρχές-εταίρους τη δυνατότητα να παρακολουθούν και να ελέγχουν τις ποσότητες των εγκεκριμένων εμπορευμάτων (στο εξής: διαχείριση ποσοτήτων) που τίθενται σε ελεύθερη κυκλοφορία από τα τελωνεία σε ολόκληρη την Ένωση. Τούτο θα πρέπει να διασφαλίζεται με την παροχή των απαραίτητων πληροφοριών τελωνισμού στα ενωσιακά μη τελωνειακά συστήματα μέσω της ενιαίας θυρίδας EU CSW-CERTEX. Στην πράξη, η διαχείριση ποσοτήτων σε ενωσιακό επίπεδο είναι απαραίτητη για την καλύτερη επιβολή των μη τελωνειακών κανονιστικών διατυπώσεων μέσα από την αυτόματη και συνεπή παρακολούθηση της κατανάλωσης των εγκεκριμένων ποσοτήτων για τη θέση σε ελεύθερη κυκλοφορία των εμπορευμάτων, ώστε να αποφεύγεται η αλόγιστη χρήση ή η κακοδιαχείρισή τους.</w:t>
      </w:r>
    </w:p>
    <w:p>
      <w:pPr>
        <w:pStyle w:val="ManualConsidrant"/>
        <w:rPr>
          <w:noProof/>
        </w:rPr>
      </w:pPr>
      <w:r>
        <w:rPr>
          <w:noProof/>
        </w:rPr>
        <w:t>(14)</w:t>
      </w:r>
      <w:r>
        <w:rPr>
          <w:noProof/>
        </w:rPr>
        <w:tab/>
        <w:t>Για την περαιτέρω απλούστευση των διαδικασιών τελωνισμού των εμπορευμάτων για τους οικονομικούς φορείς, τα εθνικά περιβάλλοντα ενιαίας θυρίδας για τα τελωνεία θα πρέπει να καταστούν ενιαίος δίαυλος επικοινωνίας με τα τελωνεία και τις αρμόδιες αρχές-εταίρους. Οι ενωσιακές μη τελωνειακές διατυπώσεις που υπάγονται στο εν λόγω επιπρόσθετο μέτρο διευκόλυνσης αποτελούν υποσύνολο των κύριων διατυπώσεων που καλύπτει η ενιαία θυρίδα EU CSW-CERTEX. Η Επιτροπή θα πρέπει να προσδιορίσει σταδιακά τις εν λόγω διατυπώσεις αξιολογώντας κατά πόσον πληρούται ένα σύνολο κριτηρίων που σχετίζονται με τη διευκόλυνση του εμπορίου, λαμβάνοντας υπόψη τη νομική και τεχνική τους σκοπιμότητα. Προκειμένου να ενισχυθεί περαιτέρω η διευκόλυνση του εμπορίου, θα πρέπει να είναι εφικτή η χρήση των εθνικών περιβαλλόντων ενιαίας θυρίδας ως πλατφόρμας για τον συντονισμό των ελέγχων μεταξύ τελωνειακών αρχών και αρμόδιων αρχών-εταίρων σύμφωνα με το άρθρο 47 παράγραφος 1 του κανονισμού (ΕΕ) αριθ. 952/2013.</w:t>
      </w:r>
    </w:p>
    <w:p>
      <w:pPr>
        <w:pStyle w:val="ManualConsidrant"/>
        <w:rPr>
          <w:noProof/>
        </w:rPr>
      </w:pPr>
      <w:r>
        <w:rPr>
          <w:noProof/>
        </w:rPr>
        <w:t>(15)</w:t>
      </w:r>
      <w:r>
        <w:rPr>
          <w:noProof/>
        </w:rPr>
        <w:tab/>
        <w:t xml:space="preserve">Κάθε κράτος μέλος θα πρέπει να είναι ο αποκλειστικός υπεύθυνος επεξεργασίας των πράξεων επεξεργασίας δεδομένων στο πλαίσιο του εθνικού του περιβάλλοντος ενιαίας θυρίδας για τα τελωνεία. Οι πράξεις επεξεργασίας δεδομένων θα πρέπει να εκτελούνται σύμφωνα με τον κανονισμό (ΕΕ) 2016/679. Δεδομένου ότι ορισμένα από τα δεδομένα που προέρχονται από το εθνικό περιβάλλον ενιαίας θυρίδας για τα τελωνεία πρέπει να ανταλλάσσονται με ενωσιακά μη τελωνειακά συστήματα μέσω της ενιαίας θυρίδας EU CSW-CERTEX, θα πρέπει να ζητείται από κάθε κράτος μέλος να ενημερώνει στην Επιτροπή σε περίπτωση παραβίασης δεδομένων προσωπικού </w:t>
      </w:r>
      <w:r>
        <w:rPr>
          <w:noProof/>
        </w:rPr>
        <w:lastRenderedPageBreak/>
        <w:t>χαρακτήρα η οποία θέτει σε κίνδυνο την ασφάλεια, την εμπιστευτικότητα, τη διαθεσιμότητα ή την ακεραιότητα των δεδομένων προσωπικού χαρακτήρα που υποβάλλονται σε επεξεργασία στο περιβάλλον του.</w:t>
      </w:r>
    </w:p>
    <w:p>
      <w:pPr>
        <w:pStyle w:val="ManualConsidrant"/>
        <w:rPr>
          <w:noProof/>
        </w:rPr>
      </w:pPr>
      <w:r>
        <w:rPr>
          <w:noProof/>
        </w:rPr>
        <w:t>(16)</w:t>
      </w:r>
      <w:r>
        <w:rPr>
          <w:noProof/>
        </w:rPr>
        <w:tab/>
        <w:t>Για να είναι απόλυτα συντονισμένη, η διαδικασία τελωνισμού των εμπορευμάτων προϋποθέτει διαδικασίες που υποστηρίζουν τον ψηφιακό συντονισμό και την ανταλλαγή πληροφοριών μεταξύ τελωνειακών αρχών, αρμόδιων αρχών-εταίρων και οικονομικών φορέων για την εκπλήρωση και την εφαρμογή των ενωσιακών μη τελωνειακών διατυπώσεων που καλύπτει η ενιαία θυρίδα EU CSW-CERTEX. Διαλειτουργικότητα είναι η ικανότητα απρόσκοπτης εκτέλεσης των εν λόγω διαδικασιών μεταξύ τελωνειακών και μη τελωνειακών συστημάτων και τομέων, χωρίς απώλεια της συνάφειας ή της σημασίας των ανταλλασσόμενων δεδομένων. Προκειμένου να είναι εφικτή η πλήρως αυτοματοποιημένη επαλήθευση των ενωσιακών μη τελωνειακών διατυπώσεων, η ενιαία θυρίδα EU CSW-CERTEX θα πρέπει να διασφαλίζει τεχνική διαλειτουργικότητα και συνέπεια ως προς τη σημασία. Είναι σημαντικό να υπάρξει ευθυγράμμιση της τελωνειακής και της μη τελωνειακής ορολογίας, ώστε να διασφαλίζεται η τήρηση και η κατανόηση των ανταλλασσόμενων δεδομένων και πληροφοριών στο σύνολο των ανταλλαγών μεταξύ ενωσιακών μη τελωνειακών συστημάτων και εθνικών περιβαλλόντων ενιαίας θυρίδας για τα τελωνεία. Επιπλέον, προκειμένου να εξασφαλιστεί η εναρμονισμένη επιβολή των ενωσιακών μη τελωνειακών διατυπώσεων σε ολόκληρη την Ένωση, η ενιαία θυρίδα EU CSW-CERTEX θα πρέπει να προσδιορίζει τις τελωνειακές διαδικασίες για τις οποίες μπορούν να χρησιμοποιούνται συνοδευτικά έγγραφα βάσει των διοικητικών αποφάσεων που αναφέρει η αρμόδια αρχή-εταίρος στα συνοδευτικά έγγραφα. Από τεχνική άποψη, η ενιαία θυρίδα EU CSW-CERTEX θα πρέπει να καθιστά συμβατά τα τελωνειακά και μη τελωνειακά δεδομένα, μετατρέποντας τον μορφότυπο ή τη δομή τους όποτε είναι αναγκαίο, χωρίς να μεταβάλει το περιεχόμενό τους.</w:t>
      </w:r>
    </w:p>
    <w:p>
      <w:pPr>
        <w:pStyle w:val="ManualConsidrant"/>
        <w:rPr>
          <w:noProof/>
        </w:rPr>
      </w:pPr>
      <w:r>
        <w:rPr>
          <w:noProof/>
        </w:rPr>
        <w:t>(17)</w:t>
      </w:r>
      <w:r>
        <w:rPr>
          <w:noProof/>
        </w:rPr>
        <w:tab/>
        <w:t>Δεδομένων των ενωσιακών μη τελωνειακών διατυπώσεων που καλύπτονται, η ενιαία θυρίδα EU CSW-CERTEX θα πρέπει να εξυπηρετεί διάφορους σκοπούς. Θα πρέπει να θέτει τα συναφή δεδομένα στη διάθεση των τελωνειακών αρχών για την καλύτερη εφαρμογή των ενωσιακών μη τελωνειακών κανονιστικών πολιτικών μέσω της αυτοματοποιημένης επαλήθευσης των εν λόγω διατυπώσεων. Θα πρέπει να παρέχει τα συναφή δεδομένα στις αρμόδιες αρχές-εταίρους, ώστε αυτές να μπορούν να παρακολουθούν και να προσδιορίζουν την εναπομένουσα ποσότητα των εγκεκριμένων εμπορευμάτων που δεν έχουν διαγραφεί από τα τελωνεία κατά τον τελωνισμό άλλων αποστολών. Θα πρέπει επίσης να υποστηρίζει την εφαρμογή της αρχής της «μονοαπευθυντικής διαδικασίας» για τη διεξαγωγή των ελέγχων που αναφέρονται στο άρθρο 47 παράγραφος 1 του κανονισμού (ΕΕ) αριθ. 952/2013, μέσω της διευκόλυνσης της ολοκλήρωσης των τελωνειακών και ενωσιακών μη τελωνειακών διαδικασιών για μια πλήρως αυτοματοποιημένη διαδικασία τελωνισμού των εμπορευμάτων. Ορισμένες νομικές πράξεις της Ένωσης μπορεί να προβλέπουν τη διαβίβαση δεδομένων μεταξύ των εθνικών τελωνειακών συστημάτων και του συστήματος πληροφοριών και επικοινωνιών που ορίζεται στην οικεία πράξη. Συνεπώς, η ενιαία θυρίδα EU CSW-CERTEX θα πρέπει να καθιστά δυνατή την αυτοματοποιημένη ανταλλαγή δεδομένων μεταξύ τελωνειακών αρχών και αρμόδιων αρχών-εταίρων, όποτε αυτό προβλέπεται από τις εν λόγω πράξεις.</w:t>
      </w:r>
    </w:p>
    <w:p>
      <w:pPr>
        <w:pStyle w:val="ManualConsidrant"/>
        <w:rPr>
          <w:noProof/>
        </w:rPr>
      </w:pPr>
      <w:r>
        <w:rPr>
          <w:noProof/>
        </w:rPr>
        <w:t>(18)</w:t>
      </w:r>
      <w:r>
        <w:rPr>
          <w:noProof/>
        </w:rPr>
        <w:tab/>
        <w:t xml:space="preserve">Προκειμένου να καθιερωθεί ένας ενιαίος δίαυλος επικοινωνίας με τις αρχές που εμπλέκονται στον τελωνισμό των εμπορευμάτων, τα εθνικά περιβάλλοντα ενιαίας θυρίδας θα πρέπει να παρέχουν τη δυνατότητα στους οικονομικούς φορείς να υποβάλλουν τα δεδομένα που προβλέπει η τελωνειακή νομοθεσία και η ενωσιακή μη </w:t>
      </w:r>
      <w:r>
        <w:rPr>
          <w:noProof/>
        </w:rPr>
        <w:lastRenderedPageBreak/>
        <w:t>τελωνειακή νομοθεσία σε ένα ενιαίο σημείο και να λαμβάνουν συναφείς πληροφορίες από τις εμπλεκόμενες αρχές απευθείας από το εν λόγω σημείο. Ο ενιαίος δίαυλος επικοινωνίας θα πρέπει να χρησιμοποιείται αποκλειστικά για τις ενωσιακές μη τελωνειακές διατυπώσεις που καλύπτει η ενιαία θυρίδα EU CSW-CERTEX και προσδιορίζονται ως κατάλληλες για πρόσθετα μέτρα διευκόλυνσης. </w:t>
      </w:r>
    </w:p>
    <w:p>
      <w:pPr>
        <w:pStyle w:val="ManualConsidrant"/>
        <w:rPr>
          <w:noProof/>
        </w:rPr>
      </w:pPr>
      <w:r>
        <w:rPr>
          <w:noProof/>
        </w:rPr>
        <w:t>(19)</w:t>
      </w:r>
      <w:r>
        <w:rPr>
          <w:noProof/>
        </w:rPr>
        <w:tab/>
        <w:t>Υπάρχει σημαντική αλληλεπικάλυψη ανάμεσα στα δεδομένα που περιλαμβάνονται στην τελωνειακή διασάφηση και στα δεδομένα που περιλαμβάνονται στην αίτηση για συνοδευτικά έγγραφα. Για να καταστεί δυνατή η επαναχρησιμοποίηση των δεδομένων, έτσι ώστε οι οικονομικοί φορείς να μην χρειάζεται να παρέχουν τα ίδια δεδομένα περισσότερες από μία φορές, είναι απαραίτητο να ευθυγραμμιστούν και να εξορθολογιστούν οι απαιτήσεις δεδομένων για τις τελωνειακές και τις ενωσιακές μη τελωνειακές διατυπώσεις που καλύπτει η ενιαία θυρίδα EU CSW-CERTEX. Συνεπώς, η Επιτροπή θα πρέπει να προσδιορίσει τα στοιχεία δεδομένων που συμπεριλαμβάνονται τόσο στην τελωνειακή διασάφηση όσο και στην αίτηση για συνοδευτικά έγγραφα. Η Επιτροπή θα πρέπει επίσης να προσδιορίσει τα στοιχεία που απαιτούνται μόνο από την ενωσιακή μη τελωνειακή νομοθεσία [στο εξής: σύνολο/-α δεδομένων της αρμόδιας αρχής-εταίρου (ΑΑΕ)]. Τα δεδομένα της τελωνειακής διασάφησης και το/τα σύνολο/-α δεδομένων της ΑΑΕ θα πρέπει να συνθέτουν μια ολοκληρωμένη διασάφηση η οποία θα περιλαμβάνει όλες τις συναφείς με τον τελωνισμό πληροφορίες που απαιτούνται για την εκπλήρωση των τελωνειακών και των ενωσιακών μη τελωνειακών διατυπώσεων που καλύπτει η ενιαία θυρίδα EU CSW-CERTEX.</w:t>
      </w:r>
    </w:p>
    <w:p>
      <w:pPr>
        <w:pStyle w:val="ManualConsidrant"/>
        <w:rPr>
          <w:noProof/>
        </w:rPr>
      </w:pPr>
      <w:r>
        <w:rPr>
          <w:noProof/>
        </w:rPr>
        <w:t>(20)</w:t>
      </w:r>
      <w:r>
        <w:rPr>
          <w:noProof/>
        </w:rPr>
        <w:tab/>
        <w:t>Προκειμένου οι οικονομικοί φορείς να είναι σε θέση να εκπληρώνουν τις τελωνειακές και μη τελωνειακές διατυπώσεις που επηρεάζουν τις αντίστοιχες διακινήσεις εμπορευμάτων, τα εθνικά περιβάλλοντα ενιαίας θυρίδας για τα τελωνεία θα πρέπει να τους παρέχουν τη δυνατότητα να υποβάλλουν όλα τα δεδομένα που προβλέπουν οι διάφορες ρυθμιστικές αρχές για την υπαγωγή των εμπορευμάτων σε τελωνειακό καθεστώς μέσω μιας ολοκληρωμένης διασάφησης. Θα πρέπει να είναι δυνατή η υποβολή των εν λόγω δεδομένων παράλληλα με την τελωνειακή διασάφηση που υποβάλλεται πριν από την προβλεπόμενη προσκόμιση των εμπορευμάτων στο τελωνείο, σύμφωνα με το άρθρο 171 του κανονισμού (ΕΕ) αριθ. 952/2013.</w:t>
      </w:r>
    </w:p>
    <w:p>
      <w:pPr>
        <w:pStyle w:val="ManualConsidrant"/>
        <w:rPr>
          <w:noProof/>
        </w:rPr>
      </w:pPr>
      <w:r>
        <w:rPr>
          <w:noProof/>
        </w:rPr>
        <w:t>(21)</w:t>
      </w:r>
      <w:r>
        <w:rPr>
          <w:noProof/>
        </w:rPr>
        <w:tab/>
        <w:t>Για τη διαβίβαση των πληροφοριών που παρέχουν οι οικονομικοί φορείς στα εθνικά περιβάλλοντα ενιαίας θυρίδας σε όλες τις οικείες αρχές, η ενιαία θυρίδα EU CSW-CERTEX θα πρέπει να καθιστά δυνατές τις αναγκαίες ανταλλαγές πληροφοριών μεταξύ των τελωνειακών και μη τελωνειακών τομέων. Ειδικότερα, η ενιαία θυρίδα EU CSW-CERTEX θα πρέπει να λαμβάνει τα δεδομένα που απαιτούνται για την εκπλήρωση των εφαρμοστέων ενωσιακών μη τελωνειακών διατυπώσεων από τα εθνικά περιβάλλοντα ενιαίας θυρίδας για τα τελωνεία και να τα διανέμει στο αντίστοιχο ενωσιακό μη τελωνειακό σύστημα. Η ανταλλαγή αυτή θα πρέπει να παρέχει τη δυνατότητα στις αρμόδιες αρχές-εταίρους να εξετάζουν τις πληροφορίες που διαβιβάζονται στα αντίστοιχα ενωσιακά μη τελωνειακά συστήματα και να λαμβάνουν τις οικείες αποφάσεις τελωνισμού, οι οποίες θα πρέπει να διαβιβάζονται στα τελωνεία μέσω της ενιαίας θυρίδας EU CSW-CERTEX. Οι τελωνειακές αρχές θα πρέπει με τη σειρά τους να θέτουν τις εν λόγω πληροφορίες στη διάθεση των οικονομικών φορέων μέσω των εθνικών περιβαλλόντων ενιαίας θυρίδας για τα τελωνεία. Ο αριθμός EORI θα πρέπει να χρησιμοποιείται ως αναγνωριστικό για την ανταλλαγή και τη διασταύρωση των πληροφοριών που σχετίζονται με τις εν λόγω ανταλλαγές. </w:t>
      </w:r>
    </w:p>
    <w:p>
      <w:pPr>
        <w:pStyle w:val="ManualConsidrant"/>
        <w:rPr>
          <w:noProof/>
        </w:rPr>
      </w:pPr>
      <w:r>
        <w:rPr>
          <w:noProof/>
        </w:rPr>
        <w:lastRenderedPageBreak/>
        <w:t>(22)</w:t>
      </w:r>
      <w:r>
        <w:rPr>
          <w:noProof/>
        </w:rPr>
        <w:tab/>
        <w:t xml:space="preserve">Σύμφωνα με το άρθρο 9 του κανονισμού (ΕΚ) αριθ. 952/2013, σε κάθε οικονομικό φορέα που εμπλέκεται σε τελωνειακές λειτουργίες αποδίδεται ένας αριθμός EORI ως αναγνωριστικό για όλες τις συναλλαγές με τις τελωνειακές αρχές στην Ένωση. Η Επιτροπή διατηρεί ένα κεντρικό σύστημα EORI για την αποθήκευση και τον χειρισμό δεδομένων που σχετίζονται με το EORI. Προκειμένου να διευκολύνεται η συνεργασία μεταξύ των διαφορετικών αρχών που εμπλέκονται στη διαδικασία τελωνισμού εμπορευμάτων, οι αρμόδιες αρχές-εταίροι θα πρέπει να έχουν πρόσβαση στο σύστημα EORI για να επικυρώνουν τον αριθμό EORI τον οποίο μπορούν να ζητούν από τους οικονομικούς φορείς στο πλαίσιο των διατυπώσεών τους.   </w:t>
      </w:r>
    </w:p>
    <w:p>
      <w:pPr>
        <w:pStyle w:val="ManualConsidrant"/>
        <w:rPr>
          <w:noProof/>
        </w:rPr>
      </w:pPr>
      <w:r>
        <w:rPr>
          <w:noProof/>
        </w:rPr>
        <w:t>(23)</w:t>
      </w:r>
      <w:r>
        <w:rPr>
          <w:noProof/>
        </w:rPr>
        <w:tab/>
        <w:t>Η στενή συνεργασία μεταξύ Επιτροπής και κρατών μελών είναι ουσιαστικής σημασίας για τον συντονισμό όλων των δραστηριοτήτων που σχετίζονται με την αποτελεσματική λειτουργία του περιβάλλοντος ενιαίας θυρίδας της ΕΕ για τα τελωνεία. Δεδομένου ότι οι εν λόγω δραστηριότητες καλύπτουν ευρύ και ποικίλο φάσμα, κάθε κράτος μέλος είναι αναγκαίο να διορίσει μια αρμόδια αρχή ως εθνικό συντονιστή. Ο εθνικός συντονιστής θα πρέπει να είναι το σημείο επαφής με την Επιτροπή και, αφενός, να προάγει τη συνεργασία σε εθνικό επίπεδο και, αφετέρου, να διασφαλίζει τη διαλειτουργικότητα. Η Επιτροπή θα πρέπει να παρέχει συντονισμό όπου απαιτείται και να συνδράμει στην αποδοτική εφαρμογή των ενωσιακών μη τελωνειακών διατυπώσεων.</w:t>
      </w:r>
    </w:p>
    <w:p>
      <w:pPr>
        <w:pStyle w:val="ManualConsidrant"/>
        <w:rPr>
          <w:noProof/>
        </w:rPr>
      </w:pPr>
      <w:r>
        <w:rPr>
          <w:noProof/>
        </w:rPr>
        <w:t>(24)</w:t>
      </w:r>
      <w:r>
        <w:rPr>
          <w:noProof/>
        </w:rPr>
        <w:tab/>
        <w:t>Η ανάπτυξη του περιβάλλοντος ενιαίας θυρίδας της ΕΕ για τα τελωνεία συνεπάγεται διάφορες δαπάνες υλοποίησης. Είναι σημαντικό οι δαπάνες αυτές να κατανέμονται μεταξύ της Επιτροπής και των κρατών μελών με τον πλέον αρμόζοντα τρόπο, ανάλογα με τον τύπο των παρεχόμενων υπηρεσιών. Η Επιτροπή θα πρέπει να αναλάβει τις δαπάνες που σχετίζονται με την ανάπτυξη, τη συντήρηση και τη λειτουργία της κεντρικής συνιστώσας του περιβάλλοντος ενιαίας θυρίδας της ΕΕ για τα τελωνεία, της ενιαίας θυρίδας EU CSW-CERTEX και των διεπαφών της με τα ενωσιακά μη τελωνειακά συστήματα. Τα κράτη μέλη θα πρέπει να αναλάβουν τις δαπάνες που σχετίζονται με τον ρόλο τους στην εξασφάλιση διεπαφών με την ενιαία θυρίδα EU CSW-CERTEX και στην ανάπτυξη, διατήρηση και λειτουργία των εθνικών περιβαλλόντων ενιαίας θυρίδας για τα τελωνεία.</w:t>
      </w:r>
    </w:p>
    <w:p>
      <w:pPr>
        <w:pStyle w:val="ManualConsidrant"/>
        <w:rPr>
          <w:noProof/>
        </w:rPr>
      </w:pPr>
      <w:r>
        <w:rPr>
          <w:noProof/>
        </w:rPr>
        <w:t>(25)</w:t>
      </w:r>
      <w:r>
        <w:rPr>
          <w:noProof/>
        </w:rPr>
        <w:tab/>
        <w:t>Απαιτείται αναλυτικός σχεδιασμός προκειμένου οι διάφορες ενωσιακές μη τελωνειακές διατυπώσεις από διαφορετικούς τομείς πολιτικής να ενσωματωθούν σταδιακά στην ενιαία θυρίδα EU CSW-CERTEX. Για τον σκοπό αυτό, η Επιτροπή θα πρέπει να εκπονήσει πρόγραμμα εργασιών με σκοπό την ενσωμάτωση των εν λόγω διατυπώσεων στην ενιαία θυρίδα EU CSW-CERTEX και την ανάπτυξη συνδέσεων μεταξύ των ενωσιακών μη τελωνειακών συστημάτων που επεξεργάζονται τις εν λόγω διατυπώσεις και της ενιαίας θυρίδας EU CSW-CERTEX. Κύριος στόχος του προγράμματος εργασιών θα πρέπει να είναι η στήριξη των επιχειρησιακών απαιτήσεων και του χρονοδιαγράμματος εφαρμογής των εν λόγω δραστηριοτήτων. Το πρόγραμμα εργασιών θα πρέπει να επανεξετάζεται τακτικά ώστε να αξιολογείται η συνολική πρόοδος ως προς την εφαρμογή των διατάξεων του παρόντος κανονισμού.</w:t>
      </w:r>
    </w:p>
    <w:p>
      <w:pPr>
        <w:pStyle w:val="ManualConsidrant"/>
        <w:rPr>
          <w:noProof/>
        </w:rPr>
      </w:pPr>
      <w:r>
        <w:rPr>
          <w:noProof/>
        </w:rPr>
        <w:t>(26)</w:t>
      </w:r>
      <w:r>
        <w:rPr>
          <w:noProof/>
        </w:rPr>
        <w:tab/>
        <w:t xml:space="preserve">Η Επιτροπή θα πρέπει να παρακολουθεί τακτικά τη λειτουργία του περιβάλλοντος ενιαίας θυρίδας της ΕΕ για τα τελωνεία, ώστε να αξιολογεί τις επιδόσεις της ενιαίας θυρίδας EU CSW-CERTEX και να διασφαλίζει την αποτελεσματική εφαρμογή των ενωσιακών μη τελωνειακών διατυπώσεων που καλύπτει η ενιαία θυρίδα EU CSW-CERTEX. Η Επιτροπή θα πρέπει να υποβάλλει τακτικά εκθέσεις αξιολόγησης σχετικά με τη λειτουργία του περιβάλλοντος ενιαίας θυρίδας της ΕΕ για τα τελωνεία στο Ευρωπαϊκό Κοινοβούλιο και το Συμβούλιο. Στις εκθέσεις αυτές θα πρέπει να καταγράφεται η πρόοδος, να προσδιορίζονται τομείς που χρήζουν βελτίωσης και να </w:t>
      </w:r>
      <w:r>
        <w:rPr>
          <w:noProof/>
        </w:rPr>
        <w:lastRenderedPageBreak/>
        <w:t>προτείνονται συστάσεις για το μέλλον υπό το φως της προόδου που έχει συντελεστεί στην κατεύθυνση της ενισχυμένης ψηφιακής συνεργασίας μεταξύ των τελωνείων και των αρμόδιων αρχών-εταίρων που εμπλέκονται στον τελωνισμό των εμπορευμάτων, ώστε να διασφαλίζονται απλουστευμένες διαδικασίες για τους οικονομικούς φορείς και η αποτελεσματική εφαρμογή των ενωσιακών μη τελωνειακών διατυπώσεων.</w:t>
      </w:r>
    </w:p>
    <w:p>
      <w:pPr>
        <w:pStyle w:val="ManualConsidrant"/>
        <w:rPr>
          <w:noProof/>
        </w:rPr>
      </w:pPr>
      <w:r>
        <w:rPr>
          <w:noProof/>
        </w:rPr>
        <w:t>(27)</w:t>
      </w:r>
      <w:r>
        <w:rPr>
          <w:noProof/>
        </w:rPr>
        <w:tab/>
        <w:t>Προκειμένου να εξασφαλίζεται η αποδοτική και αποτελεσματική λειτουργία του περιβάλλοντος ενιαίας θυρίδας της ΕΕ για τα τελωνεία, θα πρέπει να ανατεθεί στην Επιτροπή εξουσία έκδοσης πράξεων σύμφωνα με το άρθρο 290 της Συνθήκης για τη λειτουργία της Ευρωπαϊκής Ένωσης όσον αφορά τις τροποποιήσεις του καταλόγου των ενωσιακών μη τελωνειακών διατυπώσεων που καλύπτει η ενιαία θυρίδα EU CSW-CERTEX, τον καθορισμό των στοιχείων δεδομένων προς ανταλλαγή μέσω της ενιαίας θυρίδας EU CSW-CERTEX και τον προσδιορισμό των στοιχείων δεδομένων που είναι κοινά τόσο στην τελωνειακή διασάφηση όσο και στην αίτηση για συνοδευτικά έγγραφα σε συνδυασμό με το σύνολο δεδομένων της ΑΑΕ για κάθε σχετική ενωσιακή πράξη που είναι εφαρμοστέα στις ενωσιακές μη τελωνειακές διατυπώσεις που ενσωματώνονται στην ενιαία θυρίδα EU CSW-CERTEX. Είναι ιδιαίτερα σημαντικό η Επιτροπή να διεξάγει, κατά τις προπαρασκευαστικές της εργασίες, τις κατάλληλες διαβουλεύσεις, μεταξύ άλλων σε επίπεδο εμπειρογνωμόνων, και οι διαβουλεύσεις αυτές να πραγματοποιούνται σύμφωνα με τις αρχές που ορίζονται στη διοργανική συμφωνία της 13ης Απριλίου 2016 για τη βελτίωση του νομοθετικού έργου</w:t>
      </w:r>
      <w:r>
        <w:rPr>
          <w:rStyle w:val="FootnoteReference"/>
          <w:noProof/>
        </w:rPr>
        <w:footnoteReference w:id="42"/>
      </w:r>
      <w:r>
        <w:rPr>
          <w:noProof/>
        </w:rPr>
        <w:t>. Πιο συγκεκριμένα, προκειμένου να εξασφαλιστεί η ίση συμμετοχή στην προετοιμασία των κατ’ εξουσιοδότηση πράξεων, το Ευρωπαϊκό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rPr>
          <w:noProof/>
        </w:rPr>
        <w:t>(28)</w:t>
      </w:r>
      <w:r>
        <w:rPr>
          <w:noProof/>
        </w:rPr>
        <w:tab/>
        <w:t xml:space="preserve">Προκειμένου να εξασφαλίζονται ομοιόμορφες συνθήκες για την εφαρμογή του παρόντος κανονισμού, θα πρέπει να ανατεθούν στην Επιτροπή εκτελεστικές αρμοδιότητες όσον αφορά τον καθορισμό των αντίστοιχων αρμοδιοτήτων των από κοινού υπευθύνων επεξεργασίας για τη συμμόρφωση προς τις υποχρεώσεις που προβλέπονται στους κανονισμούς (ΕΕ) 2016/679 και (ΕΕ) 2018/1725· την έγκριση ειδικών κανόνων για την ανταλλαγή των πληροφοριών που προορίζονται για επεξεργασία μέσω της ενιαίας θυρίδας EU CSW-CERTEX, συμπεριλαμβανομένων, κατά περίπτωση, ειδικών κανόνων για την εξασφάλιση της προστασίας των δεδομένων προσωπικού χαρακτήρα· τον προσδιορισμό των ενωσιακών μη τελωνειακών διατυπώσεων που ενσωματώνονται στην ενιαία θυρίδα EU CSW-CERTEX και ενδεχομένως αποτελούν αντικείμενο περαιτέρω ψηφιακής συνεργασίας· την έγκριση διαδικαστικών ρυθμίσεων για τις επιπρόσθετες ανταλλαγές πληροφοριών που διεκπεραιώνονται μέσω της ενιαίας θυρίδας EU CSW-CERTEX, συμπεριλαμβανομένων, κατά περίπτωση, ειδικών κανόνων που διέπουν την προστασία των δεδομένων προσωπικού χαρακτήρα και την έγκριση προγράμματος εργασιών για τη στήριξη της εφαρμογής των διατάξεων που αφορούν τη σύνδεση των οικείων ενωσιακών μη τελωνειακών συστημάτων με την ενιαία θυρίδα EU CSW-CERTEX, και την ενσωμάτωση των αντίστοιχων ενωσιακών μη τελωνειακών </w:t>
      </w:r>
      <w:r>
        <w:rPr>
          <w:noProof/>
        </w:rPr>
        <w:lastRenderedPageBreak/>
        <w:t>διατυπώσεων.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43"/>
      </w:r>
      <w:r>
        <w:rPr>
          <w:noProof/>
        </w:rPr>
        <w:t>.</w:t>
      </w:r>
    </w:p>
    <w:p>
      <w:pPr>
        <w:pStyle w:val="ManualConsidrant"/>
        <w:rPr>
          <w:noProof/>
        </w:rPr>
      </w:pPr>
      <w:r>
        <w:rPr>
          <w:noProof/>
        </w:rPr>
        <w:t>(29)</w:t>
      </w:r>
      <w:r>
        <w:rPr>
          <w:noProof/>
        </w:rPr>
        <w:tab/>
        <w:t>Ο κανονισμός (ΕΕ) αριθ. 952/2013 θα πρέπει να τροποποιηθεί προκειμένου το περιβάλλον ενιαίας θυρίδας της ΕΕ για τα τελωνεία να ενσωματωθεί στο εννοιολογικό πλαίσιο της τελωνειακής νομοθεσίας, και να ενισχυθεί η ολοκλήρωση των τελωνειακών και ενωσιακών μη τελωνειακών διαδικασιών με το να καταστεί δυνατή η ταυτόχρονη διεκπεραίωσή τους. Κατ’ αρχάς, εφόσον ο εν λόγω κανονισμός θέτει σε εφαρμογή έναν μηχανισμό για την επιβολή από τις τελωνειακές αρχές της εφαρμογής κανονιστικών διατυπώσεων που επηρεάζουν τη διαδικασία τελωνισμού των εμπορευμάτων, είναι αναγκαία η συμπερίληψη του εν λόγω μηχανισμού των διατάξεων για τη συμπλήρωση ή την εφαρμογή του στον ορισμό της τελωνειακής νομοθεσίας που παρατίθεται στο άρθρο 5 σημείο 2 του κανονισμού (ΕΕ) αριθ. 952/2013. Η προσέγγιση αυτή συνάδει με το άρθρο 3 του κανονισμού (ΕΕ) αριθ. 952/2013, βάσει του οποίου οι τελωνειακές αρχές επιφορτίζονται με τη διαφύλαξη της ασφάλειας και της προστασίας της Ένωσης και των κατοίκων της, καθώς και της προστασίας του περιβάλλοντος, σε στενή συνεργασία ενδεχομένως με άλλες αρχές και, παράλληλα, με τη διευκόλυνση του εμπορίου. Δεύτερον, το άρθρο 163 παράγραφος 1 του κανονισμού (ΕΕ) αριθ. 952/2013 ορίζει ότι τα συνοδευτικά έγγραφα που απαιτούνται για την εφαρμογή των διατάξεων που διέπουν το συναφές τελωνειακό καθεστώς πρέπει να βρίσκονται στην κατοχή του διασαφιστή και στη διάθεση των τελωνειακών αρχών τη στιγμή της υποβολής της τελωνειακής διασάφησης. Εφόσον οι τελωνειακές αρχές θα είναι σε θέση να αποκτούν, μέσω της ενιαίας θυρίδας EU CSW-CERTEX, τα απαραίτητα δεδομένα που σχετίζονται με ενωσιακές μη τελωνειακές διατυπώσεις, η συγκεκριμένη υποχρέωση θα πρέπει να θεωρείται ότι ικανοποιείται και συνεπώς το άρθρο 163 παράγραφος 1 του κανονισμού (ΕΕ) αριθ. 952/2013 θα πρέπει να τροποποιηθεί αναλόγως.</w:t>
      </w:r>
    </w:p>
    <w:p>
      <w:pPr>
        <w:pStyle w:val="ManualConsidrant"/>
        <w:rPr>
          <w:noProof/>
        </w:rPr>
      </w:pPr>
      <w:r>
        <w:rPr>
          <w:noProof/>
        </w:rPr>
        <w:t>(30)</w:t>
      </w:r>
      <w:r>
        <w:rPr>
          <w:noProof/>
        </w:rPr>
        <w:tab/>
        <w:t>Σύμφωνα με το άρθρο 42 παράγραφος 1 του κανονισμού (ΕΕ) 2018/1725, ζητήθηκε η γνώμη του Ευρωπαίου Επόπτη Προστασίας Δεδομένων, ο οποίος γνωμοδότησε στις xx/xx/202x.</w:t>
      </w:r>
    </w:p>
    <w:p>
      <w:pPr>
        <w:pStyle w:val="ManualConsidrant"/>
        <w:rPr>
          <w:noProof/>
        </w:rPr>
      </w:pPr>
      <w:r>
        <w:rPr>
          <w:noProof/>
        </w:rPr>
        <w:t>(31)</w:t>
      </w:r>
      <w:r>
        <w:rPr>
          <w:noProof/>
        </w:rPr>
        <w:tab/>
        <w:t>Για την ενσωμάτωση των ενωσιακών μη τελωνειακών διατυπώσεων στην ενιαία θυρίδα EU CSW-CERTEX απαιτείται η υλοποίηση νέας υποδομής τεχνολογίας πληροφοριών, ούτως ώστε να δημιουργηθούν συνδέσεις μεταξύ των εθνικών περιβαλλόντων ενιαίας θυρίδας για τα τελωνεία και των ενωσιακών μη τελωνειακών συστημάτων, ο προσδιορισμός των δεδομένων που θα ανταλλάσσονται και η εκπόνηση τεχνικών και λειτουργικών προδιαγραφών. Συνεπώς, για την εφαρμογή του κανονισμού θα πρέπει να λαμβάνεται υπόψη ο χρόνος που απαιτείται για την προώθηση των εν λόγω εξελίξεων σε ενωσιακό και εθνικό επίπεδο. Επιπλέον, αναμένεται ότι θα απαιτηθεί περισσότερος χρόνος για την εφαρμογή περαιτέρω μέτρων ψηφιακής συνεργασίας, καθώς απαιτείται να προσδιοριστούν προηγουμένως οι οικείες ενωσιακές μη τελωνειακές διατυπώσεις σε συνδυασμό με τις συναφείς τεχνικές εξελίξεις. Ως εκ τούτου, είναι αναγκαία η αναβολή της εφαρμογής ορισμένων διατάξεων του παρόντος κανονισμού.</w:t>
      </w:r>
    </w:p>
    <w:p>
      <w:pPr>
        <w:pStyle w:val="ManualConsidrant"/>
        <w:rPr>
          <w:noProof/>
        </w:rPr>
      </w:pPr>
      <w:r>
        <w:rPr>
          <w:noProof/>
        </w:rPr>
        <w:t>(32)</w:t>
      </w:r>
      <w:r>
        <w:rPr>
          <w:noProof/>
        </w:rPr>
        <w:tab/>
        <w:t xml:space="preserve">Δεδομένου ότι οι στόχοι του παρόντος κανονισμού, ήτοι η ενισχυμένη επιβολή των ενωσιακών κανονιστικών απαιτήσεων μεταξύ των συνόρων της Ένωσης και η </w:t>
      </w:r>
      <w:r>
        <w:rPr>
          <w:noProof/>
        </w:rPr>
        <w:lastRenderedPageBreak/>
        <w:t>διευκόλυνση του διεθνούς εμπορίου, δεν μπορούν να επιτευχθούν ικανοποιητικά από τα κράτη μέλη λόγω της εγγενώς διεθνικής φύσης της διακίνησης των εμπορευμάτων μεταξύ των συνόρων και της περιπλοκότητάς της, αλλά μπορούν να επιτευχθούν καλύτερα σε επίπεδο Ένωσης, η Ένωση δύναται να λάβει μέτρα, σύμφωνα με την αρχή της επικουρικότητας του άρθρου 5 της Συνθήκης για την Ευρωπαϊκή Ένωση. Σύμφωνα με την αρχή της αναλογικότητας, που διατυπώνεται στο ίδιο άρθρο, ο παρών κανονισμός δεν υπερβαίνει τα αναγκαία για την επίτευξη αυτών των στόχων,</w:t>
      </w:r>
    </w:p>
    <w:p>
      <w:pPr>
        <w:pStyle w:val="Formuledadoption"/>
        <w:rPr>
          <w:noProof/>
        </w:rPr>
      </w:pPr>
      <w:r>
        <w:rPr>
          <w:noProof/>
        </w:rPr>
        <w:t>ΕΞΕΔΩΣΑΝ ΤΟΝ ΠΑΡΟΝΤΑ ΚΑΝΟΝΙΣΜΟ:</w:t>
      </w:r>
    </w:p>
    <w:p>
      <w:pPr>
        <w:pStyle w:val="ChapterTitle"/>
        <w:rPr>
          <w:noProof/>
        </w:rPr>
      </w:pPr>
      <w:r>
        <w:rPr>
          <w:noProof/>
        </w:rPr>
        <w:t xml:space="preserve">Κεφάλαιο IV </w:t>
      </w:r>
      <w:r>
        <w:rPr>
          <w:noProof/>
        </w:rPr>
        <w:br/>
        <w:t>Γενικές διατάξεις</w:t>
      </w:r>
    </w:p>
    <w:p>
      <w:pPr>
        <w:pStyle w:val="Titrearticle"/>
        <w:rPr>
          <w:noProof/>
        </w:rPr>
      </w:pPr>
      <w:r>
        <w:rPr>
          <w:noProof/>
        </w:rPr>
        <w:t>Άρθρο 1</w:t>
      </w:r>
    </w:p>
    <w:p>
      <w:pPr>
        <w:pStyle w:val="NormalCentered"/>
        <w:rPr>
          <w:noProof/>
        </w:rPr>
      </w:pPr>
      <w:r>
        <w:rPr>
          <w:b/>
          <w:noProof/>
        </w:rPr>
        <w:t>Αντικείμενο</w:t>
      </w:r>
    </w:p>
    <w:p>
      <w:pPr>
        <w:rPr>
          <w:noProof/>
        </w:rPr>
      </w:pPr>
      <w:r>
        <w:rPr>
          <w:noProof/>
        </w:rPr>
        <w:t>Ο παρών κανονισμός θεσπίζει το περιβάλλον ενιαίας θυρίδας της Ευρωπαϊκής Ένωσης για τα τελωνεία, το οποίο παρέχει ένα ολοκληρωμένο σύνολο διαλειτουργικών ηλεκτρονικών υπηρεσιών σε ενωσιακό και εθνικό επίπεδο μέσω του συστήματος ενιαίας τελωνειακής θυρίδας της Ευρωπαϊκής Ένωσης για την ανταλλαγή πιστοποιητικών, με σκοπό την υποστήριξη της αλληλεπίδρασης και της ανταλλαγής πληροφοριών μεταξύ των εθνικών περιβαλλόντων ενιαίας θυρίδας για τα τελωνεία και των ενωσιακών μη τελωνειακών συστημάτων που αναφέρονται στο παράρτημα. </w:t>
      </w:r>
    </w:p>
    <w:p>
      <w:pPr>
        <w:rPr>
          <w:noProof/>
        </w:rPr>
      </w:pPr>
      <w:r>
        <w:rPr>
          <w:noProof/>
        </w:rPr>
        <w:t>Καθορίζει κανόνες για τα εθνικά περιβάλλοντα ενιαίας θυρίδας για τα τελωνεία και κανόνες για την ψηφιακή διοικητική συνεργασία και ανταλλαγή πληροφοριών στο πλαίσιο του περιβάλλοντος ενιαίας θυρίδας της Ευρωπαϊκής Ένωσης για τα τελωνεία.</w:t>
      </w:r>
    </w:p>
    <w:p>
      <w:pPr>
        <w:pStyle w:val="Titrearticle"/>
        <w:rPr>
          <w:noProof/>
        </w:rPr>
      </w:pPr>
      <w:r>
        <w:rPr>
          <w:noProof/>
        </w:rPr>
        <w:t>Άρθρο 2</w:t>
      </w:r>
    </w:p>
    <w:p>
      <w:pPr>
        <w:pStyle w:val="NormalCentered"/>
        <w:rPr>
          <w:noProof/>
        </w:rPr>
      </w:pPr>
      <w:r>
        <w:rPr>
          <w:b/>
          <w:noProof/>
        </w:rPr>
        <w:t>Ορισμοί</w:t>
      </w:r>
    </w:p>
    <w:p>
      <w:pPr>
        <w:rPr>
          <w:noProof/>
        </w:rPr>
      </w:pPr>
      <w:r>
        <w:rPr>
          <w:noProof/>
        </w:rPr>
        <w:t>Για τους σκοπούς του παρόντος κανονισμού, πέραν των ορισμών του άρθρου 5 σημεία 1, 2, 5, 8, 12, 15 και 16 του κανονισμού (ΕΕ) αριθ. 952/2013, ισχύουν οι ακόλουθοι ορισμοί:</w:t>
      </w:r>
    </w:p>
    <w:p>
      <w:pPr>
        <w:rPr>
          <w:noProof/>
        </w:rPr>
      </w:pPr>
      <w:r>
        <w:rPr>
          <w:noProof/>
        </w:rPr>
        <w:t>1) «εθνικό περιβάλλον ενιαίας θυρίδας για τα τελωνεία»: το σύνολο ηλεκτρονικών υπηρεσιών που παρέχει ένα κράτος μέλος προκειμένου να καθίσταται δυνατή η ανταλλαγή πληροφοριών μεταξύ των ηλεκτρονικών συστημάτων των τελωνειακών αρχών, των αρμόδιων αρχών-εταίρων και των οικονομικών φορέων·</w:t>
      </w:r>
    </w:p>
    <w:p>
      <w:pPr>
        <w:rPr>
          <w:noProof/>
        </w:rPr>
      </w:pPr>
      <w:r>
        <w:rPr>
          <w:noProof/>
        </w:rPr>
        <w:t>2) «αρμόδια αρχή-εταίρος»: κάθε αρχή κράτους μέλους ή η Επιτροπή, εξουσιοδοτημένη να επιτελεί καθορισμένη λειτουργία σε σχέση με την εκπλήρωση των σχετικών ενωσιακών μη τελωνειακών διατυπώσεων·</w:t>
      </w:r>
    </w:p>
    <w:p>
      <w:pPr>
        <w:rPr>
          <w:noProof/>
        </w:rPr>
      </w:pPr>
      <w:r>
        <w:rPr>
          <w:noProof/>
        </w:rPr>
        <w:t>3) «ενωσιακή μη τελωνειακή διατύπωση»: κάθε διατύπωση για τις διεθνείς εμπορευματικές συναλλαγές η οποία προβλέπεται σε άλλη ενωσιακή νομοθεσία εκτός της τελωνειακής·</w:t>
      </w:r>
    </w:p>
    <w:p>
      <w:pPr>
        <w:rPr>
          <w:noProof/>
        </w:rPr>
      </w:pPr>
      <w:r>
        <w:rPr>
          <w:noProof/>
        </w:rPr>
        <w:t>4) «συνοδευτικό έγγραφο»: κάθε πιστοποιητικό, βεβαίωση, δήλωση συμμόρφωσης, έγκριση ή άδεια που εκδίδεται από τις αρμόδιες αρχές-εταίρους και πιστοποιεί την εκπλήρωση ενωσιακών μη τελωνειακών διατυπώσεων·</w:t>
      </w:r>
    </w:p>
    <w:p>
      <w:pPr>
        <w:rPr>
          <w:noProof/>
        </w:rPr>
      </w:pPr>
      <w:r>
        <w:rPr>
          <w:noProof/>
        </w:rPr>
        <w:t>5) «διαχείριση ποσοτήτων»: η δραστηριότητα παρακολούθησης και διαχείρισης της ποσότητας εμπορευμάτων που εγκρίνεται από τις αρμόδιες αρχές-εταίρους σύμφωνα με την ενωσιακή μη τελωνειακή νομοθεσία, βάσει των πληροφοριών που παρέχουν οι τελωνειακές αρχές σχετικά με τον τελωνισμό των σχετικών αποστολών·</w:t>
      </w:r>
    </w:p>
    <w:p>
      <w:pPr>
        <w:rPr>
          <w:noProof/>
        </w:rPr>
      </w:pPr>
      <w:r>
        <w:rPr>
          <w:noProof/>
        </w:rPr>
        <w:lastRenderedPageBreak/>
        <w:t>6) «ενωσιακό μη τελωνειακό σύστημα»: κάθε ενωσιακό ηλεκτρονικό σύστημα το οποίο αποθηκεύει πληροφορίες από όλες τις σχετικές αρμόδιες αρχές-εταίρους, τις οποίες χρειάζονται οι τελωνειακές αρχές για να επαληθεύουν την τήρηση των αντίστοιχων ενωσιακών μη τελωνειακών διατυπώσεων. </w:t>
      </w:r>
    </w:p>
    <w:p>
      <w:pPr>
        <w:pStyle w:val="Titrearticle"/>
        <w:rPr>
          <w:noProof/>
        </w:rPr>
      </w:pPr>
      <w:r>
        <w:rPr>
          <w:noProof/>
        </w:rPr>
        <w:t>Άρθρο 3</w:t>
      </w:r>
    </w:p>
    <w:p>
      <w:pPr>
        <w:pStyle w:val="NormalCentered"/>
        <w:rPr>
          <w:noProof/>
        </w:rPr>
      </w:pPr>
      <w:r>
        <w:rPr>
          <w:b/>
          <w:noProof/>
        </w:rPr>
        <w:t>Περιβάλλον ενιαίας θυρίδας της Ευρωπαϊκής Ένωσης για τα τελωνεία</w:t>
      </w:r>
    </w:p>
    <w:p>
      <w:pPr>
        <w:rPr>
          <w:noProof/>
        </w:rPr>
      </w:pPr>
      <w:r>
        <w:rPr>
          <w:noProof/>
        </w:rPr>
        <w:t>Με τον παρόντα κανονισμό θεσπίζεται το περιβάλλον ενιαίας θυρίδας της Ευρωπαϊκής Ένωσης για τα τελωνεία. Περιλαμβάνει το σύστημα ενιαίας τελωνειακής θυρίδας της Ευρωπαϊκής Ένωσης για την ανταλλαγή πιστοποιητικών, τα εθνικά περιβάλλοντα ενιαίας θυρίδας για τα τελωνεία και τα ενωσιακά μη τελωνειακά συστήματα που αναφέρονται στο παράρτημα.</w:t>
      </w:r>
    </w:p>
    <w:p>
      <w:pPr>
        <w:pStyle w:val="ChapterTitle"/>
        <w:rPr>
          <w:noProof/>
        </w:rPr>
      </w:pPr>
      <w:r>
        <w:rPr>
          <w:noProof/>
        </w:rPr>
        <w:t xml:space="preserve">Κεφάλαιο II </w:t>
      </w:r>
      <w:r>
        <w:rPr>
          <w:noProof/>
        </w:rPr>
        <w:br/>
        <w:t>Σύστημα ενιαίας τελωνειακής θυρίδας της Ευρωπαϊκής Ένωσης για την ανταλλαγή πιστοποιητικών</w:t>
      </w:r>
    </w:p>
    <w:p>
      <w:pPr>
        <w:pStyle w:val="Titrearticle"/>
        <w:rPr>
          <w:noProof/>
        </w:rPr>
      </w:pPr>
      <w:r>
        <w:rPr>
          <w:noProof/>
        </w:rPr>
        <w:t>Άρθρο 4</w:t>
      </w:r>
    </w:p>
    <w:p>
      <w:pPr>
        <w:pStyle w:val="NormalCentered"/>
        <w:rPr>
          <w:noProof/>
        </w:rPr>
      </w:pPr>
      <w:r>
        <w:rPr>
          <w:b/>
          <w:noProof/>
        </w:rPr>
        <w:t>Θέσπιση του συστήματος ενιαίας τελωνειακής θυρίδας της Ευρωπαϊκής Ένωσης για την ανταλλαγή πιστοποιητικών</w:t>
      </w:r>
    </w:p>
    <w:p>
      <w:pPr>
        <w:rPr>
          <w:noProof/>
        </w:rPr>
      </w:pPr>
      <w:r>
        <w:rPr>
          <w:noProof/>
        </w:rPr>
        <w:t>Με τον παρόντα κανονισμό θεσπίζεται το ηλεκτρονικό σύστημα ενιαίας τελωνειακής θυρίδας της Ευρωπαϊκής Ένωσης για την ανταλλαγή πιστοποιητικών (ενιαία θυρίδα EU CSW-CERTEX). Η ενιαία θυρίδα EU CSW-CERTEX συνδέει τα εθνικά περιβάλλοντα ενιαίας θυρίδας για τα τελωνεία με τα ενωσιακά μη τελωνειακά συστήματα που αναφέρονται στο παράρτημα.</w:t>
      </w:r>
    </w:p>
    <w:p>
      <w:pPr>
        <w:pStyle w:val="Titrearticle"/>
        <w:rPr>
          <w:noProof/>
        </w:rPr>
      </w:pPr>
      <w:r>
        <w:rPr>
          <w:noProof/>
        </w:rPr>
        <w:t>Άρθρο 5</w:t>
      </w:r>
    </w:p>
    <w:p>
      <w:pPr>
        <w:pStyle w:val="NormalCentered"/>
        <w:rPr>
          <w:noProof/>
        </w:rPr>
      </w:pPr>
      <w:r>
        <w:rPr>
          <w:b/>
          <w:noProof/>
        </w:rPr>
        <w:t>Ρόλοι και αρμοδιότητες σε σχέση με την ενιαία θυρίδα EU CSW-CERTEX</w:t>
      </w:r>
    </w:p>
    <w:p>
      <w:pPr>
        <w:pStyle w:val="ManualNumPar1"/>
        <w:rPr>
          <w:noProof/>
        </w:rPr>
      </w:pPr>
      <w:r>
        <w:rPr>
          <w:noProof/>
        </w:rPr>
        <w:t>1.</w:t>
      </w:r>
      <w:r>
        <w:rPr>
          <w:noProof/>
        </w:rPr>
        <w:tab/>
        <w:t>Η Επιτροπή, σε συνεργασία με τα κράτη μέλη, αναπτύσσει, ολοκληρώνει και διαχειρίζεται την ενιαία θυρίδα EU CSW-CERTEX.</w:t>
      </w:r>
    </w:p>
    <w:p>
      <w:pPr>
        <w:pStyle w:val="ManualNumPar1"/>
        <w:rPr>
          <w:noProof/>
        </w:rPr>
      </w:pPr>
      <w:r>
        <w:rPr>
          <w:noProof/>
        </w:rPr>
        <w:t>2.</w:t>
      </w:r>
      <w:r>
        <w:rPr>
          <w:noProof/>
        </w:rPr>
        <w:tab/>
        <w:t>Η Επιτροπή συνδέει τα ενωσιακά μη τελωνειακά συστήματα του παραρτήματος με την ενιαία θυρίδα EU CSW-CERTEX και καθιστά δυνατή την ανταλλαγή πληροφοριών σχετικά με τις ενωσιακές μη τελωνειακές διατυπώσεις που παρατίθενται στο παράρτημα.</w:t>
      </w:r>
    </w:p>
    <w:p>
      <w:pPr>
        <w:pStyle w:val="ManualNumPar1"/>
        <w:rPr>
          <w:noProof/>
        </w:rPr>
      </w:pPr>
      <w:r>
        <w:rPr>
          <w:noProof/>
        </w:rPr>
        <w:t>3.</w:t>
      </w:r>
      <w:r>
        <w:rPr>
          <w:noProof/>
        </w:rPr>
        <w:tab/>
        <w:t>Τα κράτη μέλη συνδέουν τα εθνικά περιβάλλοντα ενιαίας θυρίδας για τα τελωνεία με την ενιαία θυρίδα EU CSW-CERTEX και καθιστούν δυνατή την ανταλλαγή πληροφοριών σχετικά με τις ενωσιακές μη τελωνειακές διατυπώσεις που παρατίθενται στο παράρτημα.</w:t>
      </w:r>
    </w:p>
    <w:p>
      <w:pPr>
        <w:pStyle w:val="ManualNumPar1"/>
        <w:rPr>
          <w:noProof/>
        </w:rPr>
      </w:pPr>
      <w:r>
        <w:rPr>
          <w:noProof/>
        </w:rPr>
        <w:t>4.</w:t>
      </w:r>
      <w:r>
        <w:rPr>
          <w:noProof/>
        </w:rPr>
        <w:tab/>
        <w:t>Η Επιτροπή εξουσιοδοτείται να εκδίδει κατ’ εξουσιοδότηση πράξεις σύμφωνα με το άρθρο 21 για την τροποποίηση του παραρτήματος, ιδίως δε με σκοπό να καλυφθούν άλλες ενωσιακές μη τελωνειακές διατυπώσεις.</w:t>
      </w:r>
    </w:p>
    <w:p>
      <w:pPr>
        <w:pStyle w:val="Titrearticle"/>
        <w:rPr>
          <w:noProof/>
        </w:rPr>
      </w:pPr>
      <w:r>
        <w:rPr>
          <w:noProof/>
        </w:rPr>
        <w:t>Άρθρο 6</w:t>
      </w:r>
    </w:p>
    <w:p>
      <w:pPr>
        <w:pStyle w:val="NormalCentered"/>
        <w:rPr>
          <w:noProof/>
        </w:rPr>
      </w:pPr>
      <w:r>
        <w:rPr>
          <w:b/>
          <w:noProof/>
        </w:rPr>
        <w:t>Επεξεργασία δεδομένων προσωπικού χαρακτήρα στην ενιαία θυρίδα EU CSW-CERTEX</w:t>
      </w:r>
    </w:p>
    <w:p>
      <w:pPr>
        <w:pStyle w:val="ManualNumPar1"/>
        <w:rPr>
          <w:noProof/>
        </w:rPr>
      </w:pPr>
      <w:r>
        <w:rPr>
          <w:noProof/>
        </w:rPr>
        <w:lastRenderedPageBreak/>
        <w:t>1.</w:t>
      </w:r>
      <w:r>
        <w:rPr>
          <w:noProof/>
        </w:rPr>
        <w:tab/>
        <w:t>Επεξεργασία δεδομένων προσωπικού χαρακτήρα στην ενιαία θυρίδα EU CSW-CERTEX πραγματοποιείται μόνο για τους ακόλουθους σκοπούς:</w:t>
      </w:r>
    </w:p>
    <w:p>
      <w:pPr>
        <w:pStyle w:val="Point1"/>
        <w:rPr>
          <w:noProof/>
        </w:rPr>
      </w:pPr>
      <w:r>
        <w:rPr>
          <w:noProof/>
        </w:rPr>
        <w:t>α)</w:t>
      </w:r>
      <w:r>
        <w:rPr>
          <w:noProof/>
        </w:rPr>
        <w:tab/>
        <w:t>προκειμένου να καθίσταται δυνατή η ανταλλαγή πληροφοριών μεταξύ εθνικών περιβαλλόντων ενιαίας θυρίδας για τα τελωνεία και των ενωσιακών μη τελωνειακών συστημάτων του παραρτήματος όσον αφορά τις ενωσιακές μη τελωνειακές διατυπώσεις που παρατίθενται σε αυτό·</w:t>
      </w:r>
    </w:p>
    <w:p>
      <w:pPr>
        <w:pStyle w:val="Point1"/>
        <w:rPr>
          <w:noProof/>
        </w:rPr>
      </w:pPr>
      <w:r>
        <w:rPr>
          <w:noProof/>
        </w:rPr>
        <w:t>β)</w:t>
      </w:r>
      <w:r>
        <w:rPr>
          <w:noProof/>
        </w:rPr>
        <w:tab/>
        <w:t>προκειμένου να διενεργείται η μετατροπή των δεδομένων του άρθρου 10 παράγραφος 2, εφόσον χρειάζεται, ώστε να καθίσταται δυνατή η ανταλλαγή δεδομένων που αναφέρονται στο στοιχείο α) της παρούσας παραγράφου.</w:t>
      </w:r>
    </w:p>
    <w:p>
      <w:pPr>
        <w:pStyle w:val="ManualNumPar1"/>
        <w:rPr>
          <w:noProof/>
        </w:rPr>
      </w:pPr>
      <w:r>
        <w:rPr>
          <w:noProof/>
        </w:rPr>
        <w:t>2.</w:t>
      </w:r>
      <w:r>
        <w:rPr>
          <w:noProof/>
        </w:rPr>
        <w:tab/>
        <w:t>Στην ενιαία θυρίδα EU CSW-CERTEX μπορούν να υποβάλλονται σε επεξεργασία δεδομένα προσωπικού χαρακτήρα μόνον για τις ακόλουθες κατηγορίες υποκειμένων των δεδομένων:</w:t>
      </w:r>
    </w:p>
    <w:p>
      <w:pPr>
        <w:pStyle w:val="Point1"/>
        <w:rPr>
          <w:noProof/>
        </w:rPr>
      </w:pPr>
      <w:r>
        <w:rPr>
          <w:noProof/>
        </w:rPr>
        <w:t>α)</w:t>
      </w:r>
      <w:r>
        <w:rPr>
          <w:noProof/>
        </w:rPr>
        <w:tab/>
        <w:t>φυσικά πρόσωπα τα προσωπικά στοιχεία των οποίων περιέχονται στην τελωνειακή διασάφηση·</w:t>
      </w:r>
    </w:p>
    <w:p>
      <w:pPr>
        <w:pStyle w:val="Point1"/>
        <w:rPr>
          <w:noProof/>
        </w:rPr>
      </w:pPr>
      <w:r>
        <w:rPr>
          <w:noProof/>
        </w:rPr>
        <w:t>β)</w:t>
      </w:r>
      <w:r>
        <w:rPr>
          <w:noProof/>
        </w:rPr>
        <w:tab/>
        <w:t>φυσικά πρόσωπα τα προσωπικά στοιχεία των οποίων περιέχονται στα συνοδευτικά έγγραφα ή σε οποιαδήποτε άλλα επιπρόσθετα αποδεικτικά έγγραφα είναι απαραίτητα για την εκπλήρωση των ενωσιακών μη τελωνειακών διατυπώσεων που αναφέρονται στο παράρτημα·</w:t>
      </w:r>
    </w:p>
    <w:p>
      <w:pPr>
        <w:pStyle w:val="Point1"/>
        <w:rPr>
          <w:noProof/>
        </w:rPr>
      </w:pPr>
      <w:r>
        <w:rPr>
          <w:noProof/>
        </w:rPr>
        <w:t>γ)</w:t>
      </w:r>
      <w:r>
        <w:rPr>
          <w:noProof/>
        </w:rPr>
        <w:tab/>
        <w:t>εξουσιοδοτημένοι υπάλληλοι τελωνειακών αρχών, αρμόδιων αρχών-εταίρων, αρχών επαλήθευσης των αποστολών ή άλλης συναφούς αρχής ή εξουσιοδοτημένου φορέα, τα προσωπικά στοιχεία των οποίων περιέχονται σε οποιοδήποτε από τα έγγραφα των στοιχείων α) και β)·</w:t>
      </w:r>
    </w:p>
    <w:p>
      <w:pPr>
        <w:pStyle w:val="Point1"/>
        <w:rPr>
          <w:noProof/>
        </w:rPr>
      </w:pPr>
      <w:r>
        <w:rPr>
          <w:noProof/>
        </w:rPr>
        <w:t>δ)</w:t>
      </w:r>
      <w:r>
        <w:rPr>
          <w:noProof/>
        </w:rPr>
        <w:tab/>
        <w:t>υπάλληλοι της Επιτροπής και τρίτοι πάροχοι που ενεργούν εξ ονόματος της Επιτροπής και εκτελούν δραστηριότητες λειτουργίας και συντήρησης της ενιαίας θυρίδας EU CSW-CERTEX.</w:t>
      </w:r>
    </w:p>
    <w:p>
      <w:pPr>
        <w:pStyle w:val="ManualNumPar1"/>
        <w:rPr>
          <w:noProof/>
        </w:rPr>
      </w:pPr>
      <w:r>
        <w:rPr>
          <w:noProof/>
        </w:rPr>
        <w:t>3.</w:t>
      </w:r>
      <w:r>
        <w:rPr>
          <w:noProof/>
        </w:rPr>
        <w:tab/>
        <w:t>Στην ενιαία θυρίδα EU CSW-CERTEX μπορούν να υποβάλλονται σε επεξεργασία μόνον οι ακόλουθες κατηγορίες δεδομένων προσωπικού χαρακτήρα:</w:t>
      </w:r>
    </w:p>
    <w:p>
      <w:pPr>
        <w:pStyle w:val="Point1"/>
        <w:rPr>
          <w:noProof/>
        </w:rPr>
      </w:pPr>
      <w:r>
        <w:rPr>
          <w:noProof/>
        </w:rPr>
        <w:t>α)</w:t>
      </w:r>
      <w:r>
        <w:rPr>
          <w:noProof/>
        </w:rPr>
        <w:tab/>
        <w:t>όνομα, διεύθυνση, κωδικός χώρας και αριθμός ταυτότητας των φυσικών προσώπων που αναφέρονται στα στοιχεία α) και β) της παραγράφου 2, τα οποία απαιτούνται από την τελωνειακή νομοθεσία ή την ενωσιακή μη τελωνειακή νομοθεσία για την εκπλήρωση των αντίστοιχων διατυπώσεων·</w:t>
      </w:r>
    </w:p>
    <w:p>
      <w:pPr>
        <w:pStyle w:val="Point1"/>
        <w:rPr>
          <w:noProof/>
        </w:rPr>
      </w:pPr>
      <w:r>
        <w:rPr>
          <w:noProof/>
        </w:rPr>
        <w:t>β)</w:t>
      </w:r>
      <w:r>
        <w:rPr>
          <w:noProof/>
        </w:rPr>
        <w:tab/>
        <w:t>όνομα και υπογραφή των εξουσιοδοτημένων υπαλλήλων που αναφέρονται στα στοιχεία γ) και δ) της παραγράφου 2.</w:t>
      </w:r>
    </w:p>
    <w:p>
      <w:pPr>
        <w:pStyle w:val="ManualNumPar1"/>
        <w:rPr>
          <w:noProof/>
        </w:rPr>
      </w:pPr>
      <w:r>
        <w:rPr>
          <w:noProof/>
        </w:rPr>
        <w:t>4.</w:t>
      </w:r>
      <w:r>
        <w:rPr>
          <w:noProof/>
        </w:rPr>
        <w:tab/>
        <w:t>Στην ενιαία θυρίδα EU CSW-CERTEX δεν αποθηκεύονται πληροφορίες που ανταλλάσσονται μεταξύ των εθνικών περιβαλλόντων ενιαίας θυρίδας για τα τελωνεία και των ενωσιακών μη τελωνειακών συστημάτων.</w:t>
      </w:r>
    </w:p>
    <w:p>
      <w:pPr>
        <w:pStyle w:val="ManualNumPar1"/>
        <w:rPr>
          <w:noProof/>
        </w:rPr>
      </w:pPr>
      <w:r>
        <w:rPr>
          <w:noProof/>
        </w:rPr>
        <w:t>5.</w:t>
      </w:r>
      <w:r>
        <w:rPr>
          <w:noProof/>
        </w:rPr>
        <w:tab/>
        <w:t>Η μετατροπή των δεδομένων προσωπικού χαρακτήρα που αναφέρονται στην παράγραφο 1 στοιχείο β) εκτελείται με τη χρήση υποδομής τεχνολογίας πληροφοριών που είναι εγκατεστημένη στην Ένωση.    </w:t>
      </w:r>
    </w:p>
    <w:p>
      <w:pPr>
        <w:pStyle w:val="Titrearticle"/>
        <w:rPr>
          <w:noProof/>
        </w:rPr>
      </w:pPr>
      <w:r>
        <w:rPr>
          <w:noProof/>
        </w:rPr>
        <w:t>Άρθρο 7</w:t>
      </w:r>
    </w:p>
    <w:p>
      <w:pPr>
        <w:pStyle w:val="NormalCentered"/>
        <w:rPr>
          <w:noProof/>
        </w:rPr>
      </w:pPr>
      <w:r>
        <w:rPr>
          <w:b/>
          <w:noProof/>
        </w:rPr>
        <w:t>Κοινή ευθύνη επεξεργασίας στο πλαίσιο της ενιαίας θυρίδας EU CSW-CERTEX</w:t>
      </w:r>
    </w:p>
    <w:p>
      <w:pPr>
        <w:pStyle w:val="ManualNumPar1"/>
        <w:rPr>
          <w:noProof/>
        </w:rPr>
      </w:pPr>
      <w:r>
        <w:rPr>
          <w:noProof/>
        </w:rPr>
        <w:t>1.</w:t>
      </w:r>
      <w:r>
        <w:rPr>
          <w:noProof/>
        </w:rPr>
        <w:tab/>
        <w:t xml:space="preserve">Όσον αφορά την επεξεργασία δεδομένων προσωπικού χαρακτήρα στην ενιαία θυρίδα EU CSW-CERTEX, η Επιτροπή είναι από κοινού υπεύθυνος επεξεργασίας </w:t>
      </w:r>
      <w:r>
        <w:rPr>
          <w:noProof/>
        </w:rPr>
        <w:lastRenderedPageBreak/>
        <w:t>κατά την έννοια του άρθρου 28 παράγραφος 1 του κανονισμού (ΕΕ) 2018/1725, και οι τελωνειακές αρχές και οι αρμόδιες αρχές-εταίροι είναι από κοινού υπεύθυνοι επεξεργασίας κατά την έννοια του άρθρου 26 παράγραφος 1 του κανονισμού (ΕΕ) 2016/679.</w:t>
      </w:r>
    </w:p>
    <w:p>
      <w:pPr>
        <w:pStyle w:val="ManualNumPar1"/>
        <w:rPr>
          <w:noProof/>
        </w:rPr>
      </w:pPr>
      <w:r>
        <w:rPr>
          <w:noProof/>
        </w:rPr>
        <w:t>2.</w:t>
      </w:r>
      <w:r>
        <w:rPr>
          <w:noProof/>
        </w:rPr>
        <w:tab/>
        <w:t>Η Επιτροπή, με εκτελεστικές πράξεις, καθορίζει τις αντίστοιχες αρμοδιότητες των από κοινού υπευθύνων επεξεργασίας, σε συμμόρφωση προς τις υποχρεώσεις των κανονισμών (ΕΕ) 2016/679 και (ΕΕ) 2018/1725. Οι εν λόγω εκτελεστικές πράξεις εκδίδονται σύμφωνα με τη διαδικασία εξέτασης του άρθρου 22 παράγραφος 3 του παρόντος κανονισμού.</w:t>
      </w:r>
    </w:p>
    <w:p>
      <w:pPr>
        <w:pStyle w:val="ManualNumPar1"/>
        <w:rPr>
          <w:noProof/>
        </w:rPr>
      </w:pPr>
      <w:r>
        <w:rPr>
          <w:noProof/>
        </w:rPr>
        <w:t>3.</w:t>
      </w:r>
      <w:r>
        <w:rPr>
          <w:noProof/>
        </w:rPr>
        <w:tab/>
        <w:t>Οι από κοινού υπεύθυνοι επεξεργασίας:</w:t>
      </w:r>
    </w:p>
    <w:p>
      <w:pPr>
        <w:pStyle w:val="Point1"/>
        <w:rPr>
          <w:noProof/>
        </w:rPr>
      </w:pPr>
      <w:r>
        <w:rPr>
          <w:noProof/>
        </w:rPr>
        <w:t>α)</w:t>
      </w:r>
      <w:r>
        <w:rPr>
          <w:noProof/>
        </w:rPr>
        <w:tab/>
        <w:t>συνεργάζονται για την έγκαιρη επεξεργασία του/των αιτήματος/-άτων που υποβάλλει/-ουν το/τα υποκείμενο/-α των δεδομένων·</w:t>
      </w:r>
    </w:p>
    <w:p>
      <w:pPr>
        <w:pStyle w:val="Point1"/>
        <w:rPr>
          <w:noProof/>
        </w:rPr>
      </w:pPr>
      <w:r>
        <w:rPr>
          <w:noProof/>
        </w:rPr>
        <w:t>β)</w:t>
      </w:r>
      <w:r>
        <w:rPr>
          <w:noProof/>
        </w:rPr>
        <w:tab/>
        <w:t>παρέχουν αμοιβαία συνδρομή σε ζητήματα που περιλαμβάνουν τον εντοπισμό και τον χειρισμό οποιασδήποτε παραβίασης δεδομένων η οποία σχετίζεται με την από κοινού επεξεργασία·</w:t>
      </w:r>
    </w:p>
    <w:p>
      <w:pPr>
        <w:pStyle w:val="Point1"/>
        <w:rPr>
          <w:noProof/>
        </w:rPr>
      </w:pPr>
      <w:r>
        <w:rPr>
          <w:noProof/>
        </w:rPr>
        <w:t>γ)</w:t>
      </w:r>
      <w:r>
        <w:rPr>
          <w:noProof/>
        </w:rPr>
        <w:tab/>
        <w:t>ανταλλάσσουν τις σχετικές πληροφορίες που είναι αναγκαίες για την ενημέρωση των υποκειμένων των δεδομένων δυνάμει του τμήματος 2 του κανονισμού (ΕΕ) 2016/679 και του τμήματος 2 του κανονισμού (ΕΕ) 2018/1725·</w:t>
      </w:r>
    </w:p>
    <w:p>
      <w:pPr>
        <w:pStyle w:val="Point1"/>
        <w:rPr>
          <w:noProof/>
        </w:rPr>
      </w:pPr>
      <w:r>
        <w:rPr>
          <w:noProof/>
        </w:rPr>
        <w:t>δ)</w:t>
      </w:r>
      <w:r>
        <w:rPr>
          <w:noProof/>
        </w:rPr>
        <w:tab/>
        <w:t>εξασφαλίζουν και διαφυλάσσουν την ασφάλεια, την ακεραιότητα, τη διαθεσιμότητα και την εμπιστευτικότητα των δεδομένων προσωπικού χαρακτήρα που υπόκεινται σε από κοινού επεξεργασία δυνάμει του άρθρου 32 του κανονισμού (ΕΕ) 2016/679 και του άρθρου 33 του κανονισμού (ΕΕ) 2018/1725.</w:t>
      </w:r>
    </w:p>
    <w:p>
      <w:pPr>
        <w:pStyle w:val="ChapterTitle"/>
        <w:rPr>
          <w:noProof/>
        </w:rPr>
      </w:pPr>
      <w:r>
        <w:rPr>
          <w:noProof/>
        </w:rPr>
        <w:t xml:space="preserve">Κεφάλαιο III </w:t>
      </w:r>
      <w:r>
        <w:rPr>
          <w:noProof/>
        </w:rPr>
        <w:br/>
        <w:t>Εθνικά περιβάλλοντα ενιαίας θυρίδας για τα τελωνεία</w:t>
      </w:r>
    </w:p>
    <w:p>
      <w:pPr>
        <w:pStyle w:val="Titrearticle"/>
        <w:rPr>
          <w:noProof/>
        </w:rPr>
      </w:pPr>
      <w:r>
        <w:rPr>
          <w:noProof/>
        </w:rPr>
        <w:t>Άρθρο 8</w:t>
      </w:r>
    </w:p>
    <w:p>
      <w:pPr>
        <w:pStyle w:val="NormalCentered"/>
        <w:rPr>
          <w:noProof/>
        </w:rPr>
      </w:pPr>
      <w:r>
        <w:rPr>
          <w:b/>
          <w:noProof/>
        </w:rPr>
        <w:t>Θέσπιση των εθνικών περιβαλλόντων ενιαίας θυρίδας για τα τελωνεία </w:t>
      </w:r>
    </w:p>
    <w:p>
      <w:pPr>
        <w:pStyle w:val="ManualNumPar1"/>
        <w:rPr>
          <w:noProof/>
        </w:rPr>
      </w:pPr>
      <w:r>
        <w:rPr>
          <w:noProof/>
        </w:rPr>
        <w:t>1.</w:t>
      </w:r>
      <w:r>
        <w:rPr>
          <w:noProof/>
        </w:rPr>
        <w:tab/>
        <w:t>Τα κράτη μέλη θεσπίζουν εθνικά περιβάλλοντα ενιαίας θυρίδας για τα τελωνεία. Κάθε κράτος μέλος είναι υπεύθυνο για την ανάπτυξη, την ολοκλήρωση και τη λειτουργία του εθνικού του περιβάλλοντος ενιαίας θυρίδας για τα τελωνεία.</w:t>
      </w:r>
    </w:p>
    <w:p>
      <w:pPr>
        <w:pStyle w:val="ManualNumPar1"/>
        <w:rPr>
          <w:noProof/>
        </w:rPr>
      </w:pPr>
      <w:r>
        <w:rPr>
          <w:noProof/>
        </w:rPr>
        <w:t>2.</w:t>
      </w:r>
      <w:r>
        <w:rPr>
          <w:noProof/>
        </w:rPr>
        <w:tab/>
        <w:t>Τα εθνικά περιβάλλοντα ενιαίας θυρίδας για τα τελωνεία καθιστούν δυνατή την ανταλλαγή πληροφοριών και τη συνεργασία, με ηλεκτρονικά μέσα, μεταξύ τελωνειακών αρχών, αρμόδιων αρχών-εταίρων και οικονομικών φορέων για τους σκοπούς της τήρησης και της αποδοτικής επιβολής της τελωνειακής νομοθεσίας και των ενωσιακών μη τελωνειακών διατυπώσεων που παρατίθενται στο παράρτημα.</w:t>
      </w:r>
    </w:p>
    <w:p>
      <w:pPr>
        <w:pStyle w:val="ManualNumPar1"/>
        <w:rPr>
          <w:noProof/>
        </w:rPr>
      </w:pPr>
      <w:r>
        <w:rPr>
          <w:noProof/>
        </w:rPr>
        <w:t>3.</w:t>
      </w:r>
      <w:r>
        <w:rPr>
          <w:noProof/>
        </w:rPr>
        <w:tab/>
        <w:t>Τα εθνικά περιβάλλοντα ενιαίας θυρίδας για τα τελωνεία παρέχουν ειδικότερα τις ακόλουθες λειτουργικές δυνατότητες:</w:t>
      </w:r>
    </w:p>
    <w:p>
      <w:pPr>
        <w:pStyle w:val="Point1"/>
        <w:rPr>
          <w:noProof/>
        </w:rPr>
      </w:pPr>
      <w:r>
        <w:rPr>
          <w:noProof/>
        </w:rPr>
        <w:t>α)</w:t>
      </w:r>
      <w:r>
        <w:rPr>
          <w:noProof/>
        </w:rPr>
        <w:tab/>
        <w:t>καθιστούν δυνατή την αυτόματη επαλήθευση από τις τελωνειακές αρχές της τήρησης των ενωσιακών μη τελωνειακών διατυπώσεων που παρατίθενται στο παράρτημα βάσει των δεδομένων που λαμβάνουν από ενωσιακά μη τελωνειακά συστήματα για τον σκοπό του τελωνισμού των εμπορευμάτων·</w:t>
      </w:r>
    </w:p>
    <w:p>
      <w:pPr>
        <w:pStyle w:val="Point1"/>
        <w:rPr>
          <w:noProof/>
        </w:rPr>
      </w:pPr>
      <w:r>
        <w:rPr>
          <w:noProof/>
        </w:rPr>
        <w:lastRenderedPageBreak/>
        <w:t>β)</w:t>
      </w:r>
      <w:r>
        <w:rPr>
          <w:noProof/>
        </w:rPr>
        <w:tab/>
        <w:t>παρέχουν στις αρμόδιες αρχές-εταίρους τη δυνατότητα να προβαίνουν, κατά περίπτωση, σε διαχείριση ποσοτήτων όσον αφορά τις ενωσιακές μη τελωνειακές διατυπώσεις που παρατίθενται στο παράρτημα· </w:t>
      </w:r>
    </w:p>
    <w:p>
      <w:pPr>
        <w:pStyle w:val="Point1"/>
        <w:rPr>
          <w:noProof/>
        </w:rPr>
      </w:pPr>
      <w:r>
        <w:rPr>
          <w:noProof/>
        </w:rPr>
        <w:t>γ)</w:t>
      </w:r>
      <w:r>
        <w:rPr>
          <w:noProof/>
        </w:rPr>
        <w:tab/>
        <w:t>παρέχουν ενιαίο δίαυλο επικοινωνίας ώστε οι οικονομικοί φορείς να εκπληρώνουν τις συναφείς τελωνειακές διατυπώσεις και τις ενωσιακές μη τελωνειακές διατυπώσεις που υπόκεινται σε περαιτέρω ψηφιακή συνεργασία σύμφωνα με το άρθρο 12.</w:t>
      </w:r>
    </w:p>
    <w:p>
      <w:pPr>
        <w:pStyle w:val="ManualNumPar1"/>
        <w:rPr>
          <w:noProof/>
        </w:rPr>
      </w:pPr>
      <w:r>
        <w:rPr>
          <w:noProof/>
        </w:rPr>
        <w:t>4.</w:t>
      </w:r>
      <w:r>
        <w:rPr>
          <w:noProof/>
        </w:rPr>
        <w:tab/>
        <w:t>Τα εθνικά περιβάλλοντα ενιαίας θυρίδας για τα τελωνεία μπορούν επίσης να χρησιμοποιούνται ως πλατφόρμες για τον συντονισμό των ελέγχων σύμφωνα με το άρθρο 47 παράγραφος 1 του κανονισμού (ΕΕ) 952/2013.</w:t>
      </w:r>
    </w:p>
    <w:p>
      <w:pPr>
        <w:pStyle w:val="Titrearticle"/>
        <w:rPr>
          <w:noProof/>
        </w:rPr>
      </w:pPr>
      <w:r>
        <w:rPr>
          <w:noProof/>
        </w:rPr>
        <w:t>Άρθρο 9</w:t>
      </w:r>
    </w:p>
    <w:p>
      <w:pPr>
        <w:pStyle w:val="NormalCentered"/>
        <w:rPr>
          <w:noProof/>
        </w:rPr>
      </w:pPr>
      <w:r>
        <w:rPr>
          <w:b/>
          <w:noProof/>
        </w:rPr>
        <w:t>Επεξεργασία δεδομένων προσωπικού χαρακτήρα στο πλαίσιο των εθνικών περιβαλλόντων ενιαίας θυρίδας για τα τελωνεία</w:t>
      </w:r>
    </w:p>
    <w:p>
      <w:pPr>
        <w:pStyle w:val="ManualNumPar1"/>
        <w:rPr>
          <w:noProof/>
        </w:rPr>
      </w:pPr>
      <w:r>
        <w:rPr>
          <w:noProof/>
        </w:rPr>
        <w:t>1.</w:t>
      </w:r>
      <w:r>
        <w:rPr>
          <w:noProof/>
        </w:rPr>
        <w:tab/>
        <w:t>Η επεξεργασία δεδομένων προσωπικού χαρακτήρα στο πλαίσιο των εθνικών περιβαλλόντων ενιαίας θυρίδας για τα τελωνεία πραγματοποιείται σύμφωνα με τον κανονισμό (ΕΕ) 2016/679 χωριστά από τις πράξεις επεξεργασίας που αναφέρονται στο άρθρο 6 του εν λόγω κανονισμού.</w:t>
      </w:r>
    </w:p>
    <w:p>
      <w:pPr>
        <w:pStyle w:val="ManualNumPar1"/>
        <w:rPr>
          <w:noProof/>
        </w:rPr>
      </w:pPr>
      <w:r>
        <w:rPr>
          <w:noProof/>
        </w:rPr>
        <w:t>2.</w:t>
      </w:r>
      <w:r>
        <w:rPr>
          <w:noProof/>
        </w:rPr>
        <w:tab/>
        <w:t>Κάθε κράτος μέλος είναι ο αποκλειστικός υπεύθυνος επεξεργασίας των πράξεων επεξεργασίας δεδομένων στο πλαίσιο του οικείου περιβάλλοντος ενιαίας θυρίδας για τα τελωνεία.</w:t>
      </w:r>
    </w:p>
    <w:p>
      <w:pPr>
        <w:pStyle w:val="ManualNumPar1"/>
        <w:rPr>
          <w:noProof/>
        </w:rPr>
      </w:pPr>
      <w:r>
        <w:rPr>
          <w:noProof/>
        </w:rPr>
        <w:t>3.</w:t>
      </w:r>
      <w:r>
        <w:rPr>
          <w:noProof/>
        </w:rPr>
        <w:tab/>
        <w:t>Κάθε κράτος μέλος ενημερώνει την Επιτροπή για οποιαδήποτε παραβίαση δεδομένων προσωπικού χαρακτήρα η οποία θέτει σε κίνδυνο την ασφάλεια, την εμπιστευτικότητα, τη διαθεσιμότητα ή την ακεραιότητα των δεδομένων προσωπικού χαρακτήρα που υποβάλλονται σε επεξεργασία στο πλαίσιο του οικείου περιβάλλοντος ενιαίας θυρίδας για τα τελωνεία.</w:t>
      </w:r>
    </w:p>
    <w:p>
      <w:pPr>
        <w:pStyle w:val="ChapterTitle"/>
        <w:rPr>
          <w:noProof/>
        </w:rPr>
      </w:pPr>
      <w:r>
        <w:rPr>
          <w:noProof/>
        </w:rPr>
        <w:t xml:space="preserve">Κεφάλαιο IV </w:t>
      </w:r>
      <w:r>
        <w:rPr>
          <w:noProof/>
        </w:rPr>
        <w:br/>
        <w:t>Ψηφιακή συνεργασία - ανταλλαγή πληροφοριών και λοιποί διαδικαστικοί κανόνες</w:t>
      </w:r>
    </w:p>
    <w:p>
      <w:pPr>
        <w:pStyle w:val="SectionTitle"/>
        <w:rPr>
          <w:noProof/>
        </w:rPr>
      </w:pPr>
      <w:r>
        <w:rPr>
          <w:noProof/>
        </w:rPr>
        <w:t xml:space="preserve">Τμήμα 1 </w:t>
      </w:r>
      <w:r>
        <w:rPr>
          <w:noProof/>
        </w:rPr>
        <w:br/>
        <w:t>ΨΗΦΙΑΚΗ ΣΥΝΕΡΓΑΣΙΑ ΣΕ ΣΧΕΣΗ ΜΕ ΤΙΣ ΕΝΩΣΙΑΚΕΣ ΜΗ ΤΕΛΩΝΕΙΑΚΕΣ ΔΙΑΤΥΠΩΣΕΙΣ</w:t>
      </w:r>
    </w:p>
    <w:p>
      <w:pPr>
        <w:pStyle w:val="Titrearticle"/>
        <w:rPr>
          <w:noProof/>
        </w:rPr>
      </w:pPr>
      <w:r>
        <w:rPr>
          <w:noProof/>
        </w:rPr>
        <w:t>Άρθρο 10</w:t>
      </w:r>
    </w:p>
    <w:p>
      <w:pPr>
        <w:pStyle w:val="NormalCentered"/>
        <w:rPr>
          <w:noProof/>
        </w:rPr>
      </w:pPr>
      <w:r>
        <w:rPr>
          <w:b/>
          <w:noProof/>
        </w:rPr>
        <w:t>Ανταλλαγή πληροφοριών που διεκπεραιώνεται μέσω της ενιαίας θυρίδας EU CSW-CERTEX</w:t>
      </w:r>
    </w:p>
    <w:p>
      <w:pPr>
        <w:pStyle w:val="ManualNumPar1"/>
        <w:rPr>
          <w:noProof/>
        </w:rPr>
      </w:pPr>
      <w:r>
        <w:rPr>
          <w:noProof/>
        </w:rPr>
        <w:t>1.</w:t>
      </w:r>
      <w:r>
        <w:rPr>
          <w:noProof/>
        </w:rPr>
        <w:tab/>
        <w:t>Για καθεμία από τις ενωσιακές μη τελωνειακές διατυπώσεις που παρατίθενται στο παράρτημα, η ενιαία θυρίδα EU CSW-CERTEX καθιστά δυνατή την ανταλλαγή πληροφοριών μεταξύ των εθνικών περιβαλλόντων ενιαίας θυρίδας για τα τελωνεία και των συναφών ενωσιακών μη τελωνειακών συστημάτων για τους ακόλουθους σκοπούς:</w:t>
      </w:r>
    </w:p>
    <w:p>
      <w:pPr>
        <w:pStyle w:val="Point1"/>
        <w:rPr>
          <w:noProof/>
        </w:rPr>
      </w:pPr>
      <w:r>
        <w:rPr>
          <w:noProof/>
        </w:rPr>
        <w:t>α)</w:t>
      </w:r>
      <w:r>
        <w:rPr>
          <w:noProof/>
        </w:rPr>
        <w:tab/>
        <w:t xml:space="preserve">προκειμένου τα συναφή δεδομένα να τίθενται στη διάθεση των τελωνειακών αρχών ώστε αυτές να προβαίνουν στην απαιτούμενη αυτοματοποιημένη </w:t>
      </w:r>
      <w:r>
        <w:rPr>
          <w:noProof/>
        </w:rPr>
        <w:lastRenderedPageBreak/>
        <w:t>επαλήθευση των εν λόγω διατυπώσεων σύμφωνα με τον κανονισμό (ΕΕ) αριθ. 952/2013·</w:t>
      </w:r>
    </w:p>
    <w:p>
      <w:pPr>
        <w:pStyle w:val="Point1"/>
        <w:rPr>
          <w:noProof/>
        </w:rPr>
      </w:pPr>
      <w:r>
        <w:rPr>
          <w:noProof/>
        </w:rPr>
        <w:t>β)</w:t>
      </w:r>
      <w:r>
        <w:rPr>
          <w:noProof/>
        </w:rPr>
        <w:tab/>
        <w:t>προκειμένου τα συναφή δεδομένα να τίθενται στη διάθεση των αρμόδιων αρχών-εταίρων ώστε αυτές να προβαίνουν στη διαχείριση ποσοτήτων των εγκεκριμένων εμπορευμάτων στα ενωσιακά μη τελωνειακά συστήματα βάσει των εμπορευμάτων που αποτελούν αντικείμενο διασάφησης στις τελωνειακές αρχές και παραδίδονται από τις αρχές αυτές·</w:t>
      </w:r>
    </w:p>
    <w:p>
      <w:pPr>
        <w:pStyle w:val="Point1"/>
        <w:rPr>
          <w:noProof/>
        </w:rPr>
      </w:pPr>
      <w:r>
        <w:rPr>
          <w:noProof/>
        </w:rPr>
        <w:t>γ)</w:t>
      </w:r>
      <w:r>
        <w:rPr>
          <w:noProof/>
        </w:rPr>
        <w:tab/>
        <w:t>για να διευκολύνεται η ολοκλήρωση των διαδικασιών μεταξύ τελωνείων και αρμόδιων αρχών-εταίρων για μια απόλυτα αυτοματοποιημένη διαδικασία τελωνισμού των εμπορευμάτων και τον πλήρη συντονισμό των ελέγχων σύμφωνα με το άρθρο 47 παράγραφος 1 του κανονισμού (ΕΕ) αριθ. 952/2013·</w:t>
      </w:r>
    </w:p>
    <w:p>
      <w:pPr>
        <w:pStyle w:val="Point1"/>
        <w:rPr>
          <w:noProof/>
        </w:rPr>
      </w:pPr>
      <w:r>
        <w:rPr>
          <w:noProof/>
        </w:rPr>
        <w:t>δ)</w:t>
      </w:r>
      <w:r>
        <w:rPr>
          <w:noProof/>
        </w:rPr>
        <w:tab/>
        <w:t>προκειμένου να καθίσταται δυνατή κάθε άλλη διαβίβαση δεδομένων μεταξύ τελωνείων και συναφών αρμόδιων αρχών-εταίρων που προβλέπεται βάσει της ενωσιακής νομοθεσίας και αναφέρεται στο παράρτημα.</w:t>
      </w:r>
    </w:p>
    <w:p>
      <w:pPr>
        <w:pStyle w:val="ManualNumPar1"/>
        <w:rPr>
          <w:noProof/>
        </w:rPr>
      </w:pPr>
      <w:r>
        <w:rPr>
          <w:noProof/>
        </w:rPr>
        <w:t>2.</w:t>
      </w:r>
      <w:r>
        <w:rPr>
          <w:noProof/>
        </w:rPr>
        <w:tab/>
        <w:t>Για καθεμία από τις ενωσιακές μη τελωνειακές διατυπώσεις που παρατίθενται στο παράρτημα, η ενιαία θυρίδα EU CSW-CERTEX εξασφαλίζει τα ακόλουθα:</w:t>
      </w:r>
    </w:p>
    <w:p>
      <w:pPr>
        <w:pStyle w:val="Point1"/>
        <w:rPr>
          <w:noProof/>
        </w:rPr>
      </w:pPr>
      <w:r>
        <w:rPr>
          <w:noProof/>
        </w:rPr>
        <w:t>α)</w:t>
      </w:r>
      <w:r>
        <w:rPr>
          <w:noProof/>
        </w:rPr>
        <w:tab/>
        <w:t>ευθυγράμμιση τελωνειακής και μη τελωνειακής ορολογίας, κατά περίπτωση, και προσδιορισμό των τελωνειακών διαδικασιών για τις οποίες μπορούν να χρησιμοποιούνται συνοδευτικά έγγραφα βάσει των διοικητικών αποφάσεων της αρμόδιας αρχής-εταίρου που αναφέρονται στα συνοδευτικά έγγραφα·</w:t>
      </w:r>
    </w:p>
    <w:p>
      <w:pPr>
        <w:pStyle w:val="Point1"/>
        <w:rPr>
          <w:noProof/>
        </w:rPr>
      </w:pPr>
      <w:r>
        <w:rPr>
          <w:noProof/>
        </w:rPr>
        <w:t>β)</w:t>
      </w:r>
      <w:r>
        <w:rPr>
          <w:noProof/>
        </w:rPr>
        <w:tab/>
        <w:t>μετατροπή του μορφοτύπου των δεδομένων που απαιτούνται για την εκπλήρωση των σχετικών ενωσιακών μη τελωνειακών διατυπώσεων σε δεδομένα συμβατά με την τελωνειακή διασάφηση και το αντίστροφο, χωρίς μεταβολή του περιεχομένου τους.</w:t>
      </w:r>
    </w:p>
    <w:p>
      <w:pPr>
        <w:pStyle w:val="ManualNumPar1"/>
        <w:rPr>
          <w:noProof/>
        </w:rPr>
      </w:pPr>
      <w:r>
        <w:rPr>
          <w:noProof/>
        </w:rPr>
        <w:t>3.</w:t>
      </w:r>
      <w:r>
        <w:rPr>
          <w:noProof/>
        </w:rPr>
        <w:tab/>
        <w:t>Η Επιτροπή εξουσιοδοτείται να εκδίδει κατ’ εξουσιοδότηση πράξεις σύμφωνα με το άρθρο 21 για τον προσδιορισμό των στοιχείων που πρέπει να ανταλλάσσονται μέσω της ενιαίας θυρίδας EU CSW-CERTEX σύμφωνα με την παράγραφο 1 του παρόντος άρθρου.</w:t>
      </w:r>
    </w:p>
    <w:p>
      <w:pPr>
        <w:pStyle w:val="ManualNumPar1"/>
        <w:rPr>
          <w:noProof/>
        </w:rPr>
      </w:pPr>
      <w:r>
        <w:rPr>
          <w:noProof/>
        </w:rPr>
        <w:t>4.</w:t>
      </w:r>
      <w:r>
        <w:rPr>
          <w:noProof/>
        </w:rPr>
        <w:tab/>
        <w:t>Η Επιτροπή ορίζει, με εκτελεστικές πράξεις, ειδικούς κανόνες για την ανταλλαγή των πληροφοριών που αναφέρονται στις παραγράφους 1 και 2, συμπεριλαμβανομένων, κατά περίπτωση, ειδικών κανόνων για την εξασφάλιση της προστασίας των δεδομένων προσωπικού χαρακτήρα. Οι εν λόγω εκτελεστικές πράξεις εκδίδονται σύμφωνα με τη συμβουλευτική διαδικασία του άρθρου 22 παράγραφος 2.</w:t>
      </w:r>
    </w:p>
    <w:p>
      <w:pPr>
        <w:pStyle w:val="SectionTitle"/>
        <w:rPr>
          <w:noProof/>
        </w:rPr>
      </w:pPr>
      <w:r>
        <w:rPr>
          <w:noProof/>
        </w:rPr>
        <w:t xml:space="preserve">Τμήμα 2 </w:t>
      </w:r>
      <w:r>
        <w:rPr>
          <w:noProof/>
        </w:rPr>
        <w:br/>
        <w:t>ΠΕΡΑΙΤΕΡΩ ΨΗΦΙΑΚΗ ΣΥΝΕΡΓΑΣΙΑ ΣΕ ΣΧΕΣΗ ΜΕ ΤΙΣ ΕΝΩΣΙΑΚΕΣ ΜΗ ΤΕΛΩΝΕΙΑΚΕΣ ΔΙΑΤΥΠΩΣΕΙΣ</w:t>
      </w:r>
    </w:p>
    <w:p>
      <w:pPr>
        <w:pStyle w:val="Titrearticle"/>
        <w:rPr>
          <w:noProof/>
        </w:rPr>
      </w:pPr>
      <w:r>
        <w:rPr>
          <w:noProof/>
        </w:rPr>
        <w:t>Άρθρο 11</w:t>
      </w:r>
    </w:p>
    <w:p>
      <w:pPr>
        <w:pStyle w:val="NormalCentered"/>
        <w:rPr>
          <w:noProof/>
        </w:rPr>
      </w:pPr>
      <w:r>
        <w:rPr>
          <w:b/>
          <w:noProof/>
        </w:rPr>
        <w:t>Εξορθολογισμός της εκπλήρωσης τελωνειακών και ενωσιακών μη τελωνειακών διατυπώσεων</w:t>
      </w:r>
    </w:p>
    <w:p>
      <w:pPr>
        <w:rPr>
          <w:noProof/>
        </w:rPr>
      </w:pPr>
      <w:r>
        <w:rPr>
          <w:noProof/>
        </w:rPr>
        <w:t>Όσον αφορά εμπορεύματα που υπάγονται σε οποιαδήποτε από τις ενωσιακές μη τελωνειακές διατυπώσεις που παρατίθενται στο παράρτημα, τα εθνικά περιβάλλοντα ενιαίας θυρίδας για τα τελωνεία παρέχουν τις εξής λειτουργίες:</w:t>
      </w:r>
    </w:p>
    <w:p>
      <w:pPr>
        <w:pStyle w:val="Point0"/>
        <w:rPr>
          <w:noProof/>
        </w:rPr>
      </w:pPr>
      <w:r>
        <w:rPr>
          <w:noProof/>
        </w:rPr>
        <w:lastRenderedPageBreak/>
        <w:t>α)</w:t>
      </w:r>
      <w:r>
        <w:rPr>
          <w:noProof/>
        </w:rPr>
        <w:tab/>
        <w:t>παρέχουν στους οικονομικούς φορείς τη δυνατότητα να υποβάλλουν τις σχετικές πληροφορίες που απαιτούνται για την εκπλήρωση των εφαρμοστέων τελωνειακών διατυπώσεων και των ενωσιακών μη τελωνειακών διατυπώσεων·</w:t>
      </w:r>
    </w:p>
    <w:p>
      <w:pPr>
        <w:pStyle w:val="Point0"/>
        <w:rPr>
          <w:noProof/>
        </w:rPr>
      </w:pPr>
      <w:r>
        <w:rPr>
          <w:noProof/>
        </w:rPr>
        <w:t>β)</w:t>
      </w:r>
      <w:r>
        <w:rPr>
          <w:noProof/>
        </w:rPr>
        <w:tab/>
        <w:t>θέτουν στη διάθεση των οικονομικών φορέων ηλεκτρονική ανατροφοδότηση σχετικά με τον τελωνισμό εμπορευμάτων από τα τελωνεία και τις αρμόδιες αρχές-εταίρους που είναι υπεύθυνες για την εκπλήρωση των εφαρμοστέων τελωνειακών διατυπώσεων και των ενωσιακών μη τελωνειακών διατυπώσεων.</w:t>
      </w:r>
    </w:p>
    <w:p>
      <w:pPr>
        <w:pStyle w:val="Titrearticle"/>
        <w:rPr>
          <w:noProof/>
        </w:rPr>
      </w:pPr>
      <w:r>
        <w:rPr>
          <w:noProof/>
        </w:rPr>
        <w:t>Άρθρο 12</w:t>
      </w:r>
    </w:p>
    <w:p>
      <w:pPr>
        <w:pStyle w:val="NormalCentered"/>
        <w:rPr>
          <w:noProof/>
        </w:rPr>
      </w:pPr>
      <w:r>
        <w:rPr>
          <w:b/>
          <w:noProof/>
        </w:rPr>
        <w:t>Ενωσιακές μη τελωνειακές διατυπώσεις που υπόκεινται σε περαιτέρω ψηφιακή συνεργασία</w:t>
      </w:r>
    </w:p>
    <w:p>
      <w:pPr>
        <w:pStyle w:val="ManualNumPar1"/>
        <w:rPr>
          <w:noProof/>
        </w:rPr>
      </w:pPr>
      <w:r>
        <w:rPr>
          <w:noProof/>
        </w:rPr>
        <w:t>1.</w:t>
      </w:r>
      <w:r>
        <w:rPr>
          <w:noProof/>
        </w:rPr>
        <w:tab/>
        <w:t>Οι ενωσιακές μη τελωνειακές διατυπώσεις που παρατίθενται στο παράρτημα υπόκεινται στο άρθρο 8 παράγραφος 3 στοιχείο γ), στα άρθρα 11 έως 15 και στο άρθρο 16 παράγραφος 2, εφόσον η Επιτροπή προσδιορίσει, σύμφωνα με την παράγραφο 2 του παρόντος άρθρου, ότι οι διατυπώσεις αυτές πληρούν τα κριτήρια που προβλέπονται στην εν λόγω παράγραφο.</w:t>
      </w:r>
    </w:p>
    <w:p>
      <w:pPr>
        <w:pStyle w:val="ManualNumPar1"/>
        <w:rPr>
          <w:noProof/>
        </w:rPr>
      </w:pPr>
      <w:r>
        <w:rPr>
          <w:noProof/>
        </w:rPr>
        <w:t>2.</w:t>
      </w:r>
      <w:r>
        <w:rPr>
          <w:noProof/>
        </w:rPr>
        <w:tab/>
        <w:t>Η Επιτροπή προσδιορίζει, μέσω εκτελεστικών πράξεων, ποιες από τις ενωσιακές μη τελωνειακές διατυπώσεις που αναφέρονται στο παράρτημα πληρούν τα ακόλουθα κριτήρια: </w:t>
      </w:r>
    </w:p>
    <w:p>
      <w:pPr>
        <w:pStyle w:val="Point1"/>
        <w:rPr>
          <w:noProof/>
        </w:rPr>
      </w:pPr>
      <w:r>
        <w:rPr>
          <w:noProof/>
        </w:rPr>
        <w:t>α)</w:t>
      </w:r>
      <w:r>
        <w:rPr>
          <w:noProof/>
        </w:rPr>
        <w:tab/>
        <w:t>υπάρχει αλληλεπικάλυψη μεταξύ των διάφορων δεδομένων που απαιτούνται για την αίτηση για συνοδευτικά έγγραφα και την τελωνειακή διασάφηση·</w:t>
      </w:r>
    </w:p>
    <w:p>
      <w:pPr>
        <w:pStyle w:val="Point1"/>
        <w:rPr>
          <w:noProof/>
        </w:rPr>
      </w:pPr>
      <w:r>
        <w:rPr>
          <w:noProof/>
        </w:rPr>
        <w:t>β)</w:t>
      </w:r>
      <w:r>
        <w:rPr>
          <w:noProof/>
        </w:rPr>
        <w:tab/>
        <w:t>ο αριθμός των συνοδευτικών εγγράφων που εκδίδονται στην Ένωση για τη συγκεκριμένη διατύπωση δεν είναι αμελητέος·</w:t>
      </w:r>
    </w:p>
    <w:p>
      <w:pPr>
        <w:pStyle w:val="Point1"/>
        <w:rPr>
          <w:noProof/>
        </w:rPr>
      </w:pPr>
      <w:r>
        <w:rPr>
          <w:noProof/>
        </w:rPr>
        <w:t>γ)</w:t>
      </w:r>
      <w:r>
        <w:rPr>
          <w:noProof/>
        </w:rPr>
        <w:tab/>
        <w:t>το αντίστοιχο ενωσιακό μη τελωνειακό σύστημα που αναφέρεται στο παράρτημα μπορεί να αναγνωρίσει τον οικονομικό φορέα μέσω του αριθμού καταχώρισης και αναγνώρισης οικονομικών φορέων (EORI)·</w:t>
      </w:r>
    </w:p>
    <w:p>
      <w:pPr>
        <w:pStyle w:val="Point1"/>
        <w:rPr>
          <w:noProof/>
        </w:rPr>
      </w:pPr>
      <w:r>
        <w:rPr>
          <w:noProof/>
        </w:rPr>
        <w:t>δ)</w:t>
      </w:r>
      <w:r>
        <w:rPr>
          <w:noProof/>
        </w:rPr>
        <w:tab/>
        <w:t>η εφαρμοστέα ενωσιακή μη τελωνειακή νομοθεσία επιτρέπει την εκπλήρωση της συγκεκριμένης διατύπωσης μέσω των εθνικών περιβαλλόντων ενιαίας θυρίδας για τα τελωνεία σύμφωνα με το άρθρο 11.</w:t>
      </w:r>
    </w:p>
    <w:p>
      <w:pPr>
        <w:pStyle w:val="ManualNumPar1"/>
        <w:rPr>
          <w:noProof/>
        </w:rPr>
      </w:pPr>
      <w:r>
        <w:rPr>
          <w:noProof/>
        </w:rPr>
        <w:t>3.</w:t>
      </w:r>
      <w:r>
        <w:rPr>
          <w:noProof/>
        </w:rPr>
        <w:tab/>
        <w:t>Οι εν λόγω εκτελεστικές πράξεις εκδίδονται σύμφωνα με τη συμβουλευτική διαδικασία του άρθρου 22 παράγραφος 2.</w:t>
      </w:r>
    </w:p>
    <w:p>
      <w:pPr>
        <w:pStyle w:val="Titrearticle"/>
        <w:rPr>
          <w:noProof/>
        </w:rPr>
      </w:pPr>
      <w:r>
        <w:rPr>
          <w:noProof/>
        </w:rPr>
        <w:t>Άρθρο 13</w:t>
      </w:r>
    </w:p>
    <w:p>
      <w:pPr>
        <w:pStyle w:val="NormalCentered"/>
        <w:rPr>
          <w:noProof/>
        </w:rPr>
      </w:pPr>
      <w:r>
        <w:rPr>
          <w:b/>
          <w:noProof/>
        </w:rPr>
        <w:t>Εναρμόνιση και εξορθολογισμός των δεδομένων</w:t>
      </w:r>
    </w:p>
    <w:p>
      <w:pPr>
        <w:pStyle w:val="ManualNumPar1"/>
        <w:rPr>
          <w:noProof/>
        </w:rPr>
      </w:pPr>
      <w:r>
        <w:rPr>
          <w:noProof/>
        </w:rPr>
        <w:t>1.</w:t>
      </w:r>
      <w:r>
        <w:rPr>
          <w:noProof/>
        </w:rPr>
        <w:tab/>
        <w:t>Η Επιτροπή προσδιορίζει τα δεδομένα που είναι κοινά τόσο στην τελωνειακή διασάφηση όσο και στην αντίστοιχη αίτηση για συνοδευτικά έγγραφα, καθώς και τα πρόσθετα στοιχεία δεδομένων που υπόκεινται αποκλειστικά σε ενωσιακή μη τελωνειακή νομοθεσία.</w:t>
      </w:r>
    </w:p>
    <w:p>
      <w:pPr>
        <w:pStyle w:val="ManualNumPar1"/>
        <w:rPr>
          <w:noProof/>
        </w:rPr>
      </w:pPr>
      <w:r>
        <w:rPr>
          <w:noProof/>
        </w:rPr>
        <w:t>2.</w:t>
      </w:r>
      <w:r>
        <w:rPr>
          <w:noProof/>
        </w:rPr>
        <w:tab/>
        <w:t>Τα πρόσθετα στοιχεία δεδομένων της παραγράφου 1 προσδιορίζονται από το αντίστοιχο ακρωνύμιο της ενωσιακής μη τελωνειακής διατύπωσης που αναφέρεται στο παράρτημα, ακολουθούμενο από την κατάληξη «σύνολο δεδομένων της αρμόδιας αρχής-εταίρου (ΑΑΕ)».</w:t>
      </w:r>
    </w:p>
    <w:p>
      <w:pPr>
        <w:pStyle w:val="ManualNumPar1"/>
        <w:rPr>
          <w:noProof/>
        </w:rPr>
      </w:pPr>
      <w:r>
        <w:rPr>
          <w:noProof/>
        </w:rPr>
        <w:t>3.</w:t>
      </w:r>
      <w:r>
        <w:rPr>
          <w:noProof/>
        </w:rPr>
        <w:tab/>
        <w:t xml:space="preserve">Τα δεδομένα της τελωνειακής διασάφησης και τα πρόσθετα στοιχεία δεδομένων της παραγράφου 1 που απαιτούνται για την υπαγωγή των εμπορευμάτων σε </w:t>
      </w:r>
      <w:r>
        <w:rPr>
          <w:noProof/>
        </w:rPr>
        <w:lastRenderedPageBreak/>
        <w:t>συγκεκριμένο τελωνειακό καθεστώς συνθέτουν μια ολοκληρωμένη διασάφηση, που περιέχει όλα τα δεδομένα που χρειάζονται τα τελωνεία και οι αρμόδιες αρχές-εταίροι για τον τελωνισμό των εμπορευμάτων.</w:t>
      </w:r>
    </w:p>
    <w:p>
      <w:pPr>
        <w:pStyle w:val="ManualNumPar1"/>
        <w:rPr>
          <w:noProof/>
        </w:rPr>
      </w:pPr>
      <w:r>
        <w:rPr>
          <w:noProof/>
        </w:rPr>
        <w:t>4.</w:t>
      </w:r>
      <w:r>
        <w:rPr>
          <w:noProof/>
        </w:rPr>
        <w:tab/>
        <w:t>Η Επιτροπή εξουσιοδοτείται να εκδίδει κατ’ εξουσιοδότηση πράξεις σύμφωνα με το άρθρο 21, για τον προσδιορισμό, αφενός, των στοιχείων δεδομένων που είναι κοινά στην τελωνειακή διασάφηση και στην αίτηση για συνοδευτικά έγγραφα και, αφετέρου, του συνόλου δεδομένων της ΑΑΕ για καθεμία από τις συναφείς ενωσιακές πράξεις που εφαρμόζονται στις ενωσιακές μη τελωνειακές διατυπώσεις που παρατίθενται στο παράρτημα.</w:t>
      </w:r>
    </w:p>
    <w:p>
      <w:pPr>
        <w:pStyle w:val="Titrearticle"/>
        <w:rPr>
          <w:noProof/>
        </w:rPr>
      </w:pPr>
      <w:r>
        <w:rPr>
          <w:noProof/>
        </w:rPr>
        <w:t>Άρθρο 14</w:t>
      </w:r>
    </w:p>
    <w:p>
      <w:pPr>
        <w:pStyle w:val="NormalCentered"/>
        <w:rPr>
          <w:noProof/>
        </w:rPr>
      </w:pPr>
      <w:r>
        <w:rPr>
          <w:b/>
          <w:noProof/>
        </w:rPr>
        <w:t>Υποβολή τελωνειακών και ενωσιακών μη τελωνειακών δεδομένων από τους οικονομικούς φορείς</w:t>
      </w:r>
    </w:p>
    <w:p>
      <w:pPr>
        <w:pStyle w:val="ManualNumPar1"/>
        <w:rPr>
          <w:noProof/>
        </w:rPr>
      </w:pPr>
      <w:r>
        <w:rPr>
          <w:noProof/>
        </w:rPr>
        <w:t>1.</w:t>
      </w:r>
      <w:r>
        <w:rPr>
          <w:noProof/>
        </w:rPr>
        <w:tab/>
        <w:t>Για τους σκοπούς του άρθρου 11 στοιχείο α), τα εθνικά περιβάλλοντα ενιαίας θυρίδας για τα τελωνεία μπορούν να παρέχουν στους οικονομικούς φορείς τη δυνατότητα να υποβάλλουν ολοκληρωμένη διασάφηση που περιέχει το/τα σύνολο/-α δεδομένων της ΑΑΕ παράλληλα με την τελωνειακή διασάφηση που υποβάλλεται πριν από την προσκόμιση των εμπορευμάτων σύμφωνα με το άρθρο 171 του κανονισμού (ΕΕ) αριθ. 952/2013.</w:t>
      </w:r>
    </w:p>
    <w:p>
      <w:pPr>
        <w:pStyle w:val="ManualNumPar1"/>
        <w:rPr>
          <w:noProof/>
        </w:rPr>
      </w:pPr>
      <w:r>
        <w:rPr>
          <w:noProof/>
        </w:rPr>
        <w:t>2.</w:t>
      </w:r>
      <w:r>
        <w:rPr>
          <w:noProof/>
        </w:rPr>
        <w:tab/>
        <w:t>Η ολοκληρωμένη διασάφηση που υποβάλλεται σύμφωνα με την παράγραφο 1 συνιστά τελωνειακή διασάφηση και, παράλληλα, αίτηση για συνοδευτικά έγγραφα.</w:t>
      </w:r>
    </w:p>
    <w:p>
      <w:pPr>
        <w:pStyle w:val="Titrearticle"/>
        <w:rPr>
          <w:noProof/>
        </w:rPr>
      </w:pPr>
      <w:r>
        <w:rPr>
          <w:noProof/>
        </w:rPr>
        <w:t>Άρθρο 15</w:t>
      </w:r>
    </w:p>
    <w:p>
      <w:pPr>
        <w:pStyle w:val="NormalCentered"/>
        <w:rPr>
          <w:noProof/>
        </w:rPr>
      </w:pPr>
      <w:r>
        <w:rPr>
          <w:b/>
          <w:noProof/>
        </w:rPr>
        <w:t>Συμπληρωματική ανταλλαγή πληροφοριών που διεκπεραιώνεται μέσω της ενιαίας θυρίδας EU CSW-CERTEX</w:t>
      </w:r>
    </w:p>
    <w:p>
      <w:pPr>
        <w:pStyle w:val="ManualNumPar1"/>
        <w:rPr>
          <w:noProof/>
        </w:rPr>
      </w:pPr>
      <w:r>
        <w:rPr>
          <w:noProof/>
        </w:rPr>
        <w:t>1.</w:t>
      </w:r>
      <w:r>
        <w:rPr>
          <w:noProof/>
        </w:rPr>
        <w:tab/>
        <w:t>Η ενιαία θυρίδα EU CSW-CERTEX καθιστά δυνατές τις απαραίτητες ανταλλαγές πληροφοριών μεταξύ εθνικών περιβαλλόντων ενιαίας θυρίδας για τα τελωνεία και ενωσιακών μη τελωνειακών συστημάτων για τους ακόλουθους σκοπούς:</w:t>
      </w:r>
    </w:p>
    <w:p>
      <w:pPr>
        <w:pStyle w:val="Point1"/>
        <w:rPr>
          <w:noProof/>
        </w:rPr>
      </w:pPr>
      <w:r>
        <w:rPr>
          <w:noProof/>
        </w:rPr>
        <w:t>α)</w:t>
      </w:r>
      <w:r>
        <w:rPr>
          <w:noProof/>
        </w:rPr>
        <w:tab/>
        <w:t>τη διαβίβαση των δεδομένων που έχουν προσδιοριστεί ως κοινά στην τελωνειακή διασάφηση και στην αντίστοιχη αίτηση για συνοδευτικά έγγραφα σύμφωνα με το άρθρο 13 παράγραφος 4, καθώς και του/-ων εφαρμοστέου/-ων συνόλου/-ων δεδομένων των αρμόδιων αρχών εταίρων, ώστε οι τελευταίες να είναι σε θέση να ασκούν τα καθήκοντά τους όσον αφορά τις σχετικές διατυπώσεις σύμφωνα με την ενωσιακή μη τελωνειακή νομοθεσία·</w:t>
      </w:r>
    </w:p>
    <w:p>
      <w:pPr>
        <w:pStyle w:val="Point1"/>
        <w:rPr>
          <w:noProof/>
        </w:rPr>
      </w:pPr>
      <w:r>
        <w:rPr>
          <w:noProof/>
        </w:rPr>
        <w:t>β)</w:t>
      </w:r>
      <w:r>
        <w:rPr>
          <w:noProof/>
        </w:rPr>
        <w:tab/>
        <w:t>τη διαβίβαση στους οικονομικούς φορείς, για τους σκοπούς του άρθρου 11 στοιχείο β), κάθε ανατροφοδότησης από αρμόδιες αρχές-εταίρους που έχει υποβληθεί στο/στα εφαρμοστέο/-α ενωσιακό/-ά μη τελωνειακό/-ά σύστημα/-ήματα.</w:t>
      </w:r>
    </w:p>
    <w:p>
      <w:pPr>
        <w:pStyle w:val="ManualNumPar1"/>
        <w:rPr>
          <w:noProof/>
        </w:rPr>
      </w:pPr>
      <w:r>
        <w:rPr>
          <w:noProof/>
        </w:rPr>
        <w:t>2.</w:t>
      </w:r>
      <w:r>
        <w:rPr>
          <w:noProof/>
        </w:rPr>
        <w:tab/>
        <w:t>Αν ένας οικονομικός φορέας είναι καταχωρισμένος στις τελωνειακές αρχές σύμφωνα με το άρθρο 9 του κανονισμού (ΕΕ) αριθ. 952/2013, για τις ανταλλαγές πληροφοριών που αναφέρονται στην παράγραφο 1 χρησιμοποιείται ο αριθμός EORI.</w:t>
      </w:r>
    </w:p>
    <w:p>
      <w:pPr>
        <w:pStyle w:val="ManualNumPar1"/>
        <w:rPr>
          <w:noProof/>
        </w:rPr>
      </w:pPr>
      <w:r>
        <w:rPr>
          <w:noProof/>
        </w:rPr>
        <w:t>3.</w:t>
      </w:r>
      <w:r>
        <w:rPr>
          <w:noProof/>
        </w:rPr>
        <w:tab/>
        <w:t xml:space="preserve">Η Επιτροπή εγκρίνει, με εκτελεστικές πράξεις, διαδικαστικές ρυθμίσεις για τις ανταλλαγές πληροφοριών που αναφέρονται στην παράγραφο 1, συμπεριλαμβανομένων, κατά περίπτωση, οποιωνδήποτε ειδικών κανόνων που διέπουν την προστασία των δεδομένων προσωπικού χαρακτήρα. Οι εν λόγω </w:t>
      </w:r>
      <w:r>
        <w:rPr>
          <w:noProof/>
        </w:rPr>
        <w:lastRenderedPageBreak/>
        <w:t>εκτελεστικές πράξεις εκδίδονται σύμφωνα με τη συμβουλευτική διαδικασία του άρθρου 22 παράγραφος 2.</w:t>
      </w:r>
    </w:p>
    <w:p>
      <w:pPr>
        <w:pStyle w:val="SectionTitle"/>
        <w:rPr>
          <w:noProof/>
        </w:rPr>
      </w:pPr>
      <w:r>
        <w:rPr>
          <w:noProof/>
        </w:rPr>
        <w:t xml:space="preserve">Τμήμα 3 </w:t>
      </w:r>
      <w:r>
        <w:rPr>
          <w:noProof/>
        </w:rPr>
        <w:br/>
        <w:t>ΛΟΙΠΟΙ ΔΙΑΔΙΚΑΣΤΙΚΟΙ ΚΑΝΟΝΕΣ ΓΙΑ ΤΙΣ ΕΝΩΣΙΑΚΕΣ ΜΗ ΤΕΛΩΝΕΙΑΚΕΣ ΔΙΑΤΥΠΩΣΕΙΣ </w:t>
      </w:r>
    </w:p>
    <w:p>
      <w:pPr>
        <w:pStyle w:val="Titrearticle"/>
        <w:rPr>
          <w:noProof/>
        </w:rPr>
      </w:pPr>
      <w:r>
        <w:rPr>
          <w:noProof/>
        </w:rPr>
        <w:t>Άρθρο 16</w:t>
      </w:r>
    </w:p>
    <w:p>
      <w:pPr>
        <w:pStyle w:val="NormalCentered"/>
        <w:rPr>
          <w:noProof/>
        </w:rPr>
      </w:pPr>
      <w:r>
        <w:rPr>
          <w:b/>
          <w:noProof/>
        </w:rPr>
        <w:t>Χρήση του συστήματος EORI από αρμόδιες αρχές-εταίρους</w:t>
      </w:r>
    </w:p>
    <w:p>
      <w:pPr>
        <w:rPr>
          <w:noProof/>
        </w:rPr>
      </w:pPr>
      <w:r>
        <w:rPr>
          <w:noProof/>
        </w:rPr>
        <w:t>Κατά την άσκηση των καθηκόντων τους, οι αρμόδιες αρχές-εταίροι έχουν πρόσβαση στο σύστημα EORI που έχει θεσπιστεί για τους σκοπούς του άρθρου 9 του κανονισμού (ΕΕ) αριθ. 952/2013, για την επικύρωση των σχετικών δεδομένων των οικονομικών φορών που είναι αποθηκευμένα στο εν λόγω σύστημα.</w:t>
      </w:r>
    </w:p>
    <w:p>
      <w:pPr>
        <w:pStyle w:val="Titrearticle"/>
        <w:rPr>
          <w:noProof/>
        </w:rPr>
      </w:pPr>
      <w:r>
        <w:rPr>
          <w:noProof/>
        </w:rPr>
        <w:t>Άρθρο 17</w:t>
      </w:r>
    </w:p>
    <w:p>
      <w:pPr>
        <w:pStyle w:val="NormalCentered"/>
        <w:rPr>
          <w:noProof/>
        </w:rPr>
      </w:pPr>
      <w:r>
        <w:rPr>
          <w:b/>
          <w:noProof/>
        </w:rPr>
        <w:t>Εθνικοί συντονιστές</w:t>
      </w:r>
    </w:p>
    <w:p>
      <w:pPr>
        <w:rPr>
          <w:noProof/>
        </w:rPr>
      </w:pPr>
      <w:r>
        <w:rPr>
          <w:noProof/>
        </w:rPr>
        <w:t>Κάθε κράτος μέλος ορίζει αρμόδια αρχή η οποία θα ενεργεί ως εθνικός συντονιστής για το περιβάλλον ενιαίας θυρίδας της Ευρωπαϊκής Ένωσης για τα τελωνεία. Ο εθνικός συντονιστής εκτελεί τα ακόλουθα καθήκοντα:</w:t>
      </w:r>
    </w:p>
    <w:p>
      <w:pPr>
        <w:pStyle w:val="Point0"/>
        <w:rPr>
          <w:noProof/>
        </w:rPr>
      </w:pPr>
      <w:r>
        <w:rPr>
          <w:noProof/>
        </w:rPr>
        <w:t>α)</w:t>
      </w:r>
      <w:r>
        <w:rPr>
          <w:noProof/>
        </w:rPr>
        <w:tab/>
        <w:t>ενεργεί ως το εθνικό σημείο επαφής για την Επιτροπή για όλα τα θέματα που συνδέονται με την εφαρμογή του παρόντος κανονισμού·</w:t>
      </w:r>
    </w:p>
    <w:p>
      <w:pPr>
        <w:pStyle w:val="Point0"/>
        <w:rPr>
          <w:noProof/>
        </w:rPr>
      </w:pPr>
      <w:r>
        <w:rPr>
          <w:noProof/>
        </w:rPr>
        <w:t>β)</w:t>
      </w:r>
      <w:r>
        <w:rPr>
          <w:noProof/>
        </w:rPr>
        <w:tab/>
        <w:t>προάγει τη συνεργασία μεταξύ τελωνείων και εθνικών αρμόδιων αρχών-εταίρων σε εθνικό επίπεδο και συντονίζει τις δραστηριότητες που σχετίζονται με τη σύνδεση μεταξύ των εθνικών περιβαλλόντων ενιαίας θυρίδας για τα τελωνεία και της ενιαίας θυρίδας EU CSW-CERTEX, προς υποστήριξη της εφαρμογής του παρόντος κανονισμού. </w:t>
      </w:r>
    </w:p>
    <w:p>
      <w:pPr>
        <w:pStyle w:val="ChapterTitle"/>
        <w:rPr>
          <w:noProof/>
        </w:rPr>
      </w:pPr>
      <w:r>
        <w:rPr>
          <w:noProof/>
        </w:rPr>
        <w:t xml:space="preserve">Κεφάλαιο V </w:t>
      </w:r>
      <w:r>
        <w:rPr>
          <w:noProof/>
        </w:rPr>
        <w:br/>
        <w:t>Δαπάνες της ενιαίας θυρίδας EU CSW-CERTEX, πρόγραμμα εργασιών, παρακολούθηση και υποβολή εκθέσεων</w:t>
      </w:r>
    </w:p>
    <w:p>
      <w:pPr>
        <w:pStyle w:val="Titrearticle"/>
        <w:rPr>
          <w:noProof/>
        </w:rPr>
      </w:pPr>
      <w:r>
        <w:rPr>
          <w:noProof/>
        </w:rPr>
        <w:t>Άρθρο 18</w:t>
      </w:r>
    </w:p>
    <w:p>
      <w:pPr>
        <w:pStyle w:val="NormalCentered"/>
        <w:rPr>
          <w:noProof/>
        </w:rPr>
      </w:pPr>
      <w:r>
        <w:rPr>
          <w:b/>
          <w:noProof/>
        </w:rPr>
        <w:t>Δαπάνες</w:t>
      </w:r>
    </w:p>
    <w:p>
      <w:pPr>
        <w:pStyle w:val="ManualNumPar1"/>
        <w:rPr>
          <w:noProof/>
        </w:rPr>
      </w:pPr>
      <w:r>
        <w:rPr>
          <w:noProof/>
        </w:rPr>
        <w:t>1.</w:t>
      </w:r>
      <w:r>
        <w:rPr>
          <w:noProof/>
        </w:rPr>
        <w:tab/>
        <w:t>Οι δαπάνες που σχετίζονται με την ανάπτυξη, την ολοκλήρωση και τη λειτουργία της ενιαίας θυρίδας EU CSW-CERTEX και των διεπαφών της με τα ενωσιακά μη τελωνειακά συστήματα βαρύνουν την Ένωση.</w:t>
      </w:r>
    </w:p>
    <w:p>
      <w:pPr>
        <w:pStyle w:val="ManualNumPar1"/>
        <w:rPr>
          <w:noProof/>
        </w:rPr>
      </w:pPr>
      <w:r>
        <w:rPr>
          <w:noProof/>
        </w:rPr>
        <w:t>2.</w:t>
      </w:r>
      <w:r>
        <w:rPr>
          <w:noProof/>
        </w:rPr>
        <w:tab/>
        <w:t>Κάθε κράτος μέλος αναλαμβάνει τις δαπάνες που σχετίζονται με την ανάπτυξη, την ολοκλήρωση και τη λειτουργία του οικείου εθνικού περιβάλλοντος ενιαίας θυρίδας για τα τελωνεία και τη σύνδεσή του με την ενιαία θυρίδα EU CSW-CERTEX.</w:t>
      </w:r>
    </w:p>
    <w:p>
      <w:pPr>
        <w:pStyle w:val="Titrearticle"/>
        <w:rPr>
          <w:noProof/>
        </w:rPr>
      </w:pPr>
      <w:r>
        <w:rPr>
          <w:noProof/>
        </w:rPr>
        <w:t>Άρθρο 19</w:t>
      </w:r>
    </w:p>
    <w:p>
      <w:pPr>
        <w:pStyle w:val="NormalCentered"/>
        <w:rPr>
          <w:noProof/>
        </w:rPr>
      </w:pPr>
      <w:r>
        <w:rPr>
          <w:b/>
          <w:noProof/>
        </w:rPr>
        <w:t>Πρόγραμμα εργασιών</w:t>
      </w:r>
    </w:p>
    <w:p>
      <w:pPr>
        <w:rPr>
          <w:noProof/>
        </w:rPr>
      </w:pPr>
      <w:r>
        <w:rPr>
          <w:noProof/>
        </w:rPr>
        <w:t xml:space="preserve">Η Επιτροπή, μέσω εκτελεστικών πράξεων, εγκρίνει πρόγραμμα εργασιών προς υποστήριξη της εφαρμογής των διατάξεων του παρόντος κανονισμού που αφορούν τη σύνδεση των </w:t>
      </w:r>
      <w:r>
        <w:rPr>
          <w:noProof/>
        </w:rPr>
        <w:lastRenderedPageBreak/>
        <w:t>ενωσιακών μη τελωνειακών συστημάτων του παραρτήματος με την ενιαία θυρίδα EU CSW-CERTEX και την ενσωμάτωση των αντίστοιχων ενωσιακών μη τελωνειακών διατυπώσεων. Το πρόγραμμα εργασιών πρέπει να επικαιροποιείται. Οι εν λόγω εκτελεστικές πράξεις εκδίδονται σύμφωνα με τη συμβουλευτική διαδικασία του άρθρου 22 παράγραφος 2.</w:t>
      </w:r>
    </w:p>
    <w:p>
      <w:pPr>
        <w:pStyle w:val="Titrearticle"/>
        <w:rPr>
          <w:noProof/>
        </w:rPr>
      </w:pPr>
      <w:r>
        <w:rPr>
          <w:noProof/>
        </w:rPr>
        <w:t>Άρθρο 20</w:t>
      </w:r>
    </w:p>
    <w:p>
      <w:pPr>
        <w:pStyle w:val="NormalCentered"/>
        <w:rPr>
          <w:noProof/>
        </w:rPr>
      </w:pPr>
      <w:r>
        <w:rPr>
          <w:b/>
          <w:noProof/>
        </w:rPr>
        <w:t>Παρακολούθηση και υποβολή εκθέσεων</w:t>
      </w:r>
    </w:p>
    <w:p>
      <w:pPr>
        <w:pStyle w:val="ManualNumPar1"/>
        <w:rPr>
          <w:noProof/>
        </w:rPr>
      </w:pPr>
      <w:r>
        <w:rPr>
          <w:noProof/>
        </w:rPr>
        <w:t>1.</w:t>
      </w:r>
      <w:r>
        <w:rPr>
          <w:noProof/>
        </w:rPr>
        <w:tab/>
        <w:t>Η Επιτροπή παρακολουθεί τακτικά τη λειτουργία του περιβάλλοντος ενιαίας θυρίδας της Ευρωπαϊκής Ένωσης για τα τελωνεία.</w:t>
      </w:r>
    </w:p>
    <w:p>
      <w:pPr>
        <w:pStyle w:val="ManualNumPar1"/>
        <w:rPr>
          <w:noProof/>
        </w:rPr>
      </w:pPr>
      <w:r>
        <w:rPr>
          <w:noProof/>
        </w:rPr>
        <w:t>2.</w:t>
      </w:r>
      <w:r>
        <w:rPr>
          <w:noProof/>
        </w:rPr>
        <w:tab/>
        <w:t>Η Επιτροπή αξιολογεί τακτικά τις επιδόσεις της ενιαίας θυρίδας EU CSW-CERTEX.</w:t>
      </w:r>
    </w:p>
    <w:p>
      <w:pPr>
        <w:pStyle w:val="ManualNumPar1"/>
        <w:rPr>
          <w:noProof/>
        </w:rPr>
      </w:pPr>
      <w:r>
        <w:rPr>
          <w:noProof/>
        </w:rPr>
        <w:t>3.</w:t>
      </w:r>
      <w:r>
        <w:rPr>
          <w:noProof/>
        </w:rPr>
        <w:tab/>
        <w:t>Μέχρι τις 31 Δεκεμβρίου 2027 και στη συνέχεια ανά τρία έτη, η Επιτροπή υποβάλλει έκθεση στο Ευρωπαϊκό Κοινοβούλιο και στο Συμβούλιο σχετικά με την εφαρμογή του παρόντος κανονισμού. Η έκθεση περιλαμβάνει επίσης πληροφορίες σχετικά με την παρακολούθηση και την αξιολόγηση που διενεργούνται σύμφωνα με τις παραγράφους 1 και 2, αντίστοιχα.</w:t>
      </w:r>
    </w:p>
    <w:p>
      <w:pPr>
        <w:pStyle w:val="ManualNumPar1"/>
        <w:rPr>
          <w:noProof/>
        </w:rPr>
      </w:pPr>
      <w:r>
        <w:rPr>
          <w:noProof/>
        </w:rPr>
        <w:t>4.</w:t>
      </w:r>
      <w:r>
        <w:rPr>
          <w:noProof/>
        </w:rPr>
        <w:tab/>
        <w:t>Τα κράτη μέλη, κατόπιν αιτήματος της Επιτροπής, παρέχουν τις πληροφορίες που είναι αναγκαίες για την έκθεση της παραγράφου 3.</w:t>
      </w:r>
    </w:p>
    <w:p>
      <w:pPr>
        <w:pStyle w:val="ChapterTitle"/>
        <w:rPr>
          <w:noProof/>
        </w:rPr>
      </w:pPr>
      <w:r>
        <w:rPr>
          <w:noProof/>
        </w:rPr>
        <w:t xml:space="preserve">Κεφάλαιο VI </w:t>
      </w:r>
      <w:r>
        <w:rPr>
          <w:noProof/>
        </w:rPr>
        <w:br/>
        <w:t>Διαδικασίες έκδοσης εκτελεστικών και κατ’ εξουσιοδότηση πράξεων, τροποποιήσεις του κανονισμού (ΕΕ) αριθ. 952/2013 και τελικές διατάξεις</w:t>
      </w:r>
    </w:p>
    <w:p>
      <w:pPr>
        <w:pStyle w:val="Titrearticle"/>
        <w:rPr>
          <w:noProof/>
        </w:rPr>
      </w:pPr>
      <w:r>
        <w:rPr>
          <w:noProof/>
        </w:rPr>
        <w:t>Άρθρο 21</w:t>
      </w:r>
    </w:p>
    <w:p>
      <w:pPr>
        <w:pStyle w:val="NormalCentered"/>
        <w:rPr>
          <w:noProof/>
        </w:rPr>
      </w:pPr>
      <w:r>
        <w:rPr>
          <w:b/>
          <w:noProof/>
        </w:rPr>
        <w:t>Άσκηση της εξουσιοδότησης</w:t>
      </w:r>
    </w:p>
    <w:p>
      <w:pPr>
        <w:pStyle w:val="ManualNumPar1"/>
        <w:rPr>
          <w:noProof/>
        </w:rPr>
      </w:pPr>
      <w:r>
        <w:rPr>
          <w:noProof/>
        </w:rPr>
        <w:t>1.</w:t>
      </w:r>
      <w:r>
        <w:rPr>
          <w:noProof/>
        </w:rPr>
        <w:tab/>
        <w:t>Ανατίθεται στην Επιτροπή η εξουσία να εκδίδει κατ’ εξουσιοδότηση πράξεις υπό τους όρους του παρόντος άρθρου.</w:t>
      </w:r>
    </w:p>
    <w:p>
      <w:pPr>
        <w:pStyle w:val="ManualNumPar1"/>
        <w:rPr>
          <w:noProof/>
        </w:rPr>
      </w:pPr>
      <w:r>
        <w:rPr>
          <w:noProof/>
        </w:rPr>
        <w:t>2.</w:t>
      </w:r>
      <w:r>
        <w:rPr>
          <w:noProof/>
        </w:rPr>
        <w:tab/>
        <w:t>Η εξουσία έκδοσης κατ’ εξουσιοδότηση πράξεων κατά το άρθρο 5 παράγραφος 4, το άρθρο 10 παράγραφος 3 και το άρθρο 13 παράγραφος 4 ανατίθεται στην Επιτροπή για αόριστο χρονικό διάστημα από την ημερομηνία έναρξης ισχύος του παρόντος κανονισμού.</w:t>
      </w:r>
    </w:p>
    <w:p>
      <w:pPr>
        <w:pStyle w:val="ManualNumPar1"/>
        <w:rPr>
          <w:noProof/>
        </w:rPr>
      </w:pPr>
      <w:r>
        <w:rPr>
          <w:noProof/>
        </w:rPr>
        <w:t>3.</w:t>
      </w:r>
      <w:r>
        <w:rPr>
          <w:noProof/>
        </w:rPr>
        <w:tab/>
        <w:t>Η εξουσιοδότηση που προβλέπεται στο άρθρο 5 παράγραφος 4, στο άρθρο 10 παράγραφος 3 και στο άρθρο 13 παράγραφος 4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αυτήν. Δεν θίγει το κύρος των κατ’ εξουσιοδότηση πράξεων που ισχύουν ήδη.</w:t>
      </w:r>
    </w:p>
    <w:p>
      <w:pPr>
        <w:pStyle w:val="ManualNumPar1"/>
        <w:rPr>
          <w:noProof/>
        </w:rPr>
      </w:pPr>
      <w:r>
        <w:rPr>
          <w:noProof/>
        </w:rPr>
        <w:t>4.</w:t>
      </w:r>
      <w:r>
        <w:rPr>
          <w:noProof/>
        </w:rPr>
        <w:tab/>
        <w:t>Πριν από την έκδοση κατ’ εξουσιοδότηση πράξης, η Επιτροπή διεξάγει διαβουλεύσεις με εμπειρογνώμονες που ορίζουν τα κράτη μέλη σύμφωνα με τις αρχές της διοργανικής συμφωνίας της 13ης Απριλίου 2016 για τη βελτίωση του νομοθετικού έργου.</w:t>
      </w:r>
    </w:p>
    <w:p>
      <w:pPr>
        <w:pStyle w:val="ManualNumPar1"/>
        <w:rPr>
          <w:noProof/>
        </w:rPr>
      </w:pPr>
      <w:r>
        <w:rPr>
          <w:noProof/>
        </w:rPr>
        <w:t>5.</w:t>
      </w:r>
      <w:r>
        <w:rPr>
          <w:noProof/>
        </w:rPr>
        <w:tab/>
        <w:t>Μόλις εκδώσει κατ’ εξουσιοδότηση πράξη, η Επιτροπή την κοινοποιεί ταυτόχρονα στο Ευρωπαϊκό Κοινοβούλιο και το Συμβούλιο.</w:t>
      </w:r>
    </w:p>
    <w:p>
      <w:pPr>
        <w:pStyle w:val="ManualNumPar1"/>
        <w:rPr>
          <w:noProof/>
        </w:rPr>
      </w:pPr>
      <w:r>
        <w:rPr>
          <w:noProof/>
        </w:rPr>
        <w:lastRenderedPageBreak/>
        <w:t>6.</w:t>
      </w:r>
      <w:r>
        <w:rPr>
          <w:noProof/>
        </w:rPr>
        <w:tab/>
        <w:t>Η κατ’ εξουσιοδότηση πράξη που εκδίδεται δυνάμει του άρθρου 5 παράγραφος 4, του άρθρου 10 παράγραφος 3 και του άρθρου 13 παράγραφος 4 αρχίζει να ισχύει μόνο αν δεν διατυπωθεί αντίρρηση από το Ευρωπαϊκό Κοινοβούλιο ή το Συμβούλιο εντός δύο μηνών από την ημέρα κοινοποίησης της πράξης στο Ευρωπαϊκό Κοινοβούλιο και στο Συμβούλιο ή αν, πριν λήξει αυτή η προθεσμία, το Ευρωπαϊκό Κοινοβούλιο και το Συμβούλιο ενημερώσουν αμφότερα την Επιτροπή ότι δεν θα προβάλουν αντιρρήσεις. Η περίοδος αυτή παρατείνεται κατά δύο μήνες κατόπιν πρωτοβουλίας του Ευρωπαϊκού Κοινοβουλίου ή του Συμβουλίου.</w:t>
      </w:r>
    </w:p>
    <w:p>
      <w:pPr>
        <w:pStyle w:val="Titrearticle"/>
        <w:rPr>
          <w:noProof/>
        </w:rPr>
      </w:pPr>
      <w:r>
        <w:rPr>
          <w:noProof/>
        </w:rPr>
        <w:t>Άρθρο 22</w:t>
      </w:r>
    </w:p>
    <w:p>
      <w:pPr>
        <w:pStyle w:val="NormalCentered"/>
        <w:rPr>
          <w:noProof/>
        </w:rPr>
      </w:pPr>
      <w:r>
        <w:rPr>
          <w:b/>
          <w:noProof/>
        </w:rPr>
        <w:t>Διαδικασία επιτροπής</w:t>
      </w:r>
    </w:p>
    <w:p>
      <w:pPr>
        <w:pStyle w:val="ManualNumPar1"/>
        <w:rPr>
          <w:noProof/>
        </w:rPr>
      </w:pPr>
      <w:r>
        <w:rPr>
          <w:noProof/>
        </w:rPr>
        <w:t>1.</w:t>
      </w:r>
      <w:r>
        <w:rPr>
          <w:noProof/>
        </w:rPr>
        <w:tab/>
        <w:t>Η Επιτροπή επικουρείται από την επιτροπή τελωνειακού κώδικα που έχει συσταθεί κατ’ εφαρμογή του κανονισμού (ΕΕ) αριθ. 952/2013. Η εν λόγω επιτροπή είναι επιτροπή κατά την έννοια του κανονισμού (ΕΕ) αριθ. 182/2011.</w:t>
      </w:r>
    </w:p>
    <w:p>
      <w:pPr>
        <w:pStyle w:val="ManualNumPar1"/>
        <w:rPr>
          <w:noProof/>
        </w:rPr>
      </w:pPr>
      <w:r>
        <w:rPr>
          <w:noProof/>
        </w:rPr>
        <w:t>2.</w:t>
      </w:r>
      <w:r>
        <w:rPr>
          <w:noProof/>
        </w:rPr>
        <w:tab/>
        <w:t>Όταν γίνεται παραπομπή στην παρούσα παράγραφο, εφαρμόζεται το άρθρο 4 του κανονισμού (ΕΕ) αριθ. 182/2011.</w:t>
      </w:r>
    </w:p>
    <w:p>
      <w:pPr>
        <w:pStyle w:val="ManualNumPar1"/>
        <w:rPr>
          <w:noProof/>
        </w:rPr>
      </w:pPr>
      <w:r>
        <w:rPr>
          <w:noProof/>
        </w:rPr>
        <w:t>3.</w:t>
      </w:r>
      <w:r>
        <w:rPr>
          <w:noProof/>
        </w:rPr>
        <w:tab/>
        <w:t>Όταν γίνεται παραπομπή στην παρούσα παράγραφο, εφαρμόζεται το άρθρο 5 του κανονισμού (ΕΕ) αριθ. 182/2011.</w:t>
      </w:r>
    </w:p>
    <w:p>
      <w:pPr>
        <w:pStyle w:val="Titrearticle"/>
        <w:rPr>
          <w:noProof/>
        </w:rPr>
      </w:pPr>
      <w:r>
        <w:rPr>
          <w:noProof/>
        </w:rPr>
        <w:t>Άρθρο 23</w:t>
      </w:r>
    </w:p>
    <w:p>
      <w:pPr>
        <w:pStyle w:val="NormalCentered"/>
        <w:rPr>
          <w:noProof/>
        </w:rPr>
      </w:pPr>
      <w:r>
        <w:rPr>
          <w:b/>
          <w:noProof/>
        </w:rPr>
        <w:t>Τροποποιήσεις του κανονισμού (ΕΕ) αριθ. 952/2013</w:t>
      </w:r>
    </w:p>
    <w:p>
      <w:pPr>
        <w:rPr>
          <w:noProof/>
        </w:rPr>
      </w:pPr>
      <w:r>
        <w:rPr>
          <w:noProof/>
        </w:rPr>
        <w:t>Ο κανονισμός (ΕΕ) αριθ. 952/2013 τροποποιείται ως εξής:</w:t>
      </w:r>
    </w:p>
    <w:p>
      <w:pPr>
        <w:rPr>
          <w:noProof/>
        </w:rPr>
      </w:pPr>
      <w:r>
        <w:rPr>
          <w:noProof/>
        </w:rPr>
        <w:t>1) στο άρθρο 5 παράγραφος 2 προστίθεται το ακόλουθο στοιχείο:</w:t>
      </w:r>
    </w:p>
    <w:p>
      <w:pPr>
        <w:rPr>
          <w:noProof/>
        </w:rPr>
      </w:pPr>
      <w:r>
        <w:rPr>
          <w:noProof/>
        </w:rPr>
        <w:t>«ε) τον κανονισμό (ΕΕ) [...] του Ευρωπαϊκού Κοινοβουλίου και του Συμβουλίου* και τις διατάξεις για τη συμπλήρωση ή την εφαρμογή του·»·</w:t>
      </w:r>
    </w:p>
    <w:p>
      <w:pPr>
        <w:rPr>
          <w:noProof/>
        </w:rPr>
      </w:pPr>
      <w:r>
        <w:rPr>
          <w:noProof/>
        </w:rPr>
        <w:t>*Κανονισμός (ΕΕ) [...] του Ευρωπαϊκού Κοινοβουλίου και του Συμβουλίου, της [ημερομηνία], για τη θέσπιση του περιβάλλοντος ενιαίας θυρίδας της Ευρωπαϊκής Ένωσης για τα τελωνεία και για την τροποποίηση του κανονισμού (ΕΕ) αριθ. 952/2013 (ΕΕ L […] της ΗΗ/MM/ΕΕΕΕ, σ. XX).</w:t>
      </w:r>
    </w:p>
    <w:p>
      <w:pPr>
        <w:rPr>
          <w:noProof/>
        </w:rPr>
      </w:pPr>
      <w:r>
        <w:rPr>
          <w:noProof/>
        </w:rPr>
        <w:t>2) στο άρθρο 163 παράγραφος 1 προστίθεται το ακόλουθο εδάφιο:</w:t>
      </w:r>
    </w:p>
    <w:p>
      <w:pPr>
        <w:rPr>
          <w:noProof/>
        </w:rPr>
      </w:pPr>
      <w:r>
        <w:rPr>
          <w:noProof/>
        </w:rPr>
        <w:t>«Τα συνοδευτικά έγγραφα για τις εφαρμοστέες ενωσιακές μη τελωνειακές διατυπώσεις που παρατίθενται στο παράρτημα του κανονισμού (ΕΕ) […] θεωρείται ότι βρίσκονται στην κατοχή του διασαφιστή και στη διάθεση των τελωνειακών αρχών τη στιγμή της υποβολής της τελωνειακής διασάφησης, υπό την προϋπόθεση ότι οι εν λόγω αρχές είναι σε θέση να αποκτούν τα αναγκαία δεδομένα από τα αντίστοιχα ενωσιακά μη τελωνειακά συστήματα μέσω του συστήματος ενιαίας τελωνειακής θυρίδας της Ευρωπαϊκής Ένωσης για την ανταλλαγή πιστοποιητικών σύμφωνα με το άρθρο 10 παράγραφος 1 στοιχεία α) και γ) του εν λόγω κανονισμού.».</w:t>
      </w:r>
    </w:p>
    <w:p>
      <w:pPr>
        <w:pStyle w:val="Titrearticle"/>
        <w:rPr>
          <w:noProof/>
        </w:rPr>
      </w:pPr>
      <w:r>
        <w:rPr>
          <w:noProof/>
        </w:rPr>
        <w:t>Άρθρο 24</w:t>
      </w:r>
    </w:p>
    <w:p>
      <w:pPr>
        <w:pStyle w:val="NormalCentered"/>
        <w:rPr>
          <w:noProof/>
        </w:rPr>
      </w:pPr>
      <w:r>
        <w:rPr>
          <w:b/>
          <w:noProof/>
        </w:rPr>
        <w:t>Έναρξη ισχύος και εφαρμογή</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p>
    <w:p>
      <w:pPr>
        <w:rPr>
          <w:noProof/>
        </w:rPr>
      </w:pPr>
      <w:r>
        <w:rPr>
          <w:noProof/>
        </w:rPr>
        <w:lastRenderedPageBreak/>
        <w:t>Το άρθρο 5 παράγραφοι 2 και 3, το άρθρο 8 παράγραφος 3 στοιχεία α) και β), και το άρθρο 10 εφαρμόζονται σε όλες τις ενωσιακές μη τελωνειακές διατυπώσεις που παρατίθενται στο παράρτημα από τις ημερομηνίες που ορίζονται σε αυτό.</w:t>
      </w:r>
    </w:p>
    <w:p>
      <w:pPr>
        <w:rPr>
          <w:noProof/>
        </w:rPr>
      </w:pPr>
      <w:r>
        <w:rPr>
          <w:noProof/>
        </w:rPr>
        <w:t>Το άρθρο 8 παράγραφος 3 στοιχείο γ), το άρθρο 11, το άρθρο 13 παράγραφοι 1, 2 και 3, το άρθρο 14 και το άρθρο 15 παράγραφοι 1 και 2 εφαρμόζονται από την 1η Ιανουαρίου 2031.</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keepNext/>
        <w:rPr>
          <w:noProof/>
        </w:rPr>
      </w:pPr>
      <w:r>
        <w:rPr>
          <w:noProof/>
        </w:rPr>
        <w:t>Ο Πρόεδρος</w:t>
      </w:r>
      <w:r>
        <w:rPr>
          <w:noProof/>
        </w:rPr>
        <w:tab/>
        <w:t>Ο Πρόεδρος</w:t>
      </w:r>
    </w:p>
    <w:p>
      <w:pPr>
        <w:pStyle w:val="Personnequisigne"/>
        <w:rPr>
          <w:noProof/>
        </w:rPr>
      </w:pPr>
      <w:r>
        <w:rPr>
          <w:noProof/>
        </w:rPr>
        <w:t>[...]</w:t>
      </w:r>
      <w:r>
        <w:rPr>
          <w:noProof/>
        </w:rPr>
        <w:tab/>
        <w:t>[...]</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Προβλεπόμενοι τρόποι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i/>
          <w:noProof/>
        </w:rPr>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ΚΑΝΟΝΙΣΜΟΣ ΤΟΥ ΕΥΡΩΠΑΪΚΟΥ ΚΟΙΝΟΒΟΥΛΙΟΥ ΚΑΙ ΤΟΥ ΣΥΜΒΟΥΛΙΟΥ για τη θέσπιση του περιβάλλοντος ενιαίας θυρίδας της Ευρωπαϊκής Ένωσης για τα τελωνεία και για την τροποποίηση του κανονισμού (ΕΕ) αριθ. 952/2013</w:t>
      </w:r>
    </w:p>
    <w:p>
      <w:pPr>
        <w:pStyle w:val="Tiret1"/>
        <w:numPr>
          <w:ilvl w:val="0"/>
          <w:numId w:val="21"/>
        </w:numPr>
        <w:pBdr>
          <w:top w:val="single" w:sz="4" w:space="1" w:color="auto"/>
          <w:left w:val="single" w:sz="4" w:space="4" w:color="auto"/>
          <w:bottom w:val="single" w:sz="4" w:space="1" w:color="auto"/>
          <w:right w:val="single" w:sz="4" w:space="4" w:color="auto"/>
        </w:pBdr>
        <w:rPr>
          <w:noProof/>
        </w:rPr>
      </w:pPr>
      <w:r>
        <w:rPr>
          <w:noProof/>
        </w:rPr>
        <w:t>PLAN/2017/1149 - TAXUD</w:t>
      </w:r>
    </w:p>
    <w:p>
      <w:pPr>
        <w:pStyle w:val="ManualHeading2"/>
        <w:rPr>
          <w:noProof/>
          <w:szCs w:val="24"/>
        </w:rPr>
      </w:pPr>
      <w:r>
        <w:t>1.2.</w:t>
      </w:r>
      <w:r>
        <w:tab/>
      </w:r>
      <w:r>
        <w:rPr>
          <w:noProof/>
        </w:rPr>
        <w:t>Σχετικοί τομείς πολιτικής στη δομή ΔΒΔ/ΠΒΔ</w:t>
      </w:r>
      <w:r>
        <w:rPr>
          <w:rStyle w:val="FootnoteReference"/>
          <w:noProof/>
        </w:rPr>
        <w:footnoteReference w:id="4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Τελωνειακή Ένωση</w:t>
      </w:r>
    </w:p>
    <w:p>
      <w:pPr>
        <w:pStyle w:val="Text1"/>
        <w:pBdr>
          <w:top w:val="single" w:sz="4" w:space="1" w:color="auto"/>
          <w:left w:val="single" w:sz="4" w:space="4" w:color="auto"/>
          <w:bottom w:val="single" w:sz="4" w:space="1" w:color="auto"/>
          <w:right w:val="single" w:sz="4" w:space="4" w:color="auto"/>
        </w:pBdr>
        <w:rPr>
          <w:noProof/>
        </w:rPr>
      </w:pPr>
      <w:r>
        <w:rPr>
          <w:noProof/>
        </w:rPr>
        <w:t>- Στρατηγική ηλεκτρονικής διακυβέρνησης και ψηφιοποίηση</w:t>
      </w:r>
    </w:p>
    <w:p>
      <w:pPr>
        <w:pStyle w:val="ManualHeading2"/>
        <w:rPr>
          <w:bCs/>
          <w:noProof/>
          <w:szCs w:val="24"/>
        </w:rPr>
      </w:pPr>
      <w:r>
        <w:t>1.3.</w:t>
      </w:r>
      <w:r>
        <w:tab/>
      </w:r>
      <w:r>
        <w:rPr>
          <w:noProof/>
        </w:rPr>
        <w:t xml:space="preserve">Χαρακτήρας της πρότασης/πρωτοβουλίας </w:t>
      </w:r>
    </w:p>
    <w:p>
      <w:pPr>
        <w:pStyle w:val="Text1"/>
        <w:rPr>
          <w:b/>
          <w:noProof/>
          <w:sz w:val="22"/>
        </w:rPr>
      </w:pPr>
      <w:r>
        <w:rPr>
          <w:noProof/>
          <w:sz w:val="22"/>
        </w:rPr>
        <w:sym w:font="Wingdings" w:char="F0FD"/>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noProof/>
        </w:rPr>
        <w:t xml:space="preserve">Η πρόταση/πρωτοβουλία αφορά </w:t>
      </w:r>
      <w:r>
        <w:rPr>
          <w:b/>
          <w:noProof/>
        </w:rPr>
        <w:t>νέα δράση έπειτα από δοκιμαστικό σχέδιο / προπαρασκευαστική ενέργεια</w:t>
      </w:r>
      <w:r>
        <w:rPr>
          <w:rStyle w:val="FootnoteReference"/>
          <w:noProof/>
        </w:rPr>
        <w:footnoteReference w:id="45"/>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αναπροσανατολισμένη προς νέα δράση</w:t>
      </w:r>
      <w:r>
        <w:rPr>
          <w:noProof/>
        </w:rPr>
        <w:t xml:space="preserve"> </w:t>
      </w:r>
    </w:p>
    <w:p>
      <w:pPr>
        <w:pStyle w:val="ManualHeading2"/>
        <w:rPr>
          <w:bCs/>
          <w:noProof/>
          <w:szCs w:val="24"/>
        </w:rPr>
      </w:pPr>
      <w:r>
        <w:t>1.4.</w:t>
      </w:r>
      <w:r>
        <w:tab/>
      </w:r>
      <w:r>
        <w:rPr>
          <w:noProof/>
        </w:rPr>
        <w:t>Στόχοι</w:t>
      </w:r>
    </w:p>
    <w:p>
      <w:pPr>
        <w:pStyle w:val="ManualHeading3"/>
        <w:rPr>
          <w:noProof/>
        </w:rPr>
      </w:pPr>
      <w:r>
        <w:t>1.4.1.</w:t>
      </w:r>
      <w:r>
        <w:tab/>
      </w:r>
      <w:r>
        <w:rPr>
          <w:noProof/>
        </w:rPr>
        <w:t xml:space="preserve">Οι πολυετείς στρατηγικοί στόχοι της Επιτροπής τους οποίους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Ανακοίνωση του 2016 της Επιτροπής για την ανάπτυξη της τελωνειακής ένωσης της ΕΕ και της διακυβέρνησής της (COM(2016) 813 final)</w:t>
      </w:r>
      <w:r>
        <w:rPr>
          <w:rStyle w:val="FootnoteReference"/>
          <w:noProof/>
        </w:rPr>
        <w:footnoteReference w:id="46"/>
      </w:r>
    </w:p>
    <w:p>
      <w:pPr>
        <w:pStyle w:val="Text1"/>
        <w:pBdr>
          <w:top w:val="single" w:sz="4" w:space="1" w:color="auto"/>
          <w:left w:val="single" w:sz="4" w:space="4" w:color="auto"/>
          <w:bottom w:val="single" w:sz="4" w:space="1" w:color="auto"/>
          <w:right w:val="single" w:sz="4" w:space="4" w:color="auto"/>
        </w:pBdr>
        <w:rPr>
          <w:noProof/>
        </w:rPr>
      </w:pPr>
      <w:r>
        <w:rPr>
          <w:noProof/>
        </w:rPr>
        <w:t>ΓΔ TAXUD Στρατηγικό σχέδιο 2016-2020</w:t>
      </w:r>
      <w:r>
        <w:rPr>
          <w:rStyle w:val="FootnoteReference"/>
          <w:noProof/>
        </w:rPr>
        <w:footnoteReference w:id="47"/>
      </w:r>
    </w:p>
    <w:p>
      <w:pPr>
        <w:pStyle w:val="Text1"/>
        <w:pBdr>
          <w:top w:val="single" w:sz="4" w:space="1" w:color="auto"/>
          <w:left w:val="single" w:sz="4" w:space="4" w:color="auto"/>
          <w:bottom w:val="single" w:sz="4" w:space="1" w:color="auto"/>
          <w:right w:val="single" w:sz="4" w:space="4" w:color="auto"/>
        </w:pBdr>
        <w:rPr>
          <w:noProof/>
          <w:szCs w:val="24"/>
        </w:rPr>
      </w:pPr>
      <w:r>
        <w:rPr>
          <w:rStyle w:val="truncate"/>
          <w:noProof/>
          <w:szCs w:val="24"/>
        </w:rPr>
        <w:t>Ανακοίνωση της Επιτροπής προς το Ευρωπαϊκό Κοινοβούλιο, το Συμβούλιο και την Ευρωπαϊκή Οικονομική και Κοινωνική Επιτροπή σχετικά με το σχέδιο δράσης για τη μετάβαση της τελωνειακής ένωσης στο επόμενο στάδιο — θεματολόγιο δράσεων για μια ισχυρή και σύγχρονη τελωνειακή ένωση (Action Plan Taking the Customs Union to the Next Level – an Agenda for Action for a strong and modern Customs Union)</w:t>
      </w:r>
      <w:r>
        <w:rPr>
          <w:noProof/>
        </w:rPr>
        <w:t xml:space="preserve"> (PLAN/2020/6296).</w:t>
      </w:r>
    </w:p>
    <w:p>
      <w:pPr>
        <w:pStyle w:val="Text1"/>
        <w:pBdr>
          <w:top w:val="single" w:sz="4" w:space="1" w:color="auto"/>
          <w:left w:val="single" w:sz="4" w:space="4" w:color="auto"/>
          <w:bottom w:val="single" w:sz="4" w:space="1" w:color="auto"/>
          <w:right w:val="single" w:sz="4" w:space="4" w:color="auto"/>
        </w:pBdr>
        <w:rPr>
          <w:noProof/>
        </w:rPr>
      </w:pPr>
      <w:r>
        <w:rPr>
          <w:noProof/>
        </w:rPr>
        <w:t>Δήλωση του Ταλίν για την ηλεκτρονική διακυβέρνηση (Εσθονική Προεδρία του Συμβουλίου της ΕΕ, 6 Οκτωβρίου 2017)</w:t>
      </w:r>
      <w:r>
        <w:rPr>
          <w:rStyle w:val="FootnoteReference"/>
          <w:noProof/>
        </w:rPr>
        <w:footnoteReference w:id="48"/>
      </w:r>
      <w:r>
        <w:rPr>
          <w:noProof/>
        </w:rPr>
        <w:t>.</w:t>
      </w:r>
    </w:p>
    <w:p>
      <w:pPr>
        <w:pStyle w:val="ManualHeading3"/>
        <w:rPr>
          <w:noProof/>
        </w:rPr>
      </w:pPr>
      <w:r>
        <w:t>1.4.2.</w:t>
      </w:r>
      <w:r>
        <w:tab/>
      </w:r>
      <w:r>
        <w:rPr>
          <w:noProof/>
        </w:rPr>
        <w:t xml:space="preserve">Ειδικοί στόχοι και σχετικές δραστηριότητες ΔΒΔ/ΠΒΔ </w:t>
      </w:r>
    </w:p>
    <w:p>
      <w:pPr>
        <w:pStyle w:val="Text1"/>
        <w:pBdr>
          <w:top w:val="single" w:sz="4" w:space="1" w:color="auto"/>
          <w:left w:val="single" w:sz="4" w:space="4" w:color="auto"/>
          <w:bottom w:val="single" w:sz="4" w:space="1" w:color="auto"/>
          <w:right w:val="single" w:sz="4" w:space="4" w:color="auto"/>
        </w:pBdr>
        <w:rPr>
          <w:noProof/>
        </w:rPr>
      </w:pPr>
      <w:r>
        <w:rPr>
          <w:noProof/>
          <w:u w:val="single"/>
        </w:rPr>
        <w:t>Ειδικοί στόχοι</w:t>
      </w:r>
    </w:p>
    <w:p>
      <w:pPr>
        <w:pStyle w:val="Point1"/>
        <w:pBdr>
          <w:top w:val="single" w:sz="4" w:space="1" w:color="auto"/>
          <w:left w:val="single" w:sz="4" w:space="4" w:color="auto"/>
          <w:bottom w:val="single" w:sz="4" w:space="1" w:color="auto"/>
          <w:right w:val="single" w:sz="4" w:space="4" w:color="auto"/>
        </w:pBdr>
        <w:rPr>
          <w:noProof/>
        </w:rPr>
      </w:pPr>
      <w:r>
        <w:rPr>
          <w:noProof/>
        </w:rPr>
        <w:t>1.</w:t>
      </w:r>
      <w:r>
        <w:rPr>
          <w:noProof/>
        </w:rPr>
        <w:tab/>
        <w:t>Ενισχυμένη συνεργασία μεταξύ τελωνείων και αρμόδιων αρχών που είναι επιφορτισμένες με την εφαρμογή των μη τελωνειακών κανονιστικών διατυπώσεων που απαιτούνται για το διεθνές εμπόριο (στο εξής: αρμόδιες αρχές-εταίροι) ώστε να επεκταθεί και να βελτιωθεί η δοκιμαστική λύση ΤΠ που ανέπτυξε η ΓΔ TAXUD</w:t>
      </w:r>
      <w:r>
        <w:rPr>
          <w:rStyle w:val="FootnoteReference"/>
          <w:noProof/>
        </w:rPr>
        <w:footnoteReference w:id="49"/>
      </w:r>
      <w:r>
        <w:rPr>
          <w:noProof/>
        </w:rPr>
        <w:t>. Η λύση αυτή θα συνδέει κατά ενιαίο τρόπο τα εθνικά τελωνειακά συστήματα με τα συστήματα της ΕΕ που διαχειρίζονται μη τελωνειακές κανονιστικές διατυπώσεις, ώστε να είναι εφικτή η συστηματική και αυτοματοποιημένη ανταλλαγή πληροφοριών μεταξύ των δύο τομέων.</w:t>
      </w:r>
    </w:p>
    <w:p>
      <w:pPr>
        <w:pStyle w:val="Point1"/>
        <w:pBdr>
          <w:top w:val="single" w:sz="4" w:space="1" w:color="auto"/>
          <w:left w:val="single" w:sz="4" w:space="4" w:color="auto"/>
          <w:bottom w:val="single" w:sz="4" w:space="1" w:color="auto"/>
          <w:right w:val="single" w:sz="4" w:space="4" w:color="auto"/>
        </w:pBdr>
        <w:rPr>
          <w:noProof/>
        </w:rPr>
      </w:pPr>
      <w:r>
        <w:rPr>
          <w:noProof/>
        </w:rPr>
        <w:t>2.</w:t>
      </w:r>
      <w:r>
        <w:rPr>
          <w:noProof/>
        </w:rPr>
        <w:tab/>
        <w:t>Βελτιωμένη επιβολή των διασυνοριακών κανονιστικών διατυπώσεων. Οι ανταλλαγές πληροφοριών μεταξύ τελωνειακών και μη τελωνειακών συστημάτων θα καθιστούν δυνατούς τους αυτοματοποιημένους τελωνειακούς ελέγχους των συνοδευτικών εγγράφων, την ηλεκτρονική ανατροφοδότηση σχετικά με τον τελωνισμό στις αρμόδιες αρχές-εταίρους και την καλύτερη ολοκλήρωση των εφαρμοστέων τελωνειακών και μη τελωνειακών διαδικασιών.</w:t>
      </w:r>
    </w:p>
    <w:p>
      <w:pPr>
        <w:pStyle w:val="Point1"/>
        <w:pBdr>
          <w:top w:val="single" w:sz="4" w:space="1" w:color="auto"/>
          <w:left w:val="single" w:sz="4" w:space="4" w:color="auto"/>
          <w:bottom w:val="single" w:sz="4" w:space="1" w:color="auto"/>
          <w:right w:val="single" w:sz="4" w:space="4" w:color="auto"/>
        </w:pBdr>
        <w:rPr>
          <w:noProof/>
          <w:u w:val="single"/>
        </w:rPr>
      </w:pPr>
      <w:r>
        <w:rPr>
          <w:noProof/>
        </w:rPr>
        <w:t>3.</w:t>
      </w:r>
      <w:r>
        <w:rPr>
          <w:noProof/>
        </w:rPr>
        <w:tab/>
        <w:t>Απλουστευμένες διαδικασίες τελωνισμού των εμπορευμάτων για τους οικονομικούς φορείς μέσα από τον καθορισμό ενός πλαισίου για την εναρμόνιση των δεδομένων και τη δυνατότητα επαναχρησιμοποίησης των δεδομένων που παρέχουν οι οικονομικοί φορείς.</w:t>
      </w:r>
    </w:p>
    <w:p>
      <w:pPr>
        <w:pStyle w:val="Point1"/>
        <w:pBdr>
          <w:top w:val="single" w:sz="4" w:space="1" w:color="auto"/>
          <w:left w:val="single" w:sz="4" w:space="4" w:color="auto"/>
          <w:bottom w:val="single" w:sz="4" w:space="1" w:color="auto"/>
          <w:right w:val="single" w:sz="4" w:space="4" w:color="auto"/>
        </w:pBdr>
        <w:rPr>
          <w:noProof/>
        </w:rPr>
      </w:pPr>
      <w:r>
        <w:rPr>
          <w:noProof/>
        </w:rPr>
        <w:t>4.</w:t>
      </w:r>
      <w:r>
        <w:rPr>
          <w:noProof/>
        </w:rPr>
        <w:tab/>
        <w:t>Διαχείριση ποσοτήτων σε μη τελωνειακές διατυπώσεις σε ολόκληρη την ΕΕ.</w:t>
      </w:r>
    </w:p>
    <w:p>
      <w:pPr>
        <w:pStyle w:val="Text1"/>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Σχετικές δραστηριότητες ΔΒΔ/ΠΒΔ</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θα εξασφαλίσει τη θέσπιση μηχανισμών για την παρακολούθηση και την αξιολόγηση της λειτουργίας του περιβάλλοντος ενιαίας θυρίδας της ΕΕ για τα τελωνεία έναντι των κύριων στόχων πολιτικής. Οι προτεραιότητες πολιτικής και οι αντίστοιχοι πόροι περιγράφονται στα τμήματα 1.5.1 και 3 του παρόντος εγγράφου.</w:t>
      </w:r>
    </w:p>
    <w:p>
      <w:pPr>
        <w:pStyle w:val="ManualHeading3"/>
        <w:rPr>
          <w:bCs/>
          <w:noProof/>
          <w:szCs w:val="24"/>
        </w:rPr>
      </w:pPr>
      <w:r>
        <w:t>1.4.3.</w:t>
      </w:r>
      <w:r>
        <w:tab/>
      </w:r>
      <w:r>
        <w:rPr>
          <w:noProof/>
        </w:rPr>
        <w:t>Αναμενόμενα αποτελέσματα και επιπτώσεις</w:t>
      </w:r>
    </w:p>
    <w:p>
      <w:pPr>
        <w:pStyle w:val="Text1"/>
        <w:rPr>
          <w:i/>
          <w:noProof/>
          <w:sz w:val="20"/>
        </w:rPr>
      </w:pPr>
      <w:r>
        <w:rPr>
          <w:i/>
          <w:noProof/>
          <w:sz w:val="20"/>
        </w:rPr>
        <w:t>Να προσδιοριστούν τα αποτελέσματα που αναμένεται να έχει η πρόταση/πρωτοβουλία όσον αφορά τους/τις στοχευόμενους/-ες δικαιούχους/ομάδες.</w:t>
      </w:r>
      <w:bookmarkStart w:id="1" w:name="_Toc24457138"/>
      <w:bookmarkStart w:id="2" w:name="_Toc24457190"/>
      <w:bookmarkEnd w:id="1"/>
      <w:bookmarkEnd w:id="2"/>
    </w:p>
    <w:p>
      <w:pPr>
        <w:pStyle w:val="Text1"/>
        <w:pBdr>
          <w:top w:val="single" w:sz="4" w:space="1" w:color="auto"/>
          <w:left w:val="single" w:sz="4" w:space="4" w:color="auto"/>
          <w:bottom w:val="single" w:sz="4" w:space="1" w:color="auto"/>
          <w:right w:val="single" w:sz="4" w:space="4" w:color="auto"/>
        </w:pBdr>
        <w:rPr>
          <w:noProof/>
          <w:u w:val="single"/>
        </w:rPr>
      </w:pPr>
      <w:r>
        <w:rPr>
          <w:noProof/>
          <w:szCs w:val="24"/>
          <w:u w:val="single"/>
        </w:rPr>
        <w:t>Τελωνειακές αρχές των κρατών μελών:</w:t>
      </w:r>
      <w:r>
        <w:rPr>
          <w:noProof/>
        </w:rPr>
        <w:t xml:space="preserve"> η πρωτοβουλία θα επιφέρει εξοικονόμηση χρόνου στη διαδικασία τελωνισμού, καθώς τα συνοδευτικά έγγραφα τα οποία σχετίζονται με μη τελωνειακές κανονιστικές διατυπώσεις που εμπίπτουν στο πεδίο εφαρμογής θα παρέχονται μέσω της ενιαίας θυρίδας EU CSW-CERTEX στα συστήματα ΤΠ των τελωνείων από το αντίστοιχο σύστημα της ΕΕ. Με τον τρόπο αυτό, θα προβλεφθούν δυνατότητες αυτοματοποιημένης επαλήθευσης και θα περιοριστεί η εξάρτηση από φυσικούς τελωνειακούς ελέγχους εγγράφων, με αποτέλεσμα την εξοικονόμηση ανθρώπινων πόρων και, τελικώς, την αύξηση των ικανοτήτων ελέγχου των τελωνειακών διοικήσεων. Ιδιαίτερα αισθητή αναμένεται να είναι η αλλαγή όσον αφορά τις κανονιστικές διατυπώσεις στις περιπτώσεις που οι ποσότητες των εγκεκριμένων εμπορευμάτων μπορούν να κατανεμηθούν σε περισσότερες τελωνειακές διασαφήσεις μέσω της καθιέρωσης μιας λειτουργίας για την αυτοματοποιημένη διαχείριση ποσοτήτων σε επίπεδο ΕΕ. Η λειτουργία αυτή θα καθιστά δυνατή την αυτοματοποιημένη επαλήθευση των «διαγραφών» σε ολόκληρη την Ένωση, με αποτέλεσμα να αποτρέπεται ο τελωνισμός μεγαλύτερης ποσότητας εμπορευμάτων από την εγκεκριμένη. Επιπροσθέτως, η πρόταση θα διασφαλίζει την απλούστευση και την εναρμόνιση των δεδομένων μεταξύ τελωνειακών και μη τελωνειακών διατυπώσεων και την καλύτερη ευθυγράμμιση των διαδικασιών. Αναμένεται επίσης να βελτιωθεί η διαχείριση των κινδύνων, ως αποτέλεσμα της αυξημένης ποσότητας ηλεκτρονικών δεδομένων που αποκτώνται από τους οικονομικούς φορείς στο πλαίσιο της τελωνειακής διασάφησης, και να καταστεί ευκολότερη η ανταλλαγή δεδομένων μεταξύ των αρχών.</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Αρμόδιες αρχές-εταίροι:</w:t>
      </w:r>
      <w:r>
        <w:rPr>
          <w:noProof/>
        </w:rPr>
        <w:t xml:space="preserve"> η πρωτοβουλία θα ενισχύσει την τήρηση και την επιβολή των μη τελωνειακών κανονιστικών διατυπώσεων που εμπίπτουν στο πεδίο εφαρμογής. Ειδικότερα, η αυτοματοποιημένη διαχείριση ποσοτήτων σε επίπεδο ΕΕ αποτελεί ένα εργαλείο ελέγχου για την αποτροπή της δόλιας χρήσης συνοδευτικών εγγράφων με σκοπό την υπέρβαση των εγκεκριμένων ποσοτήτων. Επιπροσθέτως, η αυτοματοποιημένη ανταλλαγή πληροφοριών μεταξύ των αρχών θα εξαλείψει τον κίνδυνο τελωνισμού εμπορευμάτων βάσει παραποιημένων συνοδευτικών εγγράφων. Επιπλέον, η τυποποίηση της ανταλλαγής πληροφοριών μεταξύ των συστημάτων των αρμόδιων αρχών-εταίρων της ΕΕ και των εθνικών τελωνειακών συστημάτων αποτελεί ευκαιρία για εναρμόνιση της εφαρμογής της μη τελωνειακής νομοθεσίας από τις εθνικές τελωνειακές διοικήσεις σε ολόκληρη την ΕΕ.</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u w:val="single"/>
        </w:rPr>
        <w:t>Οικονομικοί φορείς:</w:t>
      </w:r>
      <w:r>
        <w:rPr>
          <w:noProof/>
        </w:rPr>
        <w:t xml:space="preserve"> η διακυβερνητική (G2G) ανταλλαγή πληροφοριών μεταξύ τελωνείων και αρμόδιων αρχών-εταίρων αναμένεται να αποφέρει μείζονα οφέλη και εξοικονόμηση χρόνου στον τελωνισμό των εμπορευμάτων. Ειδικότερα, οι οικονομικοί φορείς θα επωφεληθούν από την άμεση αυτοματοποιημένη ανταλλαγή μεταξύ αρχών οι οποίες δεν θα υποχρεούνται σε φυσική υποβολή εγγράφων για τις ανάγκες του τελωνισμού. Επιπλέον, οι τελωνειακές αρχές, στην πλειοψηφία των περιπτώσεων, θα είναι σε θέση να επαληθεύουν τα συνοδευτικά έγγραφα με αυτοματοποιημένο τρόπο, με αποτέλεσμα να περιορίζεται ο χρόνος και οι πόροι που χρειάζεται να διαθέτουν οι οικονομικοί φορείς για να παρίστανται σε ελέγχους εγγράφων. Δεδομένου ότι η υπηρεσία αυτοματοποιημένης επαλήθευσης των συνοδευτικών εγγράφων είναι διαθέσιμη επί εικοσιτετραώρου βάσεως, ο τελωνισμός των τυπικών υποθέσεων μπορεί να πραγματοποιείται ακόμη και εκτός εργάσιμου ωραρίου. Επιπροσθέτως, το ενιαίο σημείο εισόδου [σκέλος της πρότασης που αφορά τη συνεργασία μεταξύ επιχειρήσεων και δημόσιων αρχών (B2G)] θα απλουστεύσει την εκπλήρωση των κανονιστικών διατυπώσεων και θα αντιμετωπίσει σημαντικά προβλήματα, όπως η απαίτηση υποβολής παρόμοιων πληροφοριών σε περισσότερες αρχές για τις ίδιες διακινήσεις. </w:t>
      </w:r>
    </w:p>
    <w:p>
      <w:pPr>
        <w:pStyle w:val="Text1"/>
        <w:pBdr>
          <w:top w:val="single" w:sz="4" w:space="1" w:color="auto"/>
          <w:left w:val="single" w:sz="4" w:space="4" w:color="auto"/>
          <w:bottom w:val="single" w:sz="4" w:space="1" w:color="auto"/>
          <w:right w:val="single" w:sz="4" w:space="4" w:color="auto"/>
        </w:pBdr>
        <w:rPr>
          <w:noProof/>
        </w:rPr>
      </w:pPr>
      <w:r>
        <w:rPr>
          <w:noProof/>
          <w:szCs w:val="24"/>
          <w:u w:val="single"/>
        </w:rPr>
        <w:t>Πολίτες</w:t>
      </w:r>
      <w:r>
        <w:rPr>
          <w:noProof/>
        </w:rPr>
        <w:t xml:space="preserve">: Η καλύτερη τήρηση και επιβολή των μη τελωνειακών κανονιστικών διατυπώσεων της ΕΕ θα επηρεάσει θετικά την προστασία της δημόσιας υγείας και ασφάλειας, την ενίσχυση της προστασίας, τη διατήρηση της πολιτιστικής κληρονομιάς και την προστασία της καλής μεταχείρισης των ζώων και του περιβάλλοντος. Η απλούστευση των κανονιστικών διατυπώσεων, η μείωση του χρόνου τελωνισμού και των πόρων που απαιτούνται για τη διεκπεραίωσή τους, μπορούν τελικά να ωφελήσουν τους πολίτες, καθώς το χαμηλότερο κόστος μπορεί να μετακυλιστεί σε αυτούς με τη μορφή χαμηλότερων τιμών. </w:t>
      </w:r>
    </w:p>
    <w:p>
      <w:pPr>
        <w:pStyle w:val="ManualHeading3"/>
        <w:rPr>
          <w:bCs/>
          <w:noProof/>
          <w:szCs w:val="24"/>
        </w:rPr>
      </w:pPr>
      <w:r>
        <w:t>1.4.4.</w:t>
      </w:r>
      <w:r>
        <w:tab/>
      </w:r>
      <w:r>
        <w:rPr>
          <w:noProof/>
        </w:rPr>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iret1"/>
        <w:numPr>
          <w:ilvl w:val="0"/>
          <w:numId w:val="20"/>
        </w:numPr>
        <w:pBdr>
          <w:top w:val="single" w:sz="4" w:space="1" w:color="auto"/>
          <w:left w:val="single" w:sz="4" w:space="4" w:color="auto"/>
          <w:bottom w:val="single" w:sz="4" w:space="1" w:color="auto"/>
          <w:right w:val="single" w:sz="4" w:space="4" w:color="auto"/>
        </w:pBdr>
        <w:rPr>
          <w:noProof/>
        </w:rPr>
      </w:pPr>
      <w:r>
        <w:rPr>
          <w:noProof/>
        </w:rPr>
        <w:t>Αριθμός μη τελωνειακών κανονιστικών διατυπώσεων που καλύπτονται από την πρωτοβουλία ετησίως και αριθμός συμφωνιών που υπογράφονται μεταξύ ΓΔ TAXUD και ΓΔ-εταίρων για διατυπώσεις που καλύπτονται από την πρωτοβουλία·</w:t>
      </w:r>
    </w:p>
    <w:p>
      <w:pPr>
        <w:pStyle w:val="Tiret1"/>
        <w:pBdr>
          <w:top w:val="single" w:sz="4" w:space="1" w:color="auto"/>
          <w:left w:val="single" w:sz="4" w:space="4" w:color="auto"/>
          <w:bottom w:val="single" w:sz="4" w:space="1" w:color="auto"/>
          <w:right w:val="single" w:sz="4" w:space="4" w:color="auto"/>
        </w:pBdr>
        <w:rPr>
          <w:noProof/>
        </w:rPr>
      </w:pPr>
      <w:r>
        <w:rPr>
          <w:noProof/>
        </w:rPr>
        <w:t>Αριθμός τελωνειακών διασαφήσεων που υπόκεινται σε αυτοματοποιημένη ανταλλαγή πληροφοριών και διεκπεραιώνονται μέσω της ενιαίας θυρίδας EU CSW-CERTEX, και αριθμός αιτημάτων που υποβάλλονται στην ενιαία θυρίδα EU CSW-CERTEX ανά κράτος μέλος·</w:t>
      </w:r>
    </w:p>
    <w:p>
      <w:pPr>
        <w:pStyle w:val="Tiret1"/>
        <w:pBdr>
          <w:top w:val="single" w:sz="4" w:space="1" w:color="auto"/>
          <w:left w:val="single" w:sz="4" w:space="4" w:color="auto"/>
          <w:bottom w:val="single" w:sz="4" w:space="1" w:color="auto"/>
          <w:right w:val="single" w:sz="4" w:space="4" w:color="auto"/>
        </w:pBdr>
        <w:rPr>
          <w:noProof/>
        </w:rPr>
      </w:pPr>
      <w:r>
        <w:rPr>
          <w:noProof/>
        </w:rPr>
        <w:t xml:space="preserve">Αριθμός διαφορών και αποπειρών απάτης που ανιχνεύονται μέσω αυτοματοποιημένου διασταυρούμενου ελέγχου των πληροφοριών· </w:t>
      </w:r>
    </w:p>
    <w:p>
      <w:pPr>
        <w:pStyle w:val="Tiret1"/>
        <w:pBdr>
          <w:top w:val="single" w:sz="4" w:space="1" w:color="auto"/>
          <w:left w:val="single" w:sz="4" w:space="4" w:color="auto"/>
          <w:bottom w:val="single" w:sz="4" w:space="1" w:color="auto"/>
          <w:right w:val="single" w:sz="4" w:space="4" w:color="auto"/>
        </w:pBdr>
        <w:rPr>
          <w:noProof/>
        </w:rPr>
      </w:pPr>
      <w:r>
        <w:rPr>
          <w:noProof/>
        </w:rPr>
        <w:t>Ποσοστό ευστοχίας των ελέγχων εγγράφων και των φυσικών ελέγχων (κατόπιν συστηματικού αυτοματοποιημένου διασταυρούμενου ελέγχου πληροφοριών μέσω της ενιαίας θυρίδας EU CSW-CERTEX) και όγκος μη συμμορφούμενων εμπορευμάτων που εντοπίζονται·</w:t>
      </w:r>
    </w:p>
    <w:p>
      <w:pPr>
        <w:pStyle w:val="Tiret1"/>
        <w:pBdr>
          <w:top w:val="single" w:sz="4" w:space="1" w:color="auto"/>
          <w:left w:val="single" w:sz="4" w:space="4" w:color="auto"/>
          <w:bottom w:val="single" w:sz="4" w:space="1" w:color="auto"/>
          <w:right w:val="single" w:sz="4" w:space="4" w:color="auto"/>
        </w:pBdr>
        <w:rPr>
          <w:noProof/>
        </w:rPr>
      </w:pPr>
      <w:r>
        <w:rPr>
          <w:noProof/>
        </w:rPr>
        <w:t>Ποσοστό αυτοματοποιημένων ελέγχων που δεν ακολουθούνται από χειροκίνητη παρέμβαση (φυσικοί έλεγχοι εγγράφων)·</w:t>
      </w:r>
    </w:p>
    <w:p>
      <w:pPr>
        <w:pStyle w:val="Tiret1"/>
        <w:pBdr>
          <w:top w:val="single" w:sz="4" w:space="1" w:color="auto"/>
          <w:left w:val="single" w:sz="4" w:space="4" w:color="auto"/>
          <w:bottom w:val="single" w:sz="4" w:space="1" w:color="auto"/>
          <w:right w:val="single" w:sz="4" w:space="4" w:color="auto"/>
        </w:pBdr>
        <w:rPr>
          <w:noProof/>
        </w:rPr>
      </w:pPr>
      <w:r>
        <w:rPr>
          <w:noProof/>
        </w:rPr>
        <w:t>Αριθμός ολοκληρωμένων διασαφήσεων</w:t>
      </w:r>
      <w:r>
        <w:rPr>
          <w:rStyle w:val="FootnoteReference"/>
          <w:noProof/>
        </w:rPr>
        <w:footnoteReference w:id="50"/>
      </w:r>
      <w:r>
        <w:rPr>
          <w:noProof/>
        </w:rPr>
        <w:t xml:space="preserve"> που υποβάλλονται μέσω των εθνικών ενιαίων θυρίδων·</w:t>
      </w:r>
    </w:p>
    <w:p>
      <w:pPr>
        <w:pStyle w:val="Tiret1"/>
        <w:pBdr>
          <w:top w:val="single" w:sz="4" w:space="1" w:color="auto"/>
          <w:left w:val="single" w:sz="4" w:space="4" w:color="auto"/>
          <w:bottom w:val="single" w:sz="4" w:space="1" w:color="auto"/>
          <w:right w:val="single" w:sz="4" w:space="4" w:color="auto"/>
        </w:pBdr>
        <w:rPr>
          <w:noProof/>
        </w:rPr>
      </w:pPr>
      <w:r>
        <w:rPr>
          <w:noProof/>
        </w:rPr>
        <w:t>Μέσος απαιτούμενος χρόνος για τον τελωνισμό συναφών εμπορευμάτων.</w:t>
      </w:r>
    </w:p>
    <w:p>
      <w:pPr>
        <w:pStyle w:val="ManualHeading2"/>
        <w:rPr>
          <w:bCs/>
          <w:noProof/>
          <w:szCs w:val="24"/>
        </w:rPr>
      </w:pPr>
      <w:r>
        <w:t>1.5.</w:t>
      </w:r>
      <w:r>
        <w:tab/>
      </w:r>
      <w:r>
        <w:rPr>
          <w:noProof/>
        </w:rPr>
        <w:t xml:space="preserve">Αιτιολόγηση της πρότασης/πρωτοβουλίας </w:t>
      </w:r>
    </w:p>
    <w:p>
      <w:pPr>
        <w:pStyle w:val="ManualHeading3"/>
        <w:rPr>
          <w:noProof/>
        </w:rPr>
      </w:pPr>
      <w:r>
        <w:t>1.5.1.</w:t>
      </w:r>
      <w:r>
        <w:tab/>
      </w:r>
      <w:r>
        <w:rPr>
          <w:noProof/>
        </w:rPr>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Με την πάροδο των ετών, η Επιτροπή και τα κράτη μέλη της ΕΕ έχουν αναλάβει έναν αριθμό δεσμεύσεων για την ανάπτυξη υπηρεσιών ενιαίας θυρίδας στον τομέα των τελωνείων. Η απόφαση για τα ηλεκτρονικά τελωνεία του 2018</w:t>
      </w:r>
      <w:r>
        <w:rPr>
          <w:rStyle w:val="FootnoteReference"/>
          <w:noProof/>
        </w:rPr>
        <w:footnoteReference w:id="51"/>
      </w:r>
      <w:r>
        <w:rPr>
          <w:noProof/>
        </w:rPr>
        <w:t xml:space="preserve"> για ένα περιβάλλον χωρίς χαρτί για τα τελωνεία και τις εμπορικές επιχειρήσεις κάλεσε τα κράτη μέλη και την Επιτροπή να επιδιώξουν «να δημιουργήσουν και να θέσουν σε λειτουργία το πλαίσιο για τις υπηρεσίες ενιαίας ηλεκτρονικής θυρίδας». Στο ίδιο πνεύμα, η Δήλωση της Βενετίας το 2014</w:t>
      </w:r>
      <w:r>
        <w:rPr>
          <w:rStyle w:val="FootnoteReference"/>
          <w:noProof/>
        </w:rPr>
        <w:footnoteReference w:id="52"/>
      </w:r>
      <w:r>
        <w:rPr>
          <w:noProof/>
        </w:rPr>
        <w:t xml:space="preserve"> πρότεινε ένα σταδιακό σχέδιο δράσης για την υλοποίηση ενός περιβάλλοντος ενιαίας θυρίδας της ΕΕ για τα τελωνεία και την ανάπτυξη του νομικού πλαισίου του. Επιπλέον, στην ανακοίνωση της Επιτροπής το 2016 για την ανάπτυξη της τελωνειακής ένωσης της ΕΕ και της διακυβέρνησής της</w:t>
      </w:r>
      <w:r>
        <w:rPr>
          <w:rStyle w:val="FootnoteReference"/>
          <w:noProof/>
        </w:rPr>
        <w:footnoteReference w:id="53"/>
      </w:r>
      <w:r>
        <w:rPr>
          <w:noProof/>
        </w:rPr>
        <w:t xml:space="preserve"> ανακοινώθηκαν τα σχέδια της Επιτροπής να διερευνήσει μια εφαρμόσιμη λύση για την ανάπτυξη και τη δημιουργία περιβάλλοντος ενιαίας θυρίδας της ΕΕ για τα τελωνεία. Αυτό αποτυπώνεται στην πρώτη διετή έκθεση προόδου σχετικά με την ανάπτυξη της τελωνειακής ένωσης της ΕΕ</w:t>
      </w:r>
      <w:r>
        <w:rPr>
          <w:rStyle w:val="FootnoteReference"/>
          <w:noProof/>
        </w:rPr>
        <w:footnoteReference w:id="54"/>
      </w:r>
      <w:r>
        <w:rPr>
          <w:noProof/>
        </w:rPr>
        <w:t>, η οποία προσδιόρισε το περιβάλλον ενιαίας θυρίδας της ΕΕ για τα τελωνεία ως τομέα προτεραιότητας.</w:t>
      </w:r>
    </w:p>
    <w:p>
      <w:pPr>
        <w:pStyle w:val="Text1"/>
        <w:pBdr>
          <w:top w:val="single" w:sz="4" w:space="1" w:color="auto"/>
          <w:left w:val="single" w:sz="4" w:space="4" w:color="auto"/>
          <w:bottom w:val="single" w:sz="4" w:space="1" w:color="auto"/>
          <w:right w:val="single" w:sz="4" w:space="4" w:color="auto"/>
        </w:pBdr>
        <w:rPr>
          <w:noProof/>
        </w:rPr>
      </w:pPr>
      <w:r>
        <w:rPr>
          <w:noProof/>
        </w:rPr>
        <w:t>Σύμφωνα με τις πολιτικές προτεραιότητες της ΕΕ, η Επιτροπή δρομολόγησε το 2015 δοκιμαστικό σχέδιο υπό την κοινή διαχείριση της Γενικής Διεύθυνσης Φορολογίας και Τελωνειακής Ένωσης (ΓΔ TAXUD) και της Γενικής Διεύθυνσης Υγείας και Ασφάλειας των Τροφίμων (ΓΔ SANTE), με την ονομασία «EU Customs Single Window-Common Veterinary Entry Document» [Ενιαία τελωνειακή θυρίδα της ΕΕ-Κοινό κτηνιατρικό έγγραφο εισόδου (EU SW-CVED)]. Το σχέδιο αυτό παρείχε μια διεπαφή μεταξύ των εθνικών τελωνειακών συστημάτων και ενός συστήματος πιστοποίησης σε επίπεδο ΕΕ</w:t>
      </w:r>
      <w:r>
        <w:rPr>
          <w:rStyle w:val="FootnoteReference"/>
          <w:noProof/>
        </w:rPr>
        <w:footnoteReference w:id="55"/>
      </w:r>
      <w:r>
        <w:rPr>
          <w:noProof/>
        </w:rPr>
        <w:t xml:space="preserve"> μέσω της κεντρικής λύσης ΤΠ της ΓΔ TAXUD. Επέτρεπε την αυτοματοποιημένη επαλήθευση τριών υγειονομικών πιστοποιητικών που απαιτούνται για την είσοδο προϊόντων ζωικής/μη ζωικής προέλευσης από τις τελωνειακές διοικήσεις πέντε κρατών μελών, τα οποία συμμετείχαν σε εθελοντική βάση. Το «Σχέδιο ενιαίας τελωνειακής θυρίδας της ΕΕ για την ανταλλαγή πιστοποιητικών» («EU CSW-CERTEX»), που ξεκίνησε το 2017, επέκτεινε το αντικείμενο του δοκιμαστικού σχεδίου και ενίσχυσε τις λειτουργίες του. Έως τα τέλη του 2018 συμπεριλήφθηκαν νέα πιστοποιητικά και ο αριθμός των συμμετεχόντων κρατών μελών αυξήθηκε από πέντε σε εννέα. Η προτεινόμενη νομική πρωτοβουλία θα βασίζεται στην υφιστάμενη δοκιμαστική λύση που ανέπτυξε η ΓΔ TAXUD και θα προβλέπει την υποχρεωτική χρήση της από όλα τα κράτη μέλη για την ανταλλαγή πληροφοριών σχετικά με μια σειρά κανονιστικών διατυπώσεων για τις οποίες οι συναφείς πληροφορίες που απαιτούν τα τελωνεία για τον τελωνισμό είναι διαθέσιμες σε ηλεκτρονικά συστήματα της ΕΕ. Οι συνδέσεις μεταξύ της ενιαίας θυρίδας EU CSW-CERTEX και των μελλοντικών ηλεκτρονικών συστημάτων της ΕΕ θα δημιουργηθούν σταδιακά, με τη συμπερίληψη νέων κανονιστικών διατυπώσεων. Η κάλυψη των εν λόγω διατυπώσεων προβλέπεται ότι θα αυξηθεί με την ολοκλήρωση νέων λειτουργιών. Ειδικότερα, η πλήρως υποχρεωτική συμμετοχή όλων των κρατών μελών θα καταστήσει δυνατή την αυτοματοποιημένη διαχείριση ποσοτήτων των οικείων κανονιστικών διατυπώσεων σε ολόκληρη την ΕΕ, που είναι αναγκαία για την κάλυψη των κενών σε επίπεδο επιβολής, για τον περιορισμό της απάτης και των σφαλμάτων, και την βελτίωση της αποδοτικότητας σε βάθος χρόνου.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εκτίμηση επιπτώσεων για την πρόταση πολιτικής περιέγραφε μια σειρά επιλογών πολιτικής (συμπεριλαμβανομένης της συνέχισης του βασικού σεναρίου). Προτείνεται μια δέσμη προτιμώμενων επιλογών για την παροχή ενός πλαισίου εφαρμογής της ευρωπαϊκής πολιτικής στον συγκεκριμένο τομέα. Συνίσταται σε τρεις επιλογές, οι οποίες διακρίνονται στις εξής κατηγορίες: </w:t>
      </w:r>
    </w:p>
    <w:p>
      <w:pPr>
        <w:pStyle w:val="Point1"/>
        <w:rPr>
          <w:noProof/>
        </w:rPr>
      </w:pPr>
      <w:bookmarkStart w:id="3" w:name="DQCNUMB_1"/>
      <w:bookmarkEnd w:id="3"/>
      <w:r>
        <w:t>(a)</w:t>
      </w:r>
      <w:r>
        <w:tab/>
      </w:r>
      <w:r>
        <w:rPr>
          <w:noProof/>
        </w:rPr>
        <w:t xml:space="preserve">Διακυβερνητική συνεργασία (G2G) (επιλογή 1: διακυβερνητική ανταλλαγή πληροφοριών σχετικά με τις διατυπώσεις της ΕΕ στις οποίες οι συναφείς πληροφορίες που απαιτούνται από τα τελωνεία για τον τελωνισμό είναι διαθέσιμες στα ηλεκτρονικά συστήματα της ΕΕ)· </w:t>
      </w:r>
    </w:p>
    <w:p>
      <w:pPr>
        <w:pStyle w:val="Point1"/>
        <w:rPr>
          <w:noProof/>
        </w:rPr>
      </w:pPr>
      <w:bookmarkStart w:id="4" w:name="DQCNUMB_2"/>
      <w:bookmarkEnd w:id="4"/>
      <w:r>
        <w:t>(b)</w:t>
      </w:r>
      <w:r>
        <w:tab/>
      </w:r>
      <w:r>
        <w:rPr>
          <w:noProof/>
        </w:rPr>
        <w:t xml:space="preserve">Συνεργασία μεταξύ επιχειρήσεων και δημόσιων αρχών (B2G) (επιλογή 6: εναρμονισμένα εθνικά περιβάλλοντα ενιαίας θυρίδας τα οποία παρέχουν στους οικονομικούς φορείς ένα ενιαίο σημείο εισόδου για την εκπλήρωση των τελωνειακών και μη τελωνειακών διατυπώσεων οι οποίες εμπίπτουν στο πεδίο εφαρμογής)· και </w:t>
      </w:r>
    </w:p>
    <w:p>
      <w:pPr>
        <w:pStyle w:val="Point1"/>
        <w:rPr>
          <w:noProof/>
        </w:rPr>
      </w:pPr>
      <w:bookmarkStart w:id="5" w:name="DQCNUMB_3"/>
      <w:bookmarkEnd w:id="5"/>
      <w:r>
        <w:t>(c)</w:t>
      </w:r>
      <w:r>
        <w:tab/>
      </w:r>
      <w:r>
        <w:rPr>
          <w:noProof/>
        </w:rPr>
        <w:t xml:space="preserve">Επέκταση της χρήσης του συστήματος καταχώρισης και αναγνώρισης των οικονομικών φορέων (EORI) στις αρμόδιες αρχές-εταίρους (Επιλογή 8ii). </w:t>
      </w:r>
    </w:p>
    <w:p>
      <w:pPr>
        <w:pStyle w:val="Text1"/>
        <w:pBdr>
          <w:top w:val="single" w:sz="4" w:space="1" w:color="auto"/>
          <w:left w:val="single" w:sz="4" w:space="4" w:color="auto"/>
          <w:bottom w:val="single" w:sz="4" w:space="1" w:color="auto"/>
          <w:right w:val="single" w:sz="4" w:space="4" w:color="auto"/>
        </w:pBdr>
        <w:rPr>
          <w:noProof/>
          <w:szCs w:val="24"/>
        </w:rPr>
      </w:pPr>
      <w:r>
        <w:rPr>
          <w:noProof/>
        </w:rPr>
        <w:t>Το άμεσο οικονομικό κόστος της προτιμώμενης δέσμης για την Ευρωπαϊκή Επιτροπή συνίσταται στο εφάπαξ κόστος υλοποίησης και σε τακτικές δαπάνες. Το κόστος υλοποίησης περιλαμβάνει την επιχειρηματική μοντελοποίηση και τις δαπάνες για υλικό και λογισμικό ΤΠ, την ανάπτυξη λογισμικού, τη διενέργεια δοκιμών, την εγκατάσταση και συντήρηση, τη διαχείριση αλλαγών σε διαδικασίες, την κατάρτιση και την υποστήριξη, και αναμένεται ότι θα κατανεμηθεί σε μία περίοδο επτά ετών, ενώ το πεδίο εφαρμογής εκτιμάται ότι θα περιλαμβάνει 15 κανονιστικές διατυπώσεις. Σημείο έναρξης θα είναι η υφιστάμενη αρχιτεκτονική της ενιαίας θυρίδας EU CSW-CERTEX, το οποίο είναι λειτουργικό για άνω του ήμισυ των εν λόγω κανονιστικών διατυπώσεων</w:t>
      </w:r>
      <w:r>
        <w:rPr>
          <w:rStyle w:val="FootnoteReference"/>
          <w:noProof/>
          <w:szCs w:val="24"/>
          <w:lang w:eastAsia="sv-SE"/>
        </w:rPr>
        <w:footnoteReference w:id="56"/>
      </w:r>
      <w:r>
        <w:rPr>
          <w:noProof/>
        </w:rPr>
        <w:t xml:space="preserve">, των οποίων το κόστος υλοποίησης και ανάπτυξης κατά την περίοδο σταδιακής εφαρμογής εκτιμάται ότι θα αντιστοιχεί στο 50 % του κόστους της ενσωμάτωσης νέων διατυπώσεων.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Από το έτος 8 και μετά, το κόστος υλοποίησης θα αντικατασταθεί από τακτικές δαπάνες, που περιλαμβάνουν συντήρηση υλικού και λογισμικού, περιοδικές επικαιροποιήσεις, συνεχή υποστήριξη και καθημερινές λειτουργίες. </w:t>
      </w:r>
    </w:p>
    <w:p>
      <w:pPr>
        <w:pStyle w:val="Text1"/>
        <w:pBdr>
          <w:top w:val="single" w:sz="4" w:space="1" w:color="auto"/>
          <w:left w:val="single" w:sz="4" w:space="4" w:color="auto"/>
          <w:bottom w:val="single" w:sz="4" w:space="1" w:color="auto"/>
          <w:right w:val="single" w:sz="4" w:space="4" w:color="auto"/>
        </w:pBdr>
        <w:rPr>
          <w:noProof/>
        </w:rPr>
      </w:pPr>
      <w:r>
        <w:rPr>
          <w:noProof/>
        </w:rPr>
        <w:t>Η προτιμώμενη δέσμη αναμένεται να έχει συνολικό κόστος υλοποίησης ύψους 64 730 εκατ. EUR ομοιόμορφα κατανεμημένο στα πρώτα επτά έτη σταδιακής υλοποίησης και κόστος συντήρησης ύψους 6 350 εκατ. EUR ετησίως μετά την πλήρη λειτουργία.</w:t>
      </w:r>
    </w:p>
    <w:p>
      <w:pPr>
        <w:pStyle w:val="ManualHeading3"/>
        <w:rPr>
          <w:bCs/>
          <w:noProof/>
          <w:szCs w:val="24"/>
        </w:rPr>
      </w:pPr>
      <w:r>
        <w:t>1.5.2.</w:t>
      </w:r>
      <w:r>
        <w:tab/>
      </w:r>
      <w:r>
        <w:rPr>
          <w:noProof/>
        </w:rPr>
        <w:t>Προστιθέμενη αξία της ενωσιακής παρέμβασης</w:t>
      </w:r>
    </w:p>
    <w:p>
      <w:pPr>
        <w:pStyle w:val="Text1"/>
        <w:pBdr>
          <w:top w:val="single" w:sz="4" w:space="1" w:color="auto"/>
          <w:left w:val="single" w:sz="4" w:space="4" w:color="auto"/>
          <w:bottom w:val="single" w:sz="4" w:space="1" w:color="auto"/>
          <w:right w:val="single" w:sz="4" w:space="4" w:color="auto"/>
        </w:pBdr>
        <w:rPr>
          <w:noProof/>
          <w:szCs w:val="24"/>
        </w:rPr>
      </w:pPr>
      <w:r>
        <w:rPr>
          <w:noProof/>
        </w:rPr>
        <w:t>Τα προβλήματα που αντιμετωπίζονται μέσω της πρωτοβουλίας, ιδίως εκείνα του ανεπαρκούς συντονισμού και του κατακερματισμού της διαλειτουργικότητας μεταξύ τελωνείων και αρμόδιων αρχών-εταίρων κατά τον τελωνισμό συγκεκριμένων εμπορευμάτων, είναι εγγενώς διεθνικά, καθώς αφορούν τη διασυνοριακή διακίνηση εμπορευμάτων και τον αντίκτυπο που έχει σε ολόκληρη την ΕΕ κάθε σφάλμα ή απάτη σε μεμονωμένες χώρες. Η ΕΕ, ως αρμόδια για την τελωνειακή ένωση και τις εν λόγω μη τελωνειακές κανονιστικές διατυπώσεις, βρίσκεται στην κατάλληλη θέση για τον συντονισμό της δράσης, την αντιμετώπιση του κατακερματισμού και την επίτευξη οικονομιών κλίμακας. Η υφιστάμενη και αναμενόμενη δράση σε εθνικό αποκλειστικά επίπεδο έχει αποδειχτεί ανεπαρκής κυρίως για τους εξής λόγους:</w:t>
      </w:r>
    </w:p>
    <w:p>
      <w:pPr>
        <w:pStyle w:val="Point1"/>
        <w:rPr>
          <w:noProof/>
        </w:rPr>
      </w:pPr>
      <w:bookmarkStart w:id="6" w:name="DQCNUMB_4"/>
      <w:bookmarkEnd w:id="6"/>
      <w:r>
        <w:t>(a)</w:t>
      </w:r>
      <w:r>
        <w:tab/>
      </w:r>
      <w:r>
        <w:rPr>
          <w:noProof/>
        </w:rPr>
        <w:t>ο συνεχιζόμενος κατακερματισμός και η έλλειψη διαλειτουργικότητας θα περιόριζε τα πλεονεκτήματα της σταδιακής ψηφιοποίησης και του εκσυγχρονισμού των διαδικασιών που σχετίζονται με τον τελωνισμό ορισμένων εμπορευμάτων·</w:t>
      </w:r>
    </w:p>
    <w:p>
      <w:pPr>
        <w:pStyle w:val="Point1"/>
        <w:rPr>
          <w:noProof/>
        </w:rPr>
      </w:pPr>
      <w:bookmarkStart w:id="7" w:name="DQCNUMB_5"/>
      <w:bookmarkEnd w:id="7"/>
      <w:r>
        <w:t>(b)</w:t>
      </w:r>
      <w:r>
        <w:tab/>
      </w:r>
      <w:r>
        <w:rPr>
          <w:noProof/>
        </w:rPr>
        <w:t xml:space="preserve"> οι εθνικές πρωτοβουλίες θα ήταν ελάχιστες λόγω των περιορισμένων πόρων και της έλλειψης ορισμένων σημαντικών λειτουργιών, όπως η διαχείριση ποσοτήτων σε επίπεδο ΕΕ· </w:t>
      </w:r>
    </w:p>
    <w:p>
      <w:pPr>
        <w:pStyle w:val="Point1"/>
        <w:rPr>
          <w:noProof/>
        </w:rPr>
      </w:pPr>
      <w:bookmarkStart w:id="8" w:name="DQCNUMB_6"/>
      <w:bookmarkEnd w:id="8"/>
      <w:r>
        <w:t>(c)</w:t>
      </w:r>
      <w:r>
        <w:tab/>
      </w:r>
      <w:r>
        <w:rPr>
          <w:noProof/>
        </w:rPr>
        <w:t xml:space="preserve">το δοκιμαστικό σχέδιο της ενιαίας θυρίδας EU CSW-CERTEX (μια εθελοντική πρωτοβουλία) θα έχανε τη δυναμική του αν δεν συνοδευόταν από υποχρεωτική δράση. Πολλές τελωνειακές αρχές κρατών μελών έχουν πλέον συνηθίσει το σύστημα της ενιαίας θυρίδας και σταδιακά καταργούν τις παλαιότερες χειρογραφικές και έντυπες διαδικασίες και, χωρίς αυτό, δεν θα μπορούσαν στο εξής να επεξεργάζονται τις συναφείς διατυπώσεις.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Δεδομένου του ρόλου της στον εκσυγχρονισμό της τελωνειακής ένωσης και στην καλύτερη επιβολή των τελωνειακών και μη τελωνειακών κανονιστικών διατυπώσεων στα σύνορα, η ΕΕ έχει μοναδικό πλεονέκτημα όσον αφορά την επαναξιολόγηση των θεμελιωδών πρακτικών και διαδικασιών του υφιστάμενου κατακερματισμένου μοντέλου συμμόρφωσης προς τις κανονιστικές διατάξεις. Η δράση της ΕΕ στον τομέα αυτό θα ενισχύσει τη συμμόρφωση των κανονιστικών διατυπώσεων προς τη νομοθεσία της ΕΕ και θα διευκολύνει περαιτέρω τη διασυνοριακή διακίνηση των εμπορευμάτων. Τούτο, με τη σειρά του, θα αποφέρει σαφή προστιθέμενη αξία στην αλληλεπίδραση μεταξύ τελωνείων και αρμόδιων αρχών-εταίρων και στις καθημερινές δραστηριότητες των οικονομικών φορέων. Τελικά, η παρέμβαση της ΕΕ θα έχει σημαντικό κοινωνικό και περιβαλλοντικό αντίκτυπο και ουσιαστικά οικονομικά οφέλη για την κοινωνία στο σύνολό της. </w:t>
      </w:r>
    </w:p>
    <w:p>
      <w:pPr>
        <w:pStyle w:val="ManualHeading3"/>
        <w:rPr>
          <w:bCs/>
          <w:noProof/>
          <w:szCs w:val="24"/>
        </w:rPr>
      </w:pPr>
      <w:r>
        <w:t>1.5.3.</w:t>
      </w:r>
      <w:r>
        <w:tab/>
      </w:r>
      <w:r>
        <w:rPr>
          <w:noProof/>
        </w:rPr>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Τόσο το δοκιμαστικό σχέδιο EU SW-CVED όσο και το διάδοχό του σχέδιο EU CSW-CERTEX μπορούν να θεωρούνται προσχέδιο της πρωτοβουλίας. Σε αξιολόγηση που διενήργησε η ΓΔ TAXUD επιβεβαιώθηκε ότι το δοκιμαστικό σχέδιο συνάδει με τις ανάγκες των ενδιαφερόμενων μερών όσον αφορά τον αποτελεσματικότερο τελωνισμό εμπορευμάτων και καθιστά δυνατό τον αυτοματοποιημένο έλεγχο των συνοδευτικών εγγράφων από τις τελωνειακές αρχές. Παρά τους περιορισμούς που θέτει το τρέχον πεδίο εφαρμογής του σχεδίου, τόσο το δοκιμαστικό σχέδιο EU CSW-CVED όσο και το διάδοχό του σχέδιο EU CSW-CERTEX έχουν ήδη επιτύχει εναρμόνιση και ανταλλαγή δεδομένων σχετικά με τις κανονιστικές διατυπώσεις που καλύπτουν. Το γεγονός αυτό εξασφαλίζει με τη σειρά του ενισχυμένη συνεργασία μεταξύ των αρμόδιων αρχών. Υπάρχουν επίσης και κάποια περιορισμένα στοιχεία που καταδεικνύουν μείωση των περιστατικών απάτης και ανθρώπινου σφάλματος, ιδίως ως αποτέλεσμα του περιορισμού των ανθρώπινων παρεμβάσεων και της δυνατότητας διαχείρισης ποσοτήτων σε εθνικό επίπεδο. </w:t>
      </w:r>
    </w:p>
    <w:p>
      <w:pPr>
        <w:pStyle w:val="Text1"/>
        <w:pBdr>
          <w:top w:val="single" w:sz="4" w:space="1" w:color="auto"/>
          <w:left w:val="single" w:sz="4" w:space="4" w:color="auto"/>
          <w:bottom w:val="single" w:sz="4" w:space="1" w:color="auto"/>
          <w:right w:val="single" w:sz="4" w:space="4" w:color="auto"/>
        </w:pBdr>
        <w:rPr>
          <w:noProof/>
        </w:rPr>
      </w:pPr>
      <w:r>
        <w:rPr>
          <w:noProof/>
        </w:rPr>
        <w:t>Ωστόσο, υπάρχουν περιορισμοί οι οποίοι σχετίζονται κυρίως με τον δοκιμαστικό χαρακτήρα της τρέχουσας λύσης. Συγκεκριμένα:</w:t>
      </w:r>
    </w:p>
    <w:p>
      <w:pPr>
        <w:pStyle w:val="Point1"/>
        <w:rPr>
          <w:noProof/>
        </w:rPr>
      </w:pPr>
      <w:bookmarkStart w:id="9" w:name="DQCNUMB_7"/>
      <w:bookmarkEnd w:id="9"/>
      <w:r>
        <w:t>(a)</w:t>
      </w:r>
      <w:r>
        <w:tab/>
      </w:r>
      <w:r>
        <w:rPr>
          <w:noProof/>
        </w:rPr>
        <w:t>η διαχείριση ποσοτήτων σε επίπεδο ΕΕ είναι αναγκαία για την κάλυψη των κενών σε επίπεδο επιβολής και εξακολουθεί να μην είναι εφικτή χωρίς την πλήρη υποχρεωτική συμμετοχή όλων των κρατών μελών·</w:t>
      </w:r>
    </w:p>
    <w:p>
      <w:pPr>
        <w:pStyle w:val="Point1"/>
        <w:rPr>
          <w:noProof/>
        </w:rPr>
      </w:pPr>
      <w:bookmarkStart w:id="10" w:name="DQCNUMB_8"/>
      <w:bookmarkEnd w:id="10"/>
      <w:r>
        <w:t>(b)</w:t>
      </w:r>
      <w:r>
        <w:tab/>
      </w:r>
      <w:r>
        <w:rPr>
          <w:noProof/>
        </w:rPr>
        <w:t>οι αναβαθμίσεις των συνδέσεων μεταξύ των συστημάτων θα είναι απαραίτητες προκειμένου να πραγματοποιούνται συνεχείς ενημερώσεις σε πραγματικό χρόνο (αντί της περιοδικής σταθμοσκόπησης)·</w:t>
      </w:r>
    </w:p>
    <w:p>
      <w:pPr>
        <w:pStyle w:val="Point1"/>
        <w:rPr>
          <w:noProof/>
        </w:rPr>
      </w:pPr>
      <w:bookmarkStart w:id="11" w:name="DQCNUMB_9"/>
      <w:bookmarkEnd w:id="11"/>
      <w:r>
        <w:t>(c)</w:t>
      </w:r>
      <w:r>
        <w:tab/>
      </w:r>
      <w:r>
        <w:rPr>
          <w:noProof/>
        </w:rPr>
        <w:t xml:space="preserve">η διατηρούμενη υποχρέωση των οικονομικών φορέων να υποβάλλουν έγγραφα σε έντυπη μορφή παράλληλα με τα ψηφιακά περιορίζει τα οφέλη που μπορούν να επιτύχουν οι οικονομικοί φορείς· η επίλυση του ζητήματος αυτού θα καθιστούσε απαραίτητο ένα νομοθετικό πλαίσιο που θα προσέδιδε νόμιμη ισχύ στις ψηφιακές υπογραφές. </w:t>
      </w:r>
    </w:p>
    <w:p>
      <w:pPr>
        <w:pStyle w:val="ManualHeading3"/>
        <w:rPr>
          <w:bCs/>
          <w:noProof/>
          <w:szCs w:val="24"/>
        </w:rPr>
      </w:pPr>
      <w:r>
        <w:t>1.5.4.</w:t>
      </w:r>
      <w:r>
        <w:tab/>
      </w:r>
      <w:r>
        <w:rPr>
          <w:noProof/>
        </w:rPr>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Η νομοθετική πρόταση εμπίπτει στο πεδίο εφαρμογής του επερχόμενου προγράμματος Τελωνεία 2027 και των διάδοχων προγραμμάτων του.</w:t>
      </w:r>
      <w:r>
        <w:rPr>
          <w:i/>
          <w:noProof/>
        </w:rPr>
        <w:t xml:space="preserve"> </w:t>
      </w:r>
      <w:r>
        <w:rPr>
          <w:noProof/>
          <w:color w:val="000000" w:themeColor="text1"/>
        </w:rPr>
        <w:t>Εντάσσεται στο υπό εξέλιξη σχέδιο δράσης για την τελωνειακή ένωση (PLAN/2020/6296), το οποίο σχεδιάστηκε με στόχο την υλοποίηση της προτεραιότητας της Επιτροπής για τη μετάβαση της τελωνειακής ένωσης στο επόμενο στάδιο. Το σχέδιο δράσης θα προτείνει μια αναθεωρημένη μακροπρόθεσμη στρατηγική για την τελωνειακή ένωση, συμπεριλαμβανομένων νομοθετικών και μη νομοθετικών δράσεων. Η εν λόγω πρόταση συνιστά την πρώτη νομοθετική δράση για τον εκσυγχρονισμό της διαδικασίας τελωνισμού.</w:t>
      </w:r>
    </w:p>
    <w:p>
      <w:pPr>
        <w:pStyle w:val="ManualHeading2"/>
        <w:rPr>
          <w:bCs/>
          <w:noProof/>
          <w:szCs w:val="24"/>
        </w:rPr>
      </w:pPr>
      <w:r>
        <w:rPr>
          <w:noProof/>
        </w:rPr>
        <w:br w:type="page"/>
      </w:r>
      <w:r>
        <w:t>1.6.</w:t>
      </w:r>
      <w:r>
        <w:tab/>
      </w:r>
      <w:r>
        <w:rPr>
          <w:noProof/>
        </w:rPr>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[ΗΗ/MM]ΕΕΕΕ έως [ΗΗ/MM]ΕΕΕΕ </w:t>
      </w:r>
    </w:p>
    <w:p>
      <w:pPr>
        <w:pStyle w:val="ListDash2"/>
        <w:rPr>
          <w:noProof/>
        </w:rPr>
      </w:pPr>
      <w:r>
        <w:rPr>
          <w:noProof/>
        </w:rPr>
        <w:sym w:font="Wingdings" w:char="F0A8"/>
      </w:r>
      <w:r>
        <w:rPr>
          <w:noProof/>
        </w:rPr>
        <w:tab/>
        <w:t xml:space="preserve">Δημοσιονομικές επιπτώσεις από το ΕΕΕΕ έως το ΕΕΕΕ </w:t>
      </w:r>
    </w:p>
    <w:p>
      <w:pPr>
        <w:pStyle w:val="Text1"/>
        <w:rPr>
          <w:noProof/>
        </w:rPr>
      </w:pPr>
      <w:r>
        <w:rPr>
          <w:noProof/>
        </w:rPr>
        <w:sym w:font="Wingdings" w:char="F0FD"/>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2022 έως το 2029,</w:t>
      </w:r>
    </w:p>
    <w:p>
      <w:pPr>
        <w:pStyle w:val="ListDash1"/>
        <w:rPr>
          <w:noProof/>
        </w:rPr>
      </w:pPr>
      <w:r>
        <w:rPr>
          <w:noProof/>
        </w:rPr>
        <w:t>και στη συνέχεια πλήρης εφαρμογή.</w:t>
      </w:r>
    </w:p>
    <w:p>
      <w:pPr>
        <w:pStyle w:val="ManualHeading2"/>
        <w:rPr>
          <w:bCs/>
          <w:noProof/>
          <w:szCs w:val="24"/>
        </w:rPr>
      </w:pPr>
      <w:r>
        <w:t>1.7.</w:t>
      </w:r>
      <w:r>
        <w:tab/>
      </w:r>
      <w:r>
        <w:rPr>
          <w:noProof/>
        </w:rPr>
        <w:t>Προβλεπόμενοι τρόποι διαχείρισης</w:t>
      </w:r>
      <w:r>
        <w:rPr>
          <w:rStyle w:val="FootnoteReference"/>
          <w:noProof/>
        </w:rPr>
        <w:footnoteReference w:id="57"/>
      </w:r>
      <w:r>
        <w:rPr>
          <w:rStyle w:val="FootnoteReference"/>
          <w:noProof/>
        </w:rPr>
        <w:t xml:space="preserve"> </w:t>
      </w:r>
    </w:p>
    <w:p>
      <w:pPr>
        <w:pStyle w:val="Text1"/>
        <w:rPr>
          <w:noProof/>
        </w:rPr>
      </w:pPr>
      <w:r>
        <w:rPr>
          <w:noProof/>
        </w:rPr>
        <w:sym w:font="Wingdings" w:char="F0FD"/>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FD"/>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pPr>
        <w:pStyle w:val="ListDash2"/>
        <w:rPr>
          <w:noProof/>
        </w:rPr>
      </w:pPr>
      <w:r>
        <w:rPr>
          <w:noProof/>
        </w:rPr>
        <w:sym w:font="Wingdings" w:char="F0A8"/>
      </w:r>
      <w:r>
        <w:rPr>
          <w:noProof/>
        </w:rPr>
        <w:t xml:space="preserve"> στην ΕΤΕπ και 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color w:val="000000"/>
        </w:rPr>
        <w:t>Η νομοθετική πρόταση θα θεσπίσει ένα εναρμονισμένο και διαλειτουργικό περιβάλλον ενιαίας θυρίδας της ΕΕ για τα τελωνεία. Το περιβάλλον αυτό περιλαμβάνει ένα σύνολο πλήρως ολοκληρωμένων ηλεκτρονικών υπηρεσιών παρεχόμενων σε ενωσιακό και εθνικό επίπεδο για την ανταλλαγή πληροφοριών μεταξύ τελωνείων και αρμόδιων αρχών-εταίρων και για τον εξορθολογισμό των διαδικασιών τελωνισμού των εμπορευμάτων για τους οικονομικούς φορείς. Σε συνεργασία με τα κράτη μέλη, η Επιτροπή θα συνεχίσει να αναπτύσσει, να συντηρεί και να διαχειρίζεται το κεντρικό ηλεκτρονικό σύστημα (EU CSW-CERTEX) ώστε να διευκολύνει την ανταλλαγή πληροφοριών μεταξύ όλων των φορέων που εμπλέκονται στον τελωνισμό εμπορευμάτων.</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τακτική παρακολούθηση θα βασίζεται όσο το δυνατόν περισσότερο σε ενωσιακές πηγές, όπως οι αναλυτικές εκθέσεις σχετικά με τις επιδόσεις της τελωνειακής ένωσης, καθώς και τα παραδοτέα και τα στατιστικά στοιχεία της ενιαίας θυρίδας EU CSW-CERTEX σε επιχειρηματικό επίπεδο και σε επίπεδο ΤΠ. Θα ζητηθεί η γνώμη των εθνικών τελωνειακών διοικήσεων ώστε να προσδιοριστεί κατά πόσον και σε ποιο βαθμό θα είναι εφικτή η χρήση άλλων πηγών.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Έξι έτη μετά την έναρξη ισχύος της νομοθεσίας και στη συνέχεια ανά τρία έτη, η Επιτροπή θα πρέπει να υποβάλλει στο Ευρωπαϊκό Κοινοβούλιο και στο Συμβούλιο έκθεση σχετικά με τη λειτουργία του περιβάλλοντος ενιαίας θυρίδας της ΕΕ για τα τελωνεία, συμπεριλαμβανομένης συνολικής αξιολόγησης του συστήματος της ενιαίας θυρίδας EU CSW-CERTEX. Δεδομένου ότι η πρωτοβουλία δεν θα έχει εφαρμοστεί πλήρως κατά τον χρόνο της πρώτης αξιολόγησης, στο επίκεντρο θα βρίσκονται η καταγραφή της προόδου, ο προσδιορισμός τομέων που χρήζουν βελτίωσης και η εκπόνηση συστάσεων για το μέλλον. Η δεύτερη αξιολόγηση θα ακολουθεί συνολικότερη προσέγγιση. </w:t>
      </w:r>
    </w:p>
    <w:p>
      <w:pPr>
        <w:pStyle w:val="Text1"/>
        <w:pBdr>
          <w:top w:val="single" w:sz="4" w:space="1" w:color="auto"/>
          <w:left w:val="single" w:sz="4" w:space="4" w:color="auto"/>
          <w:bottom w:val="single" w:sz="4" w:space="1" w:color="auto"/>
          <w:right w:val="single" w:sz="4" w:space="4" w:color="auto"/>
        </w:pBdr>
        <w:rPr>
          <w:noProof/>
        </w:rPr>
      </w:pPr>
      <w:r>
        <w:rPr>
          <w:noProof/>
        </w:rPr>
        <w:t>Οι δείκτες παρακολούθησης αναμένεται να συλλέγονται, εφόσον είναι δυνατόν, σε συνεχή βάση από το σύστημα ενιαίας θυρίδας EU CSW-CERTEX. Για λόγους αξιολόγησης, τα ετήσια στατιστικά στοιχεία θα υπολογίζονται και θα αντιπαραβάλλονται μεταξύ διαδοχικών ετών. Όπου είναι εφικτό, μπορεί να γίνεται αντιπαραβολή με την κατάσταση αναφοράς, η οποία νοείται ως η τάση ή ο μέσος όρος των τριών ετών που προηγούνται της έναρξης λειτουργίας.</w:t>
      </w:r>
    </w:p>
    <w:p>
      <w:pPr>
        <w:pStyle w:val="ManualHeading2"/>
        <w:rPr>
          <w:bCs/>
          <w:noProof/>
          <w:szCs w:val="24"/>
        </w:rPr>
      </w:pPr>
      <w:r>
        <w:t>2.2.</w:t>
      </w:r>
      <w:r>
        <w:tab/>
      </w:r>
      <w:r>
        <w:rPr>
          <w:noProof/>
        </w:rPr>
        <w:t xml:space="preserve">Σύστημα διαχείρισης και ελέγχου </w:t>
      </w:r>
    </w:p>
    <w:p>
      <w:pPr>
        <w:pStyle w:val="ManualHeading3"/>
        <w:rPr>
          <w:noProof/>
        </w:rPr>
      </w:pPr>
      <w:r>
        <w:t>2.2.1.</w:t>
      </w:r>
      <w:r>
        <w:tab/>
      </w:r>
      <w:r>
        <w:rPr>
          <w:noProof/>
        </w:rPr>
        <w:t xml:space="preserve">Κίνδυνοι που έχουν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Οι κύριοι κίνδυνοι σχετίζονται με την εφαρμογή του σχεδίου όπως προγραμματίζεται. Πρώτον, θα μπορούσε να προκύψει ενδεχόμενη έλλειψη σε ανθρώπινους και οικονομικούς πόρους ως αποτέλεσμα περικοπών του προϋπολογισμού, ανάλογα με την έκβαση των διαπραγματεύσεων για το επόμενο πολυετές δημοσιονομικό πλαίσιο 2021-2027 (ΠΔΠ)</w:t>
      </w:r>
      <w:r>
        <w:rPr>
          <w:rStyle w:val="FootnoteReference"/>
          <w:noProof/>
        </w:rPr>
        <w:footnoteReference w:id="58"/>
      </w:r>
      <w:r>
        <w:rPr>
          <w:noProof/>
        </w:rPr>
        <w:t xml:space="preserve">. Επιπροσθέτως, σημαντικό παράγοντα κινδύνου αποτελούν τόσο η οριζόντια φύση του σχεδίου, η οποία προϋποθέτει την ενεργή συμμετοχή αρκετών ΓΔ, όσο και η ποικιλομορφία των τελωνειακών κανονιστικών διατυπώσεων που εμπίπτουν στο πεδίο εφαρμογής. </w:t>
      </w:r>
    </w:p>
    <w:p>
      <w:pPr>
        <w:pStyle w:val="ManualHeading3"/>
        <w:rPr>
          <w:bCs/>
          <w:noProof/>
          <w:szCs w:val="24"/>
        </w:rPr>
      </w:pPr>
      <w:r>
        <w:t>2.2.2.</w:t>
      </w:r>
      <w:r>
        <w:tab/>
      </w:r>
      <w:r>
        <w:rPr>
          <w:noProof/>
        </w:rPr>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σχέδιο, οι λειτουργικές και τεχνικές προδιαγραφές, η ανάπτυξη, οι δοκιμές, η εφαρμογή, η λειτουργία και η συντήρηση της ενιαίας θυρίδας EU CSW-CERTEX υλοποιούνται βάσει υφιστάμενων συμβάσεων-πλαίσια με προμηθευτές ΤΠ, μνημονίων συμφωνίας με άλλες ΓΔ της Επιτροπής, καθώς και συμφωνιών επιπέδου εξυπηρέτησης με τα κράτη μέλη. Η υφιστάμενη εναρμόνιση μεταξύ επιχειρήσεων και ΤΠ στις ΓΔ της Επιτροπής περιορίζει κάθε ενδεχόμενη αλληλεπικάλυψη δραστηριοτήτων. </w:t>
      </w:r>
    </w:p>
    <w:p>
      <w:pPr>
        <w:pStyle w:val="Text1"/>
        <w:pBdr>
          <w:top w:val="single" w:sz="4" w:space="1" w:color="auto"/>
          <w:left w:val="single" w:sz="4" w:space="4" w:color="auto"/>
          <w:bottom w:val="single" w:sz="4" w:space="1" w:color="auto"/>
          <w:right w:val="single" w:sz="4" w:space="4" w:color="auto"/>
        </w:pBdr>
        <w:rPr>
          <w:noProof/>
        </w:rPr>
      </w:pPr>
      <w:r>
        <w:rPr>
          <w:noProof/>
        </w:rPr>
        <w:t>Οι οικονομικές συναλλαγές, σύμφωνα με το σύστημα ελέγχου της ΓΔ TAXUD, ελέγχονται εκ των προτέρων.</w:t>
      </w:r>
    </w:p>
    <w:p>
      <w:pPr>
        <w:pStyle w:val="ManualHeading3"/>
        <w:rPr>
          <w:noProof/>
        </w:rPr>
      </w:pPr>
      <w:r>
        <w:t>2.2.3.</w:t>
      </w:r>
      <w:r>
        <w:tab/>
      </w:r>
      <w:r>
        <w:rPr>
          <w:noProof/>
        </w:rPr>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Δεν διατίθεται εκτίμηση, διότι ο έλεγχος και η άμβλυνση των κινδύνων εντάσσεται στα εγγενή καθήκοντα της δομής διακυβέρνησης του έργου.</w:t>
      </w:r>
    </w:p>
    <w:p>
      <w:pPr>
        <w:pStyle w:val="Text1"/>
        <w:pBdr>
          <w:top w:val="single" w:sz="4" w:space="1" w:color="auto"/>
          <w:left w:val="single" w:sz="4" w:space="4" w:color="auto"/>
          <w:bottom w:val="single" w:sz="4" w:space="1" w:color="auto"/>
          <w:right w:val="single" w:sz="4" w:space="4" w:color="auto"/>
        </w:pBdr>
        <w:rPr>
          <w:noProof/>
        </w:rPr>
      </w:pPr>
      <w:r>
        <w:rPr>
          <w:noProof/>
        </w:rPr>
        <w:t>Το επίπεδο κινδύνου σφάλματος είναι περιορισμένο (επί του παρόντος εκτιμάται σε 0,5 % για δραστηριότητες δημόσιων συμβάσεων).</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Τα μέτρα που εφαρμόζονται από την Επιτροπή υπόκεινται σε εκ των προτέρων και εκ των υστέρων ελέγχους, σύμφωνα με τον δημοσιονομικό κανονισμό. Συμβάσεις και συμφωνίες για τη χρηματοδότηση της εφαρμογής του παρόντος κανονισμού θα εξουσιοδοτούν την Επιτροπή και το Ελεγκτικό Συνέδριο να διενεργούν ελέγχους και επιθεωρήσεις.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851"/>
        <w:gridCol w:w="992"/>
        <w:gridCol w:w="1553"/>
      </w:tblGrid>
      <w:tr>
        <w:trPr>
          <w:jc w:val="center"/>
        </w:trP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w:t>
            </w:r>
            <w:r>
              <w:rPr>
                <w:noProof/>
              </w:rPr>
              <w:t xml:space="preserve"> </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rPr>
          <w:jc w:val="center"/>
        </w:trP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rPr>
              <w:t xml:space="preserve"> </w:t>
            </w:r>
            <w:r>
              <w:rPr>
                <w:noProof/>
                <w:sz w:val="20"/>
              </w:rPr>
              <w:t>[Τομέας………………………...……………]</w:t>
            </w:r>
          </w:p>
        </w:tc>
        <w:tc>
          <w:tcPr>
            <w:tcW w:w="1080" w:type="dxa"/>
            <w:vAlign w:val="center"/>
          </w:tcPr>
          <w:p>
            <w:pPr>
              <w:jc w:val="center"/>
              <w:rPr>
                <w:noProof/>
              </w:rPr>
            </w:pPr>
            <w:r>
              <w:rPr>
                <w:noProof/>
                <w:sz w:val="18"/>
              </w:rPr>
              <w:t>ΔΠ/ΜΔΜ</w:t>
            </w:r>
          </w:p>
        </w:tc>
        <w:tc>
          <w:tcPr>
            <w:tcW w:w="1044" w:type="dxa"/>
            <w:vAlign w:val="center"/>
          </w:tcPr>
          <w:p>
            <w:pPr>
              <w:jc w:val="center"/>
              <w:rPr>
                <w:noProof/>
                <w:sz w:val="18"/>
              </w:rPr>
            </w:pPr>
            <w:r>
              <w:rPr>
                <w:noProof/>
                <w:sz w:val="18"/>
              </w:rPr>
              <w:t>χωρών ΕΖΕΣ</w:t>
            </w:r>
          </w:p>
        </w:tc>
        <w:tc>
          <w:tcPr>
            <w:tcW w:w="851" w:type="dxa"/>
            <w:vAlign w:val="center"/>
          </w:tcPr>
          <w:p>
            <w:pPr>
              <w:jc w:val="center"/>
              <w:rPr>
                <w:noProof/>
                <w:sz w:val="18"/>
              </w:rPr>
            </w:pPr>
            <w:r>
              <w:rPr>
                <w:noProof/>
                <w:sz w:val="18"/>
              </w:rPr>
              <w:t>υποψηφίων για ένταξη χωρών</w:t>
            </w:r>
          </w:p>
        </w:tc>
        <w:tc>
          <w:tcPr>
            <w:tcW w:w="992" w:type="dxa"/>
            <w:vAlign w:val="center"/>
          </w:tcPr>
          <w:p>
            <w:pPr>
              <w:jc w:val="center"/>
              <w:rPr>
                <w:noProof/>
                <w:sz w:val="18"/>
              </w:rPr>
            </w:pPr>
            <w:r>
              <w:rPr>
                <w:noProof/>
                <w:sz w:val="18"/>
              </w:rPr>
              <w:t>τρίτων χωρών</w:t>
            </w:r>
          </w:p>
        </w:tc>
        <w:tc>
          <w:tcPr>
            <w:tcW w:w="1553"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rPr>
          <w:jc w:val="center"/>
        </w:trPr>
        <w:tc>
          <w:tcPr>
            <w:tcW w:w="1080" w:type="dxa"/>
            <w:vAlign w:val="center"/>
          </w:tcPr>
          <w:p>
            <w:pPr>
              <w:jc w:val="center"/>
              <w:rPr>
                <w:noProof/>
              </w:rPr>
            </w:pPr>
          </w:p>
        </w:tc>
        <w:tc>
          <w:tcPr>
            <w:tcW w:w="3960" w:type="dxa"/>
            <w:vAlign w:val="bottom"/>
          </w:tcPr>
          <w:p>
            <w:pPr>
              <w:spacing w:before="60"/>
              <w:rPr>
                <w:noProof/>
              </w:rPr>
            </w:pPr>
            <w:r>
              <w:rPr>
                <w:noProof/>
              </w:rPr>
              <w:t>Α/Α</w:t>
            </w:r>
          </w:p>
          <w:p>
            <w:pPr>
              <w:spacing w:after="60"/>
              <w:rPr>
                <w:noProof/>
              </w:rPr>
            </w:pPr>
          </w:p>
        </w:tc>
        <w:tc>
          <w:tcPr>
            <w:tcW w:w="1080" w:type="dxa"/>
            <w:vAlign w:val="center"/>
          </w:tcPr>
          <w:p>
            <w:pPr>
              <w:jc w:val="center"/>
              <w:rPr>
                <w:noProof/>
              </w:rPr>
            </w:pPr>
          </w:p>
        </w:tc>
        <w:tc>
          <w:tcPr>
            <w:tcW w:w="1044" w:type="dxa"/>
            <w:vAlign w:val="center"/>
          </w:tcPr>
          <w:p>
            <w:pPr>
              <w:jc w:val="center"/>
              <w:rPr>
                <w:noProof/>
              </w:rPr>
            </w:pPr>
          </w:p>
        </w:tc>
        <w:tc>
          <w:tcPr>
            <w:tcW w:w="851" w:type="dxa"/>
            <w:vAlign w:val="center"/>
          </w:tcPr>
          <w:p>
            <w:pPr>
              <w:jc w:val="center"/>
              <w:rPr>
                <w:noProof/>
                <w:sz w:val="18"/>
              </w:rPr>
            </w:pPr>
          </w:p>
        </w:tc>
        <w:tc>
          <w:tcPr>
            <w:tcW w:w="992" w:type="dxa"/>
            <w:vAlign w:val="center"/>
          </w:tcPr>
          <w:p>
            <w:pPr>
              <w:jc w:val="center"/>
              <w:rPr>
                <w:noProof/>
                <w:sz w:val="18"/>
              </w:rPr>
            </w:pPr>
          </w:p>
        </w:tc>
        <w:tc>
          <w:tcPr>
            <w:tcW w:w="1553" w:type="dxa"/>
            <w:vAlign w:val="center"/>
          </w:tcPr>
          <w:p>
            <w:pPr>
              <w:jc w:val="center"/>
              <w:rPr>
                <w:noProof/>
              </w:rPr>
            </w:pPr>
          </w:p>
        </w:tc>
      </w:tr>
    </w:tbl>
    <w:p>
      <w:pPr>
        <w:pStyle w:val="Text1"/>
        <w:rPr>
          <w:noProof/>
        </w:rPr>
      </w:pPr>
    </w:p>
    <w:p>
      <w:pPr>
        <w:pStyle w:val="ListBullet1"/>
        <w:rPr>
          <w:noProof/>
        </w:rPr>
      </w:pPr>
      <w:r>
        <w:rPr>
          <w:noProof/>
        </w:rPr>
        <w:t xml:space="preserve">Νέες γραμμές του προϋπολογισμού, των οποίων έχει ζητηθεί η δημιουργία </w:t>
      </w:r>
    </w:p>
    <w:p>
      <w:pPr>
        <w:pStyle w:val="Text1"/>
        <w:rPr>
          <w:i/>
          <w:noProof/>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rPr>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Τομέας του πολυετούς δημοσιονομικού πλαισίου</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Γραμμή του προϋπολογισμού</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Είδος </w:t>
            </w:r>
            <w:r>
              <w:rPr>
                <w:noProof/>
              </w:rPr>
              <w:br/>
            </w:r>
            <w:r>
              <w:rPr>
                <w:noProof/>
                <w:sz w:val="18"/>
              </w:rPr>
              <w:t>δαπάνης</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Συμμετοχή </w:t>
            </w:r>
          </w:p>
        </w:tc>
      </w:tr>
      <w:tr>
        <w:trPr>
          <w:jc w:val="center"/>
        </w:trP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rPr>
              <w:t xml:space="preserve"> </w:t>
            </w:r>
            <w:r>
              <w:rPr>
                <w:noProof/>
              </w:rPr>
              <w:br/>
            </w:r>
            <w:r>
              <w:rPr>
                <w:noProof/>
                <w:sz w:val="20"/>
              </w:rPr>
              <w:t>[Τομέας………………………...……………]</w:t>
            </w:r>
          </w:p>
        </w:tc>
        <w:tc>
          <w:tcPr>
            <w:tcW w:w="1080" w:type="dxa"/>
            <w:vAlign w:val="center"/>
          </w:tcPr>
          <w:p>
            <w:pPr>
              <w:jc w:val="center"/>
              <w:rPr>
                <w:noProof/>
              </w:rPr>
            </w:pPr>
            <w:r>
              <w:rPr>
                <w:noProof/>
              </w:rPr>
              <w:t>ΔΠ</w:t>
            </w:r>
            <w:r>
              <w:rPr>
                <w:noProof/>
                <w:sz w:val="18"/>
              </w:rPr>
              <w:t>/ΜΔΜ</w:t>
            </w:r>
            <w:r>
              <w:rPr>
                <w:rStyle w:val="FootnoteReference"/>
                <w:noProof/>
                <w:sz w:val="18"/>
              </w:rPr>
              <w:footnoteReference w:id="59"/>
            </w:r>
          </w:p>
        </w:tc>
        <w:tc>
          <w:tcPr>
            <w:tcW w:w="1044" w:type="dxa"/>
            <w:vAlign w:val="center"/>
          </w:tcPr>
          <w:p>
            <w:pPr>
              <w:jc w:val="center"/>
              <w:rPr>
                <w:noProof/>
              </w:rPr>
            </w:pPr>
            <w:r>
              <w:rPr>
                <w:noProof/>
                <w:sz w:val="18"/>
              </w:rPr>
              <w:t>χωρών ΕΖΕΣ</w:t>
            </w:r>
            <w:r>
              <w:rPr>
                <w:rStyle w:val="FootnoteReference"/>
                <w:noProof/>
                <w:sz w:val="18"/>
              </w:rPr>
              <w:footnoteReference w:id="60"/>
            </w:r>
          </w:p>
          <w:p>
            <w:pPr>
              <w:spacing w:after="0"/>
              <w:jc w:val="center"/>
              <w:rPr>
                <w:b/>
                <w:noProof/>
                <w:sz w:val="18"/>
              </w:rPr>
            </w:pPr>
          </w:p>
        </w:tc>
        <w:tc>
          <w:tcPr>
            <w:tcW w:w="1134" w:type="dxa"/>
            <w:vAlign w:val="center"/>
          </w:tcPr>
          <w:p>
            <w:pPr>
              <w:jc w:val="center"/>
              <w:rPr>
                <w:noProof/>
              </w:rPr>
            </w:pPr>
            <w:r>
              <w:rPr>
                <w:noProof/>
                <w:sz w:val="18"/>
              </w:rPr>
              <w:t>υποψηφίων για ένταξη χωρών</w:t>
            </w:r>
            <w:r>
              <w:rPr>
                <w:rStyle w:val="FootnoteReference"/>
                <w:noProof/>
                <w:sz w:val="18"/>
              </w:rPr>
              <w:footnoteReference w:id="61"/>
            </w:r>
          </w:p>
          <w:p>
            <w:pPr>
              <w:spacing w:after="0"/>
              <w:jc w:val="center"/>
              <w:rPr>
                <w:noProof/>
                <w:sz w:val="18"/>
              </w:rPr>
            </w:pPr>
          </w:p>
        </w:tc>
        <w:tc>
          <w:tcPr>
            <w:tcW w:w="814"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rPr>
          <w:jc w:val="center"/>
        </w:trPr>
        <w:tc>
          <w:tcPr>
            <w:tcW w:w="1080" w:type="dxa"/>
            <w:vAlign w:val="center"/>
          </w:tcPr>
          <w:p>
            <w:pPr>
              <w:jc w:val="center"/>
              <w:rPr>
                <w:noProof/>
              </w:rPr>
            </w:pPr>
            <w:r>
              <w:rPr>
                <w:noProof/>
              </w:rPr>
              <w:t>1</w:t>
            </w:r>
          </w:p>
        </w:tc>
        <w:tc>
          <w:tcPr>
            <w:tcW w:w="3960" w:type="dxa"/>
            <w:vAlign w:val="center"/>
          </w:tcPr>
          <w:p>
            <w:pPr>
              <w:spacing w:before="60"/>
              <w:rPr>
                <w:noProof/>
              </w:rPr>
            </w:pPr>
          </w:p>
          <w:p>
            <w:pPr>
              <w:spacing w:before="60"/>
              <w:rPr>
                <w:noProof/>
              </w:rPr>
            </w:pPr>
            <w:r>
              <w:rPr>
                <w:noProof/>
              </w:rPr>
              <w:t>03.05.01</w:t>
            </w:r>
          </w:p>
          <w:p>
            <w:pPr>
              <w:spacing w:after="60"/>
              <w:rPr>
                <w:noProof/>
              </w:rPr>
            </w:pPr>
          </w:p>
        </w:tc>
        <w:tc>
          <w:tcPr>
            <w:tcW w:w="1080" w:type="dxa"/>
            <w:vAlign w:val="center"/>
          </w:tcPr>
          <w:p>
            <w:pPr>
              <w:jc w:val="center"/>
              <w:rPr>
                <w:noProof/>
              </w:rPr>
            </w:pPr>
            <w:r>
              <w:rPr>
                <w:noProof/>
              </w:rPr>
              <w:t>ΔΠ</w:t>
            </w:r>
          </w:p>
        </w:tc>
        <w:tc>
          <w:tcPr>
            <w:tcW w:w="1044" w:type="dxa"/>
            <w:vAlign w:val="center"/>
          </w:tcPr>
          <w:p>
            <w:pPr>
              <w:jc w:val="center"/>
              <w:rPr>
                <w:noProof/>
              </w:rPr>
            </w:pPr>
            <w:r>
              <w:rPr>
                <w:noProof/>
              </w:rPr>
              <w:t>ΟΧΙ</w:t>
            </w:r>
          </w:p>
        </w:tc>
        <w:tc>
          <w:tcPr>
            <w:tcW w:w="1134" w:type="dxa"/>
            <w:vAlign w:val="center"/>
          </w:tcPr>
          <w:p>
            <w:pPr>
              <w:jc w:val="center"/>
              <w:rPr>
                <w:noProof/>
              </w:rPr>
            </w:pPr>
            <w:r>
              <w:rPr>
                <w:noProof/>
              </w:rPr>
              <w:t>ΟΧΙ</w:t>
            </w:r>
          </w:p>
        </w:tc>
        <w:tc>
          <w:tcPr>
            <w:tcW w:w="814" w:type="dxa"/>
            <w:vAlign w:val="center"/>
          </w:tcPr>
          <w:p>
            <w:pPr>
              <w:jc w:val="center"/>
              <w:rPr>
                <w:noProof/>
              </w:rPr>
            </w:pPr>
            <w:r>
              <w:rPr>
                <w:noProof/>
              </w:rPr>
              <w:t>ΟΧΙ</w:t>
            </w:r>
          </w:p>
        </w:tc>
        <w:tc>
          <w:tcPr>
            <w:tcW w:w="1448" w:type="dxa"/>
            <w:vAlign w:val="center"/>
          </w:tcPr>
          <w:p>
            <w:pPr>
              <w:jc w:val="center"/>
              <w:rPr>
                <w:noProof/>
              </w:rPr>
            </w:pPr>
            <w:r>
              <w:rPr>
                <w:noProof/>
              </w:rPr>
              <w:t>ΟΧΙ</w:t>
            </w:r>
          </w:p>
        </w:tc>
      </w:tr>
      <w:tr>
        <w:trPr>
          <w:jc w:val="center"/>
        </w:trPr>
        <w:tc>
          <w:tcPr>
            <w:tcW w:w="1080" w:type="dxa"/>
            <w:vAlign w:val="center"/>
          </w:tcPr>
          <w:p>
            <w:pPr>
              <w:jc w:val="center"/>
              <w:rPr>
                <w:noProof/>
              </w:rPr>
            </w:pPr>
            <w:r>
              <w:rPr>
                <w:noProof/>
              </w:rPr>
              <w:t>Προς καθορισμό</w:t>
            </w:r>
          </w:p>
        </w:tc>
        <w:tc>
          <w:tcPr>
            <w:tcW w:w="3960" w:type="dxa"/>
            <w:vAlign w:val="center"/>
          </w:tcPr>
          <w:p>
            <w:pPr>
              <w:spacing w:before="60"/>
              <w:rPr>
                <w:noProof/>
              </w:rPr>
            </w:pPr>
            <w:r>
              <w:rPr>
                <w:noProof/>
              </w:rPr>
              <w:t>Γραμμές προϋπολογισμού των συμμετεχουσών ΓΔ</w:t>
            </w:r>
          </w:p>
        </w:tc>
        <w:tc>
          <w:tcPr>
            <w:tcW w:w="1080" w:type="dxa"/>
            <w:vAlign w:val="center"/>
          </w:tcPr>
          <w:p>
            <w:pPr>
              <w:jc w:val="center"/>
              <w:rPr>
                <w:noProof/>
              </w:rPr>
            </w:pPr>
            <w:r>
              <w:rPr>
                <w:noProof/>
              </w:rPr>
              <w:t>ΔΠ</w:t>
            </w:r>
          </w:p>
        </w:tc>
        <w:tc>
          <w:tcPr>
            <w:tcW w:w="1044" w:type="dxa"/>
            <w:vAlign w:val="center"/>
          </w:tcPr>
          <w:p>
            <w:pPr>
              <w:jc w:val="center"/>
              <w:rPr>
                <w:noProof/>
              </w:rPr>
            </w:pPr>
            <w:r>
              <w:rPr>
                <w:noProof/>
              </w:rPr>
              <w:t>ΟΧΙ</w:t>
            </w:r>
          </w:p>
        </w:tc>
        <w:tc>
          <w:tcPr>
            <w:tcW w:w="1134" w:type="dxa"/>
            <w:vAlign w:val="center"/>
          </w:tcPr>
          <w:p>
            <w:pPr>
              <w:jc w:val="center"/>
              <w:rPr>
                <w:noProof/>
              </w:rPr>
            </w:pPr>
            <w:r>
              <w:rPr>
                <w:noProof/>
              </w:rPr>
              <w:t>ΟΧΙ</w:t>
            </w:r>
          </w:p>
        </w:tc>
        <w:tc>
          <w:tcPr>
            <w:tcW w:w="814" w:type="dxa"/>
            <w:vAlign w:val="center"/>
          </w:tcPr>
          <w:p>
            <w:pPr>
              <w:jc w:val="center"/>
              <w:rPr>
                <w:noProof/>
              </w:rPr>
            </w:pPr>
            <w:r>
              <w:rPr>
                <w:noProof/>
              </w:rPr>
              <w:t>ΟΧΙ</w:t>
            </w:r>
          </w:p>
        </w:tc>
        <w:tc>
          <w:tcPr>
            <w:tcW w:w="1448" w:type="dxa"/>
            <w:vAlign w:val="center"/>
          </w:tcPr>
          <w:p>
            <w:pPr>
              <w:jc w:val="center"/>
              <w:rPr>
                <w:noProof/>
              </w:rPr>
            </w:pPr>
            <w:r>
              <w:rPr>
                <w:noProof/>
              </w:rPr>
              <w:t>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Εκτιμώμενες επιπτώσεις στις δαπάνες </w:t>
      </w:r>
    </w:p>
    <w:p>
      <w:pPr>
        <w:pStyle w:val="Text1"/>
        <w:rPr>
          <w:noProof/>
        </w:rPr>
      </w:pPr>
      <w:r>
        <w:rPr>
          <w:noProof/>
          <w:highlight w:val="lightGray"/>
        </w:rPr>
        <w:t xml:space="preserve">[Αυτό το τμήμα πρέπει να συμπληρωθεί με τη χρήση </w:t>
      </w:r>
      <w:hyperlink r:id="rId13" w:history="1">
        <w:r>
          <w:rPr>
            <w:rStyle w:val="Hyperlink"/>
            <w:b/>
            <w:noProof/>
            <w:highlight w:val="lightGray"/>
          </w:rPr>
          <w:t>λογιστικών φύλλων για τα διοικητικού χαρακτήρα στοιχεία του προϋπολογισμού</w:t>
        </w:r>
      </w:hyperlink>
      <w:r>
        <w:rPr>
          <w:noProof/>
          <w:highlight w:val="lightGray"/>
        </w:rPr>
        <w:t xml:space="preserve"> (δεύτερο έγγραφο στο παράρτημα του παρόντος δημοσιονομικού δελτίου) και να τηλεφορτωθεί στο CISNET για διυπηρεσιακή διαβούλευση.]</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σε εκατ. EUR (με τρία δεκαδικά ψηφία)</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1212"/>
        <w:gridCol w:w="8773"/>
      </w:tblGrid>
      <w:tr>
        <w:trPr>
          <w:jc w:val="center"/>
        </w:trPr>
        <w:tc>
          <w:tcPr>
            <w:tcW w:w="4744" w:type="dxa"/>
            <w:shd w:val="thinDiagStripe" w:color="C0C0C0" w:fill="auto"/>
            <w:vAlign w:val="center"/>
          </w:tcPr>
          <w:p>
            <w:pPr>
              <w:spacing w:before="60" w:after="60"/>
              <w:jc w:val="center"/>
              <w:rPr>
                <w:b/>
                <w:noProof/>
              </w:rPr>
            </w:pPr>
            <w:r>
              <w:rPr>
                <w:b/>
                <w:noProof/>
              </w:rPr>
              <w:t xml:space="preserve">Τομέας του πολυετούς δημοσιονομικού </w:t>
            </w:r>
            <w:r>
              <w:rPr>
                <w:noProof/>
              </w:rPr>
              <w:br/>
            </w:r>
            <w:r>
              <w:rPr>
                <w:b/>
                <w:noProof/>
              </w:rPr>
              <w:t xml:space="preserve">πλαισίου </w:t>
            </w:r>
          </w:p>
        </w:tc>
        <w:tc>
          <w:tcPr>
            <w:tcW w:w="1080" w:type="dxa"/>
            <w:vAlign w:val="center"/>
          </w:tcPr>
          <w:p>
            <w:pPr>
              <w:spacing w:before="60" w:after="60"/>
              <w:jc w:val="center"/>
              <w:rPr>
                <w:noProof/>
              </w:rPr>
            </w:pPr>
            <w:r>
              <w:rPr>
                <w:noProof/>
              </w:rPr>
              <w:t>Αριθμός 1</w:t>
            </w:r>
          </w:p>
        </w:tc>
        <w:tc>
          <w:tcPr>
            <w:tcW w:w="7817" w:type="dxa"/>
            <w:vAlign w:val="center"/>
          </w:tcPr>
          <w:p>
            <w:pPr>
              <w:spacing w:before="60" w:after="60"/>
              <w:rPr>
                <w:noProof/>
              </w:rPr>
            </w:pPr>
            <w:r>
              <w:rPr>
                <w:noProof/>
                <w:color w:val="000000" w:themeColor="text1"/>
              </w:rPr>
              <w:t>Τα κονδύλια που δεσμεύονται στην παρούσα νομοθετική πρόταση καλύπτονται από τον προϋπολογισμό του προγράμματος για τα τελωνεία ύψους 950 εκατ. EUR που προτάθηκε από την Επιτροπή στις 8 Ιουνίου 2018 για το επόμενο ΠΔΠ 2021-2027. Παρά το γεγονός ότι η παρούσα πρωτοβουλία δεν επιφέρει πρόσθετη δημοσιονομική επίπτωση, η αποτελεσματική εφαρμογή της θα εξαρτηθεί από τη διαθεσιμότητα επαρκών πόρων μετά την έκβαση των διαπραγματεύσεων για το ΠΔΠ 2021-2027.</w:t>
            </w:r>
          </w:p>
        </w:tc>
      </w:tr>
    </w:tbl>
    <w:p>
      <w:pPr>
        <w:rPr>
          <w:noProof/>
          <w:sz w:val="16"/>
        </w:rPr>
      </w:pPr>
    </w:p>
    <w:tbl>
      <w:tblPr>
        <w:tblW w:w="13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1340"/>
        <w:gridCol w:w="111"/>
        <w:gridCol w:w="509"/>
        <w:gridCol w:w="941"/>
        <w:gridCol w:w="941"/>
        <w:gridCol w:w="941"/>
        <w:gridCol w:w="815"/>
        <w:gridCol w:w="929"/>
        <w:gridCol w:w="885"/>
        <w:gridCol w:w="884"/>
        <w:gridCol w:w="1627"/>
      </w:tblGrid>
      <w:tr>
        <w:trPr>
          <w:gridAfter w:val="1"/>
          <w:wAfter w:w="1627" w:type="dxa"/>
          <w:jc w:val="center"/>
        </w:trPr>
        <w:tc>
          <w:tcPr>
            <w:tcW w:w="3648" w:type="dxa"/>
            <w:vAlign w:val="center"/>
          </w:tcPr>
          <w:p>
            <w:pPr>
              <w:jc w:val="center"/>
              <w:rPr>
                <w:b/>
                <w:noProof/>
              </w:rPr>
            </w:pPr>
            <w:r>
              <w:rPr>
                <w:b/>
                <w:noProof/>
              </w:rPr>
              <w:t>ΓΔ: TAXUD</w:t>
            </w:r>
          </w:p>
        </w:tc>
        <w:tc>
          <w:tcPr>
            <w:tcW w:w="1451" w:type="dxa"/>
            <w:gridSpan w:val="2"/>
          </w:tcPr>
          <w:p>
            <w:pPr>
              <w:rPr>
                <w:noProof/>
                <w:sz w:val="20"/>
              </w:rPr>
            </w:pPr>
          </w:p>
        </w:tc>
        <w:tc>
          <w:tcPr>
            <w:tcW w:w="509" w:type="dxa"/>
          </w:tcPr>
          <w:p>
            <w:pPr>
              <w:jc w:val="center"/>
              <w:rPr>
                <w:noProof/>
                <w:sz w:val="20"/>
              </w:rPr>
            </w:pPr>
          </w:p>
        </w:tc>
        <w:tc>
          <w:tcPr>
            <w:tcW w:w="941" w:type="dxa"/>
            <w:vAlign w:val="center"/>
          </w:tcPr>
          <w:p>
            <w:pPr>
              <w:jc w:val="center"/>
              <w:rPr>
                <w:noProof/>
                <w:sz w:val="20"/>
              </w:rPr>
            </w:pPr>
            <w:r>
              <w:rPr>
                <w:noProof/>
                <w:sz w:val="20"/>
              </w:rPr>
              <w:t>Έτος</w:t>
            </w:r>
            <w:r>
              <w:rPr>
                <w:noProof/>
              </w:rPr>
              <w:t xml:space="preserve"> </w:t>
            </w:r>
            <w:r>
              <w:rPr>
                <w:noProof/>
              </w:rPr>
              <w:br/>
            </w:r>
            <w:r>
              <w:rPr>
                <w:b/>
                <w:noProof/>
                <w:sz w:val="20"/>
              </w:rPr>
              <w:t>2022</w:t>
            </w:r>
            <w:r>
              <w:rPr>
                <w:rStyle w:val="FootnoteReference"/>
                <w:b/>
                <w:noProof/>
                <w:sz w:val="20"/>
              </w:rPr>
              <w:footnoteReference w:id="62"/>
            </w:r>
          </w:p>
        </w:tc>
        <w:tc>
          <w:tcPr>
            <w:tcW w:w="941"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941"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15" w:type="dxa"/>
            <w:vAlign w:val="center"/>
          </w:tcPr>
          <w:p>
            <w:pPr>
              <w:jc w:val="center"/>
              <w:rPr>
                <w:noProof/>
                <w:sz w:val="20"/>
              </w:rPr>
            </w:pPr>
            <w:r>
              <w:rPr>
                <w:noProof/>
                <w:sz w:val="20"/>
              </w:rPr>
              <w:t>Έτος</w:t>
            </w:r>
            <w:r>
              <w:rPr>
                <w:noProof/>
              </w:rPr>
              <w:t xml:space="preserve"> </w:t>
            </w:r>
            <w:r>
              <w:rPr>
                <w:noProof/>
              </w:rPr>
              <w:br/>
            </w:r>
            <w:r>
              <w:rPr>
                <w:b/>
                <w:noProof/>
                <w:sz w:val="20"/>
              </w:rPr>
              <w:t>2025</w:t>
            </w:r>
          </w:p>
        </w:tc>
        <w:tc>
          <w:tcPr>
            <w:tcW w:w="929" w:type="dxa"/>
          </w:tcPr>
          <w:p>
            <w:pPr>
              <w:jc w:val="center"/>
              <w:rPr>
                <w:noProof/>
                <w:sz w:val="18"/>
              </w:rPr>
            </w:pPr>
            <w:r>
              <w:rPr>
                <w:noProof/>
                <w:sz w:val="20"/>
              </w:rPr>
              <w:t>Έτος</w:t>
            </w:r>
            <w:r>
              <w:rPr>
                <w:noProof/>
              </w:rPr>
              <w:t xml:space="preserve"> </w:t>
            </w:r>
            <w:r>
              <w:rPr>
                <w:noProof/>
              </w:rPr>
              <w:br/>
            </w:r>
            <w:r>
              <w:rPr>
                <w:b/>
                <w:noProof/>
                <w:sz w:val="20"/>
              </w:rPr>
              <w:t>2026</w:t>
            </w:r>
          </w:p>
        </w:tc>
        <w:tc>
          <w:tcPr>
            <w:tcW w:w="885" w:type="dxa"/>
          </w:tcPr>
          <w:p>
            <w:pPr>
              <w:jc w:val="center"/>
              <w:rPr>
                <w:noProof/>
                <w:sz w:val="18"/>
              </w:rPr>
            </w:pPr>
            <w:r>
              <w:rPr>
                <w:noProof/>
                <w:sz w:val="20"/>
              </w:rPr>
              <w:t>Έτος</w:t>
            </w:r>
            <w:r>
              <w:rPr>
                <w:noProof/>
              </w:rPr>
              <w:t xml:space="preserve"> </w:t>
            </w:r>
            <w:r>
              <w:rPr>
                <w:noProof/>
              </w:rPr>
              <w:br/>
            </w:r>
            <w:r>
              <w:rPr>
                <w:b/>
                <w:noProof/>
                <w:sz w:val="20"/>
              </w:rPr>
              <w:t>2027</w:t>
            </w:r>
          </w:p>
        </w:tc>
        <w:tc>
          <w:tcPr>
            <w:tcW w:w="884" w:type="dxa"/>
          </w:tcPr>
          <w:p>
            <w:pPr>
              <w:jc w:val="center"/>
              <w:rPr>
                <w:noProof/>
                <w:sz w:val="18"/>
              </w:rPr>
            </w:pPr>
            <w:r>
              <w:rPr>
                <w:noProof/>
                <w:sz w:val="20"/>
              </w:rPr>
              <w:t>Πέραν του</w:t>
            </w:r>
            <w:r>
              <w:rPr>
                <w:noProof/>
              </w:rPr>
              <w:t xml:space="preserve"> </w:t>
            </w:r>
            <w:r>
              <w:rPr>
                <w:noProof/>
              </w:rPr>
              <w:br/>
            </w:r>
            <w:r>
              <w:rPr>
                <w:b/>
                <w:noProof/>
                <w:sz w:val="20"/>
              </w:rPr>
              <w:t>2027</w:t>
            </w:r>
            <w:r>
              <w:rPr>
                <w:rStyle w:val="FootnoteReference"/>
                <w:b/>
                <w:noProof/>
                <w:sz w:val="20"/>
              </w:rPr>
              <w:footnoteReference w:id="63"/>
            </w:r>
          </w:p>
        </w:tc>
      </w:tr>
      <w:tr>
        <w:trPr>
          <w:trHeight w:val="213"/>
          <w:jc w:val="center"/>
        </w:trPr>
        <w:tc>
          <w:tcPr>
            <w:tcW w:w="5608"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941" w:type="dxa"/>
            <w:vAlign w:val="center"/>
          </w:tcPr>
          <w:p>
            <w:pPr>
              <w:rPr>
                <w:noProof/>
                <w:sz w:val="20"/>
              </w:rPr>
            </w:pPr>
          </w:p>
        </w:tc>
        <w:tc>
          <w:tcPr>
            <w:tcW w:w="941" w:type="dxa"/>
            <w:vAlign w:val="center"/>
          </w:tcPr>
          <w:p>
            <w:pPr>
              <w:rPr>
                <w:noProof/>
                <w:sz w:val="20"/>
              </w:rPr>
            </w:pPr>
          </w:p>
        </w:tc>
        <w:tc>
          <w:tcPr>
            <w:tcW w:w="941" w:type="dxa"/>
            <w:vAlign w:val="center"/>
          </w:tcPr>
          <w:p>
            <w:pPr>
              <w:rPr>
                <w:noProof/>
                <w:sz w:val="20"/>
              </w:rPr>
            </w:pPr>
          </w:p>
        </w:tc>
        <w:tc>
          <w:tcPr>
            <w:tcW w:w="815" w:type="dxa"/>
            <w:vAlign w:val="center"/>
          </w:tcPr>
          <w:p>
            <w:pPr>
              <w:rPr>
                <w:noProof/>
                <w:sz w:val="20"/>
              </w:rPr>
            </w:pPr>
          </w:p>
        </w:tc>
        <w:tc>
          <w:tcPr>
            <w:tcW w:w="929" w:type="dxa"/>
            <w:vAlign w:val="center"/>
          </w:tcPr>
          <w:p>
            <w:pPr>
              <w:rPr>
                <w:noProof/>
                <w:sz w:val="20"/>
              </w:rPr>
            </w:pPr>
          </w:p>
        </w:tc>
        <w:tc>
          <w:tcPr>
            <w:tcW w:w="885" w:type="dxa"/>
            <w:vAlign w:val="center"/>
          </w:tcPr>
          <w:p>
            <w:pPr>
              <w:rPr>
                <w:noProof/>
                <w:sz w:val="20"/>
              </w:rPr>
            </w:pPr>
          </w:p>
        </w:tc>
        <w:tc>
          <w:tcPr>
            <w:tcW w:w="884" w:type="dxa"/>
            <w:vAlign w:val="center"/>
          </w:tcPr>
          <w:p>
            <w:pPr>
              <w:rPr>
                <w:noProof/>
                <w:sz w:val="20"/>
              </w:rPr>
            </w:pPr>
          </w:p>
        </w:tc>
        <w:tc>
          <w:tcPr>
            <w:tcW w:w="1627" w:type="dxa"/>
            <w:vAlign w:val="center"/>
          </w:tcPr>
          <w:p>
            <w:pPr>
              <w:jc w:val="center"/>
              <w:rPr>
                <w:b/>
                <w:noProof/>
                <w:sz w:val="20"/>
              </w:rPr>
            </w:pPr>
            <w:r>
              <w:rPr>
                <w:b/>
                <w:noProof/>
                <w:sz w:val="20"/>
              </w:rPr>
              <w:t>ΣΥΝΟΛΟ</w:t>
            </w:r>
          </w:p>
        </w:tc>
      </w:tr>
      <w:tr>
        <w:trPr>
          <w:trHeight w:val="277"/>
          <w:jc w:val="center"/>
        </w:trPr>
        <w:tc>
          <w:tcPr>
            <w:tcW w:w="3648" w:type="dxa"/>
            <w:vMerge w:val="restart"/>
            <w:vAlign w:val="center"/>
          </w:tcPr>
          <w:p>
            <w:pPr>
              <w:rPr>
                <w:noProof/>
              </w:rPr>
            </w:pPr>
            <w:r>
              <w:rPr>
                <w:noProof/>
              </w:rPr>
              <w:t>03.05.01</w:t>
            </w:r>
          </w:p>
        </w:tc>
        <w:tc>
          <w:tcPr>
            <w:tcW w:w="1340" w:type="dxa"/>
            <w:vAlign w:val="center"/>
          </w:tcPr>
          <w:p>
            <w:pPr>
              <w:spacing w:before="20" w:after="20"/>
              <w:rPr>
                <w:noProof/>
                <w:sz w:val="18"/>
              </w:rPr>
            </w:pPr>
            <w:r>
              <w:rPr>
                <w:noProof/>
                <w:sz w:val="18"/>
              </w:rPr>
              <w:t>Αναλήψεις υποχρεώσεων</w:t>
            </w:r>
          </w:p>
        </w:tc>
        <w:tc>
          <w:tcPr>
            <w:tcW w:w="620" w:type="dxa"/>
            <w:gridSpan w:val="2"/>
            <w:vAlign w:val="center"/>
          </w:tcPr>
          <w:p>
            <w:pPr>
              <w:spacing w:before="20" w:after="20"/>
              <w:jc w:val="center"/>
              <w:rPr>
                <w:noProof/>
                <w:sz w:val="14"/>
              </w:rPr>
            </w:pPr>
            <w:r>
              <w:rPr>
                <w:noProof/>
                <w:sz w:val="14"/>
              </w:rPr>
              <w:t>(1)</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815" w:type="dxa"/>
            <w:vAlign w:val="center"/>
          </w:tcPr>
          <w:p>
            <w:pPr>
              <w:spacing w:after="0"/>
              <w:jc w:val="right"/>
              <w:rPr>
                <w:noProof/>
                <w:sz w:val="18"/>
                <w:szCs w:val="18"/>
              </w:rPr>
            </w:pPr>
            <w:r>
              <w:rPr>
                <w:noProof/>
                <w:sz w:val="18"/>
                <w:szCs w:val="18"/>
              </w:rPr>
              <w:t>3,964</w:t>
            </w:r>
          </w:p>
        </w:tc>
        <w:tc>
          <w:tcPr>
            <w:tcW w:w="929" w:type="dxa"/>
            <w:vAlign w:val="center"/>
          </w:tcPr>
          <w:p>
            <w:pPr>
              <w:spacing w:after="0"/>
              <w:jc w:val="right"/>
              <w:rPr>
                <w:noProof/>
                <w:sz w:val="18"/>
                <w:szCs w:val="18"/>
              </w:rPr>
            </w:pPr>
            <w:r>
              <w:rPr>
                <w:noProof/>
                <w:sz w:val="18"/>
                <w:szCs w:val="18"/>
              </w:rPr>
              <w:t>3,964</w:t>
            </w:r>
          </w:p>
        </w:tc>
        <w:tc>
          <w:tcPr>
            <w:tcW w:w="885" w:type="dxa"/>
            <w:vAlign w:val="center"/>
          </w:tcPr>
          <w:p>
            <w:pPr>
              <w:spacing w:after="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p>
        </w:tc>
        <w:tc>
          <w:tcPr>
            <w:tcW w:w="1627" w:type="dxa"/>
            <w:vAlign w:val="center"/>
          </w:tcPr>
          <w:p>
            <w:pPr>
              <w:spacing w:before="20" w:after="20"/>
              <w:jc w:val="center"/>
              <w:rPr>
                <w:b/>
                <w:noProof/>
                <w:sz w:val="20"/>
                <w:szCs w:val="20"/>
              </w:rPr>
            </w:pPr>
            <w:r>
              <w:rPr>
                <w:b/>
                <w:noProof/>
                <w:sz w:val="20"/>
                <w:szCs w:val="20"/>
              </w:rPr>
              <w:t>23,781</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Πληρωμές</w:t>
            </w:r>
          </w:p>
        </w:tc>
        <w:tc>
          <w:tcPr>
            <w:tcW w:w="620" w:type="dxa"/>
            <w:gridSpan w:val="2"/>
            <w:vAlign w:val="center"/>
          </w:tcPr>
          <w:p>
            <w:pPr>
              <w:spacing w:before="20" w:after="20"/>
              <w:jc w:val="center"/>
              <w:rPr>
                <w:noProof/>
                <w:sz w:val="14"/>
              </w:rPr>
            </w:pPr>
            <w:r>
              <w:rPr>
                <w:noProof/>
                <w:sz w:val="14"/>
              </w:rPr>
              <w:t>(2)</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4,756</w:t>
            </w:r>
          </w:p>
        </w:tc>
        <w:tc>
          <w:tcPr>
            <w:tcW w:w="1627" w:type="dxa"/>
            <w:vAlign w:val="center"/>
          </w:tcPr>
          <w:p>
            <w:pPr>
              <w:spacing w:before="20" w:after="20"/>
              <w:jc w:val="center"/>
              <w:rPr>
                <w:b/>
                <w:noProof/>
                <w:sz w:val="20"/>
                <w:szCs w:val="20"/>
              </w:rPr>
            </w:pPr>
            <w:r>
              <w:rPr>
                <w:b/>
                <w:noProof/>
                <w:sz w:val="20"/>
                <w:szCs w:val="20"/>
              </w:rPr>
              <w:t>23,781</w:t>
            </w:r>
          </w:p>
        </w:tc>
      </w:tr>
      <w:tr>
        <w:trPr>
          <w:jc w:val="center"/>
        </w:trPr>
        <w:tc>
          <w:tcPr>
            <w:tcW w:w="3648" w:type="dxa"/>
            <w:vMerge w:val="restart"/>
            <w:vAlign w:val="center"/>
          </w:tcPr>
          <w:p>
            <w:pPr>
              <w:rPr>
                <w:noProof/>
              </w:rPr>
            </w:pPr>
            <w:r>
              <w:rPr>
                <w:noProof/>
                <w:sz w:val="20"/>
              </w:rPr>
              <w:t>Άγνωστο</w:t>
            </w:r>
          </w:p>
        </w:tc>
        <w:tc>
          <w:tcPr>
            <w:tcW w:w="1340" w:type="dxa"/>
            <w:vAlign w:val="center"/>
          </w:tcPr>
          <w:p>
            <w:pPr>
              <w:spacing w:before="20" w:after="20"/>
              <w:rPr>
                <w:noProof/>
                <w:sz w:val="18"/>
              </w:rPr>
            </w:pPr>
            <w:r>
              <w:rPr>
                <w:noProof/>
                <w:sz w:val="18"/>
              </w:rPr>
              <w:t>Αναλήψεις υποχρεώσεων</w:t>
            </w:r>
          </w:p>
        </w:tc>
        <w:tc>
          <w:tcPr>
            <w:tcW w:w="620" w:type="dxa"/>
            <w:gridSpan w:val="2"/>
            <w:vAlign w:val="center"/>
          </w:tcPr>
          <w:p>
            <w:pPr>
              <w:spacing w:before="20" w:after="20"/>
              <w:jc w:val="center"/>
              <w:rPr>
                <w:noProof/>
                <w:sz w:val="14"/>
              </w:rPr>
            </w:pPr>
            <w:r>
              <w:rPr>
                <w:noProof/>
                <w:sz w:val="14"/>
              </w:rPr>
              <w:t>(1α)</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after="0"/>
              <w:jc w:val="right"/>
              <w:rPr>
                <w:noProof/>
                <w:sz w:val="18"/>
                <w:szCs w:val="18"/>
              </w:rPr>
            </w:pPr>
            <w:r>
              <w:rPr>
                <w:noProof/>
                <w:sz w:val="18"/>
                <w:szCs w:val="18"/>
              </w:rPr>
              <w:t>9,190</w:t>
            </w:r>
          </w:p>
        </w:tc>
        <w:tc>
          <w:tcPr>
            <w:tcW w:w="1627" w:type="dxa"/>
            <w:vAlign w:val="center"/>
          </w:tcPr>
          <w:p>
            <w:pPr>
              <w:spacing w:before="20" w:after="20"/>
              <w:jc w:val="center"/>
              <w:rPr>
                <w:b/>
                <w:noProof/>
                <w:sz w:val="20"/>
                <w:szCs w:val="20"/>
              </w:rPr>
            </w:pPr>
            <w:r>
              <w:rPr>
                <w:b/>
                <w:noProof/>
                <w:sz w:val="20"/>
                <w:szCs w:val="20"/>
              </w:rPr>
              <w:t>9,189</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Πληρωμές</w:t>
            </w:r>
          </w:p>
        </w:tc>
        <w:tc>
          <w:tcPr>
            <w:tcW w:w="620" w:type="dxa"/>
            <w:gridSpan w:val="2"/>
            <w:vAlign w:val="center"/>
          </w:tcPr>
          <w:p>
            <w:pPr>
              <w:spacing w:before="20" w:after="20"/>
              <w:jc w:val="center"/>
              <w:rPr>
                <w:noProof/>
                <w:sz w:val="14"/>
              </w:rPr>
            </w:pPr>
            <w:r>
              <w:rPr>
                <w:noProof/>
                <w:sz w:val="14"/>
              </w:rPr>
              <w:t>(2α)</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before="20" w:after="20"/>
              <w:jc w:val="right"/>
              <w:rPr>
                <w:noProof/>
                <w:sz w:val="18"/>
                <w:szCs w:val="18"/>
              </w:rPr>
            </w:pPr>
            <w:r>
              <w:rPr>
                <w:noProof/>
                <w:sz w:val="18"/>
                <w:szCs w:val="18"/>
              </w:rPr>
              <w:t>5,918</w:t>
            </w:r>
          </w:p>
        </w:tc>
        <w:tc>
          <w:tcPr>
            <w:tcW w:w="1627" w:type="dxa"/>
            <w:vAlign w:val="center"/>
          </w:tcPr>
          <w:p>
            <w:pPr>
              <w:spacing w:before="20" w:after="20"/>
              <w:jc w:val="center"/>
              <w:rPr>
                <w:b/>
                <w:noProof/>
                <w:sz w:val="20"/>
                <w:szCs w:val="20"/>
              </w:rPr>
            </w:pPr>
            <w:r>
              <w:rPr>
                <w:b/>
                <w:noProof/>
                <w:sz w:val="20"/>
                <w:szCs w:val="20"/>
              </w:rPr>
              <w:t>5,918</w:t>
            </w:r>
          </w:p>
        </w:tc>
      </w:tr>
      <w:tr>
        <w:trPr>
          <w:trHeight w:val="231"/>
          <w:jc w:val="center"/>
        </w:trPr>
        <w:tc>
          <w:tcPr>
            <w:tcW w:w="5608"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64"/>
            </w:r>
            <w:r>
              <w:rPr>
                <w:noProof/>
                <w:sz w:val="21"/>
              </w:rPr>
              <w:t xml:space="preserve"> </w:t>
            </w:r>
          </w:p>
          <w:p>
            <w:pPr>
              <w:spacing w:after="0"/>
              <w:rPr>
                <w:noProof/>
              </w:rPr>
            </w:pPr>
          </w:p>
        </w:tc>
        <w:tc>
          <w:tcPr>
            <w:tcW w:w="941" w:type="dxa"/>
            <w:vAlign w:val="center"/>
          </w:tcPr>
          <w:p>
            <w:pPr>
              <w:jc w:val="right"/>
              <w:rPr>
                <w:b/>
                <w:noProof/>
                <w:sz w:val="18"/>
                <w:szCs w:val="18"/>
              </w:rPr>
            </w:pPr>
            <w:r>
              <w:rPr>
                <w:b/>
                <w:noProof/>
                <w:sz w:val="18"/>
                <w:szCs w:val="18"/>
              </w:rPr>
              <w:t>Α/Α</w:t>
            </w:r>
          </w:p>
        </w:tc>
        <w:tc>
          <w:tcPr>
            <w:tcW w:w="941" w:type="dxa"/>
            <w:vAlign w:val="center"/>
          </w:tcPr>
          <w:p>
            <w:pPr>
              <w:rPr>
                <w:b/>
                <w:noProof/>
                <w:sz w:val="18"/>
                <w:szCs w:val="18"/>
              </w:rPr>
            </w:pPr>
          </w:p>
        </w:tc>
        <w:tc>
          <w:tcPr>
            <w:tcW w:w="941" w:type="dxa"/>
            <w:vAlign w:val="center"/>
          </w:tcPr>
          <w:p>
            <w:pPr>
              <w:rPr>
                <w:b/>
                <w:noProof/>
                <w:sz w:val="18"/>
                <w:szCs w:val="18"/>
              </w:rPr>
            </w:pPr>
          </w:p>
        </w:tc>
        <w:tc>
          <w:tcPr>
            <w:tcW w:w="815" w:type="dxa"/>
            <w:vAlign w:val="center"/>
          </w:tcPr>
          <w:p>
            <w:pPr>
              <w:rPr>
                <w:b/>
                <w:noProof/>
                <w:sz w:val="18"/>
                <w:szCs w:val="18"/>
              </w:rPr>
            </w:pPr>
          </w:p>
        </w:tc>
        <w:tc>
          <w:tcPr>
            <w:tcW w:w="929" w:type="dxa"/>
            <w:vAlign w:val="center"/>
          </w:tcPr>
          <w:p>
            <w:pPr>
              <w:rPr>
                <w:b/>
                <w:noProof/>
                <w:sz w:val="18"/>
                <w:szCs w:val="18"/>
              </w:rPr>
            </w:pPr>
          </w:p>
        </w:tc>
        <w:tc>
          <w:tcPr>
            <w:tcW w:w="885" w:type="dxa"/>
            <w:vAlign w:val="center"/>
          </w:tcPr>
          <w:p>
            <w:pPr>
              <w:rPr>
                <w:b/>
                <w:noProof/>
                <w:sz w:val="18"/>
                <w:szCs w:val="18"/>
              </w:rPr>
            </w:pPr>
          </w:p>
        </w:tc>
        <w:tc>
          <w:tcPr>
            <w:tcW w:w="884" w:type="dxa"/>
            <w:vAlign w:val="center"/>
          </w:tcPr>
          <w:p>
            <w:pPr>
              <w:rPr>
                <w:b/>
                <w:noProof/>
                <w:sz w:val="18"/>
                <w:szCs w:val="18"/>
              </w:rPr>
            </w:pPr>
          </w:p>
        </w:tc>
        <w:tc>
          <w:tcPr>
            <w:tcW w:w="1627" w:type="dxa"/>
            <w:vAlign w:val="center"/>
          </w:tcPr>
          <w:p>
            <w:pPr>
              <w:jc w:val="center"/>
              <w:rPr>
                <w:b/>
                <w:noProof/>
                <w:sz w:val="20"/>
                <w:szCs w:val="20"/>
              </w:rPr>
            </w:pPr>
          </w:p>
        </w:tc>
      </w:tr>
      <w:tr>
        <w:trPr>
          <w:trHeight w:val="319"/>
          <w:jc w:val="center"/>
        </w:trPr>
        <w:tc>
          <w:tcPr>
            <w:tcW w:w="3648" w:type="dxa"/>
            <w:vAlign w:val="center"/>
          </w:tcPr>
          <w:p>
            <w:pPr>
              <w:spacing w:before="60" w:after="60"/>
              <w:rPr>
                <w:noProof/>
              </w:rPr>
            </w:pPr>
            <w:r>
              <w:rPr>
                <w:noProof/>
                <w:sz w:val="20"/>
              </w:rPr>
              <w:t>Αριθμός γραμμής του προϋπολογισμού</w:t>
            </w:r>
          </w:p>
        </w:tc>
        <w:tc>
          <w:tcPr>
            <w:tcW w:w="1340" w:type="dxa"/>
            <w:vAlign w:val="center"/>
          </w:tcPr>
          <w:p>
            <w:pPr>
              <w:spacing w:before="40" w:after="40"/>
              <w:jc w:val="right"/>
              <w:rPr>
                <w:noProof/>
                <w:sz w:val="18"/>
              </w:rPr>
            </w:pPr>
          </w:p>
        </w:tc>
        <w:tc>
          <w:tcPr>
            <w:tcW w:w="620" w:type="dxa"/>
            <w:gridSpan w:val="2"/>
            <w:vAlign w:val="center"/>
          </w:tcPr>
          <w:p>
            <w:pPr>
              <w:spacing w:before="40" w:after="40"/>
              <w:jc w:val="center"/>
              <w:rPr>
                <w:noProof/>
                <w:sz w:val="14"/>
              </w:rPr>
            </w:pPr>
            <w:r>
              <w:rPr>
                <w:noProof/>
                <w:sz w:val="14"/>
              </w:rPr>
              <w:t>(3)</w:t>
            </w:r>
          </w:p>
        </w:tc>
        <w:tc>
          <w:tcPr>
            <w:tcW w:w="941" w:type="dxa"/>
            <w:vAlign w:val="center"/>
          </w:tcPr>
          <w:p>
            <w:pPr>
              <w:spacing w:before="40" w:after="40"/>
              <w:jc w:val="right"/>
              <w:rPr>
                <w:b/>
                <w:noProof/>
                <w:sz w:val="18"/>
                <w:szCs w:val="18"/>
              </w:rPr>
            </w:pPr>
            <w:r>
              <w:rPr>
                <w:b/>
                <w:noProof/>
                <w:sz w:val="18"/>
                <w:szCs w:val="18"/>
              </w:rPr>
              <w:t>Α/Α</w:t>
            </w:r>
          </w:p>
        </w:tc>
        <w:tc>
          <w:tcPr>
            <w:tcW w:w="941" w:type="dxa"/>
            <w:vAlign w:val="center"/>
          </w:tcPr>
          <w:p>
            <w:pPr>
              <w:spacing w:before="40" w:after="40"/>
              <w:jc w:val="right"/>
              <w:rPr>
                <w:b/>
                <w:noProof/>
                <w:sz w:val="18"/>
                <w:szCs w:val="18"/>
              </w:rPr>
            </w:pPr>
          </w:p>
        </w:tc>
        <w:tc>
          <w:tcPr>
            <w:tcW w:w="941" w:type="dxa"/>
            <w:vAlign w:val="center"/>
          </w:tcPr>
          <w:p>
            <w:pPr>
              <w:spacing w:before="40" w:after="40"/>
              <w:jc w:val="right"/>
              <w:rPr>
                <w:b/>
                <w:noProof/>
                <w:sz w:val="18"/>
                <w:szCs w:val="18"/>
              </w:rPr>
            </w:pPr>
          </w:p>
        </w:tc>
        <w:tc>
          <w:tcPr>
            <w:tcW w:w="815" w:type="dxa"/>
            <w:vAlign w:val="center"/>
          </w:tcPr>
          <w:p>
            <w:pPr>
              <w:spacing w:before="40" w:after="40"/>
              <w:jc w:val="right"/>
              <w:rPr>
                <w:b/>
                <w:noProof/>
                <w:sz w:val="18"/>
                <w:szCs w:val="18"/>
              </w:rPr>
            </w:pPr>
          </w:p>
        </w:tc>
        <w:tc>
          <w:tcPr>
            <w:tcW w:w="929" w:type="dxa"/>
            <w:vAlign w:val="center"/>
          </w:tcPr>
          <w:p>
            <w:pPr>
              <w:spacing w:before="40" w:after="40"/>
              <w:jc w:val="right"/>
              <w:rPr>
                <w:b/>
                <w:noProof/>
                <w:sz w:val="18"/>
                <w:szCs w:val="18"/>
              </w:rPr>
            </w:pPr>
          </w:p>
        </w:tc>
        <w:tc>
          <w:tcPr>
            <w:tcW w:w="885" w:type="dxa"/>
            <w:vAlign w:val="center"/>
          </w:tcPr>
          <w:p>
            <w:pPr>
              <w:spacing w:before="40" w:after="40"/>
              <w:jc w:val="right"/>
              <w:rPr>
                <w:b/>
                <w:noProof/>
                <w:sz w:val="18"/>
                <w:szCs w:val="18"/>
              </w:rPr>
            </w:pPr>
          </w:p>
        </w:tc>
        <w:tc>
          <w:tcPr>
            <w:tcW w:w="884" w:type="dxa"/>
            <w:vAlign w:val="center"/>
          </w:tcPr>
          <w:p>
            <w:pPr>
              <w:spacing w:before="40" w:after="40"/>
              <w:jc w:val="right"/>
              <w:rPr>
                <w:b/>
                <w:noProof/>
                <w:sz w:val="18"/>
                <w:szCs w:val="18"/>
              </w:rPr>
            </w:pPr>
          </w:p>
        </w:tc>
        <w:tc>
          <w:tcPr>
            <w:tcW w:w="1627" w:type="dxa"/>
            <w:vAlign w:val="center"/>
          </w:tcPr>
          <w:p>
            <w:pPr>
              <w:spacing w:before="40" w:after="40"/>
              <w:jc w:val="center"/>
              <w:rPr>
                <w:b/>
                <w:noProof/>
                <w:sz w:val="20"/>
                <w:szCs w:val="20"/>
              </w:rPr>
            </w:pPr>
          </w:p>
        </w:tc>
      </w:tr>
      <w:tr>
        <w:trPr>
          <w:jc w:val="center"/>
        </w:trPr>
        <w:tc>
          <w:tcPr>
            <w:tcW w:w="3648" w:type="dxa"/>
            <w:vMerge w:val="restart"/>
            <w:vAlign w:val="center"/>
          </w:tcPr>
          <w:p>
            <w:pPr>
              <w:jc w:val="center"/>
              <w:rPr>
                <w:b/>
                <w:noProof/>
              </w:rPr>
            </w:pPr>
            <w:r>
              <w:rPr>
                <w:b/>
                <w:noProof/>
              </w:rPr>
              <w:t>ΣΥΝΟΛΟ πιστώσεων</w:t>
            </w:r>
            <w:r>
              <w:rPr>
                <w:noProof/>
              </w:rPr>
              <w:t xml:space="preserve"> </w:t>
            </w:r>
            <w:r>
              <w:rPr>
                <w:noProof/>
              </w:rPr>
              <w:br/>
            </w:r>
            <w:r>
              <w:rPr>
                <w:b/>
                <w:noProof/>
              </w:rPr>
              <w:t>για τη ΓΔ TAXUD</w:t>
            </w:r>
          </w:p>
        </w:tc>
        <w:tc>
          <w:tcPr>
            <w:tcW w:w="1340" w:type="dxa"/>
            <w:vAlign w:val="center"/>
          </w:tcPr>
          <w:p>
            <w:pPr>
              <w:rPr>
                <w:noProof/>
                <w:sz w:val="18"/>
              </w:rPr>
            </w:pPr>
            <w:r>
              <w:rPr>
                <w:noProof/>
                <w:sz w:val="18"/>
              </w:rPr>
              <w:t>Αναλήψεις υποχρεώσεων</w:t>
            </w:r>
          </w:p>
        </w:tc>
        <w:tc>
          <w:tcPr>
            <w:tcW w:w="620" w:type="dxa"/>
            <w:gridSpan w:val="2"/>
            <w:vAlign w:val="center"/>
          </w:tcPr>
          <w:p>
            <w:pPr>
              <w:jc w:val="center"/>
              <w:rPr>
                <w:noProof/>
                <w:sz w:val="14"/>
              </w:rPr>
            </w:pPr>
            <w:r>
              <w:rPr>
                <w:noProof/>
                <w:sz w:val="14"/>
              </w:rPr>
              <w:t>=1+1α+3</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9,190</w:t>
            </w:r>
          </w:p>
        </w:tc>
        <w:tc>
          <w:tcPr>
            <w:tcW w:w="1627" w:type="dxa"/>
            <w:vAlign w:val="center"/>
          </w:tcPr>
          <w:p>
            <w:pPr>
              <w:spacing w:before="20" w:after="20"/>
              <w:jc w:val="center"/>
              <w:rPr>
                <w:b/>
                <w:noProof/>
                <w:sz w:val="20"/>
                <w:szCs w:val="20"/>
              </w:rPr>
            </w:pPr>
            <w:r>
              <w:rPr>
                <w:b/>
                <w:noProof/>
                <w:sz w:val="20"/>
                <w:szCs w:val="20"/>
              </w:rPr>
              <w:t>32,970</w:t>
            </w:r>
          </w:p>
        </w:tc>
      </w:tr>
      <w:tr>
        <w:trPr>
          <w:jc w:val="center"/>
        </w:trPr>
        <w:tc>
          <w:tcPr>
            <w:tcW w:w="3648" w:type="dxa"/>
            <w:vMerge/>
          </w:tcPr>
          <w:p>
            <w:pPr>
              <w:rPr>
                <w:noProof/>
                <w:sz w:val="20"/>
              </w:rPr>
            </w:pPr>
          </w:p>
        </w:tc>
        <w:tc>
          <w:tcPr>
            <w:tcW w:w="1340" w:type="dxa"/>
            <w:vAlign w:val="center"/>
          </w:tcPr>
          <w:p>
            <w:pPr>
              <w:rPr>
                <w:noProof/>
                <w:sz w:val="18"/>
              </w:rPr>
            </w:pPr>
            <w:r>
              <w:rPr>
                <w:noProof/>
                <w:sz w:val="18"/>
              </w:rPr>
              <w:t>Πληρωμές</w:t>
            </w:r>
          </w:p>
        </w:tc>
        <w:tc>
          <w:tcPr>
            <w:tcW w:w="620"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10,675</w:t>
            </w:r>
          </w:p>
        </w:tc>
        <w:tc>
          <w:tcPr>
            <w:tcW w:w="1627" w:type="dxa"/>
            <w:vAlign w:val="center"/>
          </w:tcPr>
          <w:p>
            <w:pPr>
              <w:spacing w:before="20" w:after="20"/>
              <w:jc w:val="center"/>
              <w:rPr>
                <w:b/>
                <w:noProof/>
                <w:sz w:val="20"/>
                <w:szCs w:val="20"/>
              </w:rPr>
            </w:pPr>
            <w:r>
              <w:rPr>
                <w:b/>
                <w:noProof/>
                <w:sz w:val="20"/>
                <w:szCs w:val="20"/>
              </w:rPr>
              <w:t>29,700</w:t>
            </w:r>
          </w:p>
        </w:tc>
      </w:tr>
      <w:tr>
        <w:trPr>
          <w:gridAfter w:val="1"/>
          <w:wAfter w:w="1627" w:type="dxa"/>
          <w:jc w:val="center"/>
        </w:trPr>
        <w:tc>
          <w:tcPr>
            <w:tcW w:w="3648" w:type="dxa"/>
            <w:vAlign w:val="center"/>
          </w:tcPr>
          <w:p>
            <w:pPr>
              <w:jc w:val="center"/>
              <w:rPr>
                <w:b/>
                <w:noProof/>
              </w:rPr>
            </w:pPr>
            <w:r>
              <w:rPr>
                <w:b/>
                <w:noProof/>
              </w:rPr>
              <w:t>ΓΔ: ΓΔ-εταίροι που συμμετέχουν στην πρωτοβουλία</w:t>
            </w:r>
          </w:p>
        </w:tc>
        <w:tc>
          <w:tcPr>
            <w:tcW w:w="1451" w:type="dxa"/>
            <w:gridSpan w:val="2"/>
          </w:tcPr>
          <w:p>
            <w:pPr>
              <w:rPr>
                <w:noProof/>
                <w:sz w:val="20"/>
              </w:rPr>
            </w:pPr>
          </w:p>
        </w:tc>
        <w:tc>
          <w:tcPr>
            <w:tcW w:w="509" w:type="dxa"/>
          </w:tcPr>
          <w:p>
            <w:pPr>
              <w:jc w:val="center"/>
              <w:rPr>
                <w:noProof/>
                <w:sz w:val="20"/>
              </w:rPr>
            </w:pPr>
          </w:p>
        </w:tc>
        <w:tc>
          <w:tcPr>
            <w:tcW w:w="941" w:type="dxa"/>
            <w:vAlign w:val="center"/>
          </w:tcPr>
          <w:p>
            <w:pPr>
              <w:jc w:val="center"/>
              <w:rPr>
                <w:noProof/>
                <w:sz w:val="20"/>
              </w:rPr>
            </w:pPr>
            <w:r>
              <w:rPr>
                <w:noProof/>
                <w:sz w:val="20"/>
              </w:rPr>
              <w:t>Έτος</w:t>
            </w:r>
            <w:r>
              <w:rPr>
                <w:noProof/>
              </w:rPr>
              <w:t xml:space="preserve"> </w:t>
            </w:r>
            <w:r>
              <w:rPr>
                <w:noProof/>
              </w:rPr>
              <w:br/>
            </w:r>
            <w:r>
              <w:rPr>
                <w:b/>
                <w:noProof/>
                <w:sz w:val="20"/>
              </w:rPr>
              <w:t>2022</w:t>
            </w:r>
            <w:r>
              <w:rPr>
                <w:rStyle w:val="FootnoteReference"/>
                <w:b/>
                <w:noProof/>
                <w:sz w:val="20"/>
              </w:rPr>
              <w:footnoteReference w:id="65"/>
            </w:r>
          </w:p>
        </w:tc>
        <w:tc>
          <w:tcPr>
            <w:tcW w:w="941"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941"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15" w:type="dxa"/>
            <w:vAlign w:val="center"/>
          </w:tcPr>
          <w:p>
            <w:pPr>
              <w:jc w:val="center"/>
              <w:rPr>
                <w:noProof/>
                <w:sz w:val="20"/>
              </w:rPr>
            </w:pPr>
            <w:r>
              <w:rPr>
                <w:noProof/>
                <w:sz w:val="20"/>
              </w:rPr>
              <w:t>Έτος</w:t>
            </w:r>
            <w:r>
              <w:rPr>
                <w:noProof/>
              </w:rPr>
              <w:t xml:space="preserve"> </w:t>
            </w:r>
            <w:r>
              <w:rPr>
                <w:noProof/>
              </w:rPr>
              <w:br/>
            </w:r>
            <w:r>
              <w:rPr>
                <w:b/>
                <w:noProof/>
                <w:sz w:val="20"/>
              </w:rPr>
              <w:t>2025</w:t>
            </w:r>
          </w:p>
        </w:tc>
        <w:tc>
          <w:tcPr>
            <w:tcW w:w="929" w:type="dxa"/>
          </w:tcPr>
          <w:p>
            <w:pPr>
              <w:jc w:val="center"/>
              <w:rPr>
                <w:noProof/>
                <w:sz w:val="18"/>
              </w:rPr>
            </w:pPr>
            <w:r>
              <w:rPr>
                <w:noProof/>
                <w:sz w:val="20"/>
              </w:rPr>
              <w:t>Έτος</w:t>
            </w:r>
            <w:r>
              <w:rPr>
                <w:noProof/>
              </w:rPr>
              <w:t xml:space="preserve"> </w:t>
            </w:r>
            <w:r>
              <w:rPr>
                <w:noProof/>
              </w:rPr>
              <w:br/>
            </w:r>
            <w:r>
              <w:rPr>
                <w:b/>
                <w:noProof/>
                <w:sz w:val="20"/>
              </w:rPr>
              <w:t>2026</w:t>
            </w:r>
          </w:p>
        </w:tc>
        <w:tc>
          <w:tcPr>
            <w:tcW w:w="885" w:type="dxa"/>
          </w:tcPr>
          <w:p>
            <w:pPr>
              <w:jc w:val="center"/>
              <w:rPr>
                <w:noProof/>
                <w:sz w:val="18"/>
              </w:rPr>
            </w:pPr>
            <w:r>
              <w:rPr>
                <w:noProof/>
                <w:sz w:val="20"/>
              </w:rPr>
              <w:t>Έτος</w:t>
            </w:r>
            <w:r>
              <w:rPr>
                <w:noProof/>
              </w:rPr>
              <w:t xml:space="preserve"> </w:t>
            </w:r>
            <w:r>
              <w:rPr>
                <w:noProof/>
              </w:rPr>
              <w:br/>
            </w:r>
            <w:r>
              <w:rPr>
                <w:b/>
                <w:noProof/>
                <w:sz w:val="20"/>
              </w:rPr>
              <w:t>2027</w:t>
            </w:r>
          </w:p>
        </w:tc>
        <w:tc>
          <w:tcPr>
            <w:tcW w:w="884" w:type="dxa"/>
          </w:tcPr>
          <w:p>
            <w:pPr>
              <w:jc w:val="center"/>
              <w:rPr>
                <w:noProof/>
                <w:sz w:val="18"/>
              </w:rPr>
            </w:pPr>
            <w:r>
              <w:rPr>
                <w:noProof/>
                <w:sz w:val="20"/>
              </w:rPr>
              <w:t>Πέραν του</w:t>
            </w:r>
            <w:r>
              <w:rPr>
                <w:noProof/>
              </w:rPr>
              <w:t xml:space="preserve"> </w:t>
            </w:r>
            <w:r>
              <w:rPr>
                <w:noProof/>
              </w:rPr>
              <w:br/>
            </w:r>
            <w:r>
              <w:rPr>
                <w:b/>
                <w:noProof/>
                <w:sz w:val="20"/>
              </w:rPr>
              <w:t>2027</w:t>
            </w:r>
          </w:p>
        </w:tc>
      </w:tr>
      <w:tr>
        <w:trPr>
          <w:trHeight w:val="213"/>
          <w:jc w:val="center"/>
        </w:trPr>
        <w:tc>
          <w:tcPr>
            <w:tcW w:w="5608"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941" w:type="dxa"/>
            <w:vAlign w:val="center"/>
          </w:tcPr>
          <w:p>
            <w:pPr>
              <w:rPr>
                <w:noProof/>
                <w:sz w:val="20"/>
              </w:rPr>
            </w:pPr>
          </w:p>
        </w:tc>
        <w:tc>
          <w:tcPr>
            <w:tcW w:w="941" w:type="dxa"/>
            <w:vAlign w:val="center"/>
          </w:tcPr>
          <w:p>
            <w:pPr>
              <w:rPr>
                <w:noProof/>
                <w:sz w:val="20"/>
              </w:rPr>
            </w:pPr>
          </w:p>
        </w:tc>
        <w:tc>
          <w:tcPr>
            <w:tcW w:w="941" w:type="dxa"/>
            <w:vAlign w:val="center"/>
          </w:tcPr>
          <w:p>
            <w:pPr>
              <w:rPr>
                <w:noProof/>
                <w:sz w:val="20"/>
              </w:rPr>
            </w:pPr>
          </w:p>
        </w:tc>
        <w:tc>
          <w:tcPr>
            <w:tcW w:w="815" w:type="dxa"/>
            <w:vAlign w:val="center"/>
          </w:tcPr>
          <w:p>
            <w:pPr>
              <w:rPr>
                <w:noProof/>
                <w:sz w:val="20"/>
              </w:rPr>
            </w:pPr>
          </w:p>
        </w:tc>
        <w:tc>
          <w:tcPr>
            <w:tcW w:w="929" w:type="dxa"/>
          </w:tcPr>
          <w:p>
            <w:pPr>
              <w:rPr>
                <w:noProof/>
                <w:sz w:val="20"/>
              </w:rPr>
            </w:pPr>
          </w:p>
        </w:tc>
        <w:tc>
          <w:tcPr>
            <w:tcW w:w="885" w:type="dxa"/>
          </w:tcPr>
          <w:p>
            <w:pPr>
              <w:rPr>
                <w:noProof/>
                <w:sz w:val="20"/>
              </w:rPr>
            </w:pPr>
          </w:p>
        </w:tc>
        <w:tc>
          <w:tcPr>
            <w:tcW w:w="884" w:type="dxa"/>
          </w:tcPr>
          <w:p>
            <w:pPr>
              <w:rPr>
                <w:noProof/>
                <w:sz w:val="20"/>
              </w:rPr>
            </w:pPr>
          </w:p>
        </w:tc>
        <w:tc>
          <w:tcPr>
            <w:tcW w:w="1627" w:type="dxa"/>
            <w:vAlign w:val="center"/>
          </w:tcPr>
          <w:p>
            <w:pPr>
              <w:jc w:val="center"/>
              <w:rPr>
                <w:b/>
                <w:noProof/>
                <w:sz w:val="20"/>
              </w:rPr>
            </w:pPr>
            <w:r>
              <w:rPr>
                <w:b/>
                <w:noProof/>
                <w:sz w:val="20"/>
              </w:rPr>
              <w:t>ΣΥΝΟΛΟ</w:t>
            </w:r>
          </w:p>
        </w:tc>
      </w:tr>
      <w:tr>
        <w:trPr>
          <w:trHeight w:val="277"/>
          <w:jc w:val="center"/>
        </w:trPr>
        <w:tc>
          <w:tcPr>
            <w:tcW w:w="3648" w:type="dxa"/>
            <w:vMerge w:val="restart"/>
            <w:vAlign w:val="center"/>
          </w:tcPr>
          <w:p>
            <w:pPr>
              <w:rPr>
                <w:noProof/>
              </w:rPr>
            </w:pPr>
            <w:r>
              <w:rPr>
                <w:noProof/>
              </w:rPr>
              <w:t>Γραμμές προϋπολογισμού των συμμετεχουσών ΓΔ</w:t>
            </w:r>
          </w:p>
        </w:tc>
        <w:tc>
          <w:tcPr>
            <w:tcW w:w="1340" w:type="dxa"/>
            <w:vAlign w:val="center"/>
          </w:tcPr>
          <w:p>
            <w:pPr>
              <w:spacing w:before="20" w:after="20"/>
              <w:rPr>
                <w:noProof/>
                <w:sz w:val="18"/>
              </w:rPr>
            </w:pPr>
            <w:r>
              <w:rPr>
                <w:noProof/>
                <w:sz w:val="18"/>
              </w:rPr>
              <w:t>Αναλήψεις υποχρεώσεων</w:t>
            </w:r>
          </w:p>
        </w:tc>
        <w:tc>
          <w:tcPr>
            <w:tcW w:w="620" w:type="dxa"/>
            <w:gridSpan w:val="2"/>
            <w:vAlign w:val="center"/>
          </w:tcPr>
          <w:p>
            <w:pPr>
              <w:spacing w:before="20" w:after="20"/>
              <w:jc w:val="center"/>
              <w:rPr>
                <w:noProof/>
                <w:sz w:val="14"/>
              </w:rPr>
            </w:pPr>
            <w:r>
              <w:rPr>
                <w:noProof/>
                <w:sz w:val="14"/>
              </w:rPr>
              <w:t>(1)</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815" w:type="dxa"/>
            <w:vAlign w:val="center"/>
          </w:tcPr>
          <w:p>
            <w:pPr>
              <w:spacing w:after="0"/>
              <w:jc w:val="right"/>
              <w:rPr>
                <w:noProof/>
                <w:sz w:val="18"/>
                <w:szCs w:val="18"/>
              </w:rPr>
            </w:pPr>
            <w:r>
              <w:rPr>
                <w:noProof/>
                <w:sz w:val="18"/>
                <w:szCs w:val="18"/>
              </w:rPr>
              <w:t>3,964</w:t>
            </w:r>
          </w:p>
        </w:tc>
        <w:tc>
          <w:tcPr>
            <w:tcW w:w="929" w:type="dxa"/>
            <w:vAlign w:val="center"/>
          </w:tcPr>
          <w:p>
            <w:pPr>
              <w:spacing w:after="0"/>
              <w:jc w:val="right"/>
              <w:rPr>
                <w:noProof/>
                <w:sz w:val="18"/>
                <w:szCs w:val="18"/>
              </w:rPr>
            </w:pPr>
            <w:r>
              <w:rPr>
                <w:noProof/>
                <w:sz w:val="18"/>
                <w:szCs w:val="18"/>
              </w:rPr>
              <w:t>3,964</w:t>
            </w:r>
          </w:p>
        </w:tc>
        <w:tc>
          <w:tcPr>
            <w:tcW w:w="885" w:type="dxa"/>
            <w:vAlign w:val="center"/>
          </w:tcPr>
          <w:p>
            <w:pPr>
              <w:spacing w:after="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p>
        </w:tc>
        <w:tc>
          <w:tcPr>
            <w:tcW w:w="1627" w:type="dxa"/>
            <w:vAlign w:val="center"/>
          </w:tcPr>
          <w:p>
            <w:pPr>
              <w:spacing w:before="20" w:after="20"/>
              <w:jc w:val="center"/>
              <w:rPr>
                <w:b/>
                <w:noProof/>
                <w:sz w:val="20"/>
              </w:rPr>
            </w:pPr>
            <w:r>
              <w:rPr>
                <w:b/>
                <w:noProof/>
                <w:sz w:val="20"/>
              </w:rPr>
              <w:t>23,781</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Πληρωμές</w:t>
            </w:r>
          </w:p>
        </w:tc>
        <w:tc>
          <w:tcPr>
            <w:tcW w:w="620" w:type="dxa"/>
            <w:gridSpan w:val="2"/>
            <w:vAlign w:val="center"/>
          </w:tcPr>
          <w:p>
            <w:pPr>
              <w:spacing w:before="20" w:after="20"/>
              <w:jc w:val="center"/>
              <w:rPr>
                <w:noProof/>
                <w:sz w:val="14"/>
              </w:rPr>
            </w:pPr>
            <w:r>
              <w:rPr>
                <w:noProof/>
                <w:sz w:val="14"/>
              </w:rPr>
              <w:t>(2)</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4,756</w:t>
            </w:r>
          </w:p>
        </w:tc>
        <w:tc>
          <w:tcPr>
            <w:tcW w:w="1627" w:type="dxa"/>
            <w:vAlign w:val="center"/>
          </w:tcPr>
          <w:p>
            <w:pPr>
              <w:spacing w:before="20" w:after="20"/>
              <w:jc w:val="center"/>
              <w:rPr>
                <w:b/>
                <w:noProof/>
                <w:sz w:val="20"/>
              </w:rPr>
            </w:pPr>
            <w:r>
              <w:rPr>
                <w:b/>
                <w:noProof/>
                <w:sz w:val="20"/>
              </w:rPr>
              <w:t>23,781</w:t>
            </w:r>
          </w:p>
        </w:tc>
      </w:tr>
      <w:tr>
        <w:trPr>
          <w:jc w:val="center"/>
        </w:trPr>
        <w:tc>
          <w:tcPr>
            <w:tcW w:w="3648" w:type="dxa"/>
            <w:vMerge w:val="restart"/>
            <w:vAlign w:val="center"/>
          </w:tcPr>
          <w:p>
            <w:pPr>
              <w:rPr>
                <w:noProof/>
              </w:rPr>
            </w:pPr>
            <w:r>
              <w:rPr>
                <w:noProof/>
              </w:rPr>
              <w:t>Γραμμές προϋπολογισμού των συμμετεχουσών ΓΔ</w:t>
            </w:r>
          </w:p>
        </w:tc>
        <w:tc>
          <w:tcPr>
            <w:tcW w:w="1340" w:type="dxa"/>
            <w:vAlign w:val="center"/>
          </w:tcPr>
          <w:p>
            <w:pPr>
              <w:spacing w:before="20" w:after="20"/>
              <w:rPr>
                <w:noProof/>
                <w:sz w:val="18"/>
              </w:rPr>
            </w:pPr>
            <w:r>
              <w:rPr>
                <w:noProof/>
                <w:sz w:val="18"/>
              </w:rPr>
              <w:t>Αναλήψεις υποχρεώσεων</w:t>
            </w:r>
          </w:p>
        </w:tc>
        <w:tc>
          <w:tcPr>
            <w:tcW w:w="620" w:type="dxa"/>
            <w:gridSpan w:val="2"/>
            <w:vAlign w:val="center"/>
          </w:tcPr>
          <w:p>
            <w:pPr>
              <w:spacing w:before="20" w:after="20"/>
              <w:jc w:val="center"/>
              <w:rPr>
                <w:noProof/>
                <w:sz w:val="14"/>
              </w:rPr>
            </w:pPr>
            <w:r>
              <w:rPr>
                <w:noProof/>
                <w:sz w:val="14"/>
              </w:rPr>
              <w:t>(1α)</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after="0"/>
              <w:jc w:val="right"/>
              <w:rPr>
                <w:noProof/>
                <w:sz w:val="18"/>
                <w:szCs w:val="18"/>
              </w:rPr>
            </w:pPr>
            <w:r>
              <w:rPr>
                <w:noProof/>
                <w:sz w:val="18"/>
                <w:szCs w:val="18"/>
              </w:rPr>
              <w:t>9,190</w:t>
            </w:r>
          </w:p>
        </w:tc>
        <w:tc>
          <w:tcPr>
            <w:tcW w:w="1627" w:type="dxa"/>
            <w:vAlign w:val="center"/>
          </w:tcPr>
          <w:p>
            <w:pPr>
              <w:spacing w:before="20" w:after="20"/>
              <w:jc w:val="center"/>
              <w:rPr>
                <w:b/>
                <w:noProof/>
                <w:sz w:val="20"/>
              </w:rPr>
            </w:pPr>
            <w:r>
              <w:rPr>
                <w:b/>
                <w:noProof/>
                <w:sz w:val="20"/>
              </w:rPr>
              <w:t>9,189</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Πληρωμές</w:t>
            </w:r>
          </w:p>
        </w:tc>
        <w:tc>
          <w:tcPr>
            <w:tcW w:w="620" w:type="dxa"/>
            <w:gridSpan w:val="2"/>
            <w:vAlign w:val="center"/>
          </w:tcPr>
          <w:p>
            <w:pPr>
              <w:spacing w:before="20" w:after="20"/>
              <w:jc w:val="center"/>
              <w:rPr>
                <w:noProof/>
                <w:sz w:val="14"/>
              </w:rPr>
            </w:pPr>
            <w:r>
              <w:rPr>
                <w:noProof/>
                <w:sz w:val="14"/>
              </w:rPr>
              <w:t>(2α)</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before="20" w:after="20"/>
              <w:jc w:val="right"/>
              <w:rPr>
                <w:noProof/>
                <w:sz w:val="18"/>
                <w:szCs w:val="18"/>
              </w:rPr>
            </w:pPr>
            <w:r>
              <w:rPr>
                <w:noProof/>
                <w:sz w:val="18"/>
                <w:szCs w:val="18"/>
              </w:rPr>
              <w:t>5,918</w:t>
            </w:r>
          </w:p>
        </w:tc>
        <w:tc>
          <w:tcPr>
            <w:tcW w:w="1627" w:type="dxa"/>
            <w:vAlign w:val="center"/>
          </w:tcPr>
          <w:p>
            <w:pPr>
              <w:spacing w:before="20" w:after="20"/>
              <w:jc w:val="center"/>
              <w:rPr>
                <w:b/>
                <w:noProof/>
                <w:sz w:val="20"/>
              </w:rPr>
            </w:pPr>
            <w:r>
              <w:rPr>
                <w:b/>
                <w:noProof/>
                <w:sz w:val="20"/>
              </w:rPr>
              <w:t>5,918</w:t>
            </w:r>
          </w:p>
        </w:tc>
      </w:tr>
      <w:tr>
        <w:trPr>
          <w:trHeight w:val="231"/>
          <w:jc w:val="center"/>
        </w:trPr>
        <w:tc>
          <w:tcPr>
            <w:tcW w:w="5608"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66"/>
            </w:r>
            <w:r>
              <w:rPr>
                <w:noProof/>
                <w:sz w:val="21"/>
              </w:rPr>
              <w:t xml:space="preserve"> </w:t>
            </w:r>
          </w:p>
          <w:p>
            <w:pPr>
              <w:spacing w:after="0"/>
              <w:rPr>
                <w:noProof/>
              </w:rPr>
            </w:pPr>
          </w:p>
        </w:tc>
        <w:tc>
          <w:tcPr>
            <w:tcW w:w="941" w:type="dxa"/>
            <w:vAlign w:val="center"/>
          </w:tcPr>
          <w:p>
            <w:pPr>
              <w:rPr>
                <w:b/>
                <w:noProof/>
                <w:sz w:val="18"/>
                <w:szCs w:val="18"/>
              </w:rPr>
            </w:pPr>
          </w:p>
        </w:tc>
        <w:tc>
          <w:tcPr>
            <w:tcW w:w="941" w:type="dxa"/>
            <w:vAlign w:val="center"/>
          </w:tcPr>
          <w:p>
            <w:pPr>
              <w:rPr>
                <w:b/>
                <w:noProof/>
                <w:sz w:val="18"/>
                <w:szCs w:val="18"/>
              </w:rPr>
            </w:pPr>
          </w:p>
        </w:tc>
        <w:tc>
          <w:tcPr>
            <w:tcW w:w="941" w:type="dxa"/>
            <w:vAlign w:val="center"/>
          </w:tcPr>
          <w:p>
            <w:pPr>
              <w:rPr>
                <w:b/>
                <w:noProof/>
                <w:sz w:val="18"/>
                <w:szCs w:val="18"/>
              </w:rPr>
            </w:pPr>
          </w:p>
        </w:tc>
        <w:tc>
          <w:tcPr>
            <w:tcW w:w="815" w:type="dxa"/>
            <w:vAlign w:val="center"/>
          </w:tcPr>
          <w:p>
            <w:pPr>
              <w:rPr>
                <w:b/>
                <w:noProof/>
                <w:sz w:val="18"/>
                <w:szCs w:val="18"/>
              </w:rPr>
            </w:pPr>
          </w:p>
        </w:tc>
        <w:tc>
          <w:tcPr>
            <w:tcW w:w="929" w:type="dxa"/>
            <w:vAlign w:val="center"/>
          </w:tcPr>
          <w:p>
            <w:pPr>
              <w:rPr>
                <w:b/>
                <w:noProof/>
                <w:sz w:val="18"/>
                <w:szCs w:val="18"/>
              </w:rPr>
            </w:pPr>
          </w:p>
        </w:tc>
        <w:tc>
          <w:tcPr>
            <w:tcW w:w="885" w:type="dxa"/>
            <w:vAlign w:val="center"/>
          </w:tcPr>
          <w:p>
            <w:pPr>
              <w:rPr>
                <w:b/>
                <w:noProof/>
                <w:sz w:val="18"/>
                <w:szCs w:val="18"/>
              </w:rPr>
            </w:pPr>
          </w:p>
        </w:tc>
        <w:tc>
          <w:tcPr>
            <w:tcW w:w="884" w:type="dxa"/>
            <w:vAlign w:val="center"/>
          </w:tcPr>
          <w:p>
            <w:pPr>
              <w:rPr>
                <w:b/>
                <w:noProof/>
                <w:sz w:val="18"/>
                <w:szCs w:val="18"/>
              </w:rPr>
            </w:pPr>
          </w:p>
        </w:tc>
        <w:tc>
          <w:tcPr>
            <w:tcW w:w="1627" w:type="dxa"/>
            <w:vAlign w:val="center"/>
          </w:tcPr>
          <w:p>
            <w:pPr>
              <w:jc w:val="center"/>
              <w:rPr>
                <w:b/>
                <w:noProof/>
                <w:sz w:val="20"/>
              </w:rPr>
            </w:pPr>
          </w:p>
        </w:tc>
      </w:tr>
      <w:tr>
        <w:trPr>
          <w:trHeight w:val="319"/>
          <w:jc w:val="center"/>
        </w:trPr>
        <w:tc>
          <w:tcPr>
            <w:tcW w:w="3648" w:type="dxa"/>
            <w:vAlign w:val="center"/>
          </w:tcPr>
          <w:p>
            <w:pPr>
              <w:spacing w:before="60" w:after="60"/>
              <w:rPr>
                <w:noProof/>
              </w:rPr>
            </w:pPr>
            <w:r>
              <w:rPr>
                <w:noProof/>
                <w:sz w:val="20"/>
              </w:rPr>
              <w:t>Αριθμός γραμμής του προϋπολογισμού</w:t>
            </w:r>
          </w:p>
        </w:tc>
        <w:tc>
          <w:tcPr>
            <w:tcW w:w="1340" w:type="dxa"/>
            <w:vAlign w:val="center"/>
          </w:tcPr>
          <w:p>
            <w:pPr>
              <w:spacing w:before="40" w:after="40"/>
              <w:jc w:val="right"/>
              <w:rPr>
                <w:noProof/>
                <w:sz w:val="18"/>
              </w:rPr>
            </w:pPr>
          </w:p>
        </w:tc>
        <w:tc>
          <w:tcPr>
            <w:tcW w:w="620" w:type="dxa"/>
            <w:gridSpan w:val="2"/>
            <w:vAlign w:val="center"/>
          </w:tcPr>
          <w:p>
            <w:pPr>
              <w:spacing w:before="40" w:after="40"/>
              <w:jc w:val="center"/>
              <w:rPr>
                <w:noProof/>
                <w:sz w:val="14"/>
              </w:rPr>
            </w:pPr>
            <w:r>
              <w:rPr>
                <w:noProof/>
                <w:sz w:val="14"/>
              </w:rPr>
              <w:t>(3)</w:t>
            </w:r>
          </w:p>
        </w:tc>
        <w:tc>
          <w:tcPr>
            <w:tcW w:w="941" w:type="dxa"/>
            <w:vAlign w:val="center"/>
          </w:tcPr>
          <w:p>
            <w:pPr>
              <w:spacing w:before="40" w:after="40"/>
              <w:jc w:val="right"/>
              <w:rPr>
                <w:b/>
                <w:noProof/>
                <w:sz w:val="18"/>
                <w:szCs w:val="18"/>
              </w:rPr>
            </w:pPr>
          </w:p>
        </w:tc>
        <w:tc>
          <w:tcPr>
            <w:tcW w:w="941" w:type="dxa"/>
            <w:vAlign w:val="center"/>
          </w:tcPr>
          <w:p>
            <w:pPr>
              <w:spacing w:before="40" w:after="40"/>
              <w:jc w:val="right"/>
              <w:rPr>
                <w:b/>
                <w:noProof/>
                <w:sz w:val="18"/>
                <w:szCs w:val="18"/>
              </w:rPr>
            </w:pPr>
          </w:p>
        </w:tc>
        <w:tc>
          <w:tcPr>
            <w:tcW w:w="941" w:type="dxa"/>
            <w:vAlign w:val="center"/>
          </w:tcPr>
          <w:p>
            <w:pPr>
              <w:spacing w:before="40" w:after="40"/>
              <w:jc w:val="right"/>
              <w:rPr>
                <w:b/>
                <w:noProof/>
                <w:sz w:val="18"/>
                <w:szCs w:val="18"/>
              </w:rPr>
            </w:pPr>
          </w:p>
        </w:tc>
        <w:tc>
          <w:tcPr>
            <w:tcW w:w="815" w:type="dxa"/>
            <w:vAlign w:val="center"/>
          </w:tcPr>
          <w:p>
            <w:pPr>
              <w:spacing w:before="40" w:after="40"/>
              <w:jc w:val="right"/>
              <w:rPr>
                <w:b/>
                <w:noProof/>
                <w:sz w:val="18"/>
                <w:szCs w:val="18"/>
              </w:rPr>
            </w:pPr>
          </w:p>
        </w:tc>
        <w:tc>
          <w:tcPr>
            <w:tcW w:w="929" w:type="dxa"/>
            <w:vAlign w:val="center"/>
          </w:tcPr>
          <w:p>
            <w:pPr>
              <w:spacing w:before="40" w:after="40"/>
              <w:jc w:val="right"/>
              <w:rPr>
                <w:b/>
                <w:noProof/>
                <w:sz w:val="18"/>
                <w:szCs w:val="18"/>
              </w:rPr>
            </w:pPr>
          </w:p>
        </w:tc>
        <w:tc>
          <w:tcPr>
            <w:tcW w:w="885" w:type="dxa"/>
            <w:vAlign w:val="center"/>
          </w:tcPr>
          <w:p>
            <w:pPr>
              <w:spacing w:before="40" w:after="40"/>
              <w:jc w:val="right"/>
              <w:rPr>
                <w:b/>
                <w:noProof/>
                <w:sz w:val="18"/>
                <w:szCs w:val="18"/>
              </w:rPr>
            </w:pPr>
          </w:p>
        </w:tc>
        <w:tc>
          <w:tcPr>
            <w:tcW w:w="884" w:type="dxa"/>
            <w:vAlign w:val="center"/>
          </w:tcPr>
          <w:p>
            <w:pPr>
              <w:spacing w:before="40" w:after="40"/>
              <w:jc w:val="right"/>
              <w:rPr>
                <w:b/>
                <w:noProof/>
                <w:sz w:val="18"/>
                <w:szCs w:val="18"/>
              </w:rPr>
            </w:pPr>
          </w:p>
        </w:tc>
        <w:tc>
          <w:tcPr>
            <w:tcW w:w="1627" w:type="dxa"/>
            <w:vAlign w:val="center"/>
          </w:tcPr>
          <w:p>
            <w:pPr>
              <w:spacing w:before="40" w:after="40"/>
              <w:jc w:val="center"/>
              <w:rPr>
                <w:b/>
                <w:noProof/>
                <w:sz w:val="20"/>
              </w:rPr>
            </w:pPr>
          </w:p>
        </w:tc>
      </w:tr>
      <w:tr>
        <w:trPr>
          <w:jc w:val="center"/>
        </w:trPr>
        <w:tc>
          <w:tcPr>
            <w:tcW w:w="3648" w:type="dxa"/>
            <w:vMerge w:val="restart"/>
            <w:vAlign w:val="center"/>
          </w:tcPr>
          <w:p>
            <w:pPr>
              <w:jc w:val="center"/>
              <w:rPr>
                <w:b/>
                <w:noProof/>
              </w:rPr>
            </w:pPr>
            <w:r>
              <w:rPr>
                <w:b/>
                <w:noProof/>
              </w:rPr>
              <w:t>ΣΥΝΟΛΟ πιστώσεων</w:t>
            </w:r>
            <w:r>
              <w:rPr>
                <w:noProof/>
              </w:rPr>
              <w:t xml:space="preserve"> </w:t>
            </w:r>
            <w:r>
              <w:rPr>
                <w:noProof/>
              </w:rPr>
              <w:br/>
            </w:r>
            <w:r>
              <w:rPr>
                <w:b/>
                <w:noProof/>
              </w:rPr>
              <w:t>ΓΔ-εταίροι που συμμετέχουν στην πρωτοβουλία</w:t>
            </w:r>
          </w:p>
        </w:tc>
        <w:tc>
          <w:tcPr>
            <w:tcW w:w="1340" w:type="dxa"/>
            <w:vAlign w:val="center"/>
          </w:tcPr>
          <w:p>
            <w:pPr>
              <w:rPr>
                <w:noProof/>
                <w:sz w:val="18"/>
              </w:rPr>
            </w:pPr>
            <w:r>
              <w:rPr>
                <w:noProof/>
                <w:sz w:val="18"/>
              </w:rPr>
              <w:t>Αναλήψεις υποχρεώσεων</w:t>
            </w:r>
          </w:p>
        </w:tc>
        <w:tc>
          <w:tcPr>
            <w:tcW w:w="620" w:type="dxa"/>
            <w:gridSpan w:val="2"/>
            <w:vAlign w:val="center"/>
          </w:tcPr>
          <w:p>
            <w:pPr>
              <w:jc w:val="center"/>
              <w:rPr>
                <w:noProof/>
                <w:sz w:val="14"/>
              </w:rPr>
            </w:pPr>
            <w:r>
              <w:rPr>
                <w:noProof/>
                <w:sz w:val="14"/>
              </w:rPr>
              <w:t>=1+1α+3</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9,190</w:t>
            </w:r>
          </w:p>
        </w:tc>
        <w:tc>
          <w:tcPr>
            <w:tcW w:w="1627" w:type="dxa"/>
            <w:vAlign w:val="center"/>
          </w:tcPr>
          <w:p>
            <w:pPr>
              <w:spacing w:before="20" w:after="20"/>
              <w:jc w:val="center"/>
              <w:rPr>
                <w:b/>
                <w:noProof/>
                <w:sz w:val="20"/>
              </w:rPr>
            </w:pPr>
            <w:r>
              <w:rPr>
                <w:b/>
                <w:noProof/>
                <w:sz w:val="20"/>
              </w:rPr>
              <w:t>32,970</w:t>
            </w:r>
          </w:p>
        </w:tc>
      </w:tr>
      <w:tr>
        <w:trPr>
          <w:jc w:val="center"/>
        </w:trPr>
        <w:tc>
          <w:tcPr>
            <w:tcW w:w="3648" w:type="dxa"/>
            <w:vMerge/>
          </w:tcPr>
          <w:p>
            <w:pPr>
              <w:rPr>
                <w:noProof/>
                <w:sz w:val="20"/>
              </w:rPr>
            </w:pPr>
          </w:p>
        </w:tc>
        <w:tc>
          <w:tcPr>
            <w:tcW w:w="1340" w:type="dxa"/>
            <w:vAlign w:val="center"/>
          </w:tcPr>
          <w:p>
            <w:pPr>
              <w:rPr>
                <w:noProof/>
                <w:sz w:val="18"/>
              </w:rPr>
            </w:pPr>
            <w:r>
              <w:rPr>
                <w:noProof/>
                <w:sz w:val="18"/>
              </w:rPr>
              <w:t>Πληρωμές</w:t>
            </w:r>
          </w:p>
        </w:tc>
        <w:tc>
          <w:tcPr>
            <w:tcW w:w="620"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10,675</w:t>
            </w:r>
          </w:p>
        </w:tc>
        <w:tc>
          <w:tcPr>
            <w:tcW w:w="1627" w:type="dxa"/>
            <w:vAlign w:val="center"/>
          </w:tcPr>
          <w:p>
            <w:pPr>
              <w:spacing w:before="20" w:after="20"/>
              <w:jc w:val="center"/>
              <w:rPr>
                <w:b/>
                <w:noProof/>
                <w:sz w:val="20"/>
              </w:rPr>
            </w:pPr>
            <w:r>
              <w:rPr>
                <w:b/>
                <w:noProof/>
                <w:sz w:val="20"/>
              </w:rPr>
              <w:t>29,700</w:t>
            </w:r>
          </w:p>
        </w:tc>
      </w:tr>
    </w:tbl>
    <w:p>
      <w:pPr>
        <w:rPr>
          <w:noProof/>
        </w:rPr>
      </w:pPr>
      <w:r>
        <w:rPr>
          <w:noProof/>
        </w:rPr>
        <w:t xml:space="preserve"> </w:t>
      </w:r>
      <w:r>
        <w:rPr>
          <w:noProof/>
        </w:rPr>
        <w:br/>
      </w:r>
    </w:p>
    <w:p>
      <w:pPr>
        <w:rPr>
          <w:noProof/>
        </w:rPr>
      </w:pPr>
    </w:p>
    <w:p>
      <w:pPr>
        <w:rPr>
          <w:noProof/>
        </w:rPr>
      </w:pPr>
      <w:r>
        <w:rPr>
          <w:noProof/>
        </w:rPr>
        <w:t xml:space="preserve"> </w:t>
      </w:r>
      <w:r>
        <w:rPr>
          <w:noProof/>
        </w:rPr>
        <w:br/>
      </w:r>
    </w:p>
    <w:p>
      <w:pPr>
        <w:rPr>
          <w:noProof/>
        </w:rPr>
      </w:pPr>
    </w:p>
    <w:p>
      <w:pPr>
        <w:rPr>
          <w:noProof/>
        </w:rPr>
      </w:pPr>
    </w:p>
    <w:p>
      <w:pPr>
        <w:rPr>
          <w:noProof/>
        </w:rPr>
      </w:pPr>
      <w:r>
        <w:rPr>
          <w:noProof/>
        </w:rPr>
        <w:t xml:space="preserve"> </w:t>
      </w:r>
      <w:r>
        <w:rPr>
          <w:noProof/>
        </w:rPr>
        <w:br/>
      </w:r>
    </w:p>
    <w:tbl>
      <w:tblPr>
        <w:tblW w:w="13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1344"/>
        <w:gridCol w:w="598"/>
        <w:gridCol w:w="932"/>
        <w:gridCol w:w="931"/>
        <w:gridCol w:w="931"/>
        <w:gridCol w:w="931"/>
        <w:gridCol w:w="932"/>
        <w:gridCol w:w="931"/>
        <w:gridCol w:w="931"/>
        <w:gridCol w:w="1453"/>
      </w:tblGrid>
      <w:tr>
        <w:trPr>
          <w:trHeight w:val="277"/>
          <w:jc w:val="center"/>
        </w:trPr>
        <w:tc>
          <w:tcPr>
            <w:tcW w:w="3662"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344" w:type="dxa"/>
            <w:vAlign w:val="center"/>
          </w:tcPr>
          <w:p>
            <w:pPr>
              <w:spacing w:beforeLines="20" w:before="48" w:afterLines="20" w:after="48"/>
              <w:rPr>
                <w:noProof/>
                <w:sz w:val="18"/>
              </w:rPr>
            </w:pPr>
            <w:r>
              <w:rPr>
                <w:noProof/>
                <w:sz w:val="18"/>
              </w:rPr>
              <w:t>Αναλήψεις υποχρεώσεων</w:t>
            </w:r>
          </w:p>
        </w:tc>
        <w:tc>
          <w:tcPr>
            <w:tcW w:w="598" w:type="dxa"/>
            <w:vAlign w:val="center"/>
          </w:tcPr>
          <w:p>
            <w:pPr>
              <w:spacing w:beforeLines="20" w:before="48" w:afterLines="20" w:after="48"/>
              <w:jc w:val="center"/>
              <w:rPr>
                <w:noProof/>
                <w:sz w:val="14"/>
              </w:rPr>
            </w:pPr>
            <w:r>
              <w:rPr>
                <w:noProof/>
                <w:sz w:val="14"/>
              </w:rPr>
              <w:t>(4)</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18,377</w:t>
            </w:r>
          </w:p>
        </w:tc>
        <w:tc>
          <w:tcPr>
            <w:tcW w:w="1453" w:type="dxa"/>
            <w:vAlign w:val="center"/>
          </w:tcPr>
          <w:p>
            <w:pPr>
              <w:spacing w:before="20" w:after="20"/>
              <w:jc w:val="center"/>
              <w:rPr>
                <w:b/>
                <w:noProof/>
                <w:sz w:val="20"/>
                <w:szCs w:val="20"/>
              </w:rPr>
            </w:pPr>
            <w:r>
              <w:rPr>
                <w:b/>
                <w:noProof/>
                <w:sz w:val="20"/>
                <w:szCs w:val="20"/>
              </w:rPr>
              <w:t>65,940</w:t>
            </w:r>
          </w:p>
        </w:tc>
      </w:tr>
      <w:tr>
        <w:trPr>
          <w:jc w:val="center"/>
        </w:trPr>
        <w:tc>
          <w:tcPr>
            <w:tcW w:w="3662" w:type="dxa"/>
            <w:vMerge/>
          </w:tcPr>
          <w:p>
            <w:pPr>
              <w:jc w:val="center"/>
              <w:rPr>
                <w:noProof/>
                <w:sz w:val="20"/>
              </w:rPr>
            </w:pPr>
          </w:p>
        </w:tc>
        <w:tc>
          <w:tcPr>
            <w:tcW w:w="1344" w:type="dxa"/>
            <w:vAlign w:val="center"/>
          </w:tcPr>
          <w:p>
            <w:pPr>
              <w:spacing w:beforeLines="20" w:before="48" w:afterLines="20" w:after="48"/>
              <w:rPr>
                <w:noProof/>
                <w:sz w:val="18"/>
              </w:rPr>
            </w:pPr>
            <w:r>
              <w:rPr>
                <w:noProof/>
                <w:sz w:val="18"/>
              </w:rPr>
              <w:t>Πληρωμές</w:t>
            </w:r>
          </w:p>
        </w:tc>
        <w:tc>
          <w:tcPr>
            <w:tcW w:w="598" w:type="dxa"/>
            <w:vAlign w:val="center"/>
          </w:tcPr>
          <w:p>
            <w:pPr>
              <w:spacing w:beforeLines="20" w:before="48" w:afterLines="20" w:after="48"/>
              <w:jc w:val="center"/>
              <w:rPr>
                <w:noProof/>
                <w:sz w:val="14"/>
              </w:rPr>
            </w:pPr>
            <w:r>
              <w:rPr>
                <w:noProof/>
                <w:sz w:val="14"/>
              </w:rPr>
              <w:t>(5)</w:t>
            </w:r>
          </w:p>
        </w:tc>
        <w:tc>
          <w:tcPr>
            <w:tcW w:w="932" w:type="dxa"/>
            <w:vAlign w:val="center"/>
          </w:tcPr>
          <w:p>
            <w:pPr>
              <w:spacing w:before="20" w:after="20"/>
              <w:jc w:val="right"/>
              <w:rPr>
                <w:noProof/>
                <w:sz w:val="18"/>
                <w:szCs w:val="18"/>
              </w:rPr>
            </w:pPr>
            <w:r>
              <w:rPr>
                <w:noProof/>
                <w:sz w:val="18"/>
                <w:szCs w:val="18"/>
              </w:rPr>
              <w:t>1,585</w:t>
            </w:r>
          </w:p>
        </w:tc>
        <w:tc>
          <w:tcPr>
            <w:tcW w:w="931" w:type="dxa"/>
            <w:vAlign w:val="center"/>
          </w:tcPr>
          <w:p>
            <w:pPr>
              <w:spacing w:before="20" w:after="20"/>
              <w:jc w:val="right"/>
              <w:rPr>
                <w:noProof/>
                <w:sz w:val="18"/>
                <w:szCs w:val="18"/>
              </w:rPr>
            </w:pPr>
            <w:r>
              <w:rPr>
                <w:noProof/>
                <w:sz w:val="18"/>
                <w:szCs w:val="18"/>
              </w:rPr>
              <w:t>5,549</w:t>
            </w:r>
          </w:p>
        </w:tc>
        <w:tc>
          <w:tcPr>
            <w:tcW w:w="931" w:type="dxa"/>
            <w:vAlign w:val="center"/>
          </w:tcPr>
          <w:p>
            <w:pPr>
              <w:spacing w:before="20" w:after="20"/>
              <w:jc w:val="right"/>
              <w:rPr>
                <w:noProof/>
                <w:sz w:val="18"/>
                <w:szCs w:val="18"/>
              </w:rPr>
            </w:pPr>
            <w:r>
              <w:rPr>
                <w:noProof/>
                <w:sz w:val="18"/>
                <w:szCs w:val="18"/>
              </w:rPr>
              <w:t>7,134</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b/>
                <w:noProof/>
                <w:sz w:val="18"/>
                <w:szCs w:val="18"/>
              </w:rPr>
            </w:pPr>
            <w:r>
              <w:rPr>
                <w:noProof/>
                <w:sz w:val="18"/>
                <w:szCs w:val="18"/>
              </w:rPr>
              <w:t>21,35</w:t>
            </w:r>
          </w:p>
        </w:tc>
        <w:tc>
          <w:tcPr>
            <w:tcW w:w="1453" w:type="dxa"/>
            <w:vAlign w:val="center"/>
          </w:tcPr>
          <w:p>
            <w:pPr>
              <w:spacing w:before="20" w:after="20"/>
              <w:jc w:val="center"/>
              <w:rPr>
                <w:b/>
                <w:noProof/>
                <w:sz w:val="20"/>
                <w:szCs w:val="20"/>
              </w:rPr>
            </w:pPr>
            <w:r>
              <w:rPr>
                <w:b/>
                <w:noProof/>
                <w:sz w:val="20"/>
                <w:szCs w:val="20"/>
              </w:rPr>
              <w:t>59,400</w:t>
            </w:r>
          </w:p>
        </w:tc>
      </w:tr>
      <w:tr>
        <w:trPr>
          <w:trHeight w:val="533"/>
          <w:jc w:val="center"/>
        </w:trPr>
        <w:tc>
          <w:tcPr>
            <w:tcW w:w="5006"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598" w:type="dxa"/>
            <w:vAlign w:val="center"/>
          </w:tcPr>
          <w:p>
            <w:pPr>
              <w:spacing w:beforeLines="20" w:before="48" w:afterLines="20" w:after="48"/>
              <w:jc w:val="center"/>
              <w:rPr>
                <w:noProof/>
                <w:sz w:val="14"/>
              </w:rPr>
            </w:pPr>
            <w:r>
              <w:rPr>
                <w:noProof/>
                <w:sz w:val="14"/>
              </w:rPr>
              <w:t>(6)</w:t>
            </w:r>
          </w:p>
        </w:tc>
        <w:tc>
          <w:tcPr>
            <w:tcW w:w="932"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2"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1453" w:type="dxa"/>
            <w:vAlign w:val="center"/>
          </w:tcPr>
          <w:p>
            <w:pPr>
              <w:spacing w:before="20" w:after="20"/>
              <w:jc w:val="center"/>
              <w:rPr>
                <w:b/>
                <w:noProof/>
                <w:sz w:val="20"/>
                <w:szCs w:val="20"/>
              </w:rPr>
            </w:pPr>
          </w:p>
        </w:tc>
      </w:tr>
      <w:tr>
        <w:trPr>
          <w:jc w:val="center"/>
        </w:trPr>
        <w:tc>
          <w:tcPr>
            <w:tcW w:w="3662" w:type="dxa"/>
            <w:vMerge w:val="restart"/>
            <w:shd w:val="thinDiagStripe" w:color="C0C0C0" w:fill="auto"/>
            <w:vAlign w:val="center"/>
          </w:tcPr>
          <w:p>
            <w:pPr>
              <w:jc w:val="center"/>
              <w:rPr>
                <w:b/>
                <w:noProof/>
              </w:rPr>
            </w:pPr>
            <w:r>
              <w:rPr>
                <w:b/>
                <w:noProof/>
              </w:rPr>
              <w:t xml:space="preserve">ΣΥΝΟΛΟ πιστώσεων </w:t>
            </w:r>
            <w:r>
              <w:rPr>
                <w:noProof/>
              </w:rPr>
              <w:br/>
            </w:r>
            <w:r>
              <w:rPr>
                <w:b/>
                <w:noProof/>
              </w:rPr>
              <w:t>του ΤΟΜΕΑ 1</w:t>
            </w:r>
            <w:r>
              <w:rPr>
                <w:noProof/>
              </w:rPr>
              <w:t xml:space="preserve"> </w:t>
            </w:r>
            <w:r>
              <w:rPr>
                <w:noProof/>
              </w:rPr>
              <w:br/>
              <w:t>του πολυετούς δημοσιονομικού πλαισίου</w:t>
            </w:r>
          </w:p>
        </w:tc>
        <w:tc>
          <w:tcPr>
            <w:tcW w:w="1344" w:type="dxa"/>
            <w:vAlign w:val="center"/>
          </w:tcPr>
          <w:p>
            <w:pPr>
              <w:rPr>
                <w:noProof/>
                <w:sz w:val="18"/>
              </w:rPr>
            </w:pPr>
            <w:r>
              <w:rPr>
                <w:noProof/>
                <w:sz w:val="18"/>
              </w:rPr>
              <w:t>Αναλήψεις υποχρεώσεων</w:t>
            </w:r>
          </w:p>
        </w:tc>
        <w:tc>
          <w:tcPr>
            <w:tcW w:w="598" w:type="dxa"/>
            <w:vAlign w:val="center"/>
          </w:tcPr>
          <w:p>
            <w:pPr>
              <w:jc w:val="center"/>
              <w:rPr>
                <w:noProof/>
                <w:sz w:val="14"/>
              </w:rPr>
            </w:pPr>
            <w:r>
              <w:rPr>
                <w:noProof/>
                <w:sz w:val="14"/>
              </w:rPr>
              <w:t>=4+ 6</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b/>
                <w:noProof/>
                <w:sz w:val="18"/>
                <w:szCs w:val="18"/>
              </w:rPr>
            </w:pPr>
            <w:r>
              <w:rPr>
                <w:noProof/>
                <w:sz w:val="18"/>
                <w:szCs w:val="18"/>
              </w:rPr>
              <w:t>18,377</w:t>
            </w:r>
          </w:p>
        </w:tc>
        <w:tc>
          <w:tcPr>
            <w:tcW w:w="1453" w:type="dxa"/>
            <w:vAlign w:val="center"/>
          </w:tcPr>
          <w:p>
            <w:pPr>
              <w:spacing w:before="20" w:after="20"/>
              <w:jc w:val="center"/>
              <w:rPr>
                <w:b/>
                <w:noProof/>
                <w:sz w:val="20"/>
                <w:szCs w:val="20"/>
              </w:rPr>
            </w:pPr>
            <w:r>
              <w:rPr>
                <w:b/>
                <w:noProof/>
                <w:sz w:val="20"/>
                <w:szCs w:val="20"/>
              </w:rPr>
              <w:t>65,940</w:t>
            </w:r>
          </w:p>
        </w:tc>
      </w:tr>
      <w:tr>
        <w:trPr>
          <w:jc w:val="center"/>
        </w:trPr>
        <w:tc>
          <w:tcPr>
            <w:tcW w:w="3662" w:type="dxa"/>
            <w:vMerge/>
            <w:shd w:val="thinDiagStripe" w:color="C0C0C0" w:fill="auto"/>
          </w:tcPr>
          <w:p>
            <w:pPr>
              <w:rPr>
                <w:noProof/>
                <w:sz w:val="20"/>
              </w:rPr>
            </w:pPr>
          </w:p>
        </w:tc>
        <w:tc>
          <w:tcPr>
            <w:tcW w:w="1344" w:type="dxa"/>
            <w:vAlign w:val="center"/>
          </w:tcPr>
          <w:p>
            <w:pPr>
              <w:rPr>
                <w:noProof/>
                <w:sz w:val="18"/>
              </w:rPr>
            </w:pPr>
            <w:r>
              <w:rPr>
                <w:noProof/>
                <w:sz w:val="18"/>
              </w:rPr>
              <w:t>Πληρωμές</w:t>
            </w:r>
          </w:p>
        </w:tc>
        <w:tc>
          <w:tcPr>
            <w:tcW w:w="598" w:type="dxa"/>
            <w:vAlign w:val="center"/>
          </w:tcPr>
          <w:p>
            <w:pPr>
              <w:jc w:val="center"/>
              <w:rPr>
                <w:noProof/>
                <w:sz w:val="14"/>
              </w:rPr>
            </w:pPr>
            <w:r>
              <w:rPr>
                <w:noProof/>
                <w:sz w:val="14"/>
              </w:rPr>
              <w:t>=5+ 6</w:t>
            </w:r>
          </w:p>
        </w:tc>
        <w:tc>
          <w:tcPr>
            <w:tcW w:w="932" w:type="dxa"/>
            <w:vAlign w:val="center"/>
          </w:tcPr>
          <w:p>
            <w:pPr>
              <w:spacing w:before="20" w:after="20"/>
              <w:jc w:val="right"/>
              <w:rPr>
                <w:noProof/>
                <w:sz w:val="18"/>
                <w:szCs w:val="18"/>
              </w:rPr>
            </w:pPr>
            <w:r>
              <w:rPr>
                <w:noProof/>
                <w:sz w:val="18"/>
                <w:szCs w:val="18"/>
              </w:rPr>
              <w:t>1,585</w:t>
            </w:r>
          </w:p>
        </w:tc>
        <w:tc>
          <w:tcPr>
            <w:tcW w:w="931" w:type="dxa"/>
            <w:vAlign w:val="center"/>
          </w:tcPr>
          <w:p>
            <w:pPr>
              <w:spacing w:before="20" w:after="20"/>
              <w:jc w:val="right"/>
              <w:rPr>
                <w:noProof/>
                <w:sz w:val="18"/>
                <w:szCs w:val="18"/>
              </w:rPr>
            </w:pPr>
            <w:r>
              <w:rPr>
                <w:noProof/>
                <w:sz w:val="18"/>
                <w:szCs w:val="18"/>
              </w:rPr>
              <w:t>5,549</w:t>
            </w:r>
          </w:p>
        </w:tc>
        <w:tc>
          <w:tcPr>
            <w:tcW w:w="931" w:type="dxa"/>
            <w:vAlign w:val="center"/>
          </w:tcPr>
          <w:p>
            <w:pPr>
              <w:spacing w:before="20" w:after="20"/>
              <w:jc w:val="right"/>
              <w:rPr>
                <w:noProof/>
                <w:sz w:val="18"/>
                <w:szCs w:val="18"/>
              </w:rPr>
            </w:pPr>
            <w:r>
              <w:rPr>
                <w:noProof/>
                <w:sz w:val="18"/>
                <w:szCs w:val="18"/>
              </w:rPr>
              <w:t>7,134</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b/>
                <w:noProof/>
                <w:sz w:val="18"/>
                <w:szCs w:val="18"/>
              </w:rPr>
            </w:pPr>
            <w:r>
              <w:rPr>
                <w:noProof/>
                <w:sz w:val="18"/>
                <w:szCs w:val="18"/>
              </w:rPr>
              <w:t>21,35</w:t>
            </w:r>
          </w:p>
        </w:tc>
        <w:tc>
          <w:tcPr>
            <w:tcW w:w="1453" w:type="dxa"/>
            <w:vAlign w:val="center"/>
          </w:tcPr>
          <w:p>
            <w:pPr>
              <w:spacing w:before="20" w:after="20"/>
              <w:jc w:val="center"/>
              <w:rPr>
                <w:b/>
                <w:noProof/>
                <w:sz w:val="20"/>
                <w:szCs w:val="20"/>
              </w:rPr>
            </w:pPr>
            <w:r>
              <w:rPr>
                <w:b/>
                <w:noProof/>
                <w:sz w:val="20"/>
                <w:szCs w:val="20"/>
              </w:rPr>
              <w:t>59,400</w:t>
            </w:r>
          </w:p>
        </w:tc>
      </w:tr>
    </w:tbl>
    <w:p>
      <w:pPr>
        <w:spacing w:after="40"/>
        <w:rPr>
          <w:b/>
          <w:noProof/>
          <w:u w:val="single"/>
        </w:rPr>
      </w:pPr>
      <w:r>
        <w:rPr>
          <w:b/>
          <w:noProof/>
          <w:u w:val="single"/>
        </w:rPr>
        <w:t>Αν η πρόταση/πρωτοβουλία επηρεάζει περισσότερους από έναν τομείς:</w:t>
      </w:r>
    </w:p>
    <w:tbl>
      <w:tblPr>
        <w:tblW w:w="15309" w:type="dxa"/>
        <w:jc w:val="center"/>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662"/>
        <w:gridCol w:w="1344"/>
        <w:gridCol w:w="620"/>
        <w:gridCol w:w="910"/>
        <w:gridCol w:w="931"/>
        <w:gridCol w:w="931"/>
        <w:gridCol w:w="931"/>
        <w:gridCol w:w="932"/>
        <w:gridCol w:w="931"/>
        <w:gridCol w:w="931"/>
        <w:gridCol w:w="802"/>
        <w:gridCol w:w="931"/>
        <w:gridCol w:w="1453"/>
      </w:tblGrid>
      <w:tr>
        <w:trPr>
          <w:trHeight w:val="277"/>
          <w:jc w:val="center"/>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969"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3"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b/>
                <w:noProof/>
                <w:sz w:val="20"/>
              </w:rPr>
            </w:pPr>
          </w:p>
        </w:tc>
        <w:tc>
          <w:tcPr>
            <w:tcW w:w="851" w:type="dxa"/>
            <w:tcBorders>
              <w:top w:val="single" w:sz="4" w:space="0" w:color="auto"/>
              <w:right w:val="single" w:sz="4" w:space="0" w:color="auto"/>
            </w:tcBorders>
            <w:vAlign w:val="center"/>
          </w:tcPr>
          <w:p>
            <w:pPr>
              <w:spacing w:before="20" w:after="20"/>
              <w:jc w:val="right"/>
              <w:rPr>
                <w:b/>
                <w:noProof/>
                <w:sz w:val="20"/>
              </w:rPr>
            </w:pPr>
          </w:p>
        </w:tc>
        <w:tc>
          <w:tcPr>
            <w:tcW w:w="992" w:type="dxa"/>
            <w:tcBorders>
              <w:top w:val="single" w:sz="4" w:space="0" w:color="auto"/>
              <w:right w:val="single" w:sz="4" w:space="0" w:color="auto"/>
            </w:tcBorders>
            <w:vAlign w:val="center"/>
          </w:tcPr>
          <w:p>
            <w:pPr>
              <w:spacing w:before="20" w:after="20"/>
              <w:jc w:val="right"/>
              <w:rPr>
                <w:b/>
                <w:noProof/>
                <w:sz w:val="20"/>
              </w:rPr>
            </w:pPr>
          </w:p>
        </w:tc>
        <w:tc>
          <w:tcPr>
            <w:tcW w:w="1559" w:type="dxa"/>
            <w:tcBorders>
              <w:top w:val="single" w:sz="4" w:space="0" w:color="auto"/>
              <w:right w:val="single" w:sz="4" w:space="0" w:color="auto"/>
            </w:tcBorders>
            <w:vAlign w:val="center"/>
          </w:tcPr>
          <w:p>
            <w:pPr>
              <w:spacing w:before="20" w:after="20"/>
              <w:jc w:val="right"/>
              <w:rPr>
                <w:b/>
                <w:noProof/>
                <w:sz w:val="20"/>
              </w:rPr>
            </w:pPr>
          </w:p>
        </w:tc>
      </w:tr>
      <w:tr>
        <w:trPr>
          <w:jc w:val="center"/>
        </w:trP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969"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b/>
                <w:noProof/>
                <w:sz w:val="20"/>
              </w:rPr>
            </w:pPr>
          </w:p>
        </w:tc>
        <w:tc>
          <w:tcPr>
            <w:tcW w:w="851" w:type="dxa"/>
            <w:tcBorders>
              <w:right w:val="single" w:sz="4" w:space="0" w:color="auto"/>
            </w:tcBorders>
            <w:vAlign w:val="center"/>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c>
          <w:tcPr>
            <w:tcW w:w="1559"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969"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3"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851"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r>
      <w:tr>
        <w:trPr>
          <w:jc w:val="center"/>
        </w:trP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 xml:space="preserve">ΣΥΝΟΛΟ πιστώσεων </w:t>
            </w:r>
            <w:r>
              <w:rPr>
                <w:noProof/>
              </w:rPr>
              <w:br/>
            </w:r>
            <w:r>
              <w:rPr>
                <w:b/>
                <w:noProof/>
              </w:rPr>
              <w:t>των ΤΟΜΕΩΝ 1 έως 4</w:t>
            </w:r>
            <w:r>
              <w:rPr>
                <w:noProof/>
              </w:rPr>
              <w:t xml:space="preserve"> </w:t>
            </w:r>
            <w:r>
              <w:rPr>
                <w:noProof/>
              </w:rPr>
              <w:br/>
              <w:t xml:space="preserve">του πολυετούς δημοσιονομικού πλαισίου </w:t>
            </w:r>
            <w:r>
              <w:rPr>
                <w:noProof/>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969"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b/>
                <w:noProof/>
                <w:sz w:val="20"/>
              </w:rPr>
            </w:pPr>
          </w:p>
        </w:tc>
        <w:tc>
          <w:tcPr>
            <w:tcW w:w="851" w:type="dxa"/>
            <w:tcBorders>
              <w:right w:val="single" w:sz="4" w:space="0" w:color="auto"/>
            </w:tcBorders>
            <w:vAlign w:val="center"/>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c>
          <w:tcPr>
            <w:tcW w:w="1559" w:type="dxa"/>
            <w:tcBorders>
              <w:right w:val="single" w:sz="4" w:space="0" w:color="auto"/>
            </w:tcBorders>
            <w:vAlign w:val="center"/>
          </w:tcPr>
          <w:p>
            <w:pPr>
              <w:spacing w:before="20" w:after="20"/>
              <w:jc w:val="right"/>
              <w:rPr>
                <w:b/>
                <w:noProof/>
                <w:sz w:val="20"/>
              </w:rPr>
            </w:pPr>
          </w:p>
        </w:tc>
      </w:tr>
      <w:tr>
        <w:trPr>
          <w:jc w:val="center"/>
        </w:trP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Πληρωμές</w:t>
            </w:r>
          </w:p>
        </w:tc>
        <w:tc>
          <w:tcPr>
            <w:tcW w:w="654" w:type="dxa"/>
            <w:tcBorders>
              <w:bottom w:val="single" w:sz="4" w:space="0" w:color="auto"/>
            </w:tcBorders>
            <w:vAlign w:val="center"/>
          </w:tcPr>
          <w:p>
            <w:pPr>
              <w:jc w:val="center"/>
              <w:rPr>
                <w:noProof/>
                <w:sz w:val="14"/>
              </w:rPr>
            </w:pPr>
            <w:r>
              <w:rPr>
                <w:noProof/>
                <w:sz w:val="14"/>
              </w:rPr>
              <w:t>=5+ 6</w:t>
            </w:r>
          </w:p>
        </w:tc>
        <w:tc>
          <w:tcPr>
            <w:tcW w:w="969"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3"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b/>
                <w:noProof/>
                <w:sz w:val="20"/>
              </w:rPr>
            </w:pPr>
          </w:p>
        </w:tc>
        <w:tc>
          <w:tcPr>
            <w:tcW w:w="851" w:type="dxa"/>
            <w:tcBorders>
              <w:bottom w:val="single" w:sz="4" w:space="0" w:color="auto"/>
              <w:right w:val="single" w:sz="4" w:space="0" w:color="auto"/>
            </w:tcBorders>
            <w:vAlign w:val="center"/>
          </w:tcPr>
          <w:p>
            <w:pPr>
              <w:spacing w:before="20" w:after="20"/>
              <w:jc w:val="right"/>
              <w:rPr>
                <w:b/>
                <w:noProof/>
                <w:sz w:val="20"/>
              </w:rPr>
            </w:pPr>
          </w:p>
        </w:tc>
        <w:tc>
          <w:tcPr>
            <w:tcW w:w="992" w:type="dxa"/>
            <w:tcBorders>
              <w:bottom w:val="single" w:sz="4" w:space="0" w:color="auto"/>
              <w:right w:val="single" w:sz="4" w:space="0" w:color="auto"/>
            </w:tcBorders>
            <w:vAlign w:val="center"/>
          </w:tcPr>
          <w:p>
            <w:pPr>
              <w:spacing w:before="20" w:after="20"/>
              <w:jc w:val="right"/>
              <w:rPr>
                <w:b/>
                <w:noProof/>
                <w:sz w:val="20"/>
              </w:rPr>
            </w:pPr>
          </w:p>
        </w:tc>
        <w:tc>
          <w:tcPr>
            <w:tcW w:w="1559"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13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1124"/>
        <w:gridCol w:w="776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Τομέας του πολυετούς </w:t>
            </w:r>
            <w:r>
              <w:rPr>
                <w:b/>
                <w:noProof/>
              </w:rPr>
              <w:br/>
              <w:t>δημοσιονομικού</w:t>
            </w:r>
            <w:r>
              <w:rPr>
                <w:noProof/>
              </w:rPr>
              <w:t xml:space="preserve"> </w:t>
            </w:r>
            <w:r>
              <w:rPr>
                <w:b/>
                <w:noProof/>
              </w:rPr>
              <w:t xml:space="preserve">πλαισίου </w:t>
            </w:r>
          </w:p>
        </w:tc>
        <w:tc>
          <w:tcPr>
            <w:tcW w:w="1080" w:type="dxa"/>
            <w:shd w:val="thinDiagStripe" w:color="C0C0C0" w:fill="auto"/>
            <w:vAlign w:val="center"/>
          </w:tcPr>
          <w:p>
            <w:pPr>
              <w:spacing w:before="60" w:after="60"/>
              <w:jc w:val="center"/>
              <w:rPr>
                <w:noProof/>
              </w:rPr>
            </w:pPr>
            <w:r>
              <w:rPr>
                <w:b/>
                <w:noProof/>
              </w:rPr>
              <w:t>5</w:t>
            </w:r>
          </w:p>
        </w:tc>
        <w:tc>
          <w:tcPr>
            <w:tcW w:w="7462" w:type="dxa"/>
            <w:vAlign w:val="center"/>
          </w:tcPr>
          <w:p>
            <w:pPr>
              <w:spacing w:before="60" w:after="60"/>
              <w:rPr>
                <w:noProof/>
              </w:rPr>
            </w:pPr>
            <w:r>
              <w:rPr>
                <w:noProof/>
              </w:rPr>
              <w:t>«Διοικητικές δαπάνες»</w:t>
            </w:r>
          </w:p>
        </w:tc>
      </w:tr>
    </w:tbl>
    <w:p>
      <w:pPr>
        <w:jc w:val="right"/>
        <w:rPr>
          <w:noProof/>
          <w:sz w:val="20"/>
        </w:rPr>
      </w:pPr>
      <w:r>
        <w:rPr>
          <w:noProof/>
          <w:sz w:val="20"/>
        </w:rPr>
        <w:t>σε εκατ. EUR (με τρία δεκαδικά ψηφία)</w:t>
      </w:r>
    </w:p>
    <w:tbl>
      <w:tblPr>
        <w:tblW w:w="12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36"/>
        <w:gridCol w:w="236"/>
        <w:gridCol w:w="930"/>
        <w:gridCol w:w="592"/>
        <w:gridCol w:w="236"/>
        <w:gridCol w:w="40"/>
        <w:gridCol w:w="868"/>
        <w:gridCol w:w="868"/>
        <w:gridCol w:w="868"/>
        <w:gridCol w:w="868"/>
        <w:gridCol w:w="868"/>
      </w:tblGrid>
      <w:tr>
        <w:trPr>
          <w:jc w:val="center"/>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1166" w:type="dxa"/>
            <w:gridSpan w:val="2"/>
            <w:vAlign w:val="center"/>
          </w:tcPr>
          <w:p>
            <w:pPr>
              <w:jc w:val="center"/>
              <w:rPr>
                <w:noProof/>
                <w:sz w:val="20"/>
              </w:rPr>
            </w:pPr>
            <w:r>
              <w:rPr>
                <w:noProof/>
                <w:sz w:val="20"/>
              </w:rPr>
              <w:t>Έτος</w:t>
            </w:r>
            <w:r>
              <w:rPr>
                <w:noProof/>
              </w:rPr>
              <w:t xml:space="preserve"> </w:t>
            </w:r>
            <w:r>
              <w:rPr>
                <w:noProof/>
              </w:rPr>
              <w:br/>
            </w:r>
            <w:r>
              <w:rPr>
                <w:b/>
                <w:noProof/>
                <w:sz w:val="20"/>
              </w:rPr>
              <w:t>2022</w:t>
            </w:r>
          </w:p>
        </w:tc>
        <w:tc>
          <w:tcPr>
            <w:tcW w:w="868" w:type="dxa"/>
            <w:gridSpan w:val="3"/>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2027</w:t>
            </w:r>
          </w:p>
        </w:tc>
        <w:tc>
          <w:tcPr>
            <w:tcW w:w="868" w:type="dxa"/>
            <w:vAlign w:val="center"/>
          </w:tcPr>
          <w:p>
            <w:pPr>
              <w:jc w:val="center"/>
              <w:rPr>
                <w:b/>
                <w:noProof/>
                <w:sz w:val="18"/>
              </w:rPr>
            </w:pPr>
            <w:r>
              <w:rPr>
                <w:noProof/>
                <w:sz w:val="20"/>
              </w:rPr>
              <w:t>Πέραν του</w:t>
            </w:r>
            <w:r>
              <w:rPr>
                <w:noProof/>
              </w:rPr>
              <w:t xml:space="preserve"> </w:t>
            </w:r>
            <w:r>
              <w:rPr>
                <w:noProof/>
              </w:rPr>
              <w:br/>
            </w:r>
            <w:r>
              <w:rPr>
                <w:b/>
                <w:noProof/>
                <w:sz w:val="20"/>
              </w:rPr>
              <w:t>2027</w:t>
            </w:r>
          </w:p>
        </w:tc>
      </w:tr>
      <w:tr>
        <w:trPr>
          <w:gridAfter w:val="9"/>
          <w:wAfter w:w="6138" w:type="dxa"/>
          <w:jc w:val="center"/>
        </w:trPr>
        <w:tc>
          <w:tcPr>
            <w:tcW w:w="3960" w:type="dxa"/>
            <w:vAlign w:val="center"/>
          </w:tcPr>
          <w:p>
            <w:pPr>
              <w:spacing w:before="60" w:after="60"/>
              <w:jc w:val="center"/>
              <w:rPr>
                <w:noProof/>
              </w:rPr>
            </w:pPr>
            <w:r>
              <w:rPr>
                <w:noProof/>
              </w:rPr>
              <w:t>ΓΔ: TAXUD</w:t>
            </w:r>
          </w:p>
        </w:tc>
        <w:tc>
          <w:tcPr>
            <w:tcW w:w="1796" w:type="dxa"/>
            <w:gridSpan w:val="2"/>
            <w:tcBorders>
              <w:right w:val="nil"/>
            </w:tcBorders>
          </w:tcPr>
          <w:p>
            <w:pPr>
              <w:spacing w:before="60" w:after="60"/>
              <w:jc w:val="center"/>
              <w:rPr>
                <w:noProof/>
              </w:rPr>
            </w:pPr>
          </w:p>
        </w:tc>
        <w:tc>
          <w:tcPr>
            <w:tcW w:w="236" w:type="dxa"/>
            <w:tcBorders>
              <w:top w:val="nil"/>
              <w:left w:val="nil"/>
              <w:bottom w:val="nil"/>
              <w:right w:val="nil"/>
            </w:tcBorders>
          </w:tcPr>
          <w:p>
            <w:pPr>
              <w:spacing w:before="60" w:after="60"/>
              <w:jc w:val="center"/>
              <w:rPr>
                <w:noProof/>
              </w:rPr>
            </w:pPr>
          </w:p>
        </w:tc>
      </w:tr>
      <w:tr>
        <w:trPr>
          <w:trHeight w:val="313"/>
          <w:jc w:val="center"/>
        </w:trPr>
        <w:tc>
          <w:tcPr>
            <w:tcW w:w="5756" w:type="dxa"/>
            <w:gridSpan w:val="3"/>
            <w:vAlign w:val="center"/>
          </w:tcPr>
          <w:p>
            <w:pPr>
              <w:spacing w:before="20" w:after="20"/>
              <w:rPr>
                <w:noProof/>
              </w:rPr>
            </w:pPr>
            <w:r>
              <w:rPr>
                <w:noProof/>
              </w:rPr>
              <w:sym w:font="Wingdings" w:char="F09F"/>
            </w:r>
            <w:r>
              <w:rPr>
                <w:noProof/>
              </w:rPr>
              <w:t xml:space="preserve"> Ανθρώπινοι πόροι </w:t>
            </w:r>
          </w:p>
        </w:tc>
        <w:tc>
          <w:tcPr>
            <w:tcW w:w="1166" w:type="dxa"/>
            <w:gridSpan w:val="2"/>
            <w:vAlign w:val="center"/>
          </w:tcPr>
          <w:p>
            <w:pPr>
              <w:spacing w:before="20" w:after="20"/>
              <w:jc w:val="right"/>
              <w:rPr>
                <w:noProof/>
                <w:sz w:val="18"/>
                <w:szCs w:val="18"/>
              </w:rPr>
            </w:pPr>
            <w:r>
              <w:rPr>
                <w:noProof/>
                <w:sz w:val="18"/>
                <w:szCs w:val="18"/>
              </w:rPr>
              <w:t>0,750</w:t>
            </w:r>
          </w:p>
        </w:tc>
        <w:tc>
          <w:tcPr>
            <w:tcW w:w="868" w:type="dxa"/>
            <w:gridSpan w:val="3"/>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1,950</w:t>
            </w:r>
          </w:p>
        </w:tc>
      </w:tr>
      <w:tr>
        <w:trPr>
          <w:trHeight w:val="351"/>
          <w:jc w:val="center"/>
        </w:trPr>
        <w:tc>
          <w:tcPr>
            <w:tcW w:w="5756" w:type="dxa"/>
            <w:gridSpan w:val="3"/>
            <w:vAlign w:val="center"/>
          </w:tcPr>
          <w:p>
            <w:pPr>
              <w:spacing w:before="20" w:after="20"/>
              <w:rPr>
                <w:noProof/>
              </w:rPr>
            </w:pPr>
            <w:r>
              <w:rPr>
                <w:noProof/>
              </w:rPr>
              <w:sym w:font="Wingdings" w:char="F09F"/>
            </w:r>
            <w:r>
              <w:rPr>
                <w:noProof/>
              </w:rPr>
              <w:t xml:space="preserve"> Άλλες διοικητικές δαπάνες </w:t>
            </w:r>
          </w:p>
        </w:tc>
        <w:tc>
          <w:tcPr>
            <w:tcW w:w="1166" w:type="dxa"/>
            <w:gridSpan w:val="2"/>
            <w:vAlign w:val="center"/>
          </w:tcPr>
          <w:p>
            <w:pPr>
              <w:spacing w:before="20" w:after="20"/>
              <w:jc w:val="right"/>
              <w:rPr>
                <w:b/>
                <w:noProof/>
                <w:sz w:val="18"/>
                <w:szCs w:val="18"/>
              </w:rPr>
            </w:pPr>
          </w:p>
        </w:tc>
        <w:tc>
          <w:tcPr>
            <w:tcW w:w="868" w:type="dxa"/>
            <w:gridSpan w:val="3"/>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noProof/>
                <w:sz w:val="18"/>
                <w:szCs w:val="18"/>
              </w:rPr>
            </w:pPr>
          </w:p>
        </w:tc>
      </w:tr>
      <w:tr>
        <w:trPr>
          <w:trHeight w:val="356"/>
          <w:jc w:val="center"/>
        </w:trPr>
        <w:tc>
          <w:tcPr>
            <w:tcW w:w="3960" w:type="dxa"/>
            <w:vAlign w:val="center"/>
          </w:tcPr>
          <w:p>
            <w:pPr>
              <w:jc w:val="center"/>
              <w:rPr>
                <w:b/>
                <w:noProof/>
              </w:rPr>
            </w:pPr>
            <w:r>
              <w:rPr>
                <w:b/>
                <w:noProof/>
              </w:rPr>
              <w:t>ΣΥΝΟΛΟ ΓΔ</w:t>
            </w:r>
            <w:r>
              <w:rPr>
                <w:noProof/>
              </w:rPr>
              <w:t xml:space="preserve"> TAXUD</w:t>
            </w:r>
          </w:p>
        </w:tc>
        <w:tc>
          <w:tcPr>
            <w:tcW w:w="1796" w:type="dxa"/>
            <w:gridSpan w:val="2"/>
            <w:vAlign w:val="center"/>
          </w:tcPr>
          <w:p>
            <w:pPr>
              <w:rPr>
                <w:noProof/>
                <w:sz w:val="14"/>
              </w:rPr>
            </w:pPr>
            <w:r>
              <w:rPr>
                <w:noProof/>
                <w:sz w:val="18"/>
              </w:rPr>
              <w:t xml:space="preserve">Πιστώσεις </w:t>
            </w:r>
          </w:p>
        </w:tc>
        <w:tc>
          <w:tcPr>
            <w:tcW w:w="1166" w:type="dxa"/>
            <w:gridSpan w:val="2"/>
            <w:vAlign w:val="center"/>
          </w:tcPr>
          <w:p>
            <w:pPr>
              <w:spacing w:before="60" w:after="60"/>
              <w:jc w:val="right"/>
              <w:rPr>
                <w:noProof/>
                <w:sz w:val="18"/>
                <w:szCs w:val="18"/>
              </w:rPr>
            </w:pPr>
            <w:r>
              <w:rPr>
                <w:noProof/>
                <w:sz w:val="18"/>
                <w:szCs w:val="18"/>
              </w:rPr>
              <w:t>0,750</w:t>
            </w:r>
          </w:p>
        </w:tc>
        <w:tc>
          <w:tcPr>
            <w:tcW w:w="868" w:type="dxa"/>
            <w:gridSpan w:val="3"/>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1,950</w:t>
            </w:r>
          </w:p>
        </w:tc>
      </w:tr>
      <w:tr>
        <w:trPr>
          <w:gridAfter w:val="6"/>
          <w:wAfter w:w="4380" w:type="dxa"/>
          <w:jc w:val="center"/>
        </w:trPr>
        <w:tc>
          <w:tcPr>
            <w:tcW w:w="3960" w:type="dxa"/>
            <w:vAlign w:val="center"/>
          </w:tcPr>
          <w:p>
            <w:pPr>
              <w:spacing w:before="60" w:after="60"/>
              <w:jc w:val="center"/>
              <w:rPr>
                <w:noProof/>
              </w:rPr>
            </w:pPr>
            <w:r>
              <w:rPr>
                <w:noProof/>
              </w:rPr>
              <w:t>ΓΔ: ΓΔ-εταίροι που συμμετέχουν στην πρωτοβουλία</w:t>
            </w:r>
          </w:p>
        </w:tc>
        <w:tc>
          <w:tcPr>
            <w:tcW w:w="1796" w:type="dxa"/>
            <w:gridSpan w:val="2"/>
            <w:tcBorders>
              <w:right w:val="nil"/>
            </w:tcBorders>
          </w:tcPr>
          <w:p>
            <w:pPr>
              <w:spacing w:before="60" w:after="60"/>
              <w:jc w:val="center"/>
              <w:rPr>
                <w:noProof/>
              </w:rPr>
            </w:pPr>
          </w:p>
        </w:tc>
        <w:tc>
          <w:tcPr>
            <w:tcW w:w="1758" w:type="dxa"/>
            <w:gridSpan w:val="3"/>
            <w:tcBorders>
              <w:top w:val="nil"/>
              <w:left w:val="nil"/>
              <w:bottom w:val="nil"/>
              <w:right w:val="nil"/>
            </w:tcBorders>
          </w:tcPr>
          <w:p>
            <w:pPr>
              <w:spacing w:before="60" w:after="60"/>
              <w:jc w:val="center"/>
              <w:rPr>
                <w:noProof/>
                <w:sz w:val="18"/>
                <w:szCs w:val="18"/>
              </w:rPr>
            </w:pPr>
          </w:p>
        </w:tc>
        <w:tc>
          <w:tcPr>
            <w:tcW w:w="236" w:type="dxa"/>
            <w:tcBorders>
              <w:top w:val="nil"/>
              <w:left w:val="nil"/>
              <w:bottom w:val="nil"/>
              <w:right w:val="nil"/>
            </w:tcBorders>
          </w:tcPr>
          <w:p>
            <w:pPr>
              <w:spacing w:before="60" w:after="60"/>
              <w:jc w:val="center"/>
              <w:rPr>
                <w:noProof/>
                <w:sz w:val="18"/>
                <w:szCs w:val="18"/>
              </w:rPr>
            </w:pPr>
          </w:p>
        </w:tc>
      </w:tr>
      <w:tr>
        <w:trPr>
          <w:trHeight w:val="313"/>
          <w:jc w:val="center"/>
        </w:trPr>
        <w:tc>
          <w:tcPr>
            <w:tcW w:w="5756" w:type="dxa"/>
            <w:gridSpan w:val="3"/>
            <w:vAlign w:val="center"/>
          </w:tcPr>
          <w:p>
            <w:pPr>
              <w:spacing w:before="20" w:after="20"/>
              <w:rPr>
                <w:noProof/>
              </w:rPr>
            </w:pPr>
            <w:r>
              <w:rPr>
                <w:noProof/>
              </w:rPr>
              <w:sym w:font="Wingdings" w:char="F09F"/>
            </w:r>
            <w:r>
              <w:rPr>
                <w:noProof/>
              </w:rPr>
              <w:t xml:space="preserve"> Ανθρώπινοι πόροι </w:t>
            </w:r>
          </w:p>
        </w:tc>
        <w:tc>
          <w:tcPr>
            <w:tcW w:w="1166" w:type="dxa"/>
            <w:gridSpan w:val="2"/>
            <w:vAlign w:val="center"/>
          </w:tcPr>
          <w:p>
            <w:pPr>
              <w:spacing w:before="20" w:after="20"/>
              <w:jc w:val="right"/>
              <w:rPr>
                <w:noProof/>
                <w:sz w:val="18"/>
                <w:szCs w:val="18"/>
              </w:rPr>
            </w:pPr>
            <w:r>
              <w:rPr>
                <w:noProof/>
                <w:sz w:val="18"/>
                <w:szCs w:val="18"/>
              </w:rPr>
              <w:t>0,570</w:t>
            </w:r>
          </w:p>
        </w:tc>
        <w:tc>
          <w:tcPr>
            <w:tcW w:w="868" w:type="dxa"/>
            <w:gridSpan w:val="3"/>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1,620</w:t>
            </w:r>
          </w:p>
        </w:tc>
      </w:tr>
      <w:tr>
        <w:trPr>
          <w:trHeight w:val="351"/>
          <w:jc w:val="center"/>
        </w:trPr>
        <w:tc>
          <w:tcPr>
            <w:tcW w:w="5756" w:type="dxa"/>
            <w:gridSpan w:val="3"/>
            <w:vAlign w:val="center"/>
          </w:tcPr>
          <w:p>
            <w:pPr>
              <w:spacing w:before="20" w:after="20"/>
              <w:rPr>
                <w:noProof/>
              </w:rPr>
            </w:pPr>
            <w:r>
              <w:rPr>
                <w:noProof/>
              </w:rPr>
              <w:sym w:font="Wingdings" w:char="F09F"/>
            </w:r>
            <w:r>
              <w:rPr>
                <w:noProof/>
              </w:rPr>
              <w:t xml:space="preserve"> Άλλες διοικητικές δαπάνες </w:t>
            </w:r>
          </w:p>
        </w:tc>
        <w:tc>
          <w:tcPr>
            <w:tcW w:w="1166" w:type="dxa"/>
            <w:gridSpan w:val="2"/>
            <w:vAlign w:val="center"/>
          </w:tcPr>
          <w:p>
            <w:pPr>
              <w:spacing w:before="20" w:after="20"/>
              <w:jc w:val="right"/>
              <w:rPr>
                <w:noProof/>
                <w:sz w:val="18"/>
                <w:szCs w:val="18"/>
              </w:rPr>
            </w:pPr>
          </w:p>
        </w:tc>
        <w:tc>
          <w:tcPr>
            <w:tcW w:w="868" w:type="dxa"/>
            <w:gridSpan w:val="3"/>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r>
      <w:tr>
        <w:trPr>
          <w:jc w:val="center"/>
        </w:trPr>
        <w:tc>
          <w:tcPr>
            <w:tcW w:w="3960" w:type="dxa"/>
            <w:vAlign w:val="center"/>
          </w:tcPr>
          <w:p>
            <w:pPr>
              <w:jc w:val="center"/>
              <w:rPr>
                <w:noProof/>
              </w:rPr>
            </w:pPr>
            <w:r>
              <w:rPr>
                <w:noProof/>
              </w:rPr>
              <w:t>ΣΥΝΟΛΟ ΓΔ-εταίρων που συμμετέχουν στην πρωτοβουλία</w:t>
            </w:r>
          </w:p>
        </w:tc>
        <w:tc>
          <w:tcPr>
            <w:tcW w:w="1796" w:type="dxa"/>
            <w:gridSpan w:val="2"/>
            <w:vAlign w:val="center"/>
          </w:tcPr>
          <w:p>
            <w:pPr>
              <w:rPr>
                <w:noProof/>
                <w:sz w:val="14"/>
              </w:rPr>
            </w:pPr>
            <w:r>
              <w:rPr>
                <w:noProof/>
                <w:sz w:val="18"/>
              </w:rPr>
              <w:t xml:space="preserve">Πιστώσεις </w:t>
            </w:r>
          </w:p>
        </w:tc>
        <w:tc>
          <w:tcPr>
            <w:tcW w:w="1166" w:type="dxa"/>
            <w:gridSpan w:val="2"/>
            <w:vAlign w:val="center"/>
          </w:tcPr>
          <w:p>
            <w:pPr>
              <w:spacing w:before="20" w:after="20"/>
              <w:jc w:val="right"/>
              <w:rPr>
                <w:noProof/>
                <w:sz w:val="18"/>
                <w:szCs w:val="18"/>
              </w:rPr>
            </w:pPr>
            <w:r>
              <w:rPr>
                <w:noProof/>
                <w:sz w:val="18"/>
                <w:szCs w:val="18"/>
              </w:rPr>
              <w:t>0,570</w:t>
            </w:r>
          </w:p>
        </w:tc>
        <w:tc>
          <w:tcPr>
            <w:tcW w:w="868" w:type="dxa"/>
            <w:gridSpan w:val="3"/>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1,620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761"/>
        <w:gridCol w:w="1201"/>
        <w:gridCol w:w="868"/>
        <w:gridCol w:w="868"/>
        <w:gridCol w:w="868"/>
        <w:gridCol w:w="868"/>
        <w:gridCol w:w="868"/>
        <w:gridCol w:w="868"/>
      </w:tblGrid>
      <w:tr>
        <w:trPr>
          <w:jc w:val="center"/>
        </w:trPr>
        <w:tc>
          <w:tcPr>
            <w:tcW w:w="3960" w:type="dxa"/>
            <w:shd w:val="thinDiagStripe" w:color="C0C0C0" w:fill="auto"/>
            <w:vAlign w:val="center"/>
          </w:tcPr>
          <w:p>
            <w:pPr>
              <w:jc w:val="center"/>
              <w:rPr>
                <w:noProof/>
              </w:rPr>
            </w:pPr>
            <w:r>
              <w:rPr>
                <w:noProof/>
              </w:rPr>
              <w:t xml:space="preserve">ΣΥΝΟΛΟ πιστώσεων </w:t>
            </w:r>
            <w:r>
              <w:rPr>
                <w:noProof/>
              </w:rPr>
              <w:br/>
              <w:t xml:space="preserve">του ΤΟΜΕΑ 5 </w:t>
            </w:r>
            <w:r>
              <w:rPr>
                <w:noProof/>
              </w:rPr>
              <w:br/>
              <w:t xml:space="preserve">του πολυετούς δημοσιονομικού πλαισίου </w:t>
            </w:r>
          </w:p>
        </w:tc>
        <w:tc>
          <w:tcPr>
            <w:tcW w:w="1761" w:type="dxa"/>
            <w:vAlign w:val="center"/>
          </w:tcPr>
          <w:p>
            <w:pPr>
              <w:spacing w:before="40" w:after="40"/>
              <w:rPr>
                <w:noProof/>
              </w:rPr>
            </w:pPr>
            <w:r>
              <w:rPr>
                <w:noProof/>
                <w:sz w:val="18"/>
              </w:rPr>
              <w:t>(Σύνολο αναλήψεων υποχρεώσεων = Σύνολο πληρωμών)</w:t>
            </w:r>
          </w:p>
        </w:tc>
        <w:tc>
          <w:tcPr>
            <w:tcW w:w="1201"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3,570</w:t>
            </w:r>
          </w:p>
        </w:tc>
      </w:tr>
    </w:tbl>
    <w:p>
      <w:pPr>
        <w:jc w:val="right"/>
        <w:rPr>
          <w:noProof/>
          <w:sz w:val="20"/>
        </w:rPr>
      </w:pPr>
      <w:r>
        <w:rPr>
          <w:noProof/>
          <w:sz w:val="20"/>
        </w:rPr>
        <w:t>σε εκατ. EUR (με τρία δεκαδικά ψηφία)</w:t>
      </w:r>
    </w:p>
    <w:tbl>
      <w:tblPr>
        <w:tblW w:w="12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trPr>
          <w:jc w:val="center"/>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2027</w:t>
            </w:r>
          </w:p>
        </w:tc>
        <w:tc>
          <w:tcPr>
            <w:tcW w:w="868" w:type="dxa"/>
            <w:vAlign w:val="center"/>
          </w:tcPr>
          <w:p>
            <w:pPr>
              <w:jc w:val="center"/>
              <w:rPr>
                <w:b/>
                <w:noProof/>
                <w:sz w:val="18"/>
              </w:rPr>
            </w:pPr>
            <w:r>
              <w:rPr>
                <w:noProof/>
                <w:sz w:val="20"/>
              </w:rPr>
              <w:t>Πέραν του</w:t>
            </w:r>
            <w:r>
              <w:rPr>
                <w:noProof/>
              </w:rPr>
              <w:t xml:space="preserve"> </w:t>
            </w:r>
            <w:r>
              <w:rPr>
                <w:noProof/>
              </w:rPr>
              <w:br/>
            </w:r>
            <w:r>
              <w:rPr>
                <w:b/>
                <w:noProof/>
                <w:sz w:val="20"/>
              </w:rPr>
              <w:t>2027</w:t>
            </w:r>
          </w:p>
        </w:tc>
      </w:tr>
      <w:tr>
        <w:trPr>
          <w:jc w:val="center"/>
        </w:trPr>
        <w:tc>
          <w:tcPr>
            <w:tcW w:w="3960" w:type="dxa"/>
            <w:vMerge w:val="restart"/>
            <w:shd w:val="clear" w:color="auto" w:fill="C0C0C0"/>
          </w:tcPr>
          <w:p>
            <w:pPr>
              <w:jc w:val="center"/>
              <w:rPr>
                <w:b/>
                <w:noProof/>
              </w:rPr>
            </w:pPr>
            <w:r>
              <w:rPr>
                <w:b/>
                <w:noProof/>
                <w:sz w:val="20"/>
                <w:szCs w:val="20"/>
              </w:rPr>
              <w:t>ΣΥΝΟΛΟ πιστώσεων</w:t>
            </w:r>
            <w:r>
              <w:rPr>
                <w:noProof/>
              </w:rPr>
              <w:t xml:space="preserve"> </w:t>
            </w:r>
            <w:r>
              <w:rPr>
                <w:b/>
                <w:noProof/>
                <w:sz w:val="20"/>
                <w:szCs w:val="20"/>
              </w:rPr>
              <w:t>των ΤΟΜΕΩΝ 1 έως 5</w:t>
            </w:r>
            <w:r>
              <w:rPr>
                <w:noProof/>
                <w:sz w:val="20"/>
                <w:szCs w:val="20"/>
              </w:rPr>
              <w:t xml:space="preserve"> του πολυετούς δημοσιονομικού πλαισίου</w:t>
            </w:r>
            <w:r>
              <w:rPr>
                <w:b/>
                <w:noProof/>
                <w:sz w:val="20"/>
                <w:szCs w:val="20"/>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b/>
                <w:noProof/>
                <w:sz w:val="18"/>
                <w:szCs w:val="18"/>
              </w:rPr>
            </w:pPr>
            <w:r>
              <w:rPr>
                <w:noProof/>
                <w:sz w:val="18"/>
                <w:szCs w:val="18"/>
              </w:rPr>
              <w:t>21,947</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18"/>
                <w:szCs w:val="18"/>
              </w:rPr>
            </w:pPr>
            <w:r>
              <w:rPr>
                <w:noProof/>
                <w:sz w:val="18"/>
                <w:szCs w:val="18"/>
              </w:rPr>
              <w:t>2,905</w:t>
            </w:r>
          </w:p>
        </w:tc>
        <w:tc>
          <w:tcPr>
            <w:tcW w:w="868" w:type="dxa"/>
            <w:vAlign w:val="center"/>
          </w:tcPr>
          <w:p>
            <w:pPr>
              <w:spacing w:before="60" w:after="60"/>
              <w:jc w:val="right"/>
              <w:rPr>
                <w:noProof/>
                <w:sz w:val="18"/>
                <w:szCs w:val="18"/>
              </w:rPr>
            </w:pPr>
            <w:r>
              <w:rPr>
                <w:noProof/>
                <w:sz w:val="18"/>
                <w:szCs w:val="18"/>
              </w:rPr>
              <w:t>6,869</w:t>
            </w:r>
          </w:p>
        </w:tc>
        <w:tc>
          <w:tcPr>
            <w:tcW w:w="868" w:type="dxa"/>
            <w:vAlign w:val="center"/>
          </w:tcPr>
          <w:p>
            <w:pPr>
              <w:spacing w:before="60" w:after="60"/>
              <w:jc w:val="right"/>
              <w:rPr>
                <w:noProof/>
                <w:sz w:val="18"/>
                <w:szCs w:val="18"/>
              </w:rPr>
            </w:pPr>
            <w:r>
              <w:rPr>
                <w:noProof/>
                <w:sz w:val="18"/>
                <w:szCs w:val="18"/>
              </w:rPr>
              <w:t>8,454</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b/>
                <w:noProof/>
                <w:sz w:val="18"/>
                <w:szCs w:val="18"/>
              </w:rPr>
            </w:pPr>
            <w:r>
              <w:rPr>
                <w:noProof/>
                <w:sz w:val="18"/>
                <w:szCs w:val="18"/>
              </w:rPr>
              <w:t>24,920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Εκτιμώμενες επιπτώσεις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FD"/>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αναλήψεων υποχρεώσεων σε εκατ. EUR (με τρία δεκαδικά ψηφία)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814"/>
        <w:gridCol w:w="792"/>
        <w:gridCol w:w="573"/>
        <w:gridCol w:w="1267"/>
        <w:gridCol w:w="62"/>
        <w:gridCol w:w="739"/>
        <w:gridCol w:w="62"/>
        <w:gridCol w:w="898"/>
        <w:gridCol w:w="62"/>
        <w:gridCol w:w="739"/>
        <w:gridCol w:w="62"/>
        <w:gridCol w:w="1270"/>
        <w:gridCol w:w="29"/>
        <w:gridCol w:w="95"/>
      </w:tblGrid>
      <w:tr>
        <w:trPr>
          <w:gridAfter w:val="1"/>
          <w:wAfter w:w="84" w:type="dxa"/>
          <w:jc w:val="center"/>
        </w:trPr>
        <w:tc>
          <w:tcPr>
            <w:tcW w:w="1423" w:type="dxa"/>
            <w:vMerge w:val="restart"/>
            <w:vAlign w:val="center"/>
          </w:tcPr>
          <w:p>
            <w:pPr>
              <w:ind w:right="-29"/>
              <w:jc w:val="center"/>
              <w:rPr>
                <w:rFonts w:eastAsia="Times New Roman"/>
                <w:b/>
                <w:noProof/>
                <w:sz w:val="18"/>
                <w:szCs w:val="18"/>
              </w:rPr>
            </w:pPr>
            <w:r>
              <w:rPr>
                <w:b/>
                <w:noProof/>
                <w:sz w:val="18"/>
              </w:rPr>
              <w:t xml:space="preserve">Να προσδιοριστούν οι στόχοι και τα αποτελέσματα </w:t>
            </w:r>
          </w:p>
          <w:p>
            <w:pPr>
              <w:ind w:right="-29"/>
              <w:jc w:val="center"/>
              <w:rPr>
                <w:rFonts w:eastAsia="Times New Roman"/>
                <w:b/>
                <w:noProof/>
                <w:sz w:val="18"/>
                <w:szCs w:val="18"/>
                <w:lang w:eastAsia="en-GB"/>
              </w:rPr>
            </w:pPr>
          </w:p>
          <w:p>
            <w:pPr>
              <w:ind w:right="-29"/>
              <w:jc w:val="center"/>
              <w:rPr>
                <w:rFonts w:eastAsia="Times New Roman"/>
                <w:noProof/>
                <w:sz w:val="18"/>
                <w:szCs w:val="18"/>
              </w:rPr>
            </w:pPr>
            <w:r>
              <w:rPr>
                <w:noProof/>
                <w:sz w:val="18"/>
              </w:rPr>
              <w:sym w:font="Wingdings" w:char="F0F2"/>
            </w:r>
          </w:p>
        </w:tc>
        <w:tc>
          <w:tcPr>
            <w:tcW w:w="720" w:type="dxa"/>
            <w:vAlign w:val="center"/>
          </w:tcPr>
          <w:p>
            <w:pPr>
              <w:ind w:right="-29"/>
              <w:jc w:val="center"/>
              <w:rPr>
                <w:rFonts w:eastAsia="Times New Roman"/>
                <w:noProof/>
                <w:sz w:val="18"/>
                <w:szCs w:val="18"/>
                <w:lang w:eastAsia="en-GB"/>
              </w:rPr>
            </w:pPr>
          </w:p>
        </w:tc>
        <w:tc>
          <w:tcPr>
            <w:tcW w:w="701" w:type="dxa"/>
            <w:vAlign w:val="center"/>
          </w:tcPr>
          <w:p>
            <w:pPr>
              <w:ind w:right="-29"/>
              <w:jc w:val="center"/>
              <w:rPr>
                <w:rFonts w:eastAsia="Times New Roman"/>
                <w:noProof/>
                <w:sz w:val="18"/>
                <w:szCs w:val="18"/>
                <w:lang w:eastAsia="en-GB"/>
              </w:rPr>
            </w:pPr>
          </w:p>
        </w:tc>
        <w:tc>
          <w:tcPr>
            <w:tcW w:w="1680" w:type="dxa"/>
            <w:gridSpan w:val="3"/>
            <w:tcBorders>
              <w:left w:val="nil"/>
            </w:tcBorders>
            <w:vAlign w:val="center"/>
          </w:tcPr>
          <w:p>
            <w:pPr>
              <w:ind w:right="-29"/>
              <w:jc w:val="center"/>
              <w:rPr>
                <w:rFonts w:eastAsia="Times New Roman"/>
                <w:noProof/>
                <w:sz w:val="18"/>
                <w:szCs w:val="18"/>
              </w:rPr>
            </w:pPr>
            <w:r>
              <w:rPr>
                <w:noProof/>
                <w:sz w:val="18"/>
              </w:rPr>
              <w:t>Έτη</w:t>
            </w:r>
            <w:r>
              <w:rPr>
                <w:noProof/>
              </w:rPr>
              <w:t xml:space="preserve"> </w:t>
            </w:r>
            <w:r>
              <w:rPr>
                <w:noProof/>
              </w:rPr>
              <w:br/>
            </w:r>
            <w:r>
              <w:rPr>
                <w:b/>
                <w:noProof/>
                <w:sz w:val="18"/>
              </w:rPr>
              <w:t>2022 έως 2028</w:t>
            </w:r>
            <w:r>
              <w:rPr>
                <w:rStyle w:val="FootnoteReference"/>
                <w:rFonts w:eastAsia="Times New Roman"/>
                <w:b/>
                <w:noProof/>
                <w:sz w:val="18"/>
                <w:szCs w:val="18"/>
                <w:lang w:eastAsia="en-GB"/>
              </w:rPr>
              <w:footnoteReference w:id="67"/>
            </w:r>
          </w:p>
        </w:tc>
        <w:tc>
          <w:tcPr>
            <w:tcW w:w="1559" w:type="dxa"/>
            <w:gridSpan w:val="4"/>
            <w:vAlign w:val="center"/>
          </w:tcPr>
          <w:p>
            <w:pPr>
              <w:ind w:right="-29"/>
              <w:jc w:val="center"/>
              <w:rPr>
                <w:rFonts w:eastAsia="Times New Roman"/>
                <w:noProof/>
                <w:sz w:val="18"/>
                <w:szCs w:val="18"/>
              </w:rPr>
            </w:pPr>
            <w:r>
              <w:rPr>
                <w:b/>
                <w:noProof/>
                <w:sz w:val="18"/>
              </w:rPr>
              <w:t>ΣΥΝΟΛΟ για το στάδιο υλοποίησης</w:t>
            </w:r>
          </w:p>
        </w:tc>
        <w:tc>
          <w:tcPr>
            <w:tcW w:w="1859" w:type="dxa"/>
            <w:gridSpan w:val="4"/>
            <w:vAlign w:val="center"/>
          </w:tcPr>
          <w:p>
            <w:pPr>
              <w:ind w:right="-29"/>
              <w:jc w:val="center"/>
              <w:rPr>
                <w:rFonts w:eastAsia="Times New Roman"/>
                <w:noProof/>
                <w:sz w:val="18"/>
                <w:szCs w:val="18"/>
              </w:rPr>
            </w:pPr>
            <w:r>
              <w:rPr>
                <w:noProof/>
                <w:sz w:val="18"/>
              </w:rPr>
              <w:t>Έτος</w:t>
            </w:r>
            <w:r>
              <w:rPr>
                <w:noProof/>
              </w:rPr>
              <w:t xml:space="preserve"> </w:t>
            </w:r>
            <w:r>
              <w:rPr>
                <w:noProof/>
              </w:rPr>
              <w:br/>
            </w:r>
            <w:r>
              <w:rPr>
                <w:b/>
                <w:noProof/>
                <w:sz w:val="18"/>
              </w:rPr>
              <w:t>2029 και μετά</w:t>
            </w:r>
          </w:p>
        </w:tc>
      </w:tr>
      <w:tr>
        <w:trPr>
          <w:gridAfter w:val="14"/>
          <w:wAfter w:w="6603" w:type="dxa"/>
          <w:trHeight w:val="453"/>
          <w:jc w:val="center"/>
        </w:trPr>
        <w:tc>
          <w:tcPr>
            <w:tcW w:w="1423" w:type="dxa"/>
            <w:vMerge/>
            <w:vAlign w:val="center"/>
          </w:tcPr>
          <w:p>
            <w:pPr>
              <w:ind w:right="-29"/>
              <w:jc w:val="center"/>
              <w:rPr>
                <w:rFonts w:eastAsia="Times New Roman"/>
                <w:noProof/>
                <w:sz w:val="18"/>
                <w:szCs w:val="18"/>
                <w:lang w:eastAsia="en-GB"/>
              </w:rPr>
            </w:pPr>
          </w:p>
        </w:tc>
      </w:tr>
      <w:tr>
        <w:trPr>
          <w:cantSplit/>
          <w:trHeight w:val="1134"/>
          <w:jc w:val="center"/>
        </w:trPr>
        <w:tc>
          <w:tcPr>
            <w:tcW w:w="1423" w:type="dxa"/>
            <w:vMerge/>
            <w:vAlign w:val="center"/>
          </w:tcPr>
          <w:p>
            <w:pPr>
              <w:rPr>
                <w:rFonts w:eastAsia="Times New Roman"/>
                <w:noProof/>
                <w:sz w:val="18"/>
                <w:szCs w:val="18"/>
                <w:lang w:eastAsia="en-GB"/>
              </w:rPr>
            </w:pPr>
          </w:p>
        </w:tc>
        <w:tc>
          <w:tcPr>
            <w:tcW w:w="720" w:type="dxa"/>
            <w:vAlign w:val="center"/>
          </w:tcPr>
          <w:p>
            <w:pPr>
              <w:jc w:val="center"/>
              <w:rPr>
                <w:rFonts w:eastAsia="Times New Roman"/>
                <w:noProof/>
                <w:sz w:val="18"/>
                <w:szCs w:val="18"/>
              </w:rPr>
            </w:pPr>
            <w:r>
              <w:rPr>
                <w:noProof/>
                <w:sz w:val="18"/>
              </w:rPr>
              <w:t>Είδος</w:t>
            </w:r>
            <w:r>
              <w:rPr>
                <w:rStyle w:val="FootnoteReference"/>
                <w:noProof/>
              </w:rPr>
              <w:footnoteReference w:id="68"/>
            </w:r>
          </w:p>
          <w:p>
            <w:pPr>
              <w:spacing w:after="0"/>
              <w:jc w:val="center"/>
              <w:rPr>
                <w:rFonts w:eastAsia="Times New Roman"/>
                <w:noProof/>
                <w:sz w:val="18"/>
                <w:szCs w:val="18"/>
                <w:lang w:eastAsia="en-GB"/>
              </w:rPr>
            </w:pPr>
          </w:p>
        </w:tc>
        <w:tc>
          <w:tcPr>
            <w:tcW w:w="701" w:type="dxa"/>
            <w:vAlign w:val="center"/>
          </w:tcPr>
          <w:p>
            <w:pPr>
              <w:jc w:val="center"/>
              <w:rPr>
                <w:rFonts w:eastAsia="Times New Roman"/>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w:t>
            </w:r>
          </w:p>
        </w:tc>
        <w:tc>
          <w:tcPr>
            <w:tcW w:w="1176"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Κόστος</w:t>
            </w:r>
          </w:p>
        </w:tc>
        <w:tc>
          <w:tcPr>
            <w:tcW w:w="709" w:type="dxa"/>
            <w:gridSpan w:val="2"/>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w:t>
            </w:r>
          </w:p>
        </w:tc>
        <w:tc>
          <w:tcPr>
            <w:tcW w:w="850"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Κόστος</w:t>
            </w:r>
          </w:p>
        </w:tc>
        <w:tc>
          <w:tcPr>
            <w:tcW w:w="709" w:type="dxa"/>
            <w:gridSpan w:val="2"/>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Αριθ.</w:t>
            </w:r>
          </w:p>
        </w:tc>
        <w:tc>
          <w:tcPr>
            <w:tcW w:w="1234" w:type="dxa"/>
            <w:gridSpan w:val="3"/>
            <w:tcBorders>
              <w:left w:val="dashSmallGap" w:sz="4" w:space="0" w:color="auto"/>
            </w:tcBorders>
            <w:shd w:val="pct10" w:color="auto" w:fill="auto"/>
            <w:vAlign w:val="center"/>
          </w:tcPr>
          <w:p>
            <w:pPr>
              <w:jc w:val="center"/>
              <w:rPr>
                <w:rFonts w:eastAsia="Times New Roman"/>
                <w:noProof/>
                <w:sz w:val="18"/>
                <w:szCs w:val="18"/>
              </w:rPr>
            </w:pPr>
            <w:r>
              <w:rPr>
                <w:noProof/>
                <w:sz w:val="18"/>
              </w:rPr>
              <w:t>Κόστος</w:t>
            </w:r>
          </w:p>
        </w:tc>
      </w:tr>
      <w:tr>
        <w:trPr>
          <w:gridAfter w:val="11"/>
          <w:wAfter w:w="4675" w:type="dxa"/>
          <w:jc w:val="center"/>
        </w:trPr>
        <w:tc>
          <w:tcPr>
            <w:tcW w:w="3351" w:type="dxa"/>
            <w:gridSpan w:val="4"/>
            <w:vAlign w:val="center"/>
          </w:tcPr>
          <w:p>
            <w:pPr>
              <w:spacing w:before="60" w:after="60"/>
              <w:ind w:right="-29"/>
              <w:jc w:val="center"/>
              <w:rPr>
                <w:rFonts w:eastAsia="Times New Roman"/>
                <w:noProof/>
                <w:sz w:val="18"/>
                <w:szCs w:val="18"/>
              </w:rPr>
            </w:pPr>
            <w:r>
              <w:rPr>
                <w:noProof/>
                <w:sz w:val="18"/>
              </w:rPr>
              <w:t>ΕΙΔΙΚΟΣ ΣΤΟΧΟΣ αριθ. 1- 3</w:t>
            </w:r>
            <w:r>
              <w:rPr>
                <w:rStyle w:val="FootnoteReference"/>
                <w:noProof/>
              </w:rPr>
              <w:footnoteReference w:id="69"/>
            </w:r>
          </w:p>
        </w:tc>
      </w:tr>
      <w:tr>
        <w:trPr>
          <w:gridAfter w:val="2"/>
          <w:wAfter w:w="110" w:type="dxa"/>
          <w:trHeight w:val="816"/>
          <w:jc w:val="center"/>
        </w:trPr>
        <w:tc>
          <w:tcPr>
            <w:tcW w:w="2844" w:type="dxa"/>
            <w:gridSpan w:val="3"/>
            <w:tcBorders>
              <w:bottom w:val="single" w:sz="12" w:space="0" w:color="auto"/>
            </w:tcBorders>
            <w:vAlign w:val="center"/>
          </w:tcPr>
          <w:p>
            <w:pPr>
              <w:ind w:right="-29"/>
              <w:rPr>
                <w:noProof/>
                <w:color w:val="000000"/>
                <w:sz w:val="18"/>
                <w:szCs w:val="18"/>
              </w:rPr>
            </w:pPr>
            <w:r>
              <w:rPr>
                <w:noProof/>
                <w:sz w:val="18"/>
              </w:rPr>
              <w:t xml:space="preserve">Ανάπτυξη, ολοκλήρωση και λειτουργία του συστήματος ενιαίας θυρίδας EU CSW-CERTEX </w:t>
            </w:r>
            <w:r>
              <w:rPr>
                <w:noProof/>
                <w:color w:val="000000"/>
                <w:sz w:val="18"/>
                <w:szCs w:val="18"/>
              </w:rPr>
              <w:t xml:space="preserve">το οποίο θα συνεισφέρει στην επίτευξη 3 ειδικών στόχων </w:t>
            </w:r>
          </w:p>
          <w:p>
            <w:pPr>
              <w:ind w:right="-29"/>
              <w:jc w:val="center"/>
              <w:rPr>
                <w:rFonts w:eastAsia="Times New Roman"/>
                <w:noProof/>
                <w:sz w:val="18"/>
                <w:szCs w:val="18"/>
                <w:lang w:eastAsia="en-GB"/>
              </w:rPr>
            </w:pPr>
          </w:p>
        </w:tc>
        <w:tc>
          <w:tcPr>
            <w:tcW w:w="504" w:type="dxa"/>
            <w:tcBorders>
              <w:bottom w:val="single" w:sz="12" w:space="0" w:color="auto"/>
            </w:tcBorders>
          </w:tcPr>
          <w:p>
            <w:pPr>
              <w:ind w:right="-29"/>
              <w:jc w:val="right"/>
              <w:rPr>
                <w:rFonts w:eastAsia="Times New Roman"/>
                <w:noProof/>
                <w:sz w:val="18"/>
                <w:szCs w:val="18"/>
              </w:rPr>
            </w:pPr>
            <w:r>
              <w:rPr>
                <w:noProof/>
                <w:sz w:val="18"/>
                <w:szCs w:val="18"/>
              </w:rPr>
              <w:t>Άνευ αντικειμένου.</w:t>
            </w:r>
          </w:p>
        </w:tc>
        <w:tc>
          <w:tcPr>
            <w:tcW w:w="1121" w:type="dxa"/>
            <w:tcBorders>
              <w:bottom w:val="single" w:sz="12" w:space="0" w:color="auto"/>
            </w:tcBorders>
          </w:tcPr>
          <w:p>
            <w:pPr>
              <w:ind w:right="-29"/>
              <w:jc w:val="right"/>
              <w:rPr>
                <w:rFonts w:eastAsia="Times New Roman"/>
                <w:noProof/>
                <w:sz w:val="18"/>
                <w:szCs w:val="18"/>
              </w:rPr>
            </w:pPr>
            <w:r>
              <w:rPr>
                <w:noProof/>
                <w:sz w:val="18"/>
                <w:szCs w:val="18"/>
              </w:rPr>
              <w:t>9,247</w:t>
            </w:r>
          </w:p>
        </w:tc>
        <w:tc>
          <w:tcPr>
            <w:tcW w:w="709" w:type="dxa"/>
            <w:gridSpan w:val="2"/>
            <w:tcBorders>
              <w:bottom w:val="single" w:sz="12" w:space="0" w:color="auto"/>
            </w:tcBorders>
          </w:tcPr>
          <w:p>
            <w:pPr>
              <w:ind w:right="-29"/>
              <w:jc w:val="right"/>
              <w:rPr>
                <w:rFonts w:eastAsia="Times New Roman"/>
                <w:noProof/>
                <w:sz w:val="18"/>
                <w:szCs w:val="18"/>
              </w:rPr>
            </w:pPr>
            <w:r>
              <w:rPr>
                <w:noProof/>
                <w:sz w:val="18"/>
                <w:szCs w:val="18"/>
              </w:rPr>
              <w:t>Άνευ αντικειμένου.</w:t>
            </w:r>
          </w:p>
        </w:tc>
        <w:tc>
          <w:tcPr>
            <w:tcW w:w="850" w:type="dxa"/>
            <w:gridSpan w:val="2"/>
            <w:tcBorders>
              <w:bottom w:val="single" w:sz="12" w:space="0" w:color="auto"/>
            </w:tcBorders>
          </w:tcPr>
          <w:p>
            <w:pPr>
              <w:ind w:right="-29"/>
              <w:jc w:val="right"/>
              <w:rPr>
                <w:rFonts w:eastAsia="Times New Roman"/>
                <w:b/>
                <w:noProof/>
                <w:sz w:val="18"/>
                <w:szCs w:val="18"/>
              </w:rPr>
            </w:pPr>
            <w:r>
              <w:rPr>
                <w:b/>
                <w:noProof/>
                <w:sz w:val="18"/>
                <w:szCs w:val="18"/>
              </w:rPr>
              <w:t>64,730</w:t>
            </w:r>
          </w:p>
        </w:tc>
        <w:tc>
          <w:tcPr>
            <w:tcW w:w="709" w:type="dxa"/>
            <w:gridSpan w:val="2"/>
            <w:tcBorders>
              <w:bottom w:val="single" w:sz="12" w:space="0" w:color="auto"/>
            </w:tcBorders>
          </w:tcPr>
          <w:p>
            <w:pPr>
              <w:ind w:right="-29"/>
              <w:jc w:val="right"/>
              <w:rPr>
                <w:rFonts w:eastAsia="Times New Roman"/>
                <w:noProof/>
                <w:sz w:val="18"/>
                <w:szCs w:val="18"/>
              </w:rPr>
            </w:pPr>
            <w:r>
              <w:rPr>
                <w:noProof/>
                <w:sz w:val="18"/>
                <w:szCs w:val="18"/>
              </w:rPr>
              <w:t>Άνευ αντικειμένου.</w:t>
            </w:r>
          </w:p>
        </w:tc>
        <w:tc>
          <w:tcPr>
            <w:tcW w:w="1179" w:type="dxa"/>
            <w:gridSpan w:val="2"/>
            <w:tcBorders>
              <w:bottom w:val="single" w:sz="12" w:space="0" w:color="auto"/>
            </w:tcBorders>
          </w:tcPr>
          <w:p>
            <w:pPr>
              <w:ind w:right="-29"/>
              <w:jc w:val="right"/>
              <w:rPr>
                <w:rFonts w:eastAsia="Times New Roman"/>
                <w:noProof/>
                <w:sz w:val="18"/>
                <w:szCs w:val="18"/>
              </w:rPr>
            </w:pPr>
            <w:r>
              <w:rPr>
                <w:noProof/>
                <w:color w:val="000000"/>
                <w:sz w:val="18"/>
                <w:szCs w:val="18"/>
              </w:rPr>
              <w:t>6,350</w:t>
            </w:r>
          </w:p>
        </w:tc>
      </w:tr>
      <w:tr>
        <w:trPr>
          <w:gridAfter w:val="2"/>
          <w:wAfter w:w="110" w:type="dxa"/>
          <w:trHeight w:hRule="exact" w:val="397"/>
          <w:jc w:val="center"/>
        </w:trPr>
        <w:tc>
          <w:tcPr>
            <w:tcW w:w="2844" w:type="dxa"/>
            <w:gridSpan w:val="3"/>
            <w:tcBorders>
              <w:bottom w:val="single" w:sz="12" w:space="0" w:color="auto"/>
            </w:tcBorders>
            <w:vAlign w:val="center"/>
          </w:tcPr>
          <w:p>
            <w:pPr>
              <w:ind w:right="-29"/>
              <w:jc w:val="center"/>
              <w:rPr>
                <w:rFonts w:eastAsia="Times New Roman"/>
                <w:noProof/>
                <w:sz w:val="18"/>
                <w:szCs w:val="18"/>
                <w:lang w:eastAsia="en-GB"/>
              </w:rPr>
            </w:pPr>
          </w:p>
        </w:tc>
        <w:tc>
          <w:tcPr>
            <w:tcW w:w="504" w:type="dxa"/>
            <w:tcBorders>
              <w:bottom w:val="single" w:sz="12" w:space="0" w:color="auto"/>
            </w:tcBorders>
          </w:tcPr>
          <w:p>
            <w:pPr>
              <w:ind w:right="-29"/>
              <w:jc w:val="center"/>
              <w:rPr>
                <w:rFonts w:eastAsia="Times New Roman"/>
                <w:noProof/>
                <w:sz w:val="18"/>
                <w:szCs w:val="18"/>
                <w:lang w:eastAsia="en-GB"/>
              </w:rPr>
            </w:pPr>
          </w:p>
        </w:tc>
        <w:tc>
          <w:tcPr>
            <w:tcW w:w="1121" w:type="dxa"/>
            <w:tcBorders>
              <w:bottom w:val="single" w:sz="12" w:space="0" w:color="auto"/>
            </w:tcBorders>
          </w:tcPr>
          <w:p>
            <w:pPr>
              <w:ind w:right="-29"/>
              <w:jc w:val="center"/>
              <w:rPr>
                <w:rFonts w:ascii="Calibri" w:hAnsi="Calibri"/>
                <w:noProof/>
                <w:color w:val="000000"/>
              </w:rPr>
            </w:pPr>
          </w:p>
        </w:tc>
        <w:tc>
          <w:tcPr>
            <w:tcW w:w="709" w:type="dxa"/>
            <w:gridSpan w:val="2"/>
            <w:tcBorders>
              <w:bottom w:val="single" w:sz="12" w:space="0" w:color="auto"/>
            </w:tcBorders>
          </w:tcPr>
          <w:p>
            <w:pPr>
              <w:ind w:right="-29"/>
              <w:jc w:val="center"/>
              <w:rPr>
                <w:rFonts w:eastAsia="Times New Roman"/>
                <w:noProof/>
                <w:sz w:val="18"/>
                <w:szCs w:val="18"/>
                <w:lang w:eastAsia="en-GB"/>
              </w:rPr>
            </w:pPr>
          </w:p>
        </w:tc>
        <w:tc>
          <w:tcPr>
            <w:tcW w:w="850" w:type="dxa"/>
            <w:gridSpan w:val="2"/>
            <w:tcBorders>
              <w:bottom w:val="single" w:sz="12" w:space="0" w:color="auto"/>
            </w:tcBorders>
          </w:tcPr>
          <w:p>
            <w:pPr>
              <w:ind w:right="-29"/>
              <w:jc w:val="center"/>
              <w:rPr>
                <w:rFonts w:ascii="Calibri" w:hAnsi="Calibri"/>
                <w:noProof/>
                <w:color w:val="000000"/>
              </w:rPr>
            </w:pPr>
          </w:p>
        </w:tc>
        <w:tc>
          <w:tcPr>
            <w:tcW w:w="709" w:type="dxa"/>
            <w:gridSpan w:val="2"/>
            <w:tcBorders>
              <w:bottom w:val="single" w:sz="12" w:space="0" w:color="auto"/>
            </w:tcBorders>
          </w:tcPr>
          <w:p>
            <w:pPr>
              <w:ind w:right="-29"/>
              <w:jc w:val="center"/>
              <w:rPr>
                <w:rFonts w:eastAsia="Times New Roman"/>
                <w:noProof/>
                <w:sz w:val="18"/>
                <w:szCs w:val="18"/>
                <w:lang w:eastAsia="en-GB"/>
              </w:rPr>
            </w:pPr>
          </w:p>
        </w:tc>
        <w:tc>
          <w:tcPr>
            <w:tcW w:w="1179" w:type="dxa"/>
            <w:gridSpan w:val="2"/>
            <w:tcBorders>
              <w:bottom w:val="single" w:sz="12" w:space="0" w:color="auto"/>
            </w:tcBorders>
          </w:tcPr>
          <w:p>
            <w:pPr>
              <w:ind w:right="-29"/>
              <w:jc w:val="center"/>
              <w:rPr>
                <w:rFonts w:ascii="Calibri" w:hAnsi="Calibri"/>
                <w:noProof/>
                <w:color w:val="000000"/>
              </w:rPr>
            </w:pPr>
          </w:p>
        </w:tc>
      </w:tr>
      <w:tr>
        <w:trPr>
          <w:gridAfter w:val="2"/>
          <w:wAfter w:w="110" w:type="dxa"/>
          <w:trHeight w:hRule="exact" w:val="397"/>
          <w:jc w:val="center"/>
        </w:trPr>
        <w:tc>
          <w:tcPr>
            <w:tcW w:w="2844" w:type="dxa"/>
            <w:gridSpan w:val="3"/>
          </w:tcPr>
          <w:p>
            <w:pPr>
              <w:ind w:right="-29"/>
              <w:jc w:val="center"/>
              <w:rPr>
                <w:rFonts w:eastAsia="Times New Roman"/>
                <w:i/>
                <w:noProof/>
                <w:sz w:val="16"/>
                <w:szCs w:val="16"/>
                <w:lang w:eastAsia="en-GB"/>
              </w:rPr>
            </w:pPr>
          </w:p>
        </w:tc>
        <w:tc>
          <w:tcPr>
            <w:tcW w:w="504" w:type="dxa"/>
            <w:tcBorders>
              <w:right w:val="dashSmallGap" w:sz="4" w:space="0" w:color="auto"/>
            </w:tcBorders>
          </w:tcPr>
          <w:p>
            <w:pPr>
              <w:ind w:right="-29"/>
              <w:jc w:val="center"/>
              <w:rPr>
                <w:rFonts w:eastAsia="Times New Roman"/>
                <w:noProof/>
                <w:sz w:val="18"/>
                <w:szCs w:val="18"/>
                <w:lang w:eastAsia="en-GB"/>
              </w:rPr>
            </w:pPr>
          </w:p>
        </w:tc>
        <w:tc>
          <w:tcPr>
            <w:tcW w:w="1121" w:type="dxa"/>
            <w:tcBorders>
              <w:left w:val="dashSmallGap" w:sz="4" w:space="0" w:color="auto"/>
            </w:tcBorders>
          </w:tcPr>
          <w:p>
            <w:pPr>
              <w:ind w:right="-29"/>
              <w:jc w:val="center"/>
              <w:rPr>
                <w:rFonts w:eastAsia="Times New Roman"/>
                <w:noProof/>
                <w:sz w:val="18"/>
                <w:szCs w:val="18"/>
                <w:lang w:eastAsia="en-GB"/>
              </w:rPr>
            </w:pPr>
          </w:p>
        </w:tc>
        <w:tc>
          <w:tcPr>
            <w:tcW w:w="709" w:type="dxa"/>
            <w:gridSpan w:val="2"/>
            <w:tcBorders>
              <w:right w:val="dashSmallGap" w:sz="4" w:space="0" w:color="auto"/>
            </w:tcBorders>
          </w:tcPr>
          <w:p>
            <w:pPr>
              <w:ind w:right="-29"/>
              <w:jc w:val="center"/>
              <w:rPr>
                <w:rFonts w:eastAsia="Times New Roman"/>
                <w:noProof/>
                <w:sz w:val="18"/>
                <w:szCs w:val="18"/>
                <w:lang w:eastAsia="en-GB"/>
              </w:rPr>
            </w:pPr>
          </w:p>
        </w:tc>
        <w:tc>
          <w:tcPr>
            <w:tcW w:w="850" w:type="dxa"/>
            <w:gridSpan w:val="2"/>
            <w:tcBorders>
              <w:left w:val="dashSmallGap" w:sz="4" w:space="0" w:color="auto"/>
            </w:tcBorders>
          </w:tcPr>
          <w:p>
            <w:pPr>
              <w:ind w:right="-29"/>
              <w:jc w:val="center"/>
              <w:rPr>
                <w:rFonts w:eastAsia="Times New Roman"/>
                <w:noProof/>
                <w:sz w:val="18"/>
                <w:szCs w:val="18"/>
                <w:lang w:eastAsia="en-GB"/>
              </w:rPr>
            </w:pPr>
          </w:p>
        </w:tc>
        <w:tc>
          <w:tcPr>
            <w:tcW w:w="709" w:type="dxa"/>
            <w:gridSpan w:val="2"/>
            <w:tcBorders>
              <w:right w:val="dashSmallGap" w:sz="4" w:space="0" w:color="auto"/>
            </w:tcBorders>
          </w:tcPr>
          <w:p>
            <w:pPr>
              <w:ind w:right="-29"/>
              <w:jc w:val="center"/>
              <w:rPr>
                <w:rFonts w:eastAsia="Times New Roman"/>
                <w:noProof/>
                <w:sz w:val="18"/>
                <w:szCs w:val="18"/>
                <w:lang w:eastAsia="en-GB"/>
              </w:rPr>
            </w:pPr>
          </w:p>
        </w:tc>
        <w:tc>
          <w:tcPr>
            <w:tcW w:w="1179" w:type="dxa"/>
            <w:gridSpan w:val="2"/>
            <w:tcBorders>
              <w:left w:val="dashSmallGap" w:sz="4" w:space="0" w:color="auto"/>
            </w:tcBorders>
          </w:tcPr>
          <w:p>
            <w:pPr>
              <w:ind w:right="-29"/>
              <w:jc w:val="center"/>
              <w:rPr>
                <w:rFonts w:eastAsia="Times New Roman"/>
                <w:noProof/>
                <w:sz w:val="18"/>
                <w:szCs w:val="18"/>
                <w:lang w:eastAsia="en-GB"/>
              </w:rPr>
            </w:pPr>
          </w:p>
        </w:tc>
      </w:tr>
      <w:tr>
        <w:trPr>
          <w:gridAfter w:val="2"/>
          <w:wAfter w:w="110" w:type="dxa"/>
          <w:trHeight w:val="50"/>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szCs w:val="18"/>
              </w:rPr>
              <w:t>Άνευ αντικειμένου.</w:t>
            </w:r>
          </w:p>
        </w:tc>
        <w:tc>
          <w:tcPr>
            <w:tcW w:w="1121" w:type="dxa"/>
            <w:tcBorders>
              <w:top w:val="single" w:sz="12" w:space="0" w:color="auto"/>
              <w:bottom w:val="single" w:sz="12" w:space="0" w:color="auto"/>
            </w:tcBorders>
          </w:tcPr>
          <w:p>
            <w:pPr>
              <w:ind w:right="-28"/>
              <w:jc w:val="center"/>
              <w:rPr>
                <w:b/>
                <w:noProof/>
                <w:sz w:val="18"/>
                <w:szCs w:val="18"/>
              </w:rPr>
            </w:pPr>
            <w:r>
              <w:rPr>
                <w:b/>
                <w:noProof/>
                <w:sz w:val="18"/>
                <w:szCs w:val="18"/>
              </w:rPr>
              <w:t xml:space="preserve">9,247 </w:t>
            </w:r>
          </w:p>
          <w:p>
            <w:pPr>
              <w:ind w:right="-28"/>
              <w:jc w:val="center"/>
              <w:rPr>
                <w:rFonts w:eastAsia="Times New Roman"/>
                <w:b/>
                <w:noProof/>
                <w:sz w:val="18"/>
                <w:szCs w:val="18"/>
              </w:rPr>
            </w:pPr>
            <w:r>
              <w:rPr>
                <w:b/>
                <w:noProof/>
                <w:sz w:val="18"/>
                <w:szCs w:val="18"/>
              </w:rPr>
              <w:t xml:space="preserve">ανά έτος εφαρμογής </w:t>
            </w:r>
          </w:p>
        </w:tc>
        <w:tc>
          <w:tcPr>
            <w:tcW w:w="709"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szCs w:val="18"/>
              </w:rPr>
              <w:t>Άνευ αντικειμένου.</w:t>
            </w:r>
          </w:p>
        </w:tc>
        <w:tc>
          <w:tcPr>
            <w:tcW w:w="850" w:type="dxa"/>
            <w:gridSpan w:val="2"/>
            <w:tcBorders>
              <w:top w:val="single" w:sz="12" w:space="0" w:color="auto"/>
              <w:bottom w:val="single" w:sz="12" w:space="0" w:color="auto"/>
            </w:tcBorders>
          </w:tcPr>
          <w:p>
            <w:pPr>
              <w:ind w:right="-28"/>
              <w:jc w:val="center"/>
              <w:rPr>
                <w:rFonts w:eastAsia="Times New Roman"/>
                <w:b/>
                <w:noProof/>
                <w:sz w:val="18"/>
                <w:szCs w:val="18"/>
              </w:rPr>
            </w:pPr>
            <w:r>
              <w:rPr>
                <w:b/>
                <w:noProof/>
                <w:sz w:val="18"/>
                <w:szCs w:val="18"/>
              </w:rPr>
              <w:t>64,730</w:t>
            </w:r>
          </w:p>
          <w:p>
            <w:pPr>
              <w:ind w:right="-28"/>
              <w:jc w:val="center"/>
              <w:rPr>
                <w:rFonts w:eastAsia="Times New Roman"/>
                <w:noProof/>
                <w:sz w:val="18"/>
                <w:szCs w:val="18"/>
              </w:rPr>
            </w:pPr>
            <w:r>
              <w:rPr>
                <w:b/>
                <w:noProof/>
                <w:sz w:val="18"/>
                <w:szCs w:val="18"/>
              </w:rPr>
              <w:t>Σύνολο σταδίου εφαρμογής</w:t>
            </w:r>
          </w:p>
        </w:tc>
        <w:tc>
          <w:tcPr>
            <w:tcW w:w="709"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szCs w:val="18"/>
              </w:rPr>
              <w:t>Άνευ αντικειμένου.</w:t>
            </w:r>
          </w:p>
        </w:tc>
        <w:tc>
          <w:tcPr>
            <w:tcW w:w="1179" w:type="dxa"/>
            <w:gridSpan w:val="2"/>
            <w:tcBorders>
              <w:top w:val="single" w:sz="12" w:space="0" w:color="auto"/>
              <w:bottom w:val="single" w:sz="12" w:space="0" w:color="auto"/>
            </w:tcBorders>
          </w:tcPr>
          <w:p>
            <w:pPr>
              <w:spacing w:before="180" w:after="180"/>
              <w:ind w:right="-29"/>
              <w:jc w:val="center"/>
              <w:rPr>
                <w:b/>
                <w:noProof/>
                <w:color w:val="000000"/>
                <w:sz w:val="18"/>
                <w:szCs w:val="18"/>
              </w:rPr>
            </w:pPr>
            <w:r>
              <w:rPr>
                <w:b/>
                <w:noProof/>
                <w:color w:val="000000"/>
                <w:sz w:val="18"/>
                <w:szCs w:val="18"/>
              </w:rPr>
              <w:t>6,350</w:t>
            </w:r>
          </w:p>
          <w:p>
            <w:pPr>
              <w:spacing w:before="180" w:after="180"/>
              <w:ind w:right="-29"/>
              <w:jc w:val="center"/>
              <w:rPr>
                <w:rFonts w:eastAsia="Times New Roman"/>
                <w:b/>
                <w:noProof/>
                <w:sz w:val="18"/>
                <w:szCs w:val="18"/>
              </w:rPr>
            </w:pPr>
            <w:r>
              <w:rPr>
                <w:b/>
                <w:noProof/>
                <w:color w:val="000000"/>
                <w:sz w:val="18"/>
                <w:szCs w:val="18"/>
              </w:rPr>
              <w:t>ανά έτος λειτουργίας</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Εκτιμώμενες επιπτώσεις στις πιστώσεις διοικητικού χαρακτήρα</w:t>
      </w:r>
    </w:p>
    <w:p>
      <w:pPr>
        <w:pStyle w:val="ManualHeading4"/>
        <w:rPr>
          <w:noProof/>
        </w:rPr>
      </w:pPr>
      <w:r>
        <w:t>3.2.3.1.</w:t>
      </w:r>
      <w:r>
        <w:tab/>
      </w:r>
      <w:r>
        <w:rPr>
          <w:noProof/>
        </w:rPr>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D"/>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92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87"/>
        <w:gridCol w:w="770"/>
        <w:gridCol w:w="770"/>
        <w:gridCol w:w="770"/>
        <w:gridCol w:w="770"/>
        <w:gridCol w:w="770"/>
        <w:gridCol w:w="770"/>
        <w:gridCol w:w="770"/>
        <w:gridCol w:w="1156"/>
      </w:tblGrid>
      <w:tr>
        <w:trPr>
          <w:trHeight w:val="585"/>
          <w:jc w:val="center"/>
        </w:trPr>
        <w:tc>
          <w:tcPr>
            <w:tcW w:w="2687" w:type="dxa"/>
          </w:tcPr>
          <w:p>
            <w:pPr>
              <w:spacing w:before="60" w:after="60" w:line="200" w:lineRule="exact"/>
              <w:rPr>
                <w:noProof/>
                <w:sz w:val="16"/>
                <w:szCs w:val="16"/>
              </w:rPr>
            </w:pPr>
          </w:p>
        </w:tc>
        <w:tc>
          <w:tcPr>
            <w:tcW w:w="77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 xml:space="preserve">2022 </w:t>
            </w:r>
            <w:r>
              <w:rPr>
                <w:rStyle w:val="FootnoteReference"/>
                <w:b/>
                <w:noProof/>
                <w:sz w:val="16"/>
              </w:rPr>
              <w:footnoteReference w:id="70"/>
            </w:r>
          </w:p>
        </w:tc>
        <w:tc>
          <w:tcPr>
            <w:tcW w:w="77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2023</w:t>
            </w:r>
          </w:p>
        </w:tc>
        <w:tc>
          <w:tcPr>
            <w:tcW w:w="77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2024</w:t>
            </w:r>
          </w:p>
        </w:tc>
        <w:tc>
          <w:tcPr>
            <w:tcW w:w="77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2025</w:t>
            </w:r>
          </w:p>
        </w:tc>
        <w:tc>
          <w:tcPr>
            <w:tcW w:w="770" w:type="dxa"/>
            <w:vAlign w:val="center"/>
          </w:tcPr>
          <w:p>
            <w:pPr>
              <w:spacing w:line="200" w:lineRule="exact"/>
              <w:jc w:val="center"/>
              <w:rPr>
                <w:b/>
                <w:noProof/>
                <w:sz w:val="16"/>
                <w:szCs w:val="16"/>
              </w:rPr>
            </w:pPr>
            <w:r>
              <w:rPr>
                <w:noProof/>
                <w:sz w:val="16"/>
              </w:rPr>
              <w:t>Έτος</w:t>
            </w:r>
            <w:r>
              <w:rPr>
                <w:noProof/>
              </w:rPr>
              <w:t xml:space="preserve"> </w:t>
            </w:r>
            <w:r>
              <w:rPr>
                <w:noProof/>
              </w:rPr>
              <w:br/>
            </w:r>
            <w:r>
              <w:rPr>
                <w:b/>
                <w:noProof/>
                <w:sz w:val="16"/>
              </w:rPr>
              <w:t>2026</w:t>
            </w:r>
          </w:p>
        </w:tc>
        <w:tc>
          <w:tcPr>
            <w:tcW w:w="770" w:type="dxa"/>
            <w:vAlign w:val="center"/>
          </w:tcPr>
          <w:p>
            <w:pPr>
              <w:spacing w:line="200" w:lineRule="exact"/>
              <w:jc w:val="center"/>
              <w:rPr>
                <w:b/>
                <w:noProof/>
                <w:sz w:val="16"/>
                <w:szCs w:val="16"/>
              </w:rPr>
            </w:pPr>
            <w:r>
              <w:rPr>
                <w:noProof/>
                <w:sz w:val="16"/>
              </w:rPr>
              <w:t>Έτος</w:t>
            </w:r>
            <w:r>
              <w:rPr>
                <w:noProof/>
              </w:rPr>
              <w:t xml:space="preserve"> </w:t>
            </w:r>
            <w:r>
              <w:rPr>
                <w:noProof/>
              </w:rPr>
              <w:br/>
            </w:r>
            <w:r>
              <w:rPr>
                <w:b/>
                <w:noProof/>
                <w:sz w:val="16"/>
              </w:rPr>
              <w:t>2027</w:t>
            </w:r>
          </w:p>
        </w:tc>
        <w:tc>
          <w:tcPr>
            <w:tcW w:w="770" w:type="dxa"/>
            <w:vAlign w:val="center"/>
          </w:tcPr>
          <w:p>
            <w:pPr>
              <w:spacing w:line="200" w:lineRule="exact"/>
              <w:jc w:val="center"/>
              <w:rPr>
                <w:b/>
                <w:noProof/>
                <w:sz w:val="16"/>
                <w:szCs w:val="16"/>
              </w:rPr>
            </w:pPr>
            <w:r>
              <w:rPr>
                <w:noProof/>
                <w:sz w:val="16"/>
              </w:rPr>
              <w:t>Πέραν του</w:t>
            </w:r>
            <w:r>
              <w:rPr>
                <w:noProof/>
              </w:rPr>
              <w:t xml:space="preserve"> </w:t>
            </w:r>
            <w:r>
              <w:rPr>
                <w:noProof/>
              </w:rPr>
              <w:br/>
            </w:r>
            <w:r>
              <w:rPr>
                <w:b/>
                <w:noProof/>
                <w:sz w:val="16"/>
              </w:rPr>
              <w:t>2027</w:t>
            </w:r>
          </w:p>
        </w:tc>
        <w:tc>
          <w:tcPr>
            <w:tcW w:w="1156"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92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5"/>
        <w:gridCol w:w="768"/>
        <w:gridCol w:w="768"/>
        <w:gridCol w:w="768"/>
        <w:gridCol w:w="768"/>
        <w:gridCol w:w="768"/>
        <w:gridCol w:w="768"/>
        <w:gridCol w:w="768"/>
        <w:gridCol w:w="1146"/>
      </w:tblGrid>
      <w:tr>
        <w:trPr>
          <w:trHeight w:hRule="exact" w:val="678"/>
          <w:jc w:val="center"/>
        </w:trPr>
        <w:tc>
          <w:tcPr>
            <w:tcW w:w="2715" w:type="dxa"/>
            <w:shd w:val="clear" w:color="auto" w:fill="CCCCCC"/>
            <w:vAlign w:val="center"/>
          </w:tcPr>
          <w:p>
            <w:pPr>
              <w:spacing w:before="60" w:after="60" w:line="200" w:lineRule="exact"/>
              <w:jc w:val="center"/>
              <w:rPr>
                <w:b/>
                <w:noProof/>
                <w:sz w:val="16"/>
                <w:szCs w:val="16"/>
              </w:rPr>
            </w:pPr>
            <w:r>
              <w:rPr>
                <w:b/>
                <w:noProof/>
                <w:sz w:val="16"/>
              </w:rPr>
              <w:t>ΤΟΜΕΑΣ 5</w:t>
            </w:r>
            <w:r>
              <w:rPr>
                <w:noProof/>
              </w:rPr>
              <w:t xml:space="preserve"> </w:t>
            </w:r>
            <w:r>
              <w:rPr>
                <w:noProof/>
              </w:rPr>
              <w:br/>
            </w:r>
            <w:r>
              <w:rPr>
                <w:b/>
                <w:noProof/>
                <w:sz w:val="16"/>
              </w:rPr>
              <w:t>του πολυετούς δημοσιονομικού πλαισίου</w:t>
            </w: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b/>
                <w:noProof/>
                <w:sz w:val="16"/>
                <w:szCs w:val="16"/>
              </w:rPr>
            </w:pPr>
          </w:p>
        </w:tc>
        <w:tc>
          <w:tcPr>
            <w:tcW w:w="1146" w:type="dxa"/>
          </w:tcPr>
          <w:p>
            <w:pPr>
              <w:spacing w:before="60" w:after="60" w:line="200" w:lineRule="exact"/>
              <w:jc w:val="right"/>
              <w:rPr>
                <w:b/>
                <w:noProof/>
                <w:sz w:val="16"/>
                <w:szCs w:val="16"/>
              </w:rPr>
            </w:pPr>
          </w:p>
        </w:tc>
      </w:tr>
      <w:tr>
        <w:trPr>
          <w:trHeight w:hRule="exact" w:val="567"/>
          <w:jc w:val="center"/>
        </w:trPr>
        <w:tc>
          <w:tcPr>
            <w:tcW w:w="2715" w:type="dxa"/>
            <w:vAlign w:val="center"/>
          </w:tcPr>
          <w:p>
            <w:pPr>
              <w:spacing w:before="60" w:after="60" w:line="200" w:lineRule="exact"/>
              <w:ind w:left="72"/>
              <w:rPr>
                <w:noProof/>
                <w:sz w:val="16"/>
                <w:szCs w:val="16"/>
              </w:rPr>
            </w:pPr>
            <w:r>
              <w:rPr>
                <w:noProof/>
                <w:sz w:val="16"/>
              </w:rPr>
              <w:t xml:space="preserve">Ανθρώπινοι πόροι </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b/>
                <w:noProof/>
                <w:sz w:val="16"/>
                <w:szCs w:val="16"/>
              </w:rPr>
            </w:pPr>
            <w:r>
              <w:rPr>
                <w:noProof/>
                <w:sz w:val="18"/>
                <w:szCs w:val="18"/>
              </w:rPr>
              <w:t>3,570</w:t>
            </w:r>
          </w:p>
        </w:tc>
        <w:tc>
          <w:tcPr>
            <w:tcW w:w="1146" w:type="dxa"/>
            <w:vAlign w:val="center"/>
          </w:tcPr>
          <w:p>
            <w:pPr>
              <w:spacing w:before="60" w:after="60" w:line="200" w:lineRule="exact"/>
              <w:jc w:val="center"/>
              <w:rPr>
                <w:b/>
                <w:noProof/>
                <w:sz w:val="16"/>
                <w:szCs w:val="16"/>
              </w:rPr>
            </w:pPr>
            <w:r>
              <w:rPr>
                <w:b/>
                <w:noProof/>
                <w:sz w:val="16"/>
                <w:szCs w:val="16"/>
              </w:rPr>
              <w:t>11,490</w:t>
            </w:r>
          </w:p>
        </w:tc>
      </w:tr>
      <w:tr>
        <w:trPr>
          <w:trHeight w:hRule="exact" w:val="567"/>
          <w:jc w:val="center"/>
        </w:trPr>
        <w:tc>
          <w:tcPr>
            <w:tcW w:w="2715" w:type="dxa"/>
            <w:vAlign w:val="center"/>
          </w:tcPr>
          <w:p>
            <w:pPr>
              <w:spacing w:before="60" w:after="60" w:line="200" w:lineRule="exact"/>
              <w:ind w:left="72"/>
              <w:rPr>
                <w:noProof/>
                <w:sz w:val="16"/>
                <w:szCs w:val="16"/>
              </w:rPr>
            </w:pPr>
            <w:r>
              <w:rPr>
                <w:noProof/>
                <w:sz w:val="16"/>
              </w:rPr>
              <w:t xml:space="preserve">Άλλες διοικητικές δαπάνες </w:t>
            </w: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b/>
                <w:noProof/>
                <w:sz w:val="16"/>
                <w:szCs w:val="16"/>
              </w:rPr>
            </w:pPr>
          </w:p>
        </w:tc>
        <w:tc>
          <w:tcPr>
            <w:tcW w:w="1146" w:type="dxa"/>
          </w:tcPr>
          <w:p>
            <w:pPr>
              <w:spacing w:before="60" w:after="60" w:line="200" w:lineRule="exact"/>
              <w:jc w:val="center"/>
              <w:rPr>
                <w:b/>
                <w:noProof/>
                <w:sz w:val="16"/>
                <w:szCs w:val="16"/>
              </w:rPr>
            </w:pPr>
          </w:p>
        </w:tc>
      </w:tr>
      <w:tr>
        <w:trPr>
          <w:trHeight w:hRule="exact" w:val="859"/>
          <w:jc w:val="center"/>
        </w:trPr>
        <w:tc>
          <w:tcPr>
            <w:tcW w:w="2715"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rPr>
              <w:t xml:space="preserve"> </w:t>
            </w:r>
            <w:r>
              <w:rPr>
                <w:noProof/>
              </w:rPr>
              <w:br/>
            </w:r>
            <w:r>
              <w:rPr>
                <w:b/>
                <w:noProof/>
                <w:sz w:val="16"/>
              </w:rPr>
              <w:t xml:space="preserve">του πολυετούς δημοσιονομικού πλαισίου </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b/>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b/>
                <w:noProof/>
                <w:sz w:val="16"/>
                <w:szCs w:val="16"/>
              </w:rPr>
            </w:pPr>
            <w:r>
              <w:rPr>
                <w:noProof/>
                <w:sz w:val="18"/>
                <w:szCs w:val="18"/>
              </w:rPr>
              <w:t>3,570</w:t>
            </w:r>
          </w:p>
        </w:tc>
        <w:tc>
          <w:tcPr>
            <w:tcW w:w="1146" w:type="dxa"/>
            <w:vAlign w:val="center"/>
          </w:tcPr>
          <w:p>
            <w:pPr>
              <w:spacing w:before="60" w:after="60" w:line="200" w:lineRule="exact"/>
              <w:jc w:val="center"/>
              <w:rPr>
                <w:b/>
                <w:noProof/>
                <w:sz w:val="16"/>
                <w:szCs w:val="16"/>
              </w:rPr>
            </w:pPr>
            <w:r>
              <w:rPr>
                <w:b/>
                <w:noProof/>
                <w:sz w:val="16"/>
                <w:szCs w:val="16"/>
              </w:rPr>
              <w:t>11,490</w:t>
            </w:r>
          </w:p>
        </w:tc>
      </w:tr>
    </w:tbl>
    <w:p>
      <w:pPr>
        <w:spacing w:line="200" w:lineRule="exact"/>
        <w:rPr>
          <w:noProof/>
          <w:sz w:val="16"/>
          <w:szCs w:val="16"/>
        </w:rPr>
      </w:pPr>
    </w:p>
    <w:tbl>
      <w:tblPr>
        <w:tblW w:w="9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94"/>
        <w:gridCol w:w="1324"/>
        <w:gridCol w:w="965"/>
        <w:gridCol w:w="965"/>
        <w:gridCol w:w="965"/>
        <w:gridCol w:w="965"/>
        <w:gridCol w:w="1133"/>
      </w:tblGrid>
      <w:tr>
        <w:trPr>
          <w:trHeight w:val="585"/>
          <w:jc w:val="center"/>
        </w:trPr>
        <w:tc>
          <w:tcPr>
            <w:tcW w:w="2694"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71"/>
            </w:r>
            <w:r>
              <w:rPr>
                <w:noProof/>
              </w:rPr>
              <w:t xml:space="preserve"> </w:t>
            </w:r>
            <w:r>
              <w:rPr>
                <w:noProof/>
              </w:rPr>
              <w:br/>
            </w:r>
            <w:r>
              <w:rPr>
                <w:b/>
                <w:noProof/>
                <w:sz w:val="16"/>
              </w:rPr>
              <w:t>του πολυετούς δημοσιονομικού πλαισίου</w:t>
            </w:r>
          </w:p>
          <w:p>
            <w:pPr>
              <w:spacing w:after="0" w:line="200" w:lineRule="exact"/>
              <w:jc w:val="center"/>
              <w:rPr>
                <w:b/>
                <w:noProof/>
                <w:sz w:val="16"/>
                <w:szCs w:val="16"/>
              </w:rPr>
            </w:pP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r>
        <w:trPr>
          <w:trHeight w:val="585"/>
          <w:jc w:val="center"/>
        </w:trPr>
        <w:tc>
          <w:tcPr>
            <w:tcW w:w="2694" w:type="dxa"/>
            <w:vAlign w:val="center"/>
          </w:tcPr>
          <w:p>
            <w:pPr>
              <w:spacing w:before="60" w:after="60" w:line="200" w:lineRule="exact"/>
              <w:ind w:left="72"/>
              <w:rPr>
                <w:noProof/>
                <w:sz w:val="16"/>
                <w:szCs w:val="16"/>
              </w:rPr>
            </w:pPr>
            <w:r>
              <w:rPr>
                <w:noProof/>
                <w:sz w:val="16"/>
              </w:rPr>
              <w:t xml:space="preserve">Ανθρώπινοι πόροι </w:t>
            </w: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r>
        <w:trPr>
          <w:trHeight w:val="585"/>
          <w:jc w:val="center"/>
        </w:trPr>
        <w:tc>
          <w:tcPr>
            <w:tcW w:w="2694" w:type="dxa"/>
            <w:vAlign w:val="center"/>
          </w:tcPr>
          <w:p>
            <w:pPr>
              <w:spacing w:before="60" w:after="60" w:line="200" w:lineRule="exact"/>
              <w:ind w:left="72"/>
              <w:rPr>
                <w:noProof/>
                <w:sz w:val="16"/>
                <w:szCs w:val="16"/>
              </w:rPr>
            </w:pPr>
            <w:r>
              <w:rPr>
                <w:noProof/>
                <w:sz w:val="16"/>
              </w:rPr>
              <w:t>Άλλες δαπάνες</w:t>
            </w:r>
            <w:r>
              <w:rPr>
                <w:noProof/>
              </w:rPr>
              <w:t xml:space="preserve"> </w:t>
            </w:r>
            <w:r>
              <w:rPr>
                <w:noProof/>
              </w:rPr>
              <w:br/>
            </w:r>
            <w:r>
              <w:rPr>
                <w:noProof/>
                <w:sz w:val="16"/>
              </w:rPr>
              <w:t>διοικητικού χαρακτήρα</w:t>
            </w: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r>
        <w:trPr>
          <w:trHeight w:val="585"/>
          <w:jc w:val="center"/>
        </w:trPr>
        <w:tc>
          <w:tcPr>
            <w:tcW w:w="2694" w:type="dxa"/>
            <w:shd w:val="clear" w:color="auto" w:fill="CCCCCC"/>
            <w:vAlign w:val="center"/>
          </w:tcPr>
          <w:p>
            <w:pPr>
              <w:spacing w:before="60" w:after="60" w:line="200" w:lineRule="exact"/>
              <w:jc w:val="center"/>
              <w:rPr>
                <w:b/>
                <w:noProof/>
                <w:sz w:val="16"/>
                <w:szCs w:val="16"/>
              </w:rPr>
            </w:pPr>
            <w:r>
              <w:rPr>
                <w:b/>
                <w:noProof/>
                <w:sz w:val="16"/>
              </w:rPr>
              <w:t>Μερικό σύνολο</w:t>
            </w:r>
            <w:r>
              <w:rPr>
                <w:noProof/>
              </w:rPr>
              <w:t xml:space="preserve"> </w:t>
            </w:r>
            <w:r>
              <w:rPr>
                <w:noProof/>
              </w:rPr>
              <w:br/>
            </w:r>
            <w:r>
              <w:rPr>
                <w:b/>
                <w:noProof/>
                <w:sz w:val="16"/>
              </w:rPr>
              <w:t>εκτός του ΤΟΜΕΑ 5</w:t>
            </w:r>
            <w:r>
              <w:rPr>
                <w:noProof/>
              </w:rPr>
              <w:t xml:space="preserve"> </w:t>
            </w:r>
            <w:r>
              <w:rPr>
                <w:noProof/>
              </w:rPr>
              <w:br/>
            </w:r>
            <w:r>
              <w:rPr>
                <w:b/>
                <w:noProof/>
                <w:sz w:val="16"/>
              </w:rPr>
              <w:t xml:space="preserve">του πολυετούς δημοσιονομικού πλαισίου </w:t>
            </w: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223" w:type="dxa"/>
        <w:jc w:val="center"/>
        <w:tblLayout w:type="fixed"/>
        <w:tblLook w:val="01E0" w:firstRow="1" w:lastRow="1" w:firstColumn="1" w:lastColumn="1" w:noHBand="0" w:noVBand="0"/>
      </w:tblPr>
      <w:tblGrid>
        <w:gridCol w:w="2694"/>
        <w:gridCol w:w="791"/>
        <w:gridCol w:w="776"/>
        <w:gridCol w:w="776"/>
        <w:gridCol w:w="775"/>
        <w:gridCol w:w="775"/>
        <w:gridCol w:w="775"/>
        <w:gridCol w:w="775"/>
        <w:gridCol w:w="1086"/>
      </w:tblGrid>
      <w:tr>
        <w:trPr>
          <w:trHeight w:val="585"/>
          <w:jc w:val="center"/>
        </w:trPr>
        <w:tc>
          <w:tcPr>
            <w:tcW w:w="2694"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79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3,570</w:t>
            </w:r>
          </w:p>
        </w:tc>
        <w:tc>
          <w:tcPr>
            <w:tcW w:w="1086"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16"/>
                <w:szCs w:val="16"/>
              </w:rPr>
              <w:t>11,490</w:t>
            </w:r>
          </w:p>
        </w:tc>
      </w:tr>
    </w:tbl>
    <w:p>
      <w:pPr>
        <w:pStyle w:val="Text1"/>
        <w:ind w:left="0"/>
        <w:rPr>
          <w:noProof/>
          <w:sz w:val="18"/>
          <w:szCs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D"/>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8"/>
        <w:gridCol w:w="1954"/>
        <w:gridCol w:w="645"/>
        <w:gridCol w:w="645"/>
        <w:gridCol w:w="656"/>
        <w:gridCol w:w="698"/>
        <w:gridCol w:w="728"/>
        <w:gridCol w:w="949"/>
        <w:gridCol w:w="1114"/>
      </w:tblGrid>
      <w:tr>
        <w:trPr>
          <w:trHeight w:val="289"/>
          <w:jc w:val="center"/>
        </w:trPr>
        <w:tc>
          <w:tcPr>
            <w:tcW w:w="2074" w:type="pct"/>
            <w:gridSpan w:val="2"/>
            <w:shd w:val="clear" w:color="auto" w:fill="auto"/>
          </w:tcPr>
          <w:p>
            <w:pPr>
              <w:pStyle w:val="Text1"/>
              <w:spacing w:before="40" w:after="40"/>
              <w:ind w:left="0"/>
              <w:jc w:val="center"/>
              <w:rPr>
                <w:i/>
                <w:noProof/>
                <w:sz w:val="16"/>
                <w:szCs w:val="16"/>
              </w:rPr>
            </w:pPr>
          </w:p>
        </w:tc>
        <w:tc>
          <w:tcPr>
            <w:tcW w:w="347" w:type="pct"/>
            <w:shd w:val="clear" w:color="auto" w:fill="auto"/>
            <w:vAlign w:val="center"/>
          </w:tcPr>
          <w:p>
            <w:pPr>
              <w:spacing w:before="20" w:after="20"/>
              <w:jc w:val="center"/>
              <w:rPr>
                <w:noProof/>
                <w:sz w:val="16"/>
                <w:szCs w:val="16"/>
              </w:rPr>
            </w:pPr>
            <w:r>
              <w:rPr>
                <w:noProof/>
                <w:sz w:val="16"/>
              </w:rPr>
              <w:t>Έτος</w:t>
            </w:r>
            <w:r>
              <w:rPr>
                <w:noProof/>
              </w:rPr>
              <w:t xml:space="preserve"> </w:t>
            </w:r>
            <w:r>
              <w:rPr>
                <w:noProof/>
              </w:rPr>
              <w:br/>
            </w:r>
            <w:r>
              <w:rPr>
                <w:b/>
                <w:noProof/>
                <w:sz w:val="16"/>
              </w:rPr>
              <w:t>2022</w:t>
            </w:r>
          </w:p>
        </w:tc>
        <w:tc>
          <w:tcPr>
            <w:tcW w:w="347" w:type="pct"/>
            <w:shd w:val="clear" w:color="auto" w:fill="auto"/>
            <w:vAlign w:val="center"/>
          </w:tcPr>
          <w:p>
            <w:pPr>
              <w:spacing w:before="20" w:after="20"/>
              <w:jc w:val="center"/>
              <w:rPr>
                <w:noProof/>
                <w:sz w:val="16"/>
                <w:szCs w:val="16"/>
              </w:rPr>
            </w:pPr>
            <w:r>
              <w:rPr>
                <w:noProof/>
                <w:sz w:val="16"/>
              </w:rPr>
              <w:t>Έτος</w:t>
            </w:r>
            <w:r>
              <w:rPr>
                <w:noProof/>
              </w:rPr>
              <w:t xml:space="preserve"> </w:t>
            </w:r>
            <w:r>
              <w:rPr>
                <w:noProof/>
              </w:rPr>
              <w:br/>
            </w:r>
            <w:r>
              <w:rPr>
                <w:b/>
                <w:noProof/>
                <w:sz w:val="16"/>
              </w:rPr>
              <w:t>2023</w:t>
            </w:r>
          </w:p>
        </w:tc>
        <w:tc>
          <w:tcPr>
            <w:tcW w:w="352" w:type="pct"/>
            <w:shd w:val="clear" w:color="auto" w:fill="auto"/>
            <w:vAlign w:val="center"/>
          </w:tcPr>
          <w:p>
            <w:pPr>
              <w:spacing w:before="20" w:after="20"/>
              <w:jc w:val="center"/>
              <w:rPr>
                <w:b/>
                <w:noProof/>
                <w:sz w:val="16"/>
                <w:szCs w:val="16"/>
              </w:rPr>
            </w:pPr>
            <w:r>
              <w:rPr>
                <w:noProof/>
                <w:sz w:val="16"/>
                <w:szCs w:val="16"/>
              </w:rPr>
              <w:t xml:space="preserve">Έτος </w:t>
            </w:r>
          </w:p>
          <w:p>
            <w:pPr>
              <w:spacing w:before="20" w:after="20"/>
              <w:jc w:val="center"/>
              <w:rPr>
                <w:noProof/>
                <w:sz w:val="16"/>
                <w:szCs w:val="16"/>
              </w:rPr>
            </w:pPr>
            <w:r>
              <w:rPr>
                <w:b/>
                <w:noProof/>
                <w:sz w:val="16"/>
                <w:szCs w:val="16"/>
              </w:rPr>
              <w:t>2024</w:t>
            </w:r>
          </w:p>
        </w:tc>
        <w:tc>
          <w:tcPr>
            <w:tcW w:w="376" w:type="pct"/>
            <w:shd w:val="clear" w:color="auto" w:fill="auto"/>
            <w:vAlign w:val="center"/>
          </w:tcPr>
          <w:p>
            <w:pPr>
              <w:spacing w:before="20" w:after="20"/>
              <w:jc w:val="center"/>
              <w:rPr>
                <w:b/>
                <w:noProof/>
                <w:sz w:val="16"/>
                <w:szCs w:val="16"/>
              </w:rPr>
            </w:pPr>
            <w:r>
              <w:rPr>
                <w:noProof/>
                <w:sz w:val="16"/>
                <w:szCs w:val="16"/>
              </w:rPr>
              <w:t xml:space="preserve">Έτος </w:t>
            </w:r>
          </w:p>
          <w:p>
            <w:pPr>
              <w:spacing w:before="20" w:after="20"/>
              <w:jc w:val="center"/>
              <w:rPr>
                <w:noProof/>
                <w:sz w:val="16"/>
                <w:szCs w:val="16"/>
              </w:rPr>
            </w:pPr>
            <w:r>
              <w:rPr>
                <w:b/>
                <w:noProof/>
                <w:sz w:val="16"/>
                <w:szCs w:val="16"/>
              </w:rPr>
              <w:t>2025</w:t>
            </w:r>
          </w:p>
        </w:tc>
        <w:tc>
          <w:tcPr>
            <w:tcW w:w="392" w:type="pct"/>
            <w:vAlign w:val="center"/>
          </w:tcPr>
          <w:p>
            <w:pPr>
              <w:spacing w:before="20" w:after="20"/>
              <w:jc w:val="center"/>
              <w:rPr>
                <w:b/>
                <w:noProof/>
                <w:sz w:val="16"/>
                <w:szCs w:val="16"/>
              </w:rPr>
            </w:pPr>
            <w:r>
              <w:rPr>
                <w:noProof/>
                <w:sz w:val="16"/>
                <w:szCs w:val="16"/>
              </w:rPr>
              <w:t xml:space="preserve">Έτος </w:t>
            </w:r>
            <w:r>
              <w:rPr>
                <w:b/>
                <w:noProof/>
                <w:sz w:val="16"/>
                <w:szCs w:val="16"/>
              </w:rPr>
              <w:t>2026</w:t>
            </w:r>
          </w:p>
        </w:tc>
        <w:tc>
          <w:tcPr>
            <w:tcW w:w="511" w:type="pct"/>
          </w:tcPr>
          <w:p>
            <w:pPr>
              <w:spacing w:before="20" w:after="20"/>
              <w:jc w:val="center"/>
              <w:rPr>
                <w:noProof/>
                <w:sz w:val="16"/>
                <w:szCs w:val="16"/>
              </w:rPr>
            </w:pPr>
            <w:r>
              <w:rPr>
                <w:noProof/>
                <w:sz w:val="16"/>
                <w:szCs w:val="16"/>
              </w:rPr>
              <w:t xml:space="preserve">Έτος </w:t>
            </w:r>
          </w:p>
          <w:p>
            <w:pPr>
              <w:spacing w:before="20" w:after="20"/>
              <w:jc w:val="center"/>
              <w:rPr>
                <w:b/>
                <w:noProof/>
                <w:sz w:val="16"/>
                <w:szCs w:val="16"/>
              </w:rPr>
            </w:pPr>
            <w:r>
              <w:rPr>
                <w:b/>
                <w:noProof/>
                <w:sz w:val="16"/>
                <w:szCs w:val="16"/>
              </w:rPr>
              <w:t>2027</w:t>
            </w:r>
          </w:p>
        </w:tc>
        <w:tc>
          <w:tcPr>
            <w:tcW w:w="601" w:type="pct"/>
          </w:tcPr>
          <w:p>
            <w:pPr>
              <w:spacing w:before="20" w:after="20"/>
              <w:jc w:val="center"/>
              <w:rPr>
                <w:b/>
                <w:noProof/>
                <w:sz w:val="16"/>
                <w:szCs w:val="16"/>
              </w:rPr>
            </w:pPr>
            <w:r>
              <w:rPr>
                <w:noProof/>
                <w:sz w:val="16"/>
                <w:szCs w:val="16"/>
              </w:rPr>
              <w:t xml:space="preserve">Πέραν του </w:t>
            </w:r>
            <w:r>
              <w:rPr>
                <w:b/>
                <w:noProof/>
                <w:sz w:val="16"/>
                <w:szCs w:val="16"/>
              </w:rPr>
              <w:t>2027</w:t>
            </w:r>
          </w:p>
        </w:tc>
      </w:tr>
      <w:tr>
        <w:trPr>
          <w:trHeight w:val="289"/>
          <w:jc w:val="center"/>
        </w:trPr>
        <w:tc>
          <w:tcPr>
            <w:tcW w:w="3121"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376" w:type="pct"/>
            <w:shd w:val="clear" w:color="auto" w:fill="auto"/>
            <w:vAlign w:val="center"/>
          </w:tcPr>
          <w:p>
            <w:pPr>
              <w:spacing w:before="20" w:after="20"/>
              <w:jc w:val="center"/>
              <w:rPr>
                <w:noProof/>
                <w:sz w:val="16"/>
                <w:szCs w:val="16"/>
              </w:rPr>
            </w:pPr>
          </w:p>
        </w:tc>
        <w:tc>
          <w:tcPr>
            <w:tcW w:w="392" w:type="pct"/>
          </w:tcPr>
          <w:p>
            <w:pPr>
              <w:jc w:val="center"/>
              <w:rPr>
                <w:noProof/>
                <w:sz w:val="16"/>
                <w:szCs w:val="16"/>
              </w:rPr>
            </w:pPr>
          </w:p>
        </w:tc>
        <w:tc>
          <w:tcPr>
            <w:tcW w:w="511" w:type="pct"/>
          </w:tcPr>
          <w:p>
            <w:pPr>
              <w:jc w:val="center"/>
              <w:rPr>
                <w:noProof/>
                <w:sz w:val="16"/>
                <w:szCs w:val="16"/>
              </w:rPr>
            </w:pPr>
          </w:p>
        </w:tc>
        <w:tc>
          <w:tcPr>
            <w:tcW w:w="601" w:type="pct"/>
          </w:tcPr>
          <w:p>
            <w:pPr>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(στην έδρα και στα γραφεία αντιπροσωπείας της Επιτροπής) - </w:t>
            </w:r>
            <w:r>
              <w:rPr>
                <w:b/>
                <w:noProof/>
                <w:sz w:val="16"/>
              </w:rPr>
              <w:t>DG TAXUD</w:t>
            </w:r>
            <w:r>
              <w:rPr>
                <w:noProof/>
                <w:sz w:val="16"/>
              </w:rPr>
              <w:t xml:space="preserve"> (διοικητικοί υπάλληλοι)</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5</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5</w:t>
            </w:r>
          </w:p>
        </w:tc>
        <w:tc>
          <w:tcPr>
            <w:tcW w:w="352" w:type="pct"/>
            <w:shd w:val="clear" w:color="auto" w:fill="auto"/>
            <w:vAlign w:val="center"/>
          </w:tcPr>
          <w:p>
            <w:pPr>
              <w:spacing w:beforeLines="20" w:before="48" w:afterLines="20" w:after="48"/>
              <w:jc w:val="center"/>
              <w:rPr>
                <w:noProof/>
                <w:sz w:val="16"/>
                <w:szCs w:val="16"/>
              </w:rPr>
            </w:pPr>
            <w:r>
              <w:rPr>
                <w:noProof/>
                <w:sz w:val="16"/>
                <w:szCs w:val="16"/>
              </w:rPr>
              <w:t>5</w:t>
            </w:r>
          </w:p>
        </w:tc>
        <w:tc>
          <w:tcPr>
            <w:tcW w:w="376" w:type="pct"/>
            <w:shd w:val="clear" w:color="auto" w:fill="auto"/>
            <w:vAlign w:val="center"/>
          </w:tcPr>
          <w:p>
            <w:pPr>
              <w:spacing w:beforeLines="20" w:before="48" w:afterLines="20" w:after="48"/>
              <w:jc w:val="center"/>
              <w:rPr>
                <w:noProof/>
                <w:sz w:val="16"/>
                <w:szCs w:val="16"/>
              </w:rPr>
            </w:pPr>
            <w:r>
              <w:rPr>
                <w:noProof/>
                <w:sz w:val="16"/>
                <w:szCs w:val="16"/>
              </w:rPr>
              <w:t>5</w:t>
            </w:r>
          </w:p>
        </w:tc>
        <w:tc>
          <w:tcPr>
            <w:tcW w:w="392" w:type="pct"/>
            <w:vAlign w:val="center"/>
          </w:tcPr>
          <w:p>
            <w:pPr>
              <w:spacing w:beforeLines="20" w:before="48" w:afterLines="20" w:after="48"/>
              <w:jc w:val="center"/>
              <w:rPr>
                <w:noProof/>
                <w:sz w:val="16"/>
                <w:szCs w:val="16"/>
              </w:rPr>
            </w:pPr>
            <w:r>
              <w:rPr>
                <w:noProof/>
                <w:sz w:val="16"/>
                <w:szCs w:val="16"/>
              </w:rPr>
              <w:t>5</w:t>
            </w:r>
          </w:p>
        </w:tc>
        <w:tc>
          <w:tcPr>
            <w:tcW w:w="511" w:type="pct"/>
            <w:vAlign w:val="center"/>
          </w:tcPr>
          <w:p>
            <w:pPr>
              <w:spacing w:beforeLines="20" w:before="48" w:afterLines="20" w:after="48"/>
              <w:jc w:val="center"/>
              <w:rPr>
                <w:noProof/>
                <w:sz w:val="16"/>
                <w:szCs w:val="16"/>
              </w:rPr>
            </w:pPr>
            <w:r>
              <w:rPr>
                <w:noProof/>
                <w:sz w:val="16"/>
                <w:szCs w:val="16"/>
              </w:rPr>
              <w:t>5</w:t>
            </w: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rPr>
            </w:pPr>
            <w:r>
              <w:rPr>
                <w:noProof/>
                <w:sz w:val="16"/>
              </w:rPr>
              <w:t xml:space="preserve">XX 01 01 01 (στην έδρα και στα γραφεία αντιπροσωπείας της Επιτροπής) - </w:t>
            </w:r>
            <w:r>
              <w:rPr>
                <w:b/>
                <w:noProof/>
                <w:sz w:val="16"/>
              </w:rPr>
              <w:t>DG TAXUD</w:t>
            </w:r>
            <w:r>
              <w:rPr>
                <w:noProof/>
                <w:sz w:val="16"/>
              </w:rPr>
              <w:t xml:space="preserve"> (διοικητικοί υπάλληλοι)</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r>
              <w:rPr>
                <w:noProof/>
                <w:sz w:val="16"/>
                <w:szCs w:val="16"/>
              </w:rPr>
              <w:t>5/4</w:t>
            </w:r>
            <w:r>
              <w:rPr>
                <w:rStyle w:val="FootnoteReference"/>
                <w:noProof/>
                <w:sz w:val="16"/>
                <w:szCs w:val="16"/>
              </w:rPr>
              <w:footnoteReference w:id="72"/>
            </w: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rPr>
            </w:pPr>
            <w:r>
              <w:rPr>
                <w:noProof/>
                <w:sz w:val="16"/>
              </w:rPr>
              <w:t xml:space="preserve">XX 01 01 01 (στην έδρα και στις αντιπροσωπείες της Επιτροπής) </w:t>
            </w:r>
            <w:r>
              <w:rPr>
                <w:b/>
                <w:noProof/>
                <w:sz w:val="16"/>
              </w:rPr>
              <w:t>Επιτροπή</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52"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76"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92" w:type="pct"/>
            <w:vAlign w:val="center"/>
          </w:tcPr>
          <w:p>
            <w:pPr>
              <w:spacing w:beforeLines="20" w:before="48" w:afterLines="20" w:after="48"/>
              <w:jc w:val="center"/>
              <w:rPr>
                <w:noProof/>
                <w:sz w:val="16"/>
                <w:szCs w:val="16"/>
              </w:rPr>
            </w:pPr>
            <w:r>
              <w:rPr>
                <w:noProof/>
                <w:sz w:val="16"/>
                <w:szCs w:val="16"/>
              </w:rPr>
              <w:t>3,8</w:t>
            </w:r>
          </w:p>
        </w:tc>
        <w:tc>
          <w:tcPr>
            <w:tcW w:w="511" w:type="pct"/>
            <w:vAlign w:val="center"/>
          </w:tcPr>
          <w:p>
            <w:pPr>
              <w:spacing w:beforeLines="20" w:before="48" w:afterLines="20" w:after="48"/>
              <w:jc w:val="center"/>
              <w:rPr>
                <w:noProof/>
                <w:sz w:val="16"/>
                <w:szCs w:val="16"/>
              </w:rPr>
            </w:pPr>
            <w:r>
              <w:rPr>
                <w:noProof/>
                <w:sz w:val="16"/>
                <w:szCs w:val="16"/>
              </w:rPr>
              <w:t>3,8</w:t>
            </w: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rPr>
            </w:pPr>
            <w:r>
              <w:rPr>
                <w:noProof/>
                <w:sz w:val="16"/>
              </w:rPr>
              <w:t xml:space="preserve">XX 01 01 01 (στην έδρα και στις αντιπροσωπείες της Επιτροπής) </w:t>
            </w:r>
            <w:r>
              <w:rPr>
                <w:b/>
                <w:noProof/>
                <w:sz w:val="16"/>
              </w:rPr>
              <w:t>Επιτροπή</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r>
              <w:rPr>
                <w:noProof/>
                <w:sz w:val="16"/>
                <w:szCs w:val="16"/>
              </w:rPr>
              <w:t>3,8/3,5</w:t>
            </w:r>
            <w:r>
              <w:rPr>
                <w:rStyle w:val="FootnoteReference"/>
                <w:noProof/>
                <w:sz w:val="16"/>
                <w:szCs w:val="16"/>
              </w:rPr>
              <w:footnoteReference w:id="73"/>
            </w: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74"/>
            </w:r>
          </w:p>
          <w:p>
            <w:pPr>
              <w:pStyle w:val="Text1"/>
              <w:spacing w:beforeLines="20" w:before="48" w:afterLines="20" w:after="48"/>
              <w:ind w:left="136"/>
              <w:jc w:val="left"/>
              <w:rPr>
                <w:noProof/>
                <w:sz w:val="16"/>
              </w:rPr>
            </w:pP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 της ΕΕ)</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326"/>
          <w:jc w:val="center"/>
        </w:trPr>
        <w:tc>
          <w:tcPr>
            <w:tcW w:w="1022"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75"/>
            </w:r>
          </w:p>
          <w:p>
            <w:pPr>
              <w:pStyle w:val="Text1"/>
              <w:spacing w:beforeLines="20" w:before="48" w:afterLines="20" w:after="48"/>
              <w:ind w:left="136"/>
              <w:jc w:val="left"/>
              <w:rPr>
                <w:b/>
                <w:noProof/>
                <w:sz w:val="16"/>
                <w:szCs w:val="16"/>
              </w:rPr>
            </w:pPr>
          </w:p>
        </w:tc>
        <w:tc>
          <w:tcPr>
            <w:tcW w:w="1052"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47" w:type="pct"/>
            <w:shd w:val="clear" w:color="auto" w:fill="auto"/>
            <w:vAlign w:val="center"/>
          </w:tcPr>
          <w:p>
            <w:pPr>
              <w:pStyle w:val="Text1"/>
              <w:spacing w:beforeLines="20" w:before="48" w:afterLines="20" w:after="48"/>
              <w:ind w:left="0"/>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1022" w:type="pct"/>
            <w:vMerge/>
            <w:shd w:val="clear" w:color="auto" w:fill="auto"/>
            <w:vAlign w:val="center"/>
          </w:tcPr>
          <w:p>
            <w:pPr>
              <w:pStyle w:val="Text1"/>
              <w:spacing w:beforeLines="20" w:before="48" w:afterLines="20" w:after="48"/>
              <w:ind w:left="136"/>
              <w:jc w:val="left"/>
              <w:rPr>
                <w:b/>
                <w:noProof/>
                <w:sz w:val="16"/>
                <w:szCs w:val="16"/>
              </w:rPr>
            </w:pPr>
          </w:p>
        </w:tc>
        <w:tc>
          <w:tcPr>
            <w:tcW w:w="105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347" w:type="pct"/>
            <w:shd w:val="clear" w:color="auto" w:fill="auto"/>
            <w:vAlign w:val="center"/>
          </w:tcPr>
          <w:p>
            <w:pPr>
              <w:pStyle w:val="Text1"/>
              <w:spacing w:beforeLines="20" w:before="48" w:afterLines="20" w:after="48"/>
              <w:ind w:left="0"/>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έμμεση έρευνα)</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92" w:type="pct"/>
            <w:tcBorders>
              <w:bottom w:val="double" w:sz="4" w:space="0" w:color="auto"/>
            </w:tcBorders>
            <w:vAlign w:val="center"/>
          </w:tcPr>
          <w:p>
            <w:pPr>
              <w:spacing w:beforeLines="20" w:before="48" w:afterLines="20" w:after="48"/>
              <w:jc w:val="center"/>
              <w:rPr>
                <w:noProof/>
                <w:sz w:val="16"/>
                <w:szCs w:val="16"/>
              </w:rPr>
            </w:pPr>
          </w:p>
        </w:tc>
        <w:tc>
          <w:tcPr>
            <w:tcW w:w="511" w:type="pct"/>
            <w:tcBorders>
              <w:bottom w:val="double" w:sz="4" w:space="0" w:color="auto"/>
            </w:tcBorders>
            <w:vAlign w:val="center"/>
          </w:tcPr>
          <w:p>
            <w:pPr>
              <w:spacing w:beforeLines="20" w:before="48" w:afterLines="20" w:after="48"/>
              <w:jc w:val="center"/>
              <w:rPr>
                <w:noProof/>
                <w:sz w:val="16"/>
                <w:szCs w:val="16"/>
              </w:rPr>
            </w:pPr>
          </w:p>
        </w:tc>
        <w:tc>
          <w:tcPr>
            <w:tcW w:w="601" w:type="pct"/>
            <w:tcBorders>
              <w:bottom w:val="double" w:sz="4" w:space="0" w:color="auto"/>
            </w:tcBorders>
            <w:vAlign w:val="center"/>
          </w:tcPr>
          <w:p>
            <w:pPr>
              <w:spacing w:beforeLines="20" w:before="48" w:afterLines="20" w:after="48"/>
              <w:jc w:val="center"/>
              <w:rPr>
                <w:noProof/>
                <w:sz w:val="16"/>
                <w:szCs w:val="16"/>
              </w:rPr>
            </w:pPr>
          </w:p>
        </w:tc>
      </w:tr>
      <w:tr>
        <w:trPr>
          <w:trHeight w:val="289"/>
          <w:jc w:val="center"/>
        </w:trPr>
        <w:tc>
          <w:tcPr>
            <w:tcW w:w="207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4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4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5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92" w:type="pct"/>
            <w:tcBorders>
              <w:top w:val="double" w:sz="4" w:space="0" w:color="auto"/>
            </w:tcBorders>
            <w:vAlign w:val="center"/>
          </w:tcPr>
          <w:p>
            <w:pPr>
              <w:spacing w:beforeLines="20" w:before="48" w:afterLines="20" w:after="48"/>
              <w:jc w:val="center"/>
              <w:rPr>
                <w:b/>
                <w:noProof/>
                <w:sz w:val="16"/>
                <w:szCs w:val="16"/>
              </w:rPr>
            </w:pPr>
            <w:r>
              <w:rPr>
                <w:b/>
                <w:noProof/>
                <w:sz w:val="16"/>
                <w:szCs w:val="16"/>
              </w:rPr>
              <w:t>8,8</w:t>
            </w:r>
          </w:p>
        </w:tc>
        <w:tc>
          <w:tcPr>
            <w:tcW w:w="511" w:type="pct"/>
            <w:tcBorders>
              <w:top w:val="double" w:sz="4" w:space="0" w:color="auto"/>
            </w:tcBorders>
            <w:vAlign w:val="center"/>
          </w:tcPr>
          <w:p>
            <w:pPr>
              <w:spacing w:beforeLines="20" w:before="48" w:afterLines="20" w:after="48"/>
              <w:jc w:val="center"/>
              <w:rPr>
                <w:b/>
                <w:noProof/>
                <w:sz w:val="16"/>
                <w:szCs w:val="16"/>
              </w:rPr>
            </w:pPr>
            <w:r>
              <w:rPr>
                <w:b/>
                <w:noProof/>
                <w:sz w:val="16"/>
                <w:szCs w:val="16"/>
              </w:rPr>
              <w:t>8,8</w:t>
            </w:r>
          </w:p>
        </w:tc>
        <w:tc>
          <w:tcPr>
            <w:tcW w:w="601" w:type="pct"/>
            <w:tcBorders>
              <w:top w:val="double" w:sz="4" w:space="0" w:color="auto"/>
            </w:tcBorders>
            <w:vAlign w:val="center"/>
          </w:tcPr>
          <w:p>
            <w:pPr>
              <w:spacing w:beforeLines="20" w:before="48" w:afterLines="20" w:after="48"/>
              <w:jc w:val="center"/>
              <w:rPr>
                <w:b/>
                <w:noProof/>
                <w:sz w:val="16"/>
                <w:szCs w:val="16"/>
              </w:rPr>
            </w:pPr>
            <w:r>
              <w:rPr>
                <w:b/>
                <w:noProof/>
                <w:sz w:val="16"/>
                <w:szCs w:val="16"/>
              </w:rPr>
              <w:t>8,8/7,5</w:t>
            </w:r>
            <w:r>
              <w:rPr>
                <w:rStyle w:val="FootnoteReference"/>
                <w:b/>
                <w:noProof/>
                <w:sz w:val="16"/>
                <w:szCs w:val="16"/>
              </w:rPr>
              <w:footnoteReference w:id="76"/>
            </w:r>
          </w:p>
        </w:tc>
      </w:tr>
    </w:tbl>
    <w:p>
      <w:pPr>
        <w:pStyle w:val="Text1"/>
        <w:spacing w:before="60" w:after="60"/>
        <w:ind w:left="851"/>
        <w:rPr>
          <w:noProof/>
          <w:sz w:val="18"/>
          <w:szCs w:val="18"/>
        </w:rPr>
      </w:pPr>
      <w:r>
        <w:rPr>
          <w:b/>
          <w:noProof/>
          <w:sz w:val="18"/>
          <w:szCs w:val="18"/>
        </w:rPr>
        <w:t>XX</w:t>
      </w:r>
      <w:r>
        <w:rPr>
          <w:noProof/>
          <w:sz w:val="18"/>
          <w:szCs w:val="18"/>
        </w:rPr>
        <w:t xml:space="preserve"> είναι ο σχετικός τομέας πολιτικής ή ο σχετικός τίτλος του προϋπολογισμού.</w:t>
      </w:r>
    </w:p>
    <w:p>
      <w:pPr>
        <w:pStyle w:val="Text1"/>
        <w:rPr>
          <w:noProof/>
          <w:sz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vAlign w:val="center"/>
          </w:tcPr>
          <w:p>
            <w:pPr>
              <w:rPr>
                <w:noProof/>
                <w:sz w:val="20"/>
              </w:rPr>
            </w:pPr>
            <w:r>
              <w:rPr>
                <w:noProof/>
                <w:sz w:val="20"/>
              </w:rPr>
              <w:t>5 μόνιμοι υπάλληλοι AD στην περίπτωση της ΓΔ TAXUD</w:t>
            </w:r>
          </w:p>
        </w:tc>
      </w:tr>
      <w:tr>
        <w:tc>
          <w:tcPr>
            <w:tcW w:w="3240" w:type="dxa"/>
          </w:tcPr>
          <w:p>
            <w:pPr>
              <w:spacing w:before="60" w:after="60"/>
              <w:rPr>
                <w:noProof/>
                <w:sz w:val="20"/>
              </w:rPr>
            </w:pPr>
            <w:r>
              <w:rPr>
                <w:noProof/>
                <w:sz w:val="20"/>
              </w:rPr>
              <w:t>Εξωτερικό προσωπικό</w:t>
            </w:r>
          </w:p>
        </w:tc>
        <w:tc>
          <w:tcPr>
            <w:tcW w:w="7200" w:type="dxa"/>
            <w:vAlign w:val="center"/>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Συμβατότητα με το ισχύον πολυετές δημοσιονομικό πλαίσιο </w:t>
      </w:r>
    </w:p>
    <w:p>
      <w:pPr>
        <w:pStyle w:val="ListDash1"/>
        <w:rPr>
          <w:noProof/>
        </w:rPr>
      </w:pPr>
      <w:r>
        <w:rPr>
          <w:noProof/>
        </w:rPr>
        <w:sym w:font="Wingdings" w:char="F0A8"/>
      </w:r>
      <w:r>
        <w:rPr>
          <w:noProof/>
        </w:rPr>
        <w:tab/>
        <w:t>Η πρόταση/πρωτοβουλία είναι συμβατή με το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Η πρόταση/πρωτοβουλία απαιτεί τη χρησιμοποίηση του μηχανισμού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Συμμετοχή τρίτων στη χρηματοδότηση </w:t>
      </w:r>
    </w:p>
    <w:p>
      <w:pPr>
        <w:pStyle w:val="ListDash1"/>
        <w:rPr>
          <w:noProof/>
        </w:rPr>
      </w:pPr>
      <w:r>
        <w:rPr>
          <w:noProof/>
        </w:rPr>
        <w:sym w:font="Wingdings" w:char="F0FD"/>
      </w:r>
      <w:r>
        <w:rPr>
          <w:noProof/>
        </w:rPr>
        <w:t xml:space="preserve">Η πρόταση/πρωτοβουλία δεν προβλέπει συγχρηματοδότηση από τρίτους. </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3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Εκτιμώμενες επιπτώσεις στα έσοδα </w:t>
      </w:r>
    </w:p>
    <w:p>
      <w:pPr>
        <w:pStyle w:val="ListDash1"/>
        <w:rPr>
          <w:noProof/>
        </w:rPr>
      </w:pPr>
      <w:r>
        <w:rPr>
          <w:noProof/>
        </w:rPr>
        <w:sym w:font="Wingdings" w:char="F0FD"/>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λοιπά έσοδα </w:t>
      </w:r>
    </w:p>
    <w:p>
      <w:pPr>
        <w:jc w:val="right"/>
        <w:rPr>
          <w:i/>
          <w:noProof/>
          <w:sz w:val="20"/>
        </w:rPr>
      </w:pPr>
      <w:r>
        <w:rPr>
          <w:noProof/>
        </w:rPr>
        <w:t>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7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vAlign w:val="center"/>
          </w:tcPr>
          <w:p>
            <w:pPr>
              <w:spacing w:beforeLines="40" w:before="96" w:afterLines="40" w:after="96"/>
              <w:jc w:val="center"/>
              <w:rPr>
                <w:i/>
                <w:noProof/>
                <w:sz w:val="18"/>
              </w:rPr>
            </w:pPr>
          </w:p>
        </w:tc>
        <w:tc>
          <w:tcPr>
            <w:tcW w:w="1080" w:type="dxa"/>
            <w:vAlign w:val="center"/>
          </w:tcPr>
          <w:p>
            <w:pPr>
              <w:spacing w:beforeLines="40" w:before="96" w:afterLines="40" w:after="96"/>
              <w:jc w:val="center"/>
              <w:rPr>
                <w:noProof/>
                <w:sz w:val="18"/>
              </w:rPr>
            </w:pPr>
          </w:p>
        </w:tc>
        <w:tc>
          <w:tcPr>
            <w:tcW w:w="900" w:type="dxa"/>
            <w:vAlign w:val="center"/>
          </w:tcPr>
          <w:p>
            <w:pPr>
              <w:spacing w:beforeLines="40" w:before="96" w:afterLines="40" w:after="96"/>
              <w:jc w:val="center"/>
              <w:rPr>
                <w:noProof/>
                <w:sz w:val="18"/>
              </w:rPr>
            </w:pPr>
          </w:p>
        </w:tc>
        <w:tc>
          <w:tcPr>
            <w:tcW w:w="90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r>
    </w:tbl>
    <w:p>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60"/>
        <w:ind w:left="284" w:hanging="284"/>
      </w:pPr>
      <w:r>
        <w:rPr>
          <w:rStyle w:val="FootnoteReference"/>
        </w:rPr>
        <w:footnoteRef/>
      </w:r>
      <w:r>
        <w:tab/>
        <w:t>Κανονισμός (ΕΕ) αριθ. 952/2013 του Ευρωπαϊκού Κοινοβουλίου και του Συμβουλίου, της 9ης Οκτωβρίου 2013, για τη θέσπιση του ενωσιακού τελωνειακού κώδικα (ΕΕ L 269 της 10.10.2013, σ. 1).</w:t>
      </w:r>
    </w:p>
  </w:footnote>
  <w:footnote w:id="3">
    <w:p>
      <w:pPr>
        <w:pStyle w:val="FootnoteText"/>
        <w:spacing w:after="60"/>
        <w:ind w:left="284" w:hanging="284"/>
      </w:pPr>
      <w:r>
        <w:rPr>
          <w:rStyle w:val="FootnoteReference"/>
        </w:rPr>
        <w:footnoteRef/>
      </w:r>
      <w:r>
        <w:tab/>
        <w:t>Ο αριθμός αυτός αποτυπώνει τον επίσημο κατάλογο απαγορεύσεων και περιορισμών. Στην πραγματικότητα, ο αριθμός των κανόνων προς επιβολή στα εξωτερικά σύνορα της ΕΕ είναι ακόμη μεγαλύτερος. Επί παραδείγματι, οι απαιτήσεις περί εποπτείας της αγοράς και συμμόρφωσης των προϊόντων που προβλέπονται στον κανονισμό (ΕΚ) αριθ. 765/2008 [ο οποίος πρόκειται να αντικατασταθεί το 2021 από τον κανονισμό (ΕΕ) 2019/1020] είναι μόλις ένα από τα 60 επιμέρους στοιχεία απαγορεύσεων και περιορισμών, τα οποία όμως αφορούν την επιβολή της εφαρμογής άνω των νομοθετικών πράξεων της ΕΕ για τη ρύθμιση προϊόντων.</w:t>
      </w:r>
    </w:p>
  </w:footnote>
  <w:footnote w:id="4">
    <w:p>
      <w:pPr>
        <w:pStyle w:val="FootnoteText"/>
        <w:spacing w:after="60"/>
        <w:ind w:left="284" w:hanging="284"/>
      </w:pPr>
      <w:r>
        <w:rPr>
          <w:rStyle w:val="FootnoteReference"/>
        </w:rPr>
        <w:footnoteRef/>
      </w:r>
      <w:r>
        <w:tab/>
        <w:t>Η συμμόρφωση των προϊόντων δεν καλύπτει μόνο τη νομοθεσία εναρμόνισης για τα προϊόντα, αλλά και άλλες απαιτήσεις όπως η ασφάλεια των προϊόντων και η προσβασιμότητα για άτομα με αναπηρία.</w:t>
      </w:r>
    </w:p>
  </w:footnote>
  <w:footnote w:id="5">
    <w:p>
      <w:pPr>
        <w:pStyle w:val="FootnoteText"/>
        <w:spacing w:after="60"/>
        <w:ind w:left="284" w:hanging="284"/>
      </w:pPr>
      <w:r>
        <w:rPr>
          <w:rStyle w:val="FootnoteReference"/>
        </w:rPr>
        <w:footnoteRef/>
      </w:r>
      <w:r>
        <w:tab/>
        <w:t>Απόφαση αριθ. 70/2008/ΕΚ του Ευρωπαϊκού Κοινοβουλίου και του Συμβουλίου, της 15ης Ιανουαρίου 2008, για ένα περιβάλλον χωρίς χαρτί για τα τελωνεία και τις εμπορικές επιχειρήσεις (ΕΕ L 23 της 26.1.2008, σ. 21).</w:t>
      </w:r>
    </w:p>
  </w:footnote>
  <w:footnote w:id="6">
    <w:p>
      <w:pPr>
        <w:pStyle w:val="FootnoteText"/>
        <w:spacing w:after="60"/>
        <w:ind w:left="284" w:hanging="284"/>
        <w:rPr>
          <w:lang w:val="en-US"/>
        </w:rPr>
      </w:pPr>
      <w:r>
        <w:rPr>
          <w:rStyle w:val="FootnoteReference"/>
        </w:rPr>
        <w:footnoteRef/>
      </w:r>
      <w:r>
        <w:rPr>
          <w:lang w:val="en-US"/>
        </w:rPr>
        <w:tab/>
        <w:t>ST-16507/14.</w:t>
      </w:r>
    </w:p>
  </w:footnote>
  <w:footnote w:id="7">
    <w:p>
      <w:pPr>
        <w:pStyle w:val="FootnoteText"/>
        <w:spacing w:after="60"/>
        <w:ind w:left="284" w:hanging="284"/>
        <w:rPr>
          <w:lang w:val="en-US"/>
        </w:rPr>
      </w:pPr>
      <w:r>
        <w:rPr>
          <w:rStyle w:val="FootnoteReference"/>
        </w:rPr>
        <w:footnoteRef/>
      </w:r>
      <w:r>
        <w:rPr>
          <w:lang w:val="en-US"/>
        </w:rPr>
        <w:tab/>
        <w:t>COM(2016) 813 final.</w:t>
      </w:r>
    </w:p>
  </w:footnote>
  <w:footnote w:id="8">
    <w:p>
      <w:pPr>
        <w:pStyle w:val="FootnoteText"/>
        <w:spacing w:after="60"/>
        <w:ind w:left="284" w:hanging="284"/>
        <w:rPr>
          <w:lang w:val="en-US"/>
        </w:rPr>
      </w:pPr>
      <w:r>
        <w:rPr>
          <w:rStyle w:val="FootnoteReference"/>
        </w:rPr>
        <w:footnoteRef/>
      </w:r>
      <w:r>
        <w:rPr>
          <w:lang w:val="en-US"/>
        </w:rPr>
        <w:tab/>
        <w:t>7585/1/17 REV 1.</w:t>
      </w:r>
    </w:p>
  </w:footnote>
  <w:footnote w:id="9">
    <w:p>
      <w:pPr>
        <w:pStyle w:val="FootnoteText"/>
        <w:spacing w:after="60"/>
        <w:ind w:left="284" w:hanging="284"/>
        <w:rPr>
          <w:lang w:val="en-US"/>
        </w:rPr>
      </w:pPr>
      <w:r>
        <w:rPr>
          <w:rStyle w:val="FootnoteReference"/>
        </w:rPr>
        <w:footnoteRef/>
      </w:r>
      <w:r>
        <w:rPr>
          <w:lang w:val="en-US"/>
        </w:rPr>
        <w:tab/>
        <w:t>COM(2018) 524 final.</w:t>
      </w:r>
    </w:p>
  </w:footnote>
  <w:footnote w:id="10">
    <w:p>
      <w:pPr>
        <w:pStyle w:val="FootnoteText"/>
        <w:spacing w:after="60"/>
        <w:ind w:left="284" w:hanging="284"/>
      </w:pPr>
      <w:r>
        <w:rPr>
          <w:rStyle w:val="FootnoteReference"/>
        </w:rPr>
        <w:footnoteRef/>
      </w:r>
      <w:r>
        <w:tab/>
        <w:t>Η δραστηριότητα παρακολούθησης και διαχείρισης της ποσότητας εμπορευμάτων που εγκρίνεται από τις αρμόδιες αρχές-εταίρους σύμφωνα με την ενωσιακή μη τελωνειακή νομοθεσία, βάσει των πληροφοριών που παρέχουν οι τελωνειακές αρχές σχετικά με τον τελωνισμό των σχετικών αποστολών.</w:t>
      </w:r>
    </w:p>
  </w:footnote>
  <w:footnote w:id="11">
    <w:p>
      <w:pPr>
        <w:pStyle w:val="FootnoteText"/>
        <w:spacing w:after="60"/>
        <w:ind w:left="284" w:hanging="284"/>
      </w:pPr>
      <w:r>
        <w:rPr>
          <w:rStyle w:val="FootnoteReference"/>
        </w:rPr>
        <w:footnoteRef/>
      </w:r>
      <w:r>
        <w:tab/>
        <w:t>https://ec.europa.eu/commission/sites/beta-political/files/political-guidelines-next-commission_el.pdf</w:t>
      </w:r>
    </w:p>
  </w:footnote>
  <w:footnote w:id="12">
    <w:p>
      <w:pPr>
        <w:pStyle w:val="FootnoteText"/>
        <w:spacing w:after="60"/>
        <w:ind w:left="284" w:hanging="284"/>
      </w:pPr>
      <w:r>
        <w:rPr>
          <w:rStyle w:val="FootnoteReference"/>
        </w:rPr>
        <w:footnoteRef/>
      </w:r>
      <w:r>
        <w:tab/>
        <w:t>COM(2020) 581 final.</w:t>
      </w:r>
    </w:p>
  </w:footnote>
  <w:footnote w:id="13">
    <w:p>
      <w:pPr>
        <w:pStyle w:val="FootnoteText"/>
        <w:spacing w:after="60"/>
        <w:ind w:left="284" w:hanging="284"/>
      </w:pPr>
      <w:r>
        <w:rPr>
          <w:rStyle w:val="FootnoteReference"/>
        </w:rPr>
        <w:footnoteRef/>
      </w:r>
      <w:r>
        <w:tab/>
        <w:t>SWD(2020) 213 final.</w:t>
      </w:r>
    </w:p>
  </w:footnote>
  <w:footnote w:id="14">
    <w:p>
      <w:pPr>
        <w:spacing w:before="0" w:after="60"/>
        <w:ind w:left="284" w:hanging="284"/>
      </w:pPr>
      <w:r>
        <w:rPr>
          <w:rStyle w:val="FootnoteReference"/>
        </w:rPr>
        <w:footnoteRef/>
      </w:r>
      <w:r>
        <w:tab/>
      </w:r>
      <w:r>
        <w:rPr>
          <w:sz w:val="20"/>
          <w:szCs w:val="20"/>
        </w:rPr>
        <w:t>Με βάση το ευρωπαϊκό πλαίσιο διαλειτουργικότητας, η διαλειτουργικότητα νοείται ως «η ικανότητα των οργανισμών να αλληλεπιδρούν προς την κατεύθυνση της επίτευξης αμοιβαίως ωφέλιμων και συμφωνημένων κοινών στόχων, οι οποίοι αφορούν την ανταλλαγή πληροφοριών και γνώσεων μεταξύ των εν λόγω οργανισμών, δια μέσου των επιχειρηματικών διαδικασιών που υποστηρίζουν, μέσω της ανταλλαγής δεδομένων μεταξύ των οικείων συστημάτων ΤΠΕ.»</w:t>
      </w:r>
      <w:r>
        <w:t xml:space="preserve"> </w:t>
      </w:r>
      <w:hyperlink r:id="rId1" w:history="1">
        <w:r>
          <w:rPr>
            <w:rStyle w:val="Hyperlink"/>
            <w:sz w:val="20"/>
            <w:szCs w:val="20"/>
          </w:rPr>
          <w:t>https://ec.europa.eu/isa2/sites/isa/files/isa_annex_ii_eif_en.pdf</w:t>
        </w:r>
      </w:hyperlink>
    </w:p>
  </w:footnote>
  <w:footnote w:id="15">
    <w:p>
      <w:pPr>
        <w:pStyle w:val="FootnoteText"/>
        <w:spacing w:after="60"/>
        <w:ind w:left="284" w:hanging="284"/>
      </w:pPr>
      <w:r>
        <w:rPr>
          <w:rStyle w:val="FootnoteReference"/>
        </w:rPr>
        <w:footnoteRef/>
      </w:r>
      <w:r>
        <w:tab/>
        <w:t>Εκτελεστική απόφαση (ΕΕ) 2019/2151 της Επιτροπής, της 13ης Δεκεμβρίου 2019, για την εκπόνηση του προγράμματος εργασιών σχετικά με την ανάπτυξη και εγκατάσταση των ηλεκτρονικών συστημάτων που προβλέπεται στον ενωσιακό τελωνειακό κώδικα C/2019/8803.</w:t>
      </w:r>
    </w:p>
  </w:footnote>
  <w:footnote w:id="16">
    <w:p>
      <w:pPr>
        <w:pStyle w:val="FootnoteText"/>
        <w:tabs>
          <w:tab w:val="left" w:pos="720"/>
          <w:tab w:val="left" w:pos="1440"/>
          <w:tab w:val="left" w:pos="2160"/>
          <w:tab w:val="left" w:pos="3005"/>
        </w:tabs>
        <w:spacing w:after="60"/>
        <w:ind w:left="284" w:hanging="284"/>
      </w:pPr>
      <w:r>
        <w:rPr>
          <w:rStyle w:val="FootnoteReference"/>
        </w:rPr>
        <w:footnoteRef/>
      </w:r>
      <w:r>
        <w:tab/>
        <w:t>COM/2016/0179 final.</w:t>
      </w:r>
      <w:r>
        <w:tab/>
      </w:r>
    </w:p>
  </w:footnote>
  <w:footnote w:id="17">
    <w:p>
      <w:pPr>
        <w:pStyle w:val="FootnoteText"/>
        <w:spacing w:after="60"/>
        <w:ind w:left="284" w:hanging="284"/>
      </w:pPr>
      <w:r>
        <w:rPr>
          <w:rStyle w:val="FootnoteReference"/>
        </w:rPr>
        <w:footnoteRef/>
      </w:r>
      <w:r>
        <w:tab/>
        <w:t>https://ec.europa.eu/digital-single-market/en/news/ministerial-declaration-egovernment-tallinn-declaration</w:t>
      </w:r>
    </w:p>
  </w:footnote>
  <w:footnote w:id="18">
    <w:p>
      <w:pPr>
        <w:pStyle w:val="FootnoteText"/>
        <w:spacing w:after="60"/>
        <w:ind w:left="284" w:hanging="284"/>
      </w:pPr>
      <w:r>
        <w:rPr>
          <w:rStyle w:val="FootnoteReference"/>
        </w:rPr>
        <w:footnoteRef/>
      </w:r>
      <w:r>
        <w:tab/>
        <w:t xml:space="preserve">Η αρχή «μόνον άπαξ» συνεπάγεται ότι οι πολίτες και οι επιχειρήσεις, κατά την επαφή τους με τις δημόσιες διοικήσεις, παρέχουν τα διάφορα δεδομένα μόνο μία φορά, ενώ οι φορείς της δημόσιας διοίκησης λαμβάνουν μέτρα για την εσωτερική ανταλλαγή και επαναχρησιμοποίηση των δεδομένων αυτών, ακόμη και σε διασυνοριακό επίπεδο, τηρώντας πάντα τους κανονισμούς για την προστασία των δεδομένων και άλλους περιορισμούς.      </w:t>
      </w:r>
    </w:p>
  </w:footnote>
  <w:footnote w:id="19">
    <w:p>
      <w:pPr>
        <w:pStyle w:val="NormalWeb"/>
        <w:spacing w:before="0" w:beforeAutospacing="0" w:after="75" w:afterAutospacing="0"/>
        <w:ind w:left="284" w:hanging="284"/>
        <w:jc w:val="both"/>
        <w:rPr>
          <w:color w:val="444444"/>
        </w:rPr>
      </w:pPr>
      <w:r>
        <w:rPr>
          <w:rStyle w:val="FootnoteReference"/>
        </w:rPr>
        <w:footnoteRef/>
      </w:r>
      <w:r>
        <w:tab/>
      </w:r>
      <w:r>
        <w:rPr>
          <w:sz w:val="20"/>
          <w:szCs w:val="20"/>
        </w:rPr>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w:t>
      </w:r>
    </w:p>
  </w:footnote>
  <w:footnote w:id="20">
    <w:p>
      <w:pPr>
        <w:pStyle w:val="FootnoteText"/>
      </w:pPr>
      <w:r>
        <w:rPr>
          <w:rStyle w:val="FootnoteReference"/>
        </w:rPr>
        <w:footnoteRef/>
      </w:r>
      <w:r>
        <w:tab/>
        <w:t>COM(2020) 67 final.</w:t>
      </w:r>
    </w:p>
  </w:footnote>
  <w:footnote w:id="21">
    <w:p>
      <w:pPr>
        <w:pStyle w:val="FootnoteText"/>
        <w:spacing w:after="60"/>
        <w:ind w:left="284" w:hanging="284"/>
      </w:pPr>
      <w:r>
        <w:rPr>
          <w:rStyle w:val="FootnoteReference"/>
        </w:rPr>
        <w:footnoteRef/>
      </w:r>
      <w:r>
        <w:tab/>
        <w:t>Εκτελεστικός κανονισμός (ΕΕ) 2019/1715 της Επιτροπής, της 30ής Σεπτεμβρίου 2019, για τη θέσπιση κανόνων σχετικά με τη λειτουργία του συστήματος διαχείρισης πληροφοριών για τους επίσημους ελέγχους και των συστατικών μερών του συστήματος αυτού (κανονισμός IMSOC) (ΕΕ L 261 της 14.10.2019, σ. 37).</w:t>
      </w:r>
    </w:p>
  </w:footnote>
  <w:footnote w:id="22">
    <w:p>
      <w:pPr>
        <w:pStyle w:val="FootnoteText"/>
        <w:spacing w:after="60"/>
        <w:ind w:left="284" w:hanging="284"/>
      </w:pPr>
      <w:r>
        <w:rPr>
          <w:rStyle w:val="FootnoteReference"/>
        </w:rPr>
        <w:footnoteRef/>
      </w:r>
      <w:r>
        <w:tab/>
        <w:t>Κανονισμός (ΕΕ) 2019/2013 του Ευρωπαϊκού Κοινοβουλίου και του Συμβουλίου για τη θέσπιση του ενωσιακού τελωνειακού κώδικα (ΕΕ L 169 της 25.6.2019, σ. 1).</w:t>
      </w:r>
    </w:p>
  </w:footnote>
  <w:footnote w:id="23">
    <w:p>
      <w:pPr>
        <w:pStyle w:val="FootnoteText"/>
        <w:spacing w:after="60"/>
        <w:ind w:left="284" w:hanging="284"/>
      </w:pPr>
      <w:r>
        <w:rPr>
          <w:rStyle w:val="FootnoteReference"/>
        </w:rPr>
        <w:footnoteRef/>
      </w:r>
      <w:r>
        <w:tab/>
        <w:t>Ενοποιημένη έκδοση της Συνθήκης για τη λειτουργία της Ευρωπαϊκής Ένωσης (ΕΕ C 326 της 26.10.2012, σ. 47).</w:t>
      </w:r>
    </w:p>
  </w:footnote>
  <w:footnote w:id="24">
    <w:p>
      <w:pPr>
        <w:pStyle w:val="FootnoteText"/>
        <w:spacing w:after="60"/>
        <w:ind w:left="284" w:hanging="284"/>
      </w:pPr>
      <w:r>
        <w:rPr>
          <w:rStyle w:val="FootnoteReference"/>
        </w:rPr>
        <w:footnoteRef/>
      </w:r>
      <w:r>
        <w:tab/>
        <w:t>Με την εξαίρεση της ιρλανδικής γλώσσας, λόγω περιορισμών ως προς τους πόρους.</w:t>
      </w:r>
    </w:p>
  </w:footnote>
  <w:footnote w:id="25">
    <w:p>
      <w:pPr>
        <w:pStyle w:val="FootnoteText"/>
        <w:spacing w:after="60"/>
        <w:ind w:left="284" w:hanging="284"/>
      </w:pPr>
      <w:r>
        <w:rPr>
          <w:rStyle w:val="FootnoteReference"/>
        </w:rPr>
        <w:footnoteRef/>
      </w:r>
      <w:r>
        <w:tab/>
        <w:t>https://ec.europa.eu/info/law/better-regulation/have-your-say/initiatives/1739-EU-Single-Window-environment-for-customs</w:t>
      </w:r>
    </w:p>
  </w:footnote>
  <w:footnote w:id="26">
    <w:p>
      <w:pPr>
        <w:pStyle w:val="FootnoteText"/>
        <w:spacing w:after="60"/>
        <w:ind w:left="284" w:hanging="284"/>
      </w:pPr>
      <w:r>
        <w:rPr>
          <w:rStyle w:val="FootnoteReference"/>
        </w:rPr>
        <w:footnoteRef/>
      </w:r>
      <w:r>
        <w:tab/>
        <w:t>SWD(2020) xxx final.</w:t>
      </w:r>
    </w:p>
  </w:footnote>
  <w:footnote w:id="27">
    <w:p>
      <w:pPr>
        <w:pStyle w:val="FootnoteText"/>
        <w:spacing w:after="60"/>
        <w:ind w:left="284" w:hanging="284"/>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28">
    <w:p>
      <w:pPr>
        <w:pStyle w:val="FootnoteText"/>
        <w:spacing w:after="60"/>
        <w:ind w:left="284" w:hanging="284"/>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29">
    <w:p>
      <w:pPr>
        <w:pStyle w:val="FootnoteText"/>
        <w:spacing w:after="60"/>
        <w:ind w:left="284" w:hanging="284"/>
      </w:pPr>
      <w:r>
        <w:rPr>
          <w:rStyle w:val="FootnoteReference"/>
        </w:rPr>
        <w:footnoteRef/>
      </w:r>
      <w:r>
        <w:tab/>
        <w:t>Ειδικότερα, η ενιαία θυρίδα EU CSW-CERTEX θα πρέπει αρχικά να καλύπτει υγειονομικές και φυτοϋγειονομικές απαιτήσεις, κανόνες για τη ρύθμιση των εισαγωγών βιολογικών προϊόντων, περιβαλλοντικές απαιτήσεις σε σχέση με φθοριούχα αέρια του θερμοκηπίου και με ουσίες που καταστρέφουν τη στιβάδα του όζοντος, καθώς και διατυπώσεις που σχετίζονται με την εισαγωγή πολιτιστικών αγαθών.</w:t>
      </w:r>
    </w:p>
  </w:footnote>
  <w:footnote w:id="30">
    <w:p>
      <w:pPr>
        <w:pStyle w:val="FootnoteText"/>
        <w:spacing w:after="60"/>
        <w:ind w:left="284" w:hanging="284"/>
      </w:pPr>
      <w:r>
        <w:rPr>
          <w:rStyle w:val="FootnoteReference"/>
        </w:rPr>
        <w:footnoteRef/>
      </w:r>
      <w:r>
        <w:tab/>
        <w:t>ΕΕ C [...] της […], σ. […].</w:t>
      </w:r>
    </w:p>
  </w:footnote>
  <w:footnote w:id="31">
    <w:p>
      <w:pPr>
        <w:pStyle w:val="FootnoteText"/>
        <w:spacing w:after="60"/>
        <w:ind w:left="284" w:hanging="284"/>
      </w:pPr>
      <w:r>
        <w:rPr>
          <w:rStyle w:val="FootnoteReference"/>
        </w:rPr>
        <w:footnoteRef/>
      </w:r>
      <w:r>
        <w:tab/>
        <w:t>Κανονισμός (ΕΕ) αριθ. 952/2013 του Ευρωπαϊκού Κοινοβουλίου και του Συμβουλίου, της 9ης Οκτωβρίου 2013, για τη θέσπιση του ενωσιακού τελωνειακού κώδικα (ΕΕ L 269 της 10.10.2013, σ. 1).</w:t>
      </w:r>
    </w:p>
  </w:footnote>
  <w:footnote w:id="32">
    <w:p>
      <w:pPr>
        <w:pStyle w:val="FootnoteText"/>
        <w:spacing w:after="60"/>
        <w:ind w:left="284" w:hanging="284"/>
      </w:pPr>
      <w:r>
        <w:rPr>
          <w:rStyle w:val="FootnoteReference"/>
        </w:rPr>
        <w:footnoteRef/>
      </w:r>
      <w:r>
        <w:tab/>
        <w:t>Απόφαση αριθ. 70/2008/ΕΚ του Ευρωπαϊκού Κοινοβουλίου και του Συμβουλίου, της 15ης Ιανουαρίου 2008, για ένα περιβάλλον χωρίς χαρτί για τα τελωνεία και τις εμπορικές επιχειρήσεις (ΕΕ L 23 της 26.1.2008, σ. 21).</w:t>
      </w:r>
    </w:p>
  </w:footnote>
  <w:footnote w:id="33">
    <w:p>
      <w:pPr>
        <w:pStyle w:val="FootnoteText"/>
        <w:spacing w:after="60"/>
        <w:ind w:left="284" w:hanging="284"/>
      </w:pPr>
      <w:r>
        <w:rPr>
          <w:rStyle w:val="FootnoteReference"/>
        </w:rPr>
        <w:footnoteRef/>
      </w:r>
      <w:r>
        <w:tab/>
        <w:t xml:space="preserve">Η τελική έκθεση εκπονήθηκε από τις εταιρείες Coffey International Development, Europe Economic Research Ltd και Ramboll Management Consulting κατόπιν αιτήματος της Επιτροπής. </w:t>
      </w:r>
    </w:p>
  </w:footnote>
  <w:footnote w:id="34">
    <w:p>
      <w:pPr>
        <w:pStyle w:val="FootnoteText"/>
        <w:spacing w:after="60"/>
        <w:ind w:left="284" w:hanging="284"/>
      </w:pPr>
      <w:r>
        <w:rPr>
          <w:rStyle w:val="FootnoteReference"/>
        </w:rPr>
        <w:footnoteRef/>
      </w:r>
      <w:r>
        <w:tab/>
        <w:t>ST16507/14.</w:t>
      </w:r>
    </w:p>
  </w:footnote>
  <w:footnote w:id="35">
    <w:p>
      <w:pPr>
        <w:pStyle w:val="FootnoteText"/>
        <w:spacing w:after="60"/>
        <w:ind w:left="284" w:hanging="284"/>
      </w:pPr>
      <w:r>
        <w:rPr>
          <w:rStyle w:val="FootnoteReference"/>
        </w:rPr>
        <w:footnoteRef/>
      </w:r>
      <w:r>
        <w:tab/>
        <w:t>Παράρτημα των συμπερασμάτων του Συμβουλίου της 17ης Δεκεμβρίου 2014.</w:t>
      </w:r>
    </w:p>
  </w:footnote>
  <w:footnote w:id="36">
    <w:p>
      <w:pPr>
        <w:pStyle w:val="FootnoteText"/>
        <w:spacing w:after="60"/>
        <w:ind w:left="284" w:hanging="284"/>
      </w:pPr>
      <w:r>
        <w:rPr>
          <w:rStyle w:val="FootnoteReference"/>
        </w:rPr>
        <w:footnoteRef/>
      </w:r>
      <w:r>
        <w:tab/>
        <w:t>Απόφαση (ΕΕ) 2015/1947 του Συμβουλίου, της 1ης Οκτωβρίου 2015, σχετικά με τη σύναψη, εξ ονόματος της Ευρωπαϊκής Ένωσης, του πρωτοκόλλου για την τροποποίηση της συμφωνίας του Μαρακές για την ίδρυση του Παγκόσμιου Οργανισμού Εμπορίου (ΕΕ L 284 της 30.10.2015, σ. 1).</w:t>
      </w:r>
    </w:p>
  </w:footnote>
  <w:footnote w:id="37">
    <w:p>
      <w:pPr>
        <w:pStyle w:val="FootnoteText"/>
        <w:spacing w:after="60"/>
        <w:ind w:left="284" w:hanging="284"/>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Σχέδιο δράσης της ΕΕ για την ηλεκτρονική διακυβέρνηση 2016-2020 - Επιτάχυνση του ψηφιακού μετασχηματισμού της διακυβέρνησης, COM(2016) 179 final, της 19ης Απριλίου 2016.</w:t>
      </w:r>
    </w:p>
  </w:footnote>
  <w:footnote w:id="38">
    <w:p>
      <w:pPr>
        <w:pStyle w:val="FootnoteText"/>
        <w:ind w:left="284" w:hanging="284"/>
      </w:pPr>
      <w:r>
        <w:rPr>
          <w:rStyle w:val="FootnoteReference"/>
        </w:rPr>
        <w:footnoteRef/>
      </w:r>
      <w:r>
        <w:tab/>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w:t>
      </w:r>
    </w:p>
  </w:footnote>
  <w:footnote w:id="39">
    <w:p>
      <w:pPr>
        <w:autoSpaceDE w:val="0"/>
        <w:autoSpaceDN w:val="0"/>
        <w:spacing w:before="40" w:after="40"/>
        <w:ind w:left="284" w:hanging="284"/>
        <w:rPr>
          <w:sz w:val="20"/>
          <w:szCs w:val="20"/>
        </w:rPr>
      </w:pPr>
      <w:r>
        <w:rPr>
          <w:rStyle w:val="FootnoteReference"/>
        </w:rPr>
        <w:footnoteRef/>
      </w:r>
      <w:r>
        <w:tab/>
      </w:r>
      <w:r>
        <w:rPr>
          <w:sz w:val="20"/>
          <w:szCs w:val="20"/>
        </w:rPr>
        <w:t>Κανονισμός (ΕΕ) 2018/1724 του Ευρωπαϊκού Κοινοβουλίου και του Συμβουλίου, της 2ας Οκτωβρίου 2018, για τη δημιουργία ενιαίας ψηφιακής θύρας με σκοπό την παροχή πρόσβασης σε πληροφορίες, σε διαδικασίες και σε υπηρεσίες υποστήριξης και επίλυσης προβλημάτων και για την τροποποίηση του κανονισμού (ΕΕ) αριθ. 1024/2012 (</w:t>
      </w:r>
      <w:r>
        <w:rPr>
          <w:iCs/>
          <w:sz w:val="20"/>
          <w:szCs w:val="20"/>
        </w:rPr>
        <w:t>ΕΕ L 295 της 21.11.2018, σ. 1)</w:t>
      </w:r>
      <w:r>
        <w:rPr>
          <w:color w:val="000000"/>
          <w:sz w:val="20"/>
          <w:szCs w:val="20"/>
        </w:rPr>
        <w:t>.</w:t>
      </w:r>
      <w:r>
        <w:rPr>
          <w:sz w:val="20"/>
          <w:szCs w:val="20"/>
        </w:rPr>
        <w:t xml:space="preserve"> </w:t>
      </w:r>
    </w:p>
    <w:p>
      <w:pPr>
        <w:pStyle w:val="FootnoteText"/>
      </w:pPr>
    </w:p>
  </w:footnote>
  <w:footnote w:id="40">
    <w:p>
      <w:pPr>
        <w:pStyle w:val="FootnoteText"/>
        <w:spacing w:after="60"/>
        <w:ind w:left="284" w:hanging="284"/>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41">
    <w:p>
      <w:pPr>
        <w:pStyle w:val="FootnoteText"/>
        <w:spacing w:after="60"/>
        <w:ind w:left="284" w:hanging="284"/>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42">
    <w:p>
      <w:pPr>
        <w:pStyle w:val="FootnoteText"/>
        <w:spacing w:after="60"/>
        <w:ind w:left="284" w:hanging="284"/>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για τη βελτίωση του νομοθετικού έργου (ΕΕ L 123 της 12.5.2016, σ. 1).</w:t>
      </w:r>
    </w:p>
  </w:footnote>
  <w:footnote w:id="43">
    <w:p>
      <w:pPr>
        <w:pStyle w:val="FootnoteText"/>
        <w:spacing w:after="60"/>
        <w:ind w:left="284" w:hanging="284"/>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44">
    <w:p>
      <w:pPr>
        <w:pStyle w:val="FootnoteText"/>
        <w:spacing w:after="60"/>
        <w:ind w:left="284" w:hanging="284"/>
        <w:rPr>
          <w:szCs w:val="24"/>
        </w:rPr>
      </w:pPr>
      <w:r>
        <w:rPr>
          <w:rStyle w:val="FootnoteReference"/>
        </w:rPr>
        <w:footnoteRef/>
      </w:r>
      <w:r>
        <w:tab/>
        <w:t>ΔΒΔ: διαχείριση βάσει δραστηριοτήτων· ΠΒΔ: προϋπολογισμός βάσει δραστηριοτήτων.</w:t>
      </w:r>
    </w:p>
  </w:footnote>
  <w:footnote w:id="45">
    <w:p>
      <w:pPr>
        <w:pStyle w:val="FootnoteText"/>
        <w:spacing w:after="60"/>
        <w:ind w:left="284" w:hanging="284"/>
        <w:rPr>
          <w:szCs w:val="24"/>
        </w:rPr>
      </w:pPr>
      <w:r>
        <w:rPr>
          <w:rStyle w:val="FootnoteReference"/>
        </w:rPr>
        <w:footnoteRef/>
      </w:r>
      <w:r>
        <w:tab/>
        <w:t>Όπως αναφέρεται στο άρθρο 54 παράγραφος 2 στοιχεία α) ή β) του δημοσιονομικού κανονισμού.</w:t>
      </w:r>
    </w:p>
  </w:footnote>
  <w:footnote w:id="46">
    <w:p>
      <w:pPr>
        <w:pStyle w:val="FootnoteText"/>
        <w:spacing w:after="60"/>
        <w:ind w:left="284" w:hanging="284"/>
      </w:pPr>
      <w:r>
        <w:rPr>
          <w:rStyle w:val="FootnoteReference"/>
        </w:rPr>
        <w:footnoteRef/>
      </w:r>
      <w:r>
        <w:tab/>
        <w:t>https://ec.europa.eu/taxation_customs/sites/taxation/files/com_2016_813_en.pdf</w:t>
      </w:r>
    </w:p>
  </w:footnote>
  <w:footnote w:id="47">
    <w:p>
      <w:pPr>
        <w:pStyle w:val="FootnoteText"/>
        <w:spacing w:after="60"/>
        <w:ind w:left="284" w:hanging="284"/>
      </w:pPr>
      <w:r>
        <w:rPr>
          <w:rStyle w:val="FootnoteReference"/>
        </w:rPr>
        <w:footnoteRef/>
      </w:r>
      <w:r>
        <w:tab/>
      </w:r>
      <w:hyperlink r:id="rId2" w:history="1">
        <w:r>
          <w:rPr>
            <w:rStyle w:val="Hyperlink"/>
          </w:rPr>
          <w:t>https://ec.europa.eu/info/sites/info/files/strategic-plan-2016-2020-dg-taxud_march2016_en.pdf</w:t>
        </w:r>
      </w:hyperlink>
    </w:p>
  </w:footnote>
  <w:footnote w:id="48">
    <w:p>
      <w:pPr>
        <w:pStyle w:val="FootnoteText"/>
        <w:spacing w:after="60"/>
        <w:ind w:left="284" w:hanging="284"/>
      </w:pPr>
      <w:r>
        <w:rPr>
          <w:rStyle w:val="FootnoteReference"/>
        </w:rPr>
        <w:footnoteRef/>
      </w:r>
      <w:r>
        <w:tab/>
      </w:r>
      <w:hyperlink r:id="rId3" w:history="1">
        <w:r>
          <w:rPr>
            <w:rStyle w:val="Hyperlink"/>
          </w:rPr>
          <w:t>https://ec.europa.eu/digital-single-market/en/news/ministerial-declaration-egovernment-tallinn-declaration</w:t>
        </w:r>
      </w:hyperlink>
      <w:r>
        <w:t xml:space="preserve"> </w:t>
      </w:r>
    </w:p>
  </w:footnote>
  <w:footnote w:id="49">
    <w:p>
      <w:pPr>
        <w:pStyle w:val="FootnoteText"/>
        <w:spacing w:after="60"/>
        <w:ind w:left="284" w:hanging="284"/>
      </w:pPr>
      <w:r>
        <w:rPr>
          <w:rStyle w:val="FootnoteReference"/>
        </w:rPr>
        <w:footnoteRef/>
      </w:r>
      <w:r>
        <w:tab/>
        <w:t>Σχέδιο ενιαίας τελωνειακής θυρίδας της ΕΕ για την ανταλλαγή πιστοποιητικών (ενιαία θυρίδα EU CSW-CERTEX)</w:t>
      </w:r>
    </w:p>
  </w:footnote>
  <w:footnote w:id="50">
    <w:p>
      <w:pPr>
        <w:pStyle w:val="FootnoteText"/>
        <w:spacing w:after="60"/>
        <w:ind w:left="284" w:hanging="284"/>
      </w:pPr>
      <w:r>
        <w:rPr>
          <w:rStyle w:val="FootnoteReference"/>
        </w:rPr>
        <w:footnoteRef/>
      </w:r>
      <w:r>
        <w:tab/>
        <w:t>Ολοκληρωμένη διασάφηση: όλες οι σχετικές με τον τελωνισμό πληροφορίες που απαιτούνται για την εκπλήρωση των τελωνειακών και των ενωσιακών μη τελωνειακών διατυπώσεων που διέπουν τις διεθνείς εμπορευματικές συναλλαγές</w:t>
      </w:r>
      <w:r>
        <w:rPr>
          <w:color w:val="000000" w:themeColor="text1"/>
        </w:rPr>
        <w:t>.</w:t>
      </w:r>
    </w:p>
  </w:footnote>
  <w:footnote w:id="51">
    <w:p>
      <w:pPr>
        <w:pStyle w:val="FootnoteText"/>
        <w:spacing w:after="60"/>
        <w:ind w:left="284" w:hanging="284"/>
      </w:pPr>
      <w:r>
        <w:rPr>
          <w:rStyle w:val="FootnoteReference"/>
        </w:rPr>
        <w:footnoteRef/>
      </w:r>
      <w:r>
        <w:tab/>
        <w:t>Απόφαση αριθ. 70/2008/ΕΚ του Ευρωπαϊκού Κοινοβουλίου και του Συμβουλίου, της 15ης Ιανουαρίου 2008, για ένα περιβάλλον χωρίς χαρτί για τα τελωνεία και τις εμπορικές επιχειρήσεις, ΕΕ L 23 της 26.1.2008, σ. 21- 26.</w:t>
      </w:r>
    </w:p>
  </w:footnote>
  <w:footnote w:id="52">
    <w:p>
      <w:pPr>
        <w:pStyle w:val="FootnoteText"/>
        <w:spacing w:after="60"/>
        <w:ind w:left="284" w:hanging="284"/>
      </w:pPr>
      <w:r>
        <w:rPr>
          <w:rStyle w:val="FootnoteReference"/>
        </w:rPr>
        <w:footnoteRef/>
      </w:r>
      <w:r>
        <w:tab/>
      </w:r>
      <w:hyperlink r:id="rId4" w:history="1">
        <w:r>
          <w:rPr>
            <w:rStyle w:val="Hyperlink"/>
            <w:color w:val="000000" w:themeColor="text1"/>
          </w:rPr>
          <w:t>http://data.consilium.europa.eu/doc/document/ST-16507-2014-INIT/el/pdf</w:t>
        </w:r>
      </w:hyperlink>
      <w:r>
        <w:rPr>
          <w:color w:val="000000" w:themeColor="text1"/>
        </w:rPr>
        <w:t xml:space="preserve"> </w:t>
      </w:r>
      <w:r>
        <w:tab/>
        <w:t xml:space="preserve"> </w:t>
      </w:r>
      <w:r>
        <w:br/>
        <w:t>(Η Δήλωση της Βενετίας προσαρτάται στα συμπεράσματα του Συμβουλίου του Δεκεμβρίου του 2014).</w:t>
      </w:r>
    </w:p>
  </w:footnote>
  <w:footnote w:id="53">
    <w:p>
      <w:pPr>
        <w:pStyle w:val="FootnoteText"/>
        <w:spacing w:after="60"/>
        <w:ind w:left="284" w:hanging="284"/>
      </w:pPr>
      <w:r>
        <w:rPr>
          <w:rStyle w:val="FootnoteReference"/>
        </w:rPr>
        <w:footnoteRef/>
      </w:r>
      <w:r>
        <w:tab/>
        <w:t>COM (2016) 813 final</w:t>
      </w:r>
    </w:p>
  </w:footnote>
  <w:footnote w:id="54">
    <w:p>
      <w:pPr>
        <w:pStyle w:val="FootnoteText"/>
        <w:spacing w:after="60"/>
        <w:ind w:left="284" w:hanging="284"/>
      </w:pPr>
      <w:r>
        <w:rPr>
          <w:rStyle w:val="FootnoteReference"/>
        </w:rPr>
        <w:footnoteRef/>
      </w:r>
      <w:r>
        <w:tab/>
        <w:t xml:space="preserve">Ανακοίνωση της Επιτροπής προς το Συμβούλιο και το Ευρωπαϊκό Κοινοβούλιο, «Πρώτη διετής έκθεση προόδου σχετικά με την ανάπτυξη της τελωνειακής ένωσης της ΕΕ και της διακυβέρνησής της», </w:t>
      </w:r>
      <w:r>
        <w:rPr>
          <w:color w:val="444444"/>
        </w:rPr>
        <w:t>COM/2018/524 final.</w:t>
      </w:r>
    </w:p>
  </w:footnote>
  <w:footnote w:id="55">
    <w:p>
      <w:pPr>
        <w:pStyle w:val="FootnoteText"/>
        <w:spacing w:after="60"/>
        <w:ind w:left="284" w:hanging="284"/>
      </w:pPr>
      <w:r>
        <w:rPr>
          <w:rStyle w:val="FootnoteReference"/>
        </w:rPr>
        <w:footnoteRef/>
      </w:r>
      <w:r>
        <w:tab/>
        <w:t>Σύστημα ελέγχου και πραγματογνωμοσύνης στις συναλλαγές (TRAde Control and Expert System - TRACES)</w:t>
      </w:r>
    </w:p>
  </w:footnote>
  <w:footnote w:id="56">
    <w:p>
      <w:pPr>
        <w:pStyle w:val="FootnoteText"/>
        <w:spacing w:after="60"/>
        <w:ind w:left="284" w:hanging="284"/>
        <w:rPr>
          <w:color w:val="000000" w:themeColor="text1"/>
        </w:rPr>
      </w:pPr>
      <w:r>
        <w:rPr>
          <w:rStyle w:val="FootnoteReference"/>
        </w:rPr>
        <w:footnoteRef/>
      </w:r>
      <w:r>
        <w:tab/>
      </w:r>
      <w:r>
        <w:rPr>
          <w:color w:val="000000" w:themeColor="text1"/>
        </w:rPr>
        <w:t>CHED-A (κοινό υγειονομικό έγγραφο εισόδου για τα ζώα) πρώην CVED-A – πρόκειται να εφαρμοστεί στην ενιαία θυρίδα EU CSW-CERTEX έως τα τέλη του 2020.</w:t>
      </w:r>
    </w:p>
    <w:p>
      <w:pPr>
        <w:pStyle w:val="FootnoteText"/>
        <w:spacing w:after="60"/>
        <w:ind w:left="284" w:hanging="284"/>
        <w:rPr>
          <w:color w:val="000000" w:themeColor="text1"/>
        </w:rPr>
      </w:pPr>
      <w:r>
        <w:tab/>
      </w:r>
      <w:r>
        <w:rPr>
          <w:color w:val="000000" w:themeColor="text1"/>
        </w:rPr>
        <w:t xml:space="preserve">CHED-P (κοινό υγειονομικό έγγραφο εισόδου για ζωικά προϊόντα) πρώην CVED-P — πρόκειται να εφαρμοστεί στην ενιαία θυρίδα EU CSW-CERTEX έως τα τέλη του 2020. </w:t>
      </w:r>
      <w:r>
        <w:tab/>
      </w:r>
    </w:p>
    <w:p>
      <w:pPr>
        <w:pStyle w:val="FootnoteText"/>
        <w:spacing w:after="60"/>
        <w:ind w:left="284" w:hanging="284"/>
        <w:rPr>
          <w:color w:val="000000" w:themeColor="text1"/>
        </w:rPr>
      </w:pPr>
      <w:r>
        <w:rPr>
          <w:color w:val="000000" w:themeColor="text1"/>
        </w:rPr>
        <w:t xml:space="preserve">     CHED-D (κοινό υγειονομικό έγγραφο εισόδου για ζωοτροφές και τρόφιμα μη ζωικής προέλευσης) πρώην CED – πρόκειται να εφαρμοστεί στην ενιαία θυρίδα EU CSW-CERTEX έως τα μέσα του 2020.</w:t>
      </w:r>
    </w:p>
    <w:p>
      <w:pPr>
        <w:pStyle w:val="FootnoteText"/>
        <w:spacing w:after="60"/>
        <w:ind w:left="284" w:hanging="284"/>
        <w:rPr>
          <w:color w:val="000000" w:themeColor="text1"/>
        </w:rPr>
      </w:pPr>
      <w:r>
        <w:rPr>
          <w:color w:val="000000" w:themeColor="text1"/>
        </w:rPr>
        <w:t xml:space="preserve">     CHED-PP (κοινό υγειονομικό έγγραφο εισόδου για φυτά και φυτικά προϊόντα) πρώην CVED-P - πρόκειται να εφαρμοστεί στην ενιαία θυρίδα EU CSW-CERTEX έως τα μέσα του 2020. </w:t>
      </w:r>
      <w:r>
        <w:tab/>
      </w:r>
    </w:p>
    <w:p>
      <w:pPr>
        <w:pStyle w:val="FootnoteText"/>
        <w:spacing w:after="60"/>
        <w:ind w:left="284" w:hanging="284"/>
        <w:rPr>
          <w:color w:val="000000" w:themeColor="text1"/>
        </w:rPr>
      </w:pPr>
      <w:r>
        <w:rPr>
          <w:color w:val="000000" w:themeColor="text1"/>
        </w:rPr>
        <w:t xml:space="preserve">     COI (πιστοποιητικό ελέγχου) για εισαγωγές βιολογικών προϊόντων — πρόκειται να μεταφερθεί στην ενιαία θυρίδα EU CSW-CERTEX έως τα τέλη του 2020. </w:t>
      </w:r>
      <w:r>
        <w:tab/>
      </w:r>
    </w:p>
    <w:p>
      <w:pPr>
        <w:pStyle w:val="FootnoteText"/>
        <w:spacing w:after="60"/>
        <w:ind w:left="284" w:hanging="284"/>
        <w:rPr>
          <w:color w:val="000000" w:themeColor="text1"/>
        </w:rPr>
      </w:pPr>
      <w:r>
        <w:rPr>
          <w:color w:val="000000" w:themeColor="text1"/>
        </w:rPr>
        <w:t xml:space="preserve">     FLEGT (Επιβολή της Δασικής Νομοθεσίας, Διακυβέρνηση και Εμπόριο) για εισαγωγές ξυλείας — πρόκειται να μεταφερθεί στην ενιαία θυρίδα EU CSW-CERTEX έως τα τέλη του 2020. </w:t>
      </w:r>
    </w:p>
    <w:p>
      <w:pPr>
        <w:pStyle w:val="FootnoteText"/>
        <w:spacing w:after="60"/>
        <w:ind w:left="284" w:hanging="284"/>
        <w:rPr>
          <w:color w:val="000000" w:themeColor="text1"/>
        </w:rPr>
      </w:pPr>
      <w:r>
        <w:rPr>
          <w:color w:val="000000" w:themeColor="text1"/>
        </w:rPr>
        <w:t xml:space="preserve"> FGAS (φθοριούχα αέρια του θερμοκηπίου) – πρόκειται να εφαρμοστεί στην ενιαία θυρίδα EU CSW-CERTEX έως τα τέλη του 2020.</w:t>
      </w:r>
    </w:p>
    <w:p>
      <w:pPr>
        <w:pStyle w:val="FootnoteText"/>
        <w:spacing w:after="60"/>
        <w:ind w:left="284" w:hanging="284"/>
        <w:rPr>
          <w:color w:val="000000" w:themeColor="text1"/>
        </w:rPr>
      </w:pPr>
      <w:r>
        <w:rPr>
          <w:color w:val="000000" w:themeColor="text1"/>
        </w:rPr>
        <w:t xml:space="preserve"> ODS (ουσίες που καταστρέφουν το όζον) - πρόκειται να εφαρμοστεί στην ενιαία θυρίδα EU CSW-CERTEX έως τα μέσα του 2020. </w:t>
      </w:r>
    </w:p>
    <w:p>
      <w:pPr>
        <w:pStyle w:val="FootnoteText"/>
        <w:spacing w:after="60"/>
        <w:ind w:left="284" w:hanging="284"/>
        <w:rPr>
          <w:color w:val="000000" w:themeColor="text1"/>
        </w:rPr>
      </w:pPr>
      <w:r>
        <w:tab/>
      </w:r>
      <w:r>
        <w:rPr>
          <w:color w:val="000000" w:themeColor="text1"/>
        </w:rPr>
        <w:t xml:space="preserve"> </w:t>
      </w:r>
    </w:p>
  </w:footnote>
  <w:footnote w:id="57">
    <w:p>
      <w:pPr>
        <w:pStyle w:val="FootnoteText"/>
        <w:spacing w:after="60"/>
        <w:ind w:left="284" w:hanging="284"/>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5" w:history="1">
        <w:r>
          <w:rPr>
            <w:rStyle w:val="Hyperlink"/>
            <w:sz w:val="18"/>
          </w:rPr>
          <w:t>http://www.cc.cec/budg/man/budgmanag/budgmanag_en.html</w:t>
        </w:r>
      </w:hyperlink>
    </w:p>
  </w:footnote>
  <w:footnote w:id="58">
    <w:p>
      <w:pPr>
        <w:pStyle w:val="FootnoteText"/>
        <w:spacing w:after="60"/>
        <w:ind w:left="284" w:hanging="284"/>
      </w:pPr>
      <w:r>
        <w:rPr>
          <w:rStyle w:val="FootnoteReference"/>
        </w:rPr>
        <w:footnoteRef/>
      </w:r>
      <w:r>
        <w:tab/>
      </w:r>
      <w:r>
        <w:rPr>
          <w:color w:val="000000" w:themeColor="text1"/>
        </w:rPr>
        <w:t>COM</w:t>
      </w:r>
      <w:r>
        <w:t>(2018) 442.</w:t>
      </w:r>
    </w:p>
  </w:footnote>
  <w:footnote w:id="59">
    <w:p>
      <w:pPr>
        <w:pStyle w:val="FootnoteText"/>
        <w:spacing w:after="60"/>
        <w:ind w:left="284" w:hanging="284"/>
        <w:rPr>
          <w:szCs w:val="24"/>
        </w:rPr>
      </w:pPr>
      <w:r>
        <w:rPr>
          <w:rStyle w:val="FootnoteReference"/>
        </w:rPr>
        <w:footnoteRef/>
      </w:r>
      <w:r>
        <w:tab/>
      </w:r>
      <w:r>
        <w:rPr>
          <w:color w:val="000000" w:themeColor="text1"/>
        </w:rPr>
        <w:t>ΔΠ</w:t>
      </w:r>
      <w:r>
        <w:t xml:space="preserve"> = Διαχωριζόμενες πιστώσεις / ΜΔΠ = Μη διαχωριζόμενες πιστώσεις.</w:t>
      </w:r>
    </w:p>
  </w:footnote>
  <w:footnote w:id="60">
    <w:p>
      <w:pPr>
        <w:pStyle w:val="FootnoteText"/>
        <w:spacing w:after="60"/>
        <w:ind w:left="284" w:hanging="284"/>
        <w:rPr>
          <w:szCs w:val="24"/>
        </w:rPr>
      </w:pPr>
      <w:r>
        <w:rPr>
          <w:rStyle w:val="FootnoteReference"/>
        </w:rPr>
        <w:footnoteRef/>
      </w:r>
      <w:r>
        <w:tab/>
      </w:r>
      <w:r>
        <w:rPr>
          <w:color w:val="000000" w:themeColor="text1"/>
        </w:rPr>
        <w:t>ΕΖΕΣ</w:t>
      </w:r>
      <w:r>
        <w:t xml:space="preserve">: Ευρωπαϊκή Ζώνη Ελεύθερων Συναλλαγών. </w:t>
      </w:r>
    </w:p>
  </w:footnote>
  <w:footnote w:id="61">
    <w:p>
      <w:pPr>
        <w:pStyle w:val="FootnoteText"/>
        <w:spacing w:after="60"/>
        <w:ind w:left="284" w:hanging="284"/>
        <w:rPr>
          <w:szCs w:val="24"/>
        </w:rPr>
      </w:pPr>
      <w:r>
        <w:rPr>
          <w:rStyle w:val="FootnoteReference"/>
        </w:rPr>
        <w:footnoteRef/>
      </w:r>
      <w:r>
        <w:tab/>
        <w:t xml:space="preserve">Υποψήφιες χώρες και, κατά περίπτωση, δυνάμει </w:t>
      </w:r>
      <w:r>
        <w:rPr>
          <w:color w:val="000000" w:themeColor="text1"/>
        </w:rPr>
        <w:t>υποψήφια</w:t>
      </w:r>
      <w:r>
        <w:t xml:space="preserve"> μέλη της ΕΕ από τα Δυτικά Βαλκάνια.</w:t>
      </w:r>
    </w:p>
  </w:footnote>
  <w:footnote w:id="62">
    <w:p>
      <w:pPr>
        <w:pStyle w:val="FootnoteText"/>
        <w:spacing w:after="60"/>
        <w:ind w:left="284" w:hanging="284"/>
        <w:rPr>
          <w:szCs w:val="24"/>
        </w:rPr>
      </w:pPr>
      <w:r>
        <w:rPr>
          <w:rStyle w:val="FootnoteReference"/>
        </w:rPr>
        <w:footnoteRef/>
      </w:r>
      <w:r>
        <w:tab/>
      </w:r>
      <w:r>
        <w:rPr>
          <w:color w:val="000000" w:themeColor="text1"/>
        </w:rPr>
        <w:t>Το έτος</w:t>
      </w:r>
      <w:r>
        <w:t xml:space="preserve"> N είναι το έτος έναρξης εφαρμογής της πρότασης/πρωτοβουλίας.</w:t>
      </w:r>
    </w:p>
  </w:footnote>
  <w:footnote w:id="63">
    <w:p>
      <w:pPr>
        <w:pStyle w:val="FootnoteText"/>
        <w:spacing w:after="60"/>
        <w:ind w:left="284" w:hanging="284"/>
      </w:pPr>
      <w:r>
        <w:rPr>
          <w:rStyle w:val="FootnoteReference"/>
        </w:rPr>
        <w:footnoteRef/>
      </w:r>
      <w:r>
        <w:tab/>
        <w:t>Συμπεριλαμβάνει πιστώσεις έως και το 2030. Η ετήσια πίστωση από το 2030 και μετά ανέρχεται σε 2 613</w:t>
      </w:r>
    </w:p>
  </w:footnote>
  <w:footnote w:id="64">
    <w:p>
      <w:pPr>
        <w:pStyle w:val="FootnoteText"/>
        <w:spacing w:after="60"/>
        <w:ind w:left="284" w:hanging="284"/>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65">
    <w:p>
      <w:pPr>
        <w:pStyle w:val="FootnoteText"/>
        <w:spacing w:after="60"/>
        <w:ind w:left="284" w:hanging="284"/>
        <w:rPr>
          <w:szCs w:val="24"/>
        </w:rPr>
      </w:pPr>
      <w:r>
        <w:rPr>
          <w:rStyle w:val="FootnoteReference"/>
        </w:rPr>
        <w:footnoteRef/>
      </w:r>
      <w:r>
        <w:tab/>
        <w:t>Το έτος N είναι το έτος έναρξης εφαρμογής της πρότασης/πρωτοβουλίας.</w:t>
      </w:r>
    </w:p>
  </w:footnote>
  <w:footnote w:id="66">
    <w:p>
      <w:pPr>
        <w:pStyle w:val="FootnoteText"/>
        <w:spacing w:after="60"/>
        <w:ind w:left="284" w:hanging="284"/>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67">
    <w:p>
      <w:pPr>
        <w:pStyle w:val="FootnoteText"/>
        <w:spacing w:after="60"/>
        <w:ind w:left="284" w:hanging="284"/>
      </w:pPr>
      <w:r>
        <w:rPr>
          <w:rStyle w:val="FootnoteReference"/>
        </w:rPr>
        <w:footnoteRef/>
      </w:r>
      <w:r>
        <w:tab/>
        <w:t xml:space="preserve">Ετήσιο </w:t>
      </w:r>
      <w:r>
        <w:rPr>
          <w:sz w:val="16"/>
          <w:szCs w:val="16"/>
        </w:rPr>
        <w:t>κόστος</w:t>
      </w:r>
    </w:p>
  </w:footnote>
  <w:footnote w:id="68">
    <w:p>
      <w:pPr>
        <w:pStyle w:val="FootnoteText"/>
        <w:spacing w:after="60"/>
        <w:ind w:left="284" w:hanging="284"/>
        <w:rPr>
          <w:sz w:val="16"/>
          <w:szCs w:val="16"/>
        </w:rPr>
      </w:pPr>
      <w:r>
        <w:rPr>
          <w:rStyle w:val="FootnoteReference"/>
        </w:rPr>
        <w:footnoteRef/>
      </w:r>
      <w:r>
        <w:tab/>
        <w:t>Τα αποτελέσματα</w:t>
      </w:r>
      <w:r>
        <w:rPr>
          <w:sz w:val="16"/>
          <w:szCs w:val="16"/>
        </w:rPr>
        <w:t xml:space="preserve"> είναι τα προϊόντα και οι υπηρεσίες που θα παρασχεθούν (λ.χ.: αριθμός ανταλλαγών σπουδαστών που θα χρηματοδοτηθούν, αριθμός χλμ. οδών που θα κατασκευαστούν κ.λπ.).</w:t>
      </w:r>
    </w:p>
  </w:footnote>
  <w:footnote w:id="69">
    <w:p>
      <w:pPr>
        <w:pStyle w:val="FootnoteText"/>
        <w:spacing w:after="60"/>
        <w:ind w:left="284" w:hanging="284"/>
        <w:rPr>
          <w:sz w:val="16"/>
          <w:szCs w:val="16"/>
        </w:rPr>
      </w:pPr>
      <w:r>
        <w:rPr>
          <w:rStyle w:val="FootnoteReference"/>
        </w:rPr>
        <w:footnoteRef/>
      </w:r>
      <w:r>
        <w:tab/>
      </w:r>
      <w:r>
        <w:rPr>
          <w:sz w:val="16"/>
          <w:szCs w:val="16"/>
        </w:rPr>
        <w:t>Όπως</w:t>
      </w:r>
      <w:r>
        <w:t xml:space="preserve"> περιγράφεται </w:t>
      </w:r>
      <w:r>
        <w:rPr>
          <w:sz w:val="16"/>
          <w:szCs w:val="16"/>
        </w:rPr>
        <w:t xml:space="preserve">στο σημείο 1.4.2. «Ειδικοί στόχοι …» </w:t>
      </w:r>
    </w:p>
  </w:footnote>
  <w:footnote w:id="70">
    <w:p>
      <w:pPr>
        <w:pStyle w:val="FootnoteText"/>
        <w:spacing w:after="60"/>
        <w:ind w:left="284" w:hanging="284"/>
        <w:rPr>
          <w:szCs w:val="24"/>
        </w:rPr>
      </w:pPr>
      <w:r>
        <w:rPr>
          <w:rStyle w:val="FootnoteReference"/>
        </w:rPr>
        <w:footnoteRef/>
      </w:r>
      <w:r>
        <w:tab/>
        <w:t>Το έτος N είναι το έτος έναρξης εφαρμογής της πρότασης/πρωτοβουλίας.</w:t>
      </w:r>
    </w:p>
  </w:footnote>
  <w:footnote w:id="71">
    <w:p>
      <w:pPr>
        <w:pStyle w:val="FootnoteText"/>
        <w:spacing w:after="60"/>
        <w:ind w:left="284" w:hanging="284"/>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72">
    <w:p>
      <w:pPr>
        <w:pStyle w:val="FootnoteText"/>
        <w:spacing w:after="60"/>
        <w:ind w:left="284" w:hanging="284"/>
      </w:pPr>
      <w:r>
        <w:rPr>
          <w:rStyle w:val="FootnoteReference"/>
        </w:rPr>
        <w:footnoteRef/>
      </w:r>
      <w:r>
        <w:tab/>
        <w:t>5 το 2028 (τελευταίο έτος σταδίου εφαρμογής) και 4 από το 2029 και μετά (στάδιο συντήρησης)</w:t>
      </w:r>
    </w:p>
  </w:footnote>
  <w:footnote w:id="73">
    <w:p>
      <w:pPr>
        <w:pStyle w:val="FootnoteText"/>
        <w:spacing w:after="60"/>
        <w:ind w:left="284" w:hanging="284"/>
      </w:pPr>
      <w:r>
        <w:rPr>
          <w:rStyle w:val="FootnoteReference"/>
        </w:rPr>
        <w:footnoteRef/>
      </w:r>
      <w:r>
        <w:tab/>
        <w:t>3,8 το 2008 (τελευταίο έτος σταδίου εφαρμογής) και 3,5 από το 2029 και μετά (στάδιο συντήρησης)</w:t>
      </w:r>
    </w:p>
  </w:footnote>
  <w:footnote w:id="74">
    <w:p>
      <w:pPr>
        <w:pStyle w:val="FootnoteText"/>
        <w:spacing w:after="60"/>
        <w:ind w:left="284" w:hanging="284"/>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Νέος εμπειρογνώμονας σε αντιπροσωπεία της ΕΕ. </w:t>
      </w:r>
    </w:p>
  </w:footnote>
  <w:footnote w:id="75">
    <w:p>
      <w:pPr>
        <w:pStyle w:val="FootnoteText"/>
        <w:spacing w:after="60"/>
        <w:ind w:left="284" w:hanging="284"/>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76">
    <w:p>
      <w:pPr>
        <w:pStyle w:val="FootnoteText"/>
        <w:spacing w:after="60"/>
        <w:ind w:left="284" w:hanging="284"/>
      </w:pPr>
      <w:r>
        <w:rPr>
          <w:rStyle w:val="FootnoteReference"/>
        </w:rPr>
        <w:footnoteRef/>
      </w:r>
      <w:r>
        <w:tab/>
        <w:t>8,8 το 2008 (τελευταίο έτος σταδίου εφαρμογής) και 7,5 από το 2029 και μετά (στάδιο συντήρησης)</w:t>
      </w:r>
    </w:p>
  </w:footnote>
  <w:footnote w:id="77">
    <w:p>
      <w:pPr>
        <w:pStyle w:val="FootnoteText"/>
        <w:spacing w:after="60"/>
        <w:ind w:left="284" w:hanging="284"/>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1A917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56236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14C7B5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9E0743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17"/>
  </w:num>
  <w:num w:numId="3">
    <w:abstractNumId w:val="8"/>
  </w:num>
  <w:num w:numId="4">
    <w:abstractNumId w:val="3"/>
  </w:num>
  <w:num w:numId="5">
    <w:abstractNumId w:val="2"/>
  </w:num>
  <w:num w:numId="6">
    <w:abstractNumId w:val="1"/>
  </w:num>
  <w:num w:numId="7">
    <w:abstractNumId w:val="0"/>
  </w:num>
  <w:num w:numId="8">
    <w:abstractNumId w:val="4"/>
  </w:num>
  <w:num w:numId="9">
    <w:abstractNumId w:val="11"/>
  </w:num>
  <w:num w:numId="10">
    <w:abstractNumId w:val="20"/>
  </w:num>
  <w:num w:numId="11">
    <w:abstractNumId w:val="19"/>
  </w:num>
  <w:num w:numId="12">
    <w:abstractNumId w:val="28"/>
  </w:num>
  <w:num w:numId="13">
    <w:abstractNumId w:val="5"/>
  </w:num>
  <w:num w:numId="14">
    <w:abstractNumId w:val="13"/>
  </w:num>
  <w:num w:numId="15">
    <w:abstractNumId w:val="6"/>
  </w:num>
  <w:num w:numId="16">
    <w:abstractNumId w:val="14"/>
  </w:num>
  <w:num w:numId="17">
    <w:abstractNumId w:val="12"/>
  </w:num>
  <w:num w:numId="18">
    <w:abstractNumId w:val="2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5"/>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27"/>
  </w:num>
  <w:num w:numId="28">
    <w:abstractNumId w:val="10"/>
  </w:num>
  <w:num w:numId="29">
    <w:abstractNumId w:val="16"/>
  </w:num>
  <w:num w:numId="30">
    <w:abstractNumId w:val="8"/>
  </w:num>
  <w:num w:numId="31">
    <w:abstractNumId w:val="26"/>
  </w:num>
  <w:num w:numId="32">
    <w:abstractNumId w:val="7"/>
  </w:num>
  <w:num w:numId="33">
    <w:abstractNumId w:val="18"/>
  </w:num>
  <w:num w:numId="34">
    <w:abstractNumId w:val="23"/>
  </w:num>
  <w:num w:numId="35">
    <w:abstractNumId w:val="24"/>
  </w:num>
  <w:num w:numId="36">
    <w:abstractNumId w:val="9"/>
  </w:num>
  <w:num w:numId="37">
    <w:abstractNumId w:val="22"/>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1-04 15:21:09"/>
    <w:docVar w:name="DQCNUMB_1" w:val="390"/>
    <w:docVar w:name="DQCNUMB_2" w:val="391"/>
    <w:docVar w:name="DQCNUMB_3" w:val="392"/>
    <w:docVar w:name="DQCNUMB_4" w:val="398"/>
    <w:docVar w:name="DQCNUMB_5" w:val="399"/>
    <w:docVar w:name="DQCNUMB_6" w:val="400"/>
    <w:docVar w:name="DQCNUMB_7" w:val="405"/>
    <w:docVar w:name="DQCNUMB_8" w:val="406"/>
    <w:docVar w:name="DQCNUMB_9" w:val="4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4"/>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3"/>
    <w:docVar w:name="DQCStatus" w:val="Green"/>
    <w:docVar w:name="DQCVersion" w:val="3"/>
    <w:docVar w:name="DQCWithWarnings" w:val="0"/>
    <w:docVar w:name="LW_AKN_IMPORT" w:val="20200910"/>
    <w:docVar w:name="LW_CORRIGENDUM" w:val="&lt;UNUSED&gt;"/>
    <w:docVar w:name="LW_COVERPAGE_EXISTS" w:val="True"/>
    <w:docVar w:name="LW_COVERPAGE_GUID" w:val="63C105A8-19A2-4910-9D1A-179CC4CB539A"/>
    <w:docVar w:name="LW_COVERPAGE_TYPE" w:val="1"/>
    <w:docVar w:name="LW_CROSSREFERENCE" w:val="{SEC(2020) 360 final} - {SWD(2020) 237 final} - {SWD(2020) 238 final} - {SWD(2020) 239 final}"/>
    <w:docVar w:name="LW_DocType" w:val="COM"/>
    <w:docVar w:name="LW_EMISSION" w:val="28.10.2020"/>
    <w:docVar w:name="LW_EMISSION_ISODATE" w:val="2020-10-28"/>
    <w:docVar w:name="LW_EMISSION_LOCATION" w:val="BRX"/>
    <w:docVar w:name="LW_EMISSION_PREFIX" w:val="Βρυξέλλες, "/>
    <w:docVar w:name="LW_EMISSION_SUFFIX" w:val=" "/>
    <w:docVar w:name="LW_ID_DOCSIGNATURE" w:val="SJ-023"/>
    <w:docVar w:name="LW_ID_DOCSTRUCTURE" w:val="COM/PL/ORG"/>
    <w:docVar w:name="LW_ID_DOCTYPE" w:val="SJ-023"/>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06"/>
    <w:docVar w:name="LW_REF.II.NEW.CP_YEAR" w:val="2020"/>
    <w:docVar w:name="LW_REF.INST.NEW" w:val="COM"/>
    <w:docVar w:name="LW_REF.INST.NEW_ADOPTED" w:val="final"/>
    <w:docVar w:name="LW_REF.INST.NEW_TEXT" w:val="(2020) 6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52?\u941?\u963?\u960?\u953?\u963?\u951? \u960?\u949?\u961?\u953?\u946?\u940?\u955?\u955?\u959?\u957?\u964?\u959?\u962? \u949?\u957?\u953?\u945?\u943?\u945?\u962? \u952?\u965?\u961?\u943?\u948?\u945?\u962? \u964?\u951?\u962? \u917?\u965?\u961?\u969?\u960?\u945?\u970?\u954?\u942?\u962? \u904?\u957?\u969?\u963?\u951?\u962? \u947?\u953?\u945? \u964?\u945? \u964?\u949?\u955?\u969?\u957?\u949?\u943?\u945? \u954?\u945?\u953? \u947?\u953?\u945? \u964?\u951?\u957? \u964?\u961?\u959?\u960?\u959?\u960?\u959?\u943?\u951?\u963?\u951? \u964?\u959?\u965? \u954?\u945?\u957?\u959?\u957?\u953?\u963?\u956?\u959?\u973? (\u917?\u917?) \u945?\u961?\u953?\u952?. 952/2013"/>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
      </w:numPr>
      <w:outlineLvl w:val="5"/>
    </w:pPr>
    <w:rPr>
      <w:rFonts w:eastAsiaTheme="majorEastAsia"/>
      <w:iCs/>
    </w:rPr>
  </w:style>
  <w:style w:type="paragraph" w:styleId="Heading7">
    <w:name w:val="heading 7"/>
    <w:basedOn w:val="Normal"/>
    <w:next w:val="Text2"/>
    <w:link w:val="Heading7Char"/>
    <w:uiPriority w:val="9"/>
    <w:unhideWhenUsed/>
    <w:qFormat/>
    <w:pPr>
      <w:keepNext/>
      <w:numPr>
        <w:ilvl w:val="6"/>
        <w:numId w:val="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
      </w:numPr>
    </w:pPr>
  </w:style>
  <w:style w:type="paragraph" w:customStyle="1" w:styleId="NumPar5">
    <w:name w:val="NumPar 5"/>
    <w:basedOn w:val="Normal"/>
    <w:next w:val="Text2"/>
    <w:pPr>
      <w:numPr>
        <w:ilvl w:val="4"/>
        <w:numId w:val="3"/>
      </w:numPr>
    </w:pPr>
  </w:style>
  <w:style w:type="paragraph" w:customStyle="1" w:styleId="NumPar6">
    <w:name w:val="NumPar 6"/>
    <w:basedOn w:val="Normal"/>
    <w:next w:val="Text2"/>
    <w:pPr>
      <w:numPr>
        <w:ilvl w:val="5"/>
        <w:numId w:val="3"/>
      </w:numPr>
    </w:pPr>
  </w:style>
  <w:style w:type="paragraph" w:customStyle="1" w:styleId="NumPar7">
    <w:name w:val="NumPar 7"/>
    <w:basedOn w:val="Normal"/>
    <w:next w:val="Text2"/>
    <w:pPr>
      <w:numPr>
        <w:ilvl w:val="6"/>
        <w:numId w:val="3"/>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ommentQuotedText">
    <w:name w:val="CommentQuotedText"/>
    <w:pPr>
      <w:pBdr>
        <w:left w:val="single" w:sz="18" w:space="5" w:color="0070C0"/>
      </w:pBdr>
    </w:pPr>
    <w:rPr>
      <w:i/>
    </w:r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pPr>
      <w:numPr>
        <w:numId w:val="12"/>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
    <w:name w:val="List Dash"/>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table" w:styleId="TableGrid">
    <w:name w:val="Table Grid"/>
    <w:aliases w:val="Document Table,CV1,Deloitte"/>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Number2">
    <w:name w:val="List Number 2"/>
    <w:basedOn w:val="Normal"/>
    <w:pPr>
      <w:numPr>
        <w:numId w:val="16"/>
      </w:numPr>
    </w:pPr>
    <w:rPr>
      <w:rFonts w:eastAsia="Times New Roman"/>
      <w:lang w:eastAsia="en-GB"/>
    </w:rPr>
  </w:style>
  <w:style w:type="paragraph" w:styleId="ListNumber3">
    <w:name w:val="List Number 3"/>
    <w:basedOn w:val="Normal"/>
    <w:pPr>
      <w:numPr>
        <w:numId w:val="17"/>
      </w:numPr>
    </w:pPr>
    <w:rPr>
      <w:rFonts w:eastAsia="Times New Roman"/>
      <w:lang w:eastAsia="en-GB"/>
    </w:rPr>
  </w:style>
  <w:style w:type="paragraph" w:styleId="ListNumber4">
    <w:name w:val="List Number 4"/>
    <w:basedOn w:val="Normal"/>
    <w:pPr>
      <w:numPr>
        <w:numId w:val="18"/>
      </w:numPr>
    </w:pPr>
    <w:rPr>
      <w:rFonts w:eastAsia="Times New Roman"/>
      <w:lang w:eastAsia="en-GB"/>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numPr>
        <w:ilvl w:val="1"/>
        <w:numId w:val="16"/>
      </w:numPr>
    </w:pPr>
    <w:rPr>
      <w:rFonts w:eastAsia="Times New Roman"/>
      <w:lang w:eastAsia="en-GB"/>
    </w:rPr>
  </w:style>
  <w:style w:type="paragraph" w:customStyle="1" w:styleId="ListNumber3Level2">
    <w:name w:val="List Number 3 (Level 2)"/>
    <w:basedOn w:val="Text3"/>
    <w:pPr>
      <w:numPr>
        <w:ilvl w:val="1"/>
        <w:numId w:val="17"/>
      </w:numPr>
    </w:pPr>
    <w:rPr>
      <w:rFonts w:eastAsia="Times New Roman"/>
      <w:lang w:eastAsia="en-GB"/>
    </w:rPr>
  </w:style>
  <w:style w:type="paragraph" w:customStyle="1" w:styleId="ListNumber4Level2">
    <w:name w:val="List Number 4 (Level 2)"/>
    <w:basedOn w:val="Text4"/>
    <w:pPr>
      <w:numPr>
        <w:ilvl w:val="1"/>
        <w:numId w:val="18"/>
      </w:numPr>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numPr>
        <w:ilvl w:val="2"/>
        <w:numId w:val="16"/>
      </w:numPr>
    </w:pPr>
    <w:rPr>
      <w:rFonts w:eastAsia="Times New Roman"/>
      <w:lang w:eastAsia="en-GB"/>
    </w:rPr>
  </w:style>
  <w:style w:type="paragraph" w:customStyle="1" w:styleId="ListNumber3Level3">
    <w:name w:val="List Number 3 (Level 3)"/>
    <w:basedOn w:val="Text3"/>
    <w:pPr>
      <w:numPr>
        <w:ilvl w:val="2"/>
        <w:numId w:val="17"/>
      </w:numPr>
    </w:pPr>
    <w:rPr>
      <w:rFonts w:eastAsia="Times New Roman"/>
      <w:lang w:eastAsia="en-GB"/>
    </w:rPr>
  </w:style>
  <w:style w:type="paragraph" w:customStyle="1" w:styleId="ListNumber4Level3">
    <w:name w:val="List Number 4 (Level 3)"/>
    <w:basedOn w:val="Text4"/>
    <w:pPr>
      <w:numPr>
        <w:ilvl w:val="2"/>
        <w:numId w:val="18"/>
      </w:numPr>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numPr>
        <w:ilvl w:val="3"/>
        <w:numId w:val="16"/>
      </w:numPr>
    </w:pPr>
    <w:rPr>
      <w:rFonts w:eastAsia="Times New Roman"/>
      <w:lang w:eastAsia="en-GB"/>
    </w:rPr>
  </w:style>
  <w:style w:type="paragraph" w:customStyle="1" w:styleId="ListNumber3Level4">
    <w:name w:val="List Number 3 (Level 4)"/>
    <w:basedOn w:val="Text3"/>
    <w:pPr>
      <w:numPr>
        <w:ilvl w:val="3"/>
        <w:numId w:val="17"/>
      </w:numPr>
    </w:pPr>
    <w:rPr>
      <w:rFonts w:eastAsia="Times New Roman"/>
      <w:lang w:eastAsia="en-GB"/>
    </w:rPr>
  </w:style>
  <w:style w:type="paragraph" w:customStyle="1" w:styleId="ListNumber4Level4">
    <w:name w:val="List Number 4 (Level 4)"/>
    <w:basedOn w:val="Text4"/>
    <w:pPr>
      <w:numPr>
        <w:ilvl w:val="3"/>
        <w:numId w:val="18"/>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rPr>
      <w:rFonts w:ascii="Times New Roman" w:hAnsi="Times New Roman" w:cs="Times New Roman"/>
      <w:b/>
      <w:sz w:val="24"/>
      <w:lang w:val="el-GR"/>
    </w:rPr>
  </w:style>
  <w:style w:type="character" w:customStyle="1" w:styleId="FooterCoverPageChar">
    <w:name w:val="Footer Cover Page Char"/>
    <w:basedOn w:val="TypedudocumentChar"/>
    <w:link w:val="FooterCoverPage"/>
    <w:rPr>
      <w:rFonts w:ascii="Times New Roman" w:hAnsi="Times New Roman" w:cs="Times New Roman"/>
      <w:b w:val="0"/>
      <w:sz w:val="24"/>
      <w:lang w:val="el-GR"/>
    </w:rPr>
  </w:style>
  <w:style w:type="character" w:customStyle="1" w:styleId="FooterSensitivityChar">
    <w:name w:val="Footer Sensitivity Char"/>
    <w:basedOn w:val="TypedudocumentChar"/>
    <w:rPr>
      <w:rFonts w:ascii="Times New Roman" w:hAnsi="Times New Roman" w:cs="Times New Roman"/>
      <w:b/>
      <w:sz w:val="32"/>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hAnsi="Times New Roman" w:cs="Times New Roman"/>
      <w:b w:val="0"/>
      <w:sz w:val="24"/>
      <w:lang w:val="el-GR"/>
    </w:rPr>
  </w:style>
  <w:style w:type="character" w:customStyle="1" w:styleId="HeaderSensitivityChar">
    <w:name w:val="Header Sensitivity Char"/>
    <w:basedOn w:val="TypedudocumentChar"/>
    <w:rPr>
      <w:rFonts w:ascii="Times New Roman" w:hAnsi="Times New Roman" w:cs="Times New Roman"/>
      <w:b/>
      <w:sz w:val="32"/>
      <w:lang w:val="el-GR"/>
    </w:rPr>
  </w:style>
  <w:style w:type="character" w:customStyle="1" w:styleId="HeaderSensitivityRightChar">
    <w:name w:val="Header Sensitivity Right Char"/>
    <w:basedOn w:val="TypedudocumentChar"/>
    <w:rPr>
      <w:rFonts w:ascii="Times New Roman" w:hAnsi="Times New Roman" w:cs="Times New Roman"/>
      <w:b w:val="0"/>
      <w:sz w:val="28"/>
      <w:lang w:val="el-GR"/>
    </w:rPr>
  </w:style>
  <w:style w:type="character" w:customStyle="1" w:styleId="Text2Char">
    <w:name w:val="Text 2 Char"/>
    <w:basedOn w:val="DefaultParagraphFont"/>
    <w:locked/>
    <w:rPr>
      <w:rFonts w:ascii="Times New Roman" w:hAnsi="Times New Roman" w:cs="Times New Roman"/>
      <w:sz w:val="24"/>
      <w:lang w:val="el-GR"/>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jc w:val="left"/>
    </w:pPr>
    <w:rPr>
      <w:rFonts w:asciiTheme="minorHAnsi" w:hAnsiTheme="minorHAnsi" w:cstheme="minorBidi"/>
      <w:sz w:val="22"/>
      <w:lang w:eastAsia="nl-NL"/>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l-GR"/>
    </w:rPr>
  </w:style>
  <w:style w:type="table" w:customStyle="1" w:styleId="GridTable4-Accent11">
    <w:name w:val="Grid Table 4 - Accent 11"/>
    <w:basedOn w:val="TableNormal"/>
    <w:uiPriority w:val="49"/>
    <w:pPr>
      <w:spacing w:after="0" w:line="240" w:lineRule="auto"/>
    </w:pPr>
    <w:rPr>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0Body">
    <w:name w:val="0 Body"/>
    <w:basedOn w:val="Normal"/>
    <w:link w:val="0BodyChar"/>
    <w:qFormat/>
    <w:pPr>
      <w:spacing w:before="0" w:after="240"/>
    </w:pPr>
    <w:rPr>
      <w:rFonts w:eastAsia="Times New Roman"/>
      <w:szCs w:val="20"/>
      <w:lang w:eastAsia="en-GB"/>
    </w:rPr>
  </w:style>
  <w:style w:type="character" w:customStyle="1" w:styleId="0BodyChar">
    <w:name w:val="0 Body Char"/>
    <w:link w:val="0Body"/>
    <w:rPr>
      <w:rFonts w:ascii="Times New Roman" w:eastAsia="Times New Roman" w:hAnsi="Times New Roman" w:cs="Times New Roman"/>
      <w:sz w:val="24"/>
      <w:szCs w:val="20"/>
      <w:lang w:val="el-GR"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runcate">
    <w:name w:val="truncate"/>
    <w:basedOn w:val="DefaultParagraphFont"/>
  </w:style>
  <w:style w:type="paragraph" w:styleId="ListParagraph">
    <w:name w:val="List Paragraph"/>
    <w:basedOn w:val="Normal"/>
    <w:uiPriority w:val="34"/>
    <w:qFormat/>
    <w:pPr>
      <w:ind w:left="720"/>
      <w:contextualSpacing/>
    </w:pPr>
  </w:style>
  <w:style w:type="character" w:customStyle="1" w:styleId="white-space">
    <w:name w:val="white-space"/>
    <w:basedOn w:val="DefaultParagraphFont"/>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
      </w:numPr>
      <w:outlineLvl w:val="5"/>
    </w:pPr>
    <w:rPr>
      <w:rFonts w:eastAsiaTheme="majorEastAsia"/>
      <w:iCs/>
    </w:rPr>
  </w:style>
  <w:style w:type="paragraph" w:styleId="Heading7">
    <w:name w:val="heading 7"/>
    <w:basedOn w:val="Normal"/>
    <w:next w:val="Text2"/>
    <w:link w:val="Heading7Char"/>
    <w:uiPriority w:val="9"/>
    <w:unhideWhenUsed/>
    <w:qFormat/>
    <w:pPr>
      <w:keepNext/>
      <w:numPr>
        <w:ilvl w:val="6"/>
        <w:numId w:val="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
      </w:numPr>
    </w:pPr>
  </w:style>
  <w:style w:type="paragraph" w:customStyle="1" w:styleId="NumPar5">
    <w:name w:val="NumPar 5"/>
    <w:basedOn w:val="Normal"/>
    <w:next w:val="Text2"/>
    <w:pPr>
      <w:numPr>
        <w:ilvl w:val="4"/>
        <w:numId w:val="3"/>
      </w:numPr>
    </w:pPr>
  </w:style>
  <w:style w:type="paragraph" w:customStyle="1" w:styleId="NumPar6">
    <w:name w:val="NumPar 6"/>
    <w:basedOn w:val="Normal"/>
    <w:next w:val="Text2"/>
    <w:pPr>
      <w:numPr>
        <w:ilvl w:val="5"/>
        <w:numId w:val="3"/>
      </w:numPr>
    </w:pPr>
  </w:style>
  <w:style w:type="paragraph" w:customStyle="1" w:styleId="NumPar7">
    <w:name w:val="NumPar 7"/>
    <w:basedOn w:val="Normal"/>
    <w:next w:val="Text2"/>
    <w:pPr>
      <w:numPr>
        <w:ilvl w:val="6"/>
        <w:numId w:val="3"/>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ommentQuotedText">
    <w:name w:val="CommentQuotedText"/>
    <w:pPr>
      <w:pBdr>
        <w:left w:val="single" w:sz="18" w:space="5" w:color="0070C0"/>
      </w:pBdr>
    </w:pPr>
    <w:rPr>
      <w:i/>
    </w:r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pPr>
      <w:numPr>
        <w:numId w:val="12"/>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
    <w:name w:val="List Dash"/>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table" w:styleId="TableGrid">
    <w:name w:val="Table Grid"/>
    <w:aliases w:val="Document Table,CV1,Deloitte"/>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Number2">
    <w:name w:val="List Number 2"/>
    <w:basedOn w:val="Normal"/>
    <w:pPr>
      <w:numPr>
        <w:numId w:val="16"/>
      </w:numPr>
    </w:pPr>
    <w:rPr>
      <w:rFonts w:eastAsia="Times New Roman"/>
      <w:lang w:eastAsia="en-GB"/>
    </w:rPr>
  </w:style>
  <w:style w:type="paragraph" w:styleId="ListNumber3">
    <w:name w:val="List Number 3"/>
    <w:basedOn w:val="Normal"/>
    <w:pPr>
      <w:numPr>
        <w:numId w:val="17"/>
      </w:numPr>
    </w:pPr>
    <w:rPr>
      <w:rFonts w:eastAsia="Times New Roman"/>
      <w:lang w:eastAsia="en-GB"/>
    </w:rPr>
  </w:style>
  <w:style w:type="paragraph" w:styleId="ListNumber4">
    <w:name w:val="List Number 4"/>
    <w:basedOn w:val="Normal"/>
    <w:pPr>
      <w:numPr>
        <w:numId w:val="18"/>
      </w:numPr>
    </w:pPr>
    <w:rPr>
      <w:rFonts w:eastAsia="Times New Roman"/>
      <w:lang w:eastAsia="en-GB"/>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numPr>
        <w:ilvl w:val="1"/>
        <w:numId w:val="16"/>
      </w:numPr>
    </w:pPr>
    <w:rPr>
      <w:rFonts w:eastAsia="Times New Roman"/>
      <w:lang w:eastAsia="en-GB"/>
    </w:rPr>
  </w:style>
  <w:style w:type="paragraph" w:customStyle="1" w:styleId="ListNumber3Level2">
    <w:name w:val="List Number 3 (Level 2)"/>
    <w:basedOn w:val="Text3"/>
    <w:pPr>
      <w:numPr>
        <w:ilvl w:val="1"/>
        <w:numId w:val="17"/>
      </w:numPr>
    </w:pPr>
    <w:rPr>
      <w:rFonts w:eastAsia="Times New Roman"/>
      <w:lang w:eastAsia="en-GB"/>
    </w:rPr>
  </w:style>
  <w:style w:type="paragraph" w:customStyle="1" w:styleId="ListNumber4Level2">
    <w:name w:val="List Number 4 (Level 2)"/>
    <w:basedOn w:val="Text4"/>
    <w:pPr>
      <w:numPr>
        <w:ilvl w:val="1"/>
        <w:numId w:val="18"/>
      </w:numPr>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numPr>
        <w:ilvl w:val="2"/>
        <w:numId w:val="16"/>
      </w:numPr>
    </w:pPr>
    <w:rPr>
      <w:rFonts w:eastAsia="Times New Roman"/>
      <w:lang w:eastAsia="en-GB"/>
    </w:rPr>
  </w:style>
  <w:style w:type="paragraph" w:customStyle="1" w:styleId="ListNumber3Level3">
    <w:name w:val="List Number 3 (Level 3)"/>
    <w:basedOn w:val="Text3"/>
    <w:pPr>
      <w:numPr>
        <w:ilvl w:val="2"/>
        <w:numId w:val="17"/>
      </w:numPr>
    </w:pPr>
    <w:rPr>
      <w:rFonts w:eastAsia="Times New Roman"/>
      <w:lang w:eastAsia="en-GB"/>
    </w:rPr>
  </w:style>
  <w:style w:type="paragraph" w:customStyle="1" w:styleId="ListNumber4Level3">
    <w:name w:val="List Number 4 (Level 3)"/>
    <w:basedOn w:val="Text4"/>
    <w:pPr>
      <w:numPr>
        <w:ilvl w:val="2"/>
        <w:numId w:val="18"/>
      </w:numPr>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numPr>
        <w:ilvl w:val="3"/>
        <w:numId w:val="16"/>
      </w:numPr>
    </w:pPr>
    <w:rPr>
      <w:rFonts w:eastAsia="Times New Roman"/>
      <w:lang w:eastAsia="en-GB"/>
    </w:rPr>
  </w:style>
  <w:style w:type="paragraph" w:customStyle="1" w:styleId="ListNumber3Level4">
    <w:name w:val="List Number 3 (Level 4)"/>
    <w:basedOn w:val="Text3"/>
    <w:pPr>
      <w:numPr>
        <w:ilvl w:val="3"/>
        <w:numId w:val="17"/>
      </w:numPr>
    </w:pPr>
    <w:rPr>
      <w:rFonts w:eastAsia="Times New Roman"/>
      <w:lang w:eastAsia="en-GB"/>
    </w:rPr>
  </w:style>
  <w:style w:type="paragraph" w:customStyle="1" w:styleId="ListNumber4Level4">
    <w:name w:val="List Number 4 (Level 4)"/>
    <w:basedOn w:val="Text4"/>
    <w:pPr>
      <w:numPr>
        <w:ilvl w:val="3"/>
        <w:numId w:val="18"/>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rPr>
      <w:rFonts w:ascii="Times New Roman" w:hAnsi="Times New Roman" w:cs="Times New Roman"/>
      <w:b/>
      <w:sz w:val="24"/>
      <w:lang w:val="el-GR"/>
    </w:rPr>
  </w:style>
  <w:style w:type="character" w:customStyle="1" w:styleId="FooterCoverPageChar">
    <w:name w:val="Footer Cover Page Char"/>
    <w:basedOn w:val="TypedudocumentChar"/>
    <w:link w:val="FooterCoverPage"/>
    <w:rPr>
      <w:rFonts w:ascii="Times New Roman" w:hAnsi="Times New Roman" w:cs="Times New Roman"/>
      <w:b w:val="0"/>
      <w:sz w:val="24"/>
      <w:lang w:val="el-GR"/>
    </w:rPr>
  </w:style>
  <w:style w:type="character" w:customStyle="1" w:styleId="FooterSensitivityChar">
    <w:name w:val="Footer Sensitivity Char"/>
    <w:basedOn w:val="TypedudocumentChar"/>
    <w:rPr>
      <w:rFonts w:ascii="Times New Roman" w:hAnsi="Times New Roman" w:cs="Times New Roman"/>
      <w:b/>
      <w:sz w:val="32"/>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hAnsi="Times New Roman" w:cs="Times New Roman"/>
      <w:b w:val="0"/>
      <w:sz w:val="24"/>
      <w:lang w:val="el-GR"/>
    </w:rPr>
  </w:style>
  <w:style w:type="character" w:customStyle="1" w:styleId="HeaderSensitivityChar">
    <w:name w:val="Header Sensitivity Char"/>
    <w:basedOn w:val="TypedudocumentChar"/>
    <w:rPr>
      <w:rFonts w:ascii="Times New Roman" w:hAnsi="Times New Roman" w:cs="Times New Roman"/>
      <w:b/>
      <w:sz w:val="32"/>
      <w:lang w:val="el-GR"/>
    </w:rPr>
  </w:style>
  <w:style w:type="character" w:customStyle="1" w:styleId="HeaderSensitivityRightChar">
    <w:name w:val="Header Sensitivity Right Char"/>
    <w:basedOn w:val="TypedudocumentChar"/>
    <w:rPr>
      <w:rFonts w:ascii="Times New Roman" w:hAnsi="Times New Roman" w:cs="Times New Roman"/>
      <w:b w:val="0"/>
      <w:sz w:val="28"/>
      <w:lang w:val="el-GR"/>
    </w:rPr>
  </w:style>
  <w:style w:type="character" w:customStyle="1" w:styleId="Text2Char">
    <w:name w:val="Text 2 Char"/>
    <w:basedOn w:val="DefaultParagraphFont"/>
    <w:locked/>
    <w:rPr>
      <w:rFonts w:ascii="Times New Roman" w:hAnsi="Times New Roman" w:cs="Times New Roman"/>
      <w:sz w:val="24"/>
      <w:lang w:val="el-GR"/>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jc w:val="left"/>
    </w:pPr>
    <w:rPr>
      <w:rFonts w:asciiTheme="minorHAnsi" w:hAnsiTheme="minorHAnsi" w:cstheme="minorBidi"/>
      <w:sz w:val="22"/>
      <w:lang w:eastAsia="nl-NL"/>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l-GR"/>
    </w:rPr>
  </w:style>
  <w:style w:type="table" w:customStyle="1" w:styleId="GridTable4-Accent11">
    <w:name w:val="Grid Table 4 - Accent 11"/>
    <w:basedOn w:val="TableNormal"/>
    <w:uiPriority w:val="49"/>
    <w:pPr>
      <w:spacing w:after="0" w:line="240" w:lineRule="auto"/>
    </w:pPr>
    <w:rPr>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0Body">
    <w:name w:val="0 Body"/>
    <w:basedOn w:val="Normal"/>
    <w:link w:val="0BodyChar"/>
    <w:qFormat/>
    <w:pPr>
      <w:spacing w:before="0" w:after="240"/>
    </w:pPr>
    <w:rPr>
      <w:rFonts w:eastAsia="Times New Roman"/>
      <w:szCs w:val="20"/>
      <w:lang w:eastAsia="en-GB"/>
    </w:rPr>
  </w:style>
  <w:style w:type="character" w:customStyle="1" w:styleId="0BodyChar">
    <w:name w:val="0 Body Char"/>
    <w:link w:val="0Body"/>
    <w:rPr>
      <w:rFonts w:ascii="Times New Roman" w:eastAsia="Times New Roman" w:hAnsi="Times New Roman" w:cs="Times New Roman"/>
      <w:sz w:val="24"/>
      <w:szCs w:val="20"/>
      <w:lang w:val="el-GR"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runcate">
    <w:name w:val="truncate"/>
    <w:basedOn w:val="DefaultParagraphFont"/>
  </w:style>
  <w:style w:type="paragraph" w:styleId="ListParagraph">
    <w:name w:val="List Paragraph"/>
    <w:basedOn w:val="Normal"/>
    <w:uiPriority w:val="34"/>
    <w:qFormat/>
    <w:pPr>
      <w:ind w:left="720"/>
      <w:contextualSpacing/>
    </w:pPr>
  </w:style>
  <w:style w:type="character" w:customStyle="1" w:styleId="white-space">
    <w:name w:val="white-space"/>
    <w:basedOn w:val="DefaultParagraphFont"/>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3169">
      <w:bodyDiv w:val="1"/>
      <w:marLeft w:val="0"/>
      <w:marRight w:val="0"/>
      <w:marTop w:val="0"/>
      <w:marBottom w:val="0"/>
      <w:divBdr>
        <w:top w:val="none" w:sz="0" w:space="0" w:color="auto"/>
        <w:left w:val="none" w:sz="0" w:space="0" w:color="auto"/>
        <w:bottom w:val="none" w:sz="0" w:space="0" w:color="auto"/>
        <w:right w:val="none" w:sz="0" w:space="0" w:color="auto"/>
      </w:divBdr>
    </w:div>
    <w:div w:id="1313559427">
      <w:bodyDiv w:val="1"/>
      <w:marLeft w:val="0"/>
      <w:marRight w:val="0"/>
      <w:marTop w:val="0"/>
      <w:marBottom w:val="0"/>
      <w:divBdr>
        <w:top w:val="none" w:sz="0" w:space="0" w:color="auto"/>
        <w:left w:val="none" w:sz="0" w:space="0" w:color="auto"/>
        <w:bottom w:val="none" w:sz="0" w:space="0" w:color="auto"/>
        <w:right w:val="none" w:sz="0" w:space="0" w:color="auto"/>
      </w:divBdr>
    </w:div>
    <w:div w:id="1396316435">
      <w:bodyDiv w:val="1"/>
      <w:marLeft w:val="0"/>
      <w:marRight w:val="0"/>
      <w:marTop w:val="0"/>
      <w:marBottom w:val="0"/>
      <w:divBdr>
        <w:top w:val="none" w:sz="0" w:space="0" w:color="auto"/>
        <w:left w:val="none" w:sz="0" w:space="0" w:color="auto"/>
        <w:bottom w:val="none" w:sz="0" w:space="0" w:color="auto"/>
        <w:right w:val="none" w:sz="0" w:space="0" w:color="auto"/>
      </w:divBdr>
    </w:div>
    <w:div w:id="20699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ministerial-declaration-egovernment-tallinn-declaration" TargetMode="External"/><Relationship Id="rId2" Type="http://schemas.openxmlformats.org/officeDocument/2006/relationships/hyperlink" Target="https://ec.europa.eu/info/sites/info/files/strategic-plan-2016-2020-dg-taxud_march2016_en.pdf" TargetMode="External"/><Relationship Id="rId1" Type="http://schemas.openxmlformats.org/officeDocument/2006/relationships/hyperlink" Target="https://ec.europa.eu/isa2/sites/isa/files/isa_annex_ii_eif_en.pdf"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s://data.consilium.europa.eu/doc/document/ST-16507-2014-INIT/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2926-00BE-462E-8ABE-0D9F9CDA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42</Pages>
  <Words>21467</Words>
  <Characters>131813</Characters>
  <Application>Microsoft Office Word</Application>
  <DocSecurity>0</DocSecurity>
  <Lines>3214</Lines>
  <Paragraphs>1094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2020-10-30T10:37:00Z</dcterms:created>
  <dcterms:modified xsi:type="dcterms:W3CDTF">2020-11-04T14:21:00Z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8.0, Build 20200910</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LWTemplateID">
    <vt:lpwstr>SJ-023</vt:lpwstr>
  </property>
  <property fmtid="{D5CDD505-2E9C-101B-9397-08002B2CF9AE}" pid="6" name="Last edited using">
    <vt:lpwstr>LW 7.0, Build 20190717</vt:lpwstr>
  </property>
  <property fmtid="{D5CDD505-2E9C-101B-9397-08002B2CF9AE}" pid="7" name="Part">
    <vt:lpwstr>1</vt:lpwstr>
  </property>
  <property fmtid="{D5CDD505-2E9C-101B-9397-08002B2CF9AE}" pid="8" name="Total parts">
    <vt:lpwstr>1</vt:lpwstr>
  </property>
  <property fmtid="{D5CDD505-2E9C-101B-9397-08002B2CF9AE}" pid="9" name="DQCStatus">
    <vt:lpwstr>Green (DQC version 03)</vt:lpwstr>
  </property>
</Properties>
</file>