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A21A6DAD-B34B-490D-94C1-B9ACD7BBDA3F" style="width:450.75pt;height:422.2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Razlozi i ciljevi prijedloga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Cilj je nacrta odluke Zajedničkog odbora EGP-a (priloženog predloženoj odluci Vijeća) izmjena Priloga IV. (Energija) Sporazumu o EGP-u kako bi se u njega uključila Uredba Komisije (EU) 2016/1719 od 26. rujna 2016. o uspostavljanju smjernica za dugoročnu dodjelu kapaciteta</w:t>
      </w:r>
      <w:r>
        <w:rPr>
          <w:rStyle w:val="FootnoteReference0"/>
          <w:bCs/>
          <w:noProof/>
          <w:szCs w:val="24"/>
        </w:rPr>
        <w:footnoteReference w:id="1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 kodeksima i smjernicama za elektroenergetsku mrežu koji su izrađeni na temelju trećeg energetskog paketa, utvrđena su tehnička pravila kojima će se olakšati trgovanje na unutarnjem tržištu električne energije EU-a. Posve funkcionalno i međusobno povezano unutarnje tržište energije ključno je za ciljeve sigurne opskrbe, povećanja konkurentnosti i osiguranja da kupci mogu kupiti energiju po pristupačnim cijenama. Između Norveške, države EFTA-e koja je članica EGP-a, i država članica EU-a uspostavljene su značajne elektroenergetske interkonekcije. Stoga je nužno da se tehnička pravila koja se primjenjuju na trgovanje na unutarnjem tržištu električne energije EU-a prošire na EGP kako bi se osigurala pravna homogenost kao osnova za trgovanje električnom energijom.</w:t>
      </w:r>
    </w:p>
    <w:p>
      <w:pPr>
        <w:rPr>
          <w:noProof/>
        </w:rPr>
      </w:pPr>
      <w:r>
        <w:rPr>
          <w:noProof/>
        </w:rPr>
        <w:t>Uredbom Komisije (EU) 2016/1719 utvrđuju se detaljna pravila za dodjelu kapaciteta u zonama trgovanja na dugoročnim tržištima. Njome se uspostavlja zajednička metodologija za utvrđivanje dugoročnih kapaciteta u zonama trgovanja i jedinstvena platforma na europskoj razini na kojoj se nude prava prijenosa električne energije, mogućnost povrata takvih prava i njihova prijenosa među sudionicima na tržištu. Primjenjuje se na sve operatore prijenosnih sustava, osim na otočne prijenosne sustave koji nisu povezani s drugim sustavom.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Prilagodbe u nacrtu priložene odluke Zajedničkog odbora EGP-a nadilaze puke tehničke prilagodbe u smislu Uredbe Vijeća br. 2894/94. Stoga Vijeće utvrđuje stajalište Unije. 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Dosljednost s postojećim odredbama politike u tom području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Priloženim nacrtom odluke Zajedničkog odbora EGP-a proširuje se već postojeća politika EU-a na države EFTA-e koje su članice EGP-a (Norveška, Island i Lihtenštajn).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Dosljednost u odnosu na druge politike Unije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Proširenje pravne stečevine EU-a na države EFTA-e koje su članice EGP-a uključivanjem u Sporazum o EGP-u provodi se u skladu s ciljevima i načelima tog sporazuma, čiji je cilj uspostaviti dinamičan i homogen Europski gospodarski prostor utemeljen na zajedničkim pravilima i jednakim uvjetima tržišnog natjecanja.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Pravna osnova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Zakonodavstvo koje se treba uključiti u Sporazum o EGP-u temelji se na članku 194. Ugovora o funkcioniranju Europske unije.</w:t>
      </w:r>
    </w:p>
    <w:p>
      <w:pPr>
        <w:pStyle w:val="Normal1"/>
        <w:jc w:val="both"/>
        <w:rPr>
          <w:noProof/>
        </w:rPr>
      </w:pPr>
      <w:r>
        <w:rPr>
          <w:noProof/>
        </w:rPr>
        <w:lastRenderedPageBreak/>
        <w:t>Člankom 1. stavkom 3. Uredbe Vijeća (EZ) br. 2894/94</w:t>
      </w:r>
      <w:r>
        <w:rPr>
          <w:rStyle w:val="FootnoteReference0"/>
          <w:noProof/>
        </w:rPr>
        <w:footnoteReference w:id="2"/>
      </w:r>
      <w:r>
        <w:rPr>
          <w:noProof/>
        </w:rPr>
        <w:t xml:space="preserve"> o rješenjima za provedbu Sporazuma o EGP-u predviđa se da Vijeće na prijedlog Komisije utvrđuje stajalište o takvim odlukama koje treba zauzeti u ime Unije.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Supsidijarnost (za neisključivu nadležnost)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Prijedlog je u skladu s načelom supsidijarnosti iz sljedećeg razloga: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cilj ovog prijedloga – osiguravanje homogenosti unutarnjeg tržišta – ne mogu u dovoljnoj mjeri ostvariti države članice i stoga se zbog svojih učinaka on može bolje ostvariti na razini Unije.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Proporcionalnost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 skladu s načelom proporcionalnosti ovaj prijedlog ne prelazi ono što je potrebno za ostvarivanje njegova cilja.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Odabir instrumenta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 skladu s člankom 98. Sporazuma o EGP-u, odabrani je instrument odluka Zajedničkog odbora EGP-a. Zajednički odbor EGP-a osigurava učinkovitu provedbu i primjenu Sporazuma o EGP-u. U tu svrhu on donosi odluke u slučajevima koji su predviđeni u Sporazumu o EGP-u.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REZULTATI </w:t>
      </w:r>
      <w:r>
        <w:rPr>
          <w:i/>
          <w:iCs/>
          <w:noProof/>
        </w:rPr>
        <w:t>EX POST</w:t>
      </w:r>
      <w:r>
        <w:rPr>
          <w:noProof/>
        </w:rPr>
        <w:t xml:space="preserve"> EVALUACIJA, SAVJETOVANJA S DIONICIMA I PROCJENA UČINKA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i/>
          <w:iCs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 xml:space="preserve"> evaluacije/provjere primjerenosti postojećeg zakonodavstva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 očekuje se da će uključivanje navedene uredbe u Sporazum o EGP-u utjecati na proračun.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DRUGI ELEMENTI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Detaljno obrazloženje posebnih odredaba prijedloga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i/>
          <w:noProof/>
          <w:u w:val="single"/>
        </w:rPr>
      </w:pPr>
      <w:r>
        <w:rPr>
          <w:i/>
          <w:noProof/>
          <w:u w:val="single"/>
        </w:rPr>
        <w:t>Prilagodba (a) – neprimjenjivost na Island i Lihtenštajn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Budući da prijenosni sustav Islanda nije povezan s drugim prijenosnim sustavima, Uredba Komisije (EU) 2016/1719 ne bi se trebala primjenjivati na Island.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Uredba Komisije (EU) 2016/1719 ne bi se trebala primjenjivati na Lihtenštajn jer zbog svoje male veličine i ograničenog broja kupaca električne energije Lihtenštajn nema vlastitu mrežu za prijenos električne energije.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i/>
          <w:noProof/>
          <w:u w:val="single"/>
        </w:rPr>
      </w:pPr>
      <w:r>
        <w:rPr>
          <w:i/>
          <w:noProof/>
          <w:u w:val="single"/>
        </w:rPr>
        <w:t>Prilagodba (b) i uvodna izjava 6. – osjetljive informacije o elektroenergetskom sustavu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Uredba Komisije (EU) 2016/1719 sadržava odredbe kojima se utvrđuju obveze pružanja informacija Europskoj mreži operatora prijenosnih sustava za električnu energiju (ENTSO-E) </w:t>
      </w:r>
      <w:r>
        <w:rPr>
          <w:noProof/>
        </w:rPr>
        <w:lastRenderedPageBreak/>
        <w:t>i Agenciji za suradnju energetskih regulatora (ACER). Prilagodbom (b) omogućuje se da operatori prijenosnog sustava i regulatori razmjenjuju i štite takve informacije.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i/>
          <w:noProof/>
          <w:u w:val="single"/>
        </w:rPr>
      </w:pPr>
      <w:r>
        <w:rPr>
          <w:i/>
          <w:noProof/>
          <w:u w:val="single"/>
        </w:rPr>
        <w:t>Prilagodba (c) i uvodna izjava 7. – upućivanje na prava sudjelovanja norveškog operatora prijenosnog sustava, nominiranog operatora tržišta električne energije i nacionalnog regulatornog tijela u izradi i odobravanju odredaba, uvjeta i metodologija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Prilagodbom i prethodno navedenom uvodnom izjavom prilagođavaju se relevantne odredbe članka 4. Uredbe Komisije (EU) 2016/1719 o pravima sudjelovanja relevantnih subjekata u izradi i odobrenju odredaba, uvjeta i metodologija za uključivanje Norveške.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2020/0316 (NLE)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ODLUKE VIJEĆA</w:t>
      </w:r>
    </w:p>
    <w:p>
      <w:pPr>
        <w:pStyle w:val="Titreobjet"/>
        <w:rPr>
          <w:noProof/>
        </w:rPr>
      </w:pPr>
      <w:r>
        <w:rPr>
          <w:noProof/>
        </w:rPr>
        <w:t xml:space="preserve">o stajalištu koje treba zauzeti u ime Europske unije u okviru Zajedničkog odbora EGP-a u vezi s izmjenom Priloga IV. (Energija) Sporazumu o EGP-u </w:t>
      </w:r>
      <w:r>
        <w:rPr>
          <w:noProof/>
        </w:rPr>
        <w:br/>
        <w:t xml:space="preserve"> </w:t>
      </w:r>
      <w:r>
        <w:rPr>
          <w:noProof/>
        </w:rPr>
        <w:br/>
        <w:t>[32016R1719 – Smjernice za dugoročnu dodjelu kapaciteta „FCA”]</w:t>
      </w:r>
    </w:p>
    <w:p>
      <w:pPr>
        <w:pStyle w:val="IntrtEEE"/>
        <w:rPr>
          <w:noProof/>
        </w:rPr>
      </w:pPr>
      <w:r>
        <w:rPr>
          <w:noProof/>
        </w:rPr>
        <w:t>(Tekst značajan za EGP)</w:t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 194. u vezi s člankom 218. stavkom 9.,</w:t>
      </w:r>
    </w:p>
    <w:p>
      <w:pPr>
        <w:rPr>
          <w:noProof/>
        </w:rPr>
      </w:pPr>
      <w:r>
        <w:rPr>
          <w:noProof/>
        </w:rPr>
        <w:t>uzimajući u obzir Uredbu Vijeća (EZ) br. 2894/94 od 28. studenoga 1994. o rješenjima za provedbu Sporazuma o Europskom gospodarskom prostoru</w:t>
      </w:r>
      <w:r>
        <w:rPr>
          <w:rStyle w:val="FootnoteReference0"/>
          <w:noProof/>
        </w:rPr>
        <w:footnoteReference w:id="3"/>
      </w:r>
      <w:r>
        <w:rPr>
          <w:noProof/>
        </w:rPr>
        <w:t>, a posebno njezin članak 1. stavak 3.,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Sporazum o Europskom gospodarskom prostoru</w:t>
      </w:r>
      <w:r>
        <w:rPr>
          <w:rStyle w:val="FootnoteReference0"/>
          <w:noProof/>
        </w:rPr>
        <w:footnoteReference w:id="4"/>
      </w:r>
      <w:r>
        <w:rPr>
          <w:noProof/>
        </w:rPr>
        <w:t xml:space="preserve"> („Sporazum o EGP-u”) stupio je na snagu 1. siječnja 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U skladu s člankom 98. Sporazuma o EGP-u Zajednički odbor EGP-a može odlučiti izmijeniti, među ostalim, Prilog IV. Sporazumu o EGP-u.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Uredba Komisije (EU) 2016/1719 оd 26. rujna 2016. o uspostavljanju smjernica za dugoročnu dodjelu kapaciteta</w:t>
      </w:r>
      <w:r>
        <w:rPr>
          <w:rStyle w:val="FootnoteReference0"/>
          <w:bCs/>
          <w:noProof/>
          <w:szCs w:val="24"/>
        </w:rPr>
        <w:footnoteReference w:id="5"/>
      </w:r>
      <w:r>
        <w:rPr>
          <w:noProof/>
        </w:rPr>
        <w:t xml:space="preserve"> treba se uključiti u Sporazum o EGP-u.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Prilog IV. Sporazumu o EGP-u trebalo bi stoga na odgovarajući način izmijeniti.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Stajalište Unije u okviru Zajedničkog odbora EGP-a trebalo bi se stoga temeljiti na priloženom nacrtu odluke,</w:t>
      </w:r>
    </w:p>
    <w:p>
      <w:pPr>
        <w:pStyle w:val="Formuledadoption"/>
        <w:rPr>
          <w:noProof/>
        </w:rPr>
      </w:pPr>
      <w:r>
        <w:rPr>
          <w:noProof/>
        </w:rPr>
        <w:t xml:space="preserve">DONIJELO JE OVU ODLUKU: 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rPr>
          <w:noProof/>
        </w:rPr>
      </w:pPr>
      <w:r>
        <w:rPr>
          <w:noProof/>
        </w:rPr>
        <w:t>Stajalište koje treba zauzeti u ime Unije u okviru Zajedničkog odbora EGP-a o predloženoj izmjeni Priloga IV. (Energija) Sporazumu o EGP-u temelji se na nacrtima odluka Zajedničkog odbora EGP-a priloženima ovoj Odluci.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Članak 2.</w:t>
      </w:r>
    </w:p>
    <w:p>
      <w:pPr>
        <w:keepNext/>
        <w:keepLines/>
        <w:rPr>
          <w:noProof/>
        </w:rPr>
      </w:pPr>
      <w:r>
        <w:rPr>
          <w:noProof/>
        </w:rPr>
        <w:t>Ova Odluka stupa na snagu na dan donošenja.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0"/>
        </w:rPr>
        <w:footnoteRef/>
      </w:r>
      <w:r>
        <w:tab/>
        <w:t>SL L 259, 27.9.2016., str. 42.</w:t>
      </w:r>
    </w:p>
  </w:footnote>
  <w:footnote w:id="2">
    <w:p>
      <w:pPr>
        <w:pStyle w:val="FootnoteText"/>
      </w:pPr>
      <w:r>
        <w:rPr>
          <w:rStyle w:val="FootnoteReference0"/>
        </w:rPr>
        <w:footnoteRef/>
      </w:r>
      <w:r>
        <w:tab/>
        <w:t>SL L 305, 30.11.1994., str. 6.–8.</w:t>
      </w:r>
    </w:p>
  </w:footnote>
  <w:footnote w:id="3">
    <w:p>
      <w:pPr>
        <w:pStyle w:val="FootnoteText"/>
      </w:pPr>
      <w:r>
        <w:rPr>
          <w:rStyle w:val="FootnoteReference0"/>
        </w:rPr>
        <w:footnoteRef/>
      </w:r>
      <w:r>
        <w:tab/>
        <w:t>SL L 305, 30.11.1994., str. 6.</w:t>
      </w:r>
    </w:p>
  </w:footnote>
  <w:footnote w:id="4">
    <w:p>
      <w:pPr>
        <w:pStyle w:val="FootnoteText"/>
      </w:pPr>
      <w:r>
        <w:rPr>
          <w:rStyle w:val="FootnoteReference0"/>
        </w:rPr>
        <w:footnoteRef/>
      </w:r>
      <w:r>
        <w:tab/>
        <w:t>SL L 1, 3.1.1994., str. 3.</w:t>
      </w:r>
    </w:p>
  </w:footnote>
  <w:footnote w:id="5">
    <w:p>
      <w:pPr>
        <w:pStyle w:val="FootnoteText"/>
      </w:pPr>
      <w:r>
        <w:rPr>
          <w:rStyle w:val="FootnoteReference0"/>
        </w:rPr>
        <w:footnoteRef/>
      </w:r>
      <w:r>
        <w:tab/>
        <w:t>SL L 259, 27.9.2016., str. 42.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90A44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D07C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7272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6460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9873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6E63D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D08B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EECC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1-10 11:12:1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21A6DAD-B34B-490D-94C1-B9ACD7BBDA3F"/>
    <w:docVar w:name="LW_COVERPAGE_TYPE" w:val="1"/>
    <w:docVar w:name="LW_CROSSREFERENCE" w:val="&lt;UNUSED&gt;"/>
    <w:docVar w:name="LW_DocType" w:val="COM"/>
    <w:docVar w:name="LW_EMISSION" w:val="12.11.2020."/>
    <w:docVar w:name="LW_EMISSION_ISODATE" w:val="2020-11-12"/>
    <w:docVar w:name="LW_EMISSION_LOCATION" w:val="BRX"/>
    <w:docVar w:name="LW_EMISSION_PREFIX" w:val="Bruxelle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kst zna\u269?ajan za EGP)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316"/>
    <w:docVar w:name="LW_REF.II.NEW.CP_YEAR" w:val="2020"/>
    <w:docVar w:name="LW_REF.INST.NEW" w:val="COM"/>
    <w:docVar w:name="LW_REF.INST.NEW_ADOPTED" w:val="final"/>
    <w:docVar w:name="LW_REF.INST.NEW_TEXT" w:val="(2020) 70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stajali\u353?tu koje treba zauzeti u ime Europske unije u okviru Zajedni\u269?kog odbora EGP-a u vezi s izmjenom Priloga IV. (Energija) Sporazumu o EGP-u _x000b_ _x000b_[32016R1719 \u8211? Smjernice za dugoro\u269?nu dodjelu kapaciteta \u8222?FCA\u8221?]"/>
    <w:docVar w:name="LW_TYPE.DOC.CP" w:val="ODLUK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footnotereference">
    <w:name w:val="footnotereferen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otnoteReference0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footnotereference">
    <w:name w:val="footnotereferen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otnoteReference0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967</Words>
  <Characters>5891</Characters>
  <Application>Microsoft Office Word</Application>
  <DocSecurity>0</DocSecurity>
  <Lines>115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2020-11-09T10:54:00Z</dcterms:created>
  <dcterms:modified xsi:type="dcterms:W3CDTF">2020-11-10T10:12:00Z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