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080B76F1-0874-47D7-92D0-A5BAA9BED35E" style="width:450.75pt;height:436.5pt">
            <v:imagedata r:id="rId8" o:title=""/>
          </v:shape>
        </w:pict>
      </w:r>
    </w:p>
    <w:p>
      <w:pPr>
        <w:rPr>
          <w:noProof/>
        </w:rPr>
        <w:sectPr>
          <w:footerReference w:type="default" r:id="rId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BEGRÜNDUNG</w:t>
      </w:r>
    </w:p>
    <w:p>
      <w:pPr>
        <w:pStyle w:val="ManualHeading1"/>
        <w:rPr>
          <w:noProof/>
        </w:rPr>
      </w:pPr>
      <w:r>
        <w:rPr>
          <w:noProof/>
        </w:rPr>
        <w:t>1.</w:t>
      </w:r>
      <w:r>
        <w:rPr>
          <w:noProof/>
        </w:rPr>
        <w:tab/>
        <w:t>KONTEXT DES VORSCHLAGS</w:t>
      </w:r>
    </w:p>
    <w:p>
      <w:pPr>
        <w:pStyle w:val="ManualHeading2"/>
        <w:rPr>
          <w:rFonts w:eastAsia="Arial Unicode MS"/>
          <w:noProof/>
        </w:rPr>
      </w:pPr>
      <w:r>
        <w:rPr>
          <w:noProof/>
          <w:color w:val="000000"/>
          <w:u w:color="000000"/>
          <w:bdr w:val="nil"/>
        </w:rPr>
        <w:t>•</w:t>
      </w:r>
      <w:r>
        <w:rPr>
          <w:noProof/>
        </w:rPr>
        <w:tab/>
        <w:t>Gründe und Ziele des Vorschlags</w:t>
      </w:r>
    </w:p>
    <w:p>
      <w:pPr>
        <w:pBdr>
          <w:top w:val="nil"/>
          <w:left w:val="nil"/>
          <w:bottom w:val="nil"/>
          <w:right w:val="nil"/>
          <w:between w:val="nil"/>
          <w:bar w:val="nil"/>
        </w:pBdr>
        <w:spacing w:before="0" w:after="240"/>
        <w:rPr>
          <w:noProof/>
        </w:rPr>
      </w:pPr>
      <w:r>
        <w:rPr>
          <w:noProof/>
        </w:rPr>
        <w:t>Mit dem Beschluss des Gemeinsamen EWR-Ausschusses, der diesem Vorschlag für einen Beschluss des Rates im Entwurf beigefügt ist, soll Anhang IV (Energie) des EWR-Abkommens geändert werden, um die Verordnung (EU) Nr. 2016/1719 der Kommission vom 26. September 2016 zur Festlegung einer Leitlinie für die Vergabe langfristiger Kapazität</w:t>
      </w:r>
      <w:r>
        <w:rPr>
          <w:rStyle w:val="FootnoteReference0"/>
          <w:bCs/>
          <w:noProof/>
          <w:szCs w:val="24"/>
        </w:rPr>
        <w:footnoteReference w:id="1"/>
      </w:r>
      <w:r>
        <w:rPr>
          <w:noProof/>
        </w:rPr>
        <w:t xml:space="preserve"> in das EWR-Abkommen aufzunehmen.</w:t>
      </w:r>
    </w:p>
    <w:p>
      <w:pPr>
        <w:pBdr>
          <w:top w:val="nil"/>
          <w:left w:val="nil"/>
          <w:bottom w:val="nil"/>
          <w:right w:val="nil"/>
          <w:between w:val="nil"/>
          <w:bar w:val="nil"/>
        </w:pBdr>
        <w:spacing w:before="0" w:after="240"/>
        <w:rPr>
          <w:noProof/>
        </w:rPr>
      </w:pPr>
      <w:r>
        <w:rPr>
          <w:noProof/>
        </w:rPr>
        <w:t>Die Stromnetzkodizes und -leitlinien, die auf der Grundlage des 3. Energiepakets festgelegt wurden, enthalten technische Vorschriften zur Erleichterung des Handels innerhalb des EU-Elektrizitätsbinnenmarkts. Ein voll funktionierender und vernetzter Energiebinnenmarkt ist für die Ziele – Erhaltung der Energieversorgungssicherheit, Stärkung der Wettbewerbsfähigkeit und Gewährleistung erschwinglicher Energiepreise für die Verbraucher – von entscheidender Bedeutung. Zwischen dem EWR-/EFTA-Staat Norwegen und den EU-Mitgliedstaaten wurden wichtige Stromverbindungsleitungen gebaut. Daher ist es unerlässlich, dass die technischen Vorschriften für den Handel innerhalb des EU-Elektrizitätsbinnenmarkts auf den EWR ausgedehnt werden, um die rechtliche Homogenität als Grundlage für den Stromhandel zu gewährleisten.</w:t>
      </w:r>
    </w:p>
    <w:p>
      <w:pPr>
        <w:rPr>
          <w:noProof/>
        </w:rPr>
      </w:pPr>
      <w:r>
        <w:rPr>
          <w:noProof/>
        </w:rPr>
        <w:t>Die Verordnung (EU) 2016/1719 der Kommission enthält detaillierte Vorschriften für die Vergabe von zonenübergreifender Kapazität auf den Märkten für langfristige Kapazität. Sie legt eine gemeinsame Methode zur Ermittlung langfristiger zonenübergreifender Kapazität sowie für die Einrichtung einer zentralen Vergabeplattform auf europäischer Ebene fest, auf der langfristige Übertragungsrechte angeboten werden, und sieht die Möglichkeit der Rückgabe solcher Rechte und deren Übertragung zwischen Marktteilnehmern vor. Sie gilt für die Betreiber aller Übertragungsnetze, mit Ausnahme der Übertragungsnetze auf Inseln, die nicht mit anderen Übertragungsnetzen verbunden sind.</w:t>
      </w:r>
    </w:p>
    <w:p>
      <w:pPr>
        <w:pBdr>
          <w:top w:val="nil"/>
          <w:left w:val="nil"/>
          <w:bottom w:val="nil"/>
          <w:right w:val="nil"/>
          <w:between w:val="nil"/>
          <w:bar w:val="nil"/>
        </w:pBdr>
        <w:spacing w:before="0" w:after="240"/>
        <w:rPr>
          <w:rFonts w:eastAsia="Arial Unicode MS"/>
          <w:noProof/>
        </w:rPr>
      </w:pPr>
      <w:r>
        <w:rPr>
          <w:noProof/>
        </w:rPr>
        <w:t xml:space="preserve">Die Anpassungen im Entwurf des beigefügten Beschlusses des Gemeinsamen EWR-Ausschusses gehen über das hinaus, was als rein technische Anpassungen im Sinne der Verordnung (EG) Nr. 2894/94 des Rates angesehen werden kann. Der Standpunkt der Union wird daher vom Rat festgelegt.  </w:t>
      </w:r>
    </w:p>
    <w:p>
      <w:pPr>
        <w:pStyle w:val="ManualHeading2"/>
        <w:rPr>
          <w:rFonts w:eastAsia="Arial Unicode MS"/>
          <w:noProof/>
          <w:color w:val="000000"/>
          <w:u w:color="000000"/>
          <w:bdr w:val="nil"/>
        </w:rPr>
      </w:pPr>
      <w:r>
        <w:rPr>
          <w:noProof/>
          <w:color w:val="000000"/>
          <w:u w:color="000000"/>
          <w:bdr w:val="nil"/>
        </w:rPr>
        <w:t>•</w:t>
      </w:r>
      <w:r>
        <w:rPr>
          <w:noProof/>
        </w:rPr>
        <w:tab/>
        <w:t>Kohärenz mit den bestehenden Vorschriften in diesem Bereich</w:t>
      </w:r>
    </w:p>
    <w:p>
      <w:pPr>
        <w:pBdr>
          <w:top w:val="nil"/>
          <w:left w:val="nil"/>
          <w:bottom w:val="nil"/>
          <w:right w:val="nil"/>
          <w:between w:val="nil"/>
          <w:bar w:val="nil"/>
        </w:pBdr>
        <w:spacing w:before="0" w:after="240"/>
        <w:rPr>
          <w:rFonts w:eastAsia="Arial Unicode MS"/>
          <w:noProof/>
        </w:rPr>
      </w:pPr>
      <w:r>
        <w:rPr>
          <w:noProof/>
        </w:rPr>
        <w:t>Mit dem beigefügten Entwurf eines Beschlusses des Gemeinsamen EWR-Ausschusses wird die bereits bestehende EU-Politik auf die EWR-EFTA-Staaten (Norwegen, Island und Liechtenstein) ausgedehnt.</w:t>
      </w:r>
    </w:p>
    <w:p>
      <w:pPr>
        <w:pStyle w:val="ManualHeading2"/>
        <w:rPr>
          <w:rFonts w:eastAsia="Arial Unicode MS"/>
          <w:noProof/>
        </w:rPr>
      </w:pPr>
      <w:r>
        <w:rPr>
          <w:noProof/>
          <w:color w:val="000000"/>
          <w:u w:color="000000"/>
          <w:bdr w:val="nil"/>
        </w:rPr>
        <w:t>•</w:t>
      </w:r>
      <w:r>
        <w:rPr>
          <w:noProof/>
        </w:rPr>
        <w:tab/>
        <w:t>Kohärenz mit der Politik der Union in anderen Bereichen</w:t>
      </w:r>
    </w:p>
    <w:p>
      <w:pPr>
        <w:pBdr>
          <w:top w:val="nil"/>
          <w:left w:val="nil"/>
          <w:bottom w:val="nil"/>
          <w:right w:val="nil"/>
          <w:between w:val="nil"/>
          <w:bar w:val="nil"/>
        </w:pBdr>
        <w:spacing w:before="0" w:after="240"/>
        <w:rPr>
          <w:rFonts w:eastAsia="Arial Unicode MS"/>
          <w:noProof/>
        </w:rPr>
      </w:pPr>
      <w:r>
        <w:rPr>
          <w:noProof/>
        </w:rPr>
        <w:t>Die Ausdehnung des EU-Besitzstands auf die EWR-EFTA-Staaten durch dessen Einbeziehung in das EWR-Abkommen erfolgt im Einklang mit den Zielen und Grundsätzen dieses Abkommens, im Bestreben, einen dynamischen und homogenen Europäischen Wirtschaftsraum zu errichten, der auf gemeinsamen Regeln und gleichen Wettbewerbsbedingungen beruht.</w:t>
      </w:r>
    </w:p>
    <w:p>
      <w:pPr>
        <w:pStyle w:val="ManualHeading1"/>
        <w:rPr>
          <w:noProof/>
        </w:rPr>
      </w:pPr>
      <w:r>
        <w:rPr>
          <w:noProof/>
        </w:rPr>
        <w:lastRenderedPageBreak/>
        <w:t>2.</w:t>
      </w:r>
      <w:r>
        <w:rPr>
          <w:noProof/>
        </w:rPr>
        <w:tab/>
        <w:t>RECHTSGRUNDLAGE, SUBSIDIARITÄT UND VERHÄLTNISMÄẞIGKEIT</w:t>
      </w:r>
    </w:p>
    <w:p>
      <w:pPr>
        <w:pStyle w:val="ManualHeading2"/>
        <w:rPr>
          <w:rFonts w:eastAsia="Arial Unicode MS"/>
          <w:noProof/>
          <w:u w:color="000000"/>
          <w:bdr w:val="nil"/>
        </w:rPr>
      </w:pPr>
      <w:r>
        <w:rPr>
          <w:noProof/>
          <w:u w:color="000000"/>
          <w:bdr w:val="nil"/>
        </w:rPr>
        <w:t>•</w:t>
      </w:r>
      <w:r>
        <w:rPr>
          <w:noProof/>
        </w:rPr>
        <w:tab/>
      </w:r>
      <w:r>
        <w:rPr>
          <w:noProof/>
          <w:u w:color="000000"/>
          <w:bdr w:val="nil"/>
        </w:rPr>
        <w:t>Rechtsgrundlage</w:t>
      </w:r>
    </w:p>
    <w:p>
      <w:pPr>
        <w:pBdr>
          <w:top w:val="nil"/>
          <w:left w:val="nil"/>
          <w:bottom w:val="nil"/>
          <w:right w:val="nil"/>
          <w:between w:val="nil"/>
          <w:bar w:val="nil"/>
        </w:pBdr>
        <w:spacing w:before="0" w:after="240"/>
        <w:rPr>
          <w:noProof/>
        </w:rPr>
      </w:pPr>
      <w:r>
        <w:rPr>
          <w:noProof/>
        </w:rPr>
        <w:t>Die in das EWR-Abkommen aufzunehmenden Rechtsvorschriften beruhen auf Artikel 194 des Vertrags über die Arbeitsweise der Europäischen Union.</w:t>
      </w:r>
    </w:p>
    <w:p>
      <w:pPr>
        <w:pStyle w:val="Normal1"/>
        <w:jc w:val="both"/>
        <w:rPr>
          <w:noProof/>
        </w:rPr>
      </w:pPr>
      <w:r>
        <w:rPr>
          <w:noProof/>
        </w:rPr>
        <w:t>Der im Namen der Union zu vertretende Standpunkt zu solchen Beschlüssen wird nach Artikel 1 Absatz 3 der Verordnung (EG) Nr. 2894/94 des Rates mit Durchführungsvorschriften zum EWR-Abkommen</w:t>
      </w:r>
      <w:r>
        <w:rPr>
          <w:rStyle w:val="FootnoteReference0"/>
          <w:noProof/>
        </w:rPr>
        <w:footnoteReference w:id="2"/>
      </w:r>
      <w:r>
        <w:rPr>
          <w:noProof/>
        </w:rPr>
        <w:t xml:space="preserve"> auf Vorschlag der Kommission vom Rat festgelegt. </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Subsidiarität (bei nicht ausschließlicher Zuständigkeit) </w:t>
      </w:r>
    </w:p>
    <w:p>
      <w:pPr>
        <w:pBdr>
          <w:top w:val="nil"/>
          <w:left w:val="nil"/>
          <w:bottom w:val="nil"/>
          <w:right w:val="nil"/>
          <w:between w:val="nil"/>
          <w:bar w:val="nil"/>
        </w:pBdr>
        <w:spacing w:before="0" w:after="240"/>
        <w:rPr>
          <w:noProof/>
        </w:rPr>
      </w:pPr>
      <w:r>
        <w:rPr>
          <w:noProof/>
        </w:rPr>
        <w:t>Der Vorschlag entspricht aus folgendem Grund dem Grundsatz der Subsidiarität:</w:t>
      </w:r>
    </w:p>
    <w:p>
      <w:pPr>
        <w:pBdr>
          <w:top w:val="nil"/>
          <w:left w:val="nil"/>
          <w:bottom w:val="nil"/>
          <w:right w:val="nil"/>
          <w:between w:val="nil"/>
          <w:bar w:val="nil"/>
        </w:pBdr>
        <w:spacing w:before="0" w:after="240"/>
        <w:rPr>
          <w:rFonts w:eastAsia="Arial Unicode MS"/>
          <w:noProof/>
        </w:rPr>
      </w:pPr>
      <w:r>
        <w:rPr>
          <w:noProof/>
        </w:rPr>
        <w:t>Das Ziel dieses Vorschlags, nämlich die Sicherstellung der Homogenität im Binnenmarkt, kann von den Mitgliedstaaten nicht ausreichend verwirklicht werden und ist daher wegen der Wirkungen der Maßnahme auf Unionsebene besser zu verwirklichen.</w:t>
      </w:r>
    </w:p>
    <w:p>
      <w:pPr>
        <w:pStyle w:val="ManualHeading2"/>
        <w:rPr>
          <w:rFonts w:eastAsia="Arial Unicode MS"/>
          <w:noProof/>
          <w:u w:color="000000"/>
          <w:bdr w:val="nil"/>
        </w:rPr>
      </w:pPr>
      <w:r>
        <w:rPr>
          <w:noProof/>
          <w:u w:color="000000"/>
          <w:bdr w:val="nil"/>
        </w:rPr>
        <w:t>•</w:t>
      </w:r>
      <w:r>
        <w:rPr>
          <w:noProof/>
        </w:rPr>
        <w:tab/>
      </w:r>
      <w:r>
        <w:rPr>
          <w:noProof/>
          <w:u w:color="000000"/>
          <w:bdr w:val="nil"/>
        </w:rPr>
        <w:t>Verhältnismäßigkeit</w:t>
      </w:r>
    </w:p>
    <w:p>
      <w:pPr>
        <w:pBdr>
          <w:top w:val="nil"/>
          <w:left w:val="nil"/>
          <w:bottom w:val="nil"/>
          <w:right w:val="nil"/>
          <w:between w:val="nil"/>
          <w:bar w:val="nil"/>
        </w:pBdr>
        <w:spacing w:before="0" w:after="240"/>
        <w:rPr>
          <w:rFonts w:eastAsia="Arial Unicode MS"/>
          <w:noProof/>
        </w:rPr>
      </w:pPr>
      <w:r>
        <w:rPr>
          <w:noProof/>
        </w:rPr>
        <w:t>Entsprechend dem Grundsatz der Verhältnismäßigkeit geht dieser Vorschlag nicht über das für die Verwirklichung seines Ziels erforderliche Maß hinaus.</w:t>
      </w:r>
    </w:p>
    <w:p>
      <w:pPr>
        <w:pStyle w:val="ManualHeading2"/>
        <w:rPr>
          <w:rFonts w:eastAsia="Arial Unicode MS"/>
          <w:noProof/>
          <w:u w:color="000000"/>
          <w:bdr w:val="nil"/>
        </w:rPr>
      </w:pPr>
      <w:r>
        <w:rPr>
          <w:noProof/>
          <w:u w:color="000000"/>
          <w:bdr w:val="nil"/>
        </w:rPr>
        <w:t>•</w:t>
      </w:r>
      <w:r>
        <w:rPr>
          <w:noProof/>
        </w:rPr>
        <w:tab/>
      </w:r>
      <w:r>
        <w:rPr>
          <w:noProof/>
          <w:u w:color="000000"/>
          <w:bdr w:val="nil"/>
        </w:rPr>
        <w:t>Wahl des Instruments</w:t>
      </w:r>
    </w:p>
    <w:p>
      <w:pPr>
        <w:pBdr>
          <w:top w:val="nil"/>
          <w:left w:val="nil"/>
          <w:bottom w:val="nil"/>
          <w:right w:val="nil"/>
          <w:between w:val="nil"/>
          <w:bar w:val="nil"/>
        </w:pBdr>
        <w:spacing w:before="0" w:after="240"/>
        <w:rPr>
          <w:rFonts w:eastAsia="Arial Unicode MS"/>
          <w:noProof/>
        </w:rPr>
      </w:pPr>
      <w:r>
        <w:rPr>
          <w:noProof/>
        </w:rPr>
        <w:t>Im Einklang mit Artikel 98 des EWR-Abkommens ist das gewählte Instrument der Beschluss des Gemeinsamen EWR-Ausschusses. Der Gemeinsame EWR-Ausschuss gewährleistet die wirksame Umsetzung und Anwendung des EWR-Abkommens. Zu diesem Zweck fasst er Beschlüsse in den im EWR-Abkommen vorgesehenen Fällen.</w:t>
      </w:r>
    </w:p>
    <w:p>
      <w:pPr>
        <w:pStyle w:val="ManualHeading1"/>
        <w:rPr>
          <w:noProof/>
        </w:rPr>
      </w:pPr>
      <w:r>
        <w:rPr>
          <w:noProof/>
        </w:rPr>
        <w:t>3.</w:t>
      </w:r>
      <w:r>
        <w:rPr>
          <w:noProof/>
        </w:rPr>
        <w:tab/>
        <w:t>ERGEBNISSE DER EX-POST-BEWERTUNG, DER KONSULTATION DER INTERESSENTRÄGER UND DER FOLGENABSCHÄTZUNG</w:t>
      </w:r>
    </w:p>
    <w:p>
      <w:pPr>
        <w:pStyle w:val="ManualHeading2"/>
        <w:rPr>
          <w:rFonts w:eastAsia="Arial Unicode MS"/>
          <w:noProof/>
          <w:u w:color="000000"/>
          <w:bdr w:val="nil"/>
        </w:rPr>
      </w:pPr>
      <w:r>
        <w:rPr>
          <w:noProof/>
          <w:u w:color="000000"/>
          <w:bdr w:val="nil"/>
        </w:rPr>
        <w:t>•</w:t>
      </w:r>
      <w:r>
        <w:rPr>
          <w:noProof/>
        </w:rPr>
        <w:tab/>
      </w:r>
      <w:r>
        <w:rPr>
          <w:noProof/>
          <w:u w:color="000000"/>
          <w:bdr w:val="nil"/>
        </w:rPr>
        <w:t>Ex-post-Bewertung/Eignungsprüfungen bestehender Rechtsvorschriften</w:t>
      </w:r>
    </w:p>
    <w:p>
      <w:pPr>
        <w:pBdr>
          <w:top w:val="nil"/>
          <w:left w:val="nil"/>
          <w:bottom w:val="nil"/>
          <w:right w:val="nil"/>
          <w:between w:val="nil"/>
          <w:bar w:val="nil"/>
        </w:pBdr>
        <w:spacing w:before="0" w:after="240"/>
        <w:rPr>
          <w:rFonts w:eastAsia="Arial Unicode MS"/>
          <w:noProof/>
        </w:rPr>
      </w:pPr>
      <w:r>
        <w:rPr>
          <w:noProof/>
        </w:rPr>
        <w:t>entfällt.</w:t>
      </w:r>
    </w:p>
    <w:p>
      <w:pPr>
        <w:pStyle w:val="ManualHeading1"/>
        <w:rPr>
          <w:noProof/>
        </w:rPr>
      </w:pPr>
      <w:r>
        <w:rPr>
          <w:noProof/>
        </w:rPr>
        <w:t>4.</w:t>
      </w:r>
      <w:r>
        <w:rPr>
          <w:noProof/>
        </w:rPr>
        <w:tab/>
        <w:t>AUSWIRKUNGEN AUF DEN HAUSHALT</w:t>
      </w:r>
    </w:p>
    <w:p>
      <w:pPr>
        <w:pBdr>
          <w:top w:val="nil"/>
          <w:left w:val="nil"/>
          <w:bottom w:val="nil"/>
          <w:right w:val="nil"/>
          <w:between w:val="nil"/>
          <w:bar w:val="nil"/>
        </w:pBdr>
        <w:spacing w:before="0" w:after="240"/>
        <w:rPr>
          <w:rFonts w:eastAsia="Arial Unicode MS"/>
          <w:noProof/>
        </w:rPr>
      </w:pPr>
      <w:r>
        <w:rPr>
          <w:noProof/>
        </w:rPr>
        <w:t>Es werden keine Auswirkungen auf den Haushalt durch die Aufnahme der oben genannten Verordnung in das EWR-Abkommen erwartet.</w:t>
      </w:r>
    </w:p>
    <w:p>
      <w:pPr>
        <w:pStyle w:val="ManualHeading1"/>
        <w:rPr>
          <w:noProof/>
        </w:rPr>
      </w:pPr>
      <w:r>
        <w:rPr>
          <w:noProof/>
        </w:rPr>
        <w:t>5.</w:t>
      </w:r>
      <w:r>
        <w:rPr>
          <w:noProof/>
        </w:rPr>
        <w:tab/>
        <w:t>SONSTIGE ELEMENTE</w:t>
      </w:r>
    </w:p>
    <w:p>
      <w:pPr>
        <w:pStyle w:val="ManualHeading2"/>
        <w:rPr>
          <w:rFonts w:eastAsia="Arial Unicode MS"/>
          <w:noProof/>
          <w:u w:color="000000"/>
          <w:bdr w:val="nil"/>
        </w:rPr>
      </w:pPr>
      <w:r>
        <w:rPr>
          <w:noProof/>
          <w:u w:color="000000"/>
          <w:bdr w:val="nil"/>
        </w:rPr>
        <w:t>•</w:t>
      </w:r>
      <w:r>
        <w:rPr>
          <w:noProof/>
        </w:rPr>
        <w:tab/>
      </w:r>
      <w:r>
        <w:rPr>
          <w:noProof/>
          <w:u w:color="000000"/>
          <w:bdr w:val="nil"/>
        </w:rPr>
        <w:t>Ausführliche Erläuterung einzelner Bestimmungen des Vorschlags</w:t>
      </w:r>
    </w:p>
    <w:p>
      <w:pPr>
        <w:pBdr>
          <w:top w:val="nil"/>
          <w:left w:val="nil"/>
          <w:bottom w:val="nil"/>
          <w:right w:val="nil"/>
          <w:between w:val="nil"/>
          <w:bar w:val="nil"/>
        </w:pBdr>
        <w:spacing w:before="0" w:after="240"/>
        <w:rPr>
          <w:i/>
          <w:noProof/>
          <w:u w:val="single"/>
        </w:rPr>
      </w:pPr>
      <w:r>
        <w:rPr>
          <w:i/>
          <w:noProof/>
          <w:u w:val="single"/>
        </w:rPr>
        <w:t>Anpassung a) – Nichtanwendbarkeit auf Island und Liechtenstein</w:t>
      </w:r>
    </w:p>
    <w:p>
      <w:pPr>
        <w:pBdr>
          <w:top w:val="nil"/>
          <w:left w:val="nil"/>
          <w:bottom w:val="nil"/>
          <w:right w:val="nil"/>
          <w:between w:val="nil"/>
          <w:bar w:val="nil"/>
        </w:pBdr>
        <w:spacing w:before="0" w:after="240"/>
        <w:rPr>
          <w:noProof/>
        </w:rPr>
      </w:pPr>
      <w:r>
        <w:rPr>
          <w:noProof/>
        </w:rPr>
        <w:t xml:space="preserve">Da das Übertragungsnetz von Island nicht mit anderen Übertragungsnetzen verbunden ist, sollte die Verordnung (EU) 2016/1719 der Kommission nicht für Island gelten. </w:t>
      </w:r>
    </w:p>
    <w:p>
      <w:pPr>
        <w:pBdr>
          <w:top w:val="nil"/>
          <w:left w:val="nil"/>
          <w:bottom w:val="nil"/>
          <w:right w:val="nil"/>
          <w:between w:val="nil"/>
          <w:bar w:val="nil"/>
        </w:pBdr>
        <w:spacing w:before="0" w:after="240"/>
        <w:rPr>
          <w:noProof/>
        </w:rPr>
      </w:pPr>
      <w:r>
        <w:rPr>
          <w:noProof/>
        </w:rPr>
        <w:lastRenderedPageBreak/>
        <w:t>Die Verordnung (EU) 2016/1719 der Kommission sollte nicht für Liechtenstein gelten, da Liechtenstein aufgrund seiner geringen Größe und der begrenzten Zahl von Stromkunden über kein eigenes Übertragungsnetz verfügt.</w:t>
      </w:r>
    </w:p>
    <w:p>
      <w:pPr>
        <w:pBdr>
          <w:top w:val="nil"/>
          <w:left w:val="nil"/>
          <w:bottom w:val="nil"/>
          <w:right w:val="nil"/>
          <w:between w:val="nil"/>
          <w:bar w:val="nil"/>
        </w:pBdr>
        <w:spacing w:before="0" w:after="240"/>
        <w:rPr>
          <w:i/>
          <w:noProof/>
          <w:u w:val="single"/>
        </w:rPr>
      </w:pPr>
      <w:r>
        <w:rPr>
          <w:i/>
          <w:noProof/>
          <w:u w:val="single"/>
        </w:rPr>
        <w:t>Anpassung b) und Erwägungsgrund (6) – sensible Informationen über das Elektrizitätssystem</w:t>
      </w:r>
    </w:p>
    <w:p>
      <w:pPr>
        <w:pBdr>
          <w:top w:val="nil"/>
          <w:left w:val="nil"/>
          <w:bottom w:val="nil"/>
          <w:right w:val="nil"/>
          <w:between w:val="nil"/>
          <w:bar w:val="nil"/>
        </w:pBdr>
        <w:spacing w:before="0" w:after="240"/>
        <w:rPr>
          <w:noProof/>
        </w:rPr>
      </w:pPr>
      <w:r>
        <w:rPr>
          <w:noProof/>
        </w:rPr>
        <w:t>In der Verordnung (EU) 2016/1719 der Kommission ist die Verpflichtung zur Übermittlung von Informationen an das Europäische Netz der Übertragungsnetzbetreiber (ENTSO-E) und die Agentur für die Zusammenarbeit der Energieregulierungsbehörden (ACER) festgelegt. Durch die Anpassung b) können die jeweiligen Übertragungsnetzbetreiber (ÜNB) und die Regulierungsbehörden solche Informationen austauschen und schützen.</w:t>
      </w:r>
    </w:p>
    <w:p>
      <w:pPr>
        <w:pBdr>
          <w:top w:val="nil"/>
          <w:left w:val="nil"/>
          <w:bottom w:val="nil"/>
          <w:right w:val="nil"/>
          <w:between w:val="nil"/>
          <w:bar w:val="nil"/>
        </w:pBdr>
        <w:spacing w:before="0" w:after="240"/>
        <w:rPr>
          <w:i/>
          <w:noProof/>
          <w:u w:val="single"/>
        </w:rPr>
      </w:pPr>
      <w:r>
        <w:rPr>
          <w:i/>
          <w:noProof/>
          <w:u w:val="single"/>
        </w:rPr>
        <w:t>Anpassung c) und Erwägungsgrund (7) – Bezugnahme auf das Recht des norwegischen ÜNB, des nominierten Strommarktbetreibers (NEMO) und der nationalen Regulierungsbehörde (NRB) auf Beteiligung an der Entwicklung und Genehmigung von Modalitäten, Bedingungen und Methoden</w:t>
      </w:r>
    </w:p>
    <w:p>
      <w:pPr>
        <w:pBdr>
          <w:top w:val="nil"/>
          <w:left w:val="nil"/>
          <w:bottom w:val="nil"/>
          <w:right w:val="nil"/>
          <w:between w:val="nil"/>
          <w:bar w:val="nil"/>
        </w:pBdr>
        <w:spacing w:before="0" w:after="240"/>
        <w:rPr>
          <w:noProof/>
        </w:rPr>
      </w:pPr>
      <w:r>
        <w:rPr>
          <w:noProof/>
        </w:rPr>
        <w:t>Mit der Anpassung und dem oben genannten Erwägungsgrund werden die einschlägigen Bestimmungen des Artikels 4 der Verordnung (EU) 2016/1719 der Kommission über die Rechte relevanter Rechtspersonen auf Beteiligung an der Entwicklung und Genehmigung von Modalitäten, Bedingungen und Methoden angepasst, um Norwegen einzubeziehen.</w:t>
      </w:r>
    </w:p>
    <w:p>
      <w:pPr>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2020/0316 (NLE)</w:t>
      </w:r>
    </w:p>
    <w:p>
      <w:pPr>
        <w:pStyle w:val="Statut"/>
        <w:rPr>
          <w:noProof/>
        </w:rPr>
      </w:pPr>
      <w:r>
        <w:rPr>
          <w:noProof/>
        </w:rPr>
        <w:t>Vorschlag für einen</w:t>
      </w:r>
    </w:p>
    <w:p>
      <w:pPr>
        <w:pStyle w:val="Typedudocument"/>
        <w:rPr>
          <w:noProof/>
        </w:rPr>
      </w:pPr>
      <w:r>
        <w:rPr>
          <w:noProof/>
        </w:rPr>
        <w:t>BESCHLUSS DES RATES</w:t>
      </w:r>
    </w:p>
    <w:p>
      <w:pPr>
        <w:pStyle w:val="Titreobjet"/>
        <w:rPr>
          <w:noProof/>
        </w:rPr>
      </w:pPr>
      <w:r>
        <w:rPr>
          <w:noProof/>
        </w:rPr>
        <w:t xml:space="preserve">über den im Namen der Europäischen Union im Gemeinsamen EWR-Ausschuss zu vertretenden Standpunkt zur Änderung von Anhang IV (Energie) des EWR-Abkommens </w:t>
      </w:r>
      <w:r>
        <w:rPr>
          <w:noProof/>
        </w:rPr>
        <w:br/>
        <w:t xml:space="preserve"> </w:t>
      </w:r>
      <w:r>
        <w:rPr>
          <w:noProof/>
        </w:rPr>
        <w:br/>
        <w:t>[32016R1719 - Leitlinie für die Vergabe langfristiger Kapazität]</w:t>
      </w:r>
    </w:p>
    <w:p>
      <w:pPr>
        <w:pStyle w:val="IntrtEEE"/>
        <w:rPr>
          <w:noProof/>
        </w:rPr>
      </w:pPr>
      <w:r>
        <w:rPr>
          <w:noProof/>
        </w:rPr>
        <w:t>(Text von Bedeutung für den EWR)</w:t>
      </w:r>
    </w:p>
    <w:p>
      <w:pPr>
        <w:pStyle w:val="Institutionquiagit"/>
        <w:rPr>
          <w:noProof/>
        </w:rPr>
      </w:pPr>
      <w:r>
        <w:rPr>
          <w:noProof/>
        </w:rPr>
        <w:t>DER RAT DER EUROPÄISCHEN UNION —</w:t>
      </w:r>
    </w:p>
    <w:p>
      <w:pPr>
        <w:rPr>
          <w:noProof/>
        </w:rPr>
      </w:pPr>
      <w:r>
        <w:rPr>
          <w:noProof/>
        </w:rPr>
        <w:t>gestützt auf den Vertrag über die Arbeitsweise der Europäischen Union, insbesondere auf Artikel 194 in Verbindung mit Artikel 218 Absatz 9,</w:t>
      </w:r>
    </w:p>
    <w:p>
      <w:pPr>
        <w:rPr>
          <w:noProof/>
        </w:rPr>
      </w:pPr>
      <w:r>
        <w:rPr>
          <w:noProof/>
        </w:rPr>
        <w:t>gestützt auf die Verordnung (EG) Nr. 2894/94 des Rates vom 28. November 1994 mit Durchführungsvorschriften zum Abkommen über den Europäischen Wirtschaftsraum</w:t>
      </w:r>
      <w:r>
        <w:rPr>
          <w:rStyle w:val="FootnoteReference0"/>
          <w:noProof/>
        </w:rPr>
        <w:footnoteReference w:id="3"/>
      </w:r>
      <w:r>
        <w:rPr>
          <w:noProof/>
        </w:rPr>
        <w:t>, insbesondere auf Artikel 1 Absatz 3,</w:t>
      </w:r>
    </w:p>
    <w:p>
      <w:pPr>
        <w:rPr>
          <w:noProof/>
        </w:rPr>
      </w:pPr>
      <w:r>
        <w:rPr>
          <w:noProof/>
        </w:rPr>
        <w:t>auf Vorschlag der Europäischen Kommission,</w:t>
      </w:r>
    </w:p>
    <w:p>
      <w:pPr>
        <w:rPr>
          <w:noProof/>
        </w:rPr>
      </w:pPr>
      <w:r>
        <w:rPr>
          <w:noProof/>
        </w:rPr>
        <w:t>in Erwägung nachstehender Gründe:</w:t>
      </w:r>
    </w:p>
    <w:p>
      <w:pPr>
        <w:pStyle w:val="ManualConsidrant"/>
        <w:rPr>
          <w:noProof/>
        </w:rPr>
      </w:pPr>
      <w:r>
        <w:t>(1)</w:t>
      </w:r>
      <w:r>
        <w:tab/>
      </w:r>
      <w:r>
        <w:rPr>
          <w:noProof/>
        </w:rPr>
        <w:t>Das Abkommen über den Europäischen Wirtschaftsraum</w:t>
      </w:r>
      <w:r>
        <w:rPr>
          <w:rStyle w:val="FootnoteReference0"/>
          <w:noProof/>
        </w:rPr>
        <w:footnoteReference w:id="4"/>
      </w:r>
      <w:r>
        <w:rPr>
          <w:noProof/>
        </w:rPr>
        <w:t xml:space="preserve"> (im Folgenden „EWR-Abkommen“) trat am 1. Januar 1994 in Kraft.</w:t>
      </w:r>
    </w:p>
    <w:p>
      <w:pPr>
        <w:pStyle w:val="ManualConsidrant"/>
        <w:rPr>
          <w:noProof/>
        </w:rPr>
      </w:pPr>
      <w:r>
        <w:t>(2)</w:t>
      </w:r>
      <w:r>
        <w:tab/>
      </w:r>
      <w:r>
        <w:rPr>
          <w:noProof/>
        </w:rPr>
        <w:t>Gemäß Artikel 98 des EWR-Abkommens kann der Gemeinsame EWR-Ausschuss unter anderem eine Änderung des Anhangs IV des EWR-Abkommens beschließen.</w:t>
      </w:r>
    </w:p>
    <w:p>
      <w:pPr>
        <w:pStyle w:val="ManualConsidrant"/>
        <w:rPr>
          <w:noProof/>
        </w:rPr>
      </w:pPr>
      <w:r>
        <w:t>(3)</w:t>
      </w:r>
      <w:r>
        <w:tab/>
      </w:r>
      <w:r>
        <w:rPr>
          <w:noProof/>
        </w:rPr>
        <w:t>Verordnung (EU) 2016/1719 der Kommission vom 26. September 2016 zur Festlegung einer Leitlinie für die Vergabe langfristiger Kapazität</w:t>
      </w:r>
      <w:r>
        <w:rPr>
          <w:rStyle w:val="FootnoteReference0"/>
          <w:bCs/>
          <w:noProof/>
          <w:szCs w:val="24"/>
        </w:rPr>
        <w:footnoteReference w:id="5"/>
      </w:r>
      <w:r>
        <w:rPr>
          <w:noProof/>
        </w:rPr>
        <w:t xml:space="preserve"> ist in das EWR-Abkommen aufzunehmen.</w:t>
      </w:r>
    </w:p>
    <w:p>
      <w:pPr>
        <w:pStyle w:val="ManualConsidrant"/>
        <w:rPr>
          <w:noProof/>
        </w:rPr>
      </w:pPr>
      <w:r>
        <w:t>(4)</w:t>
      </w:r>
      <w:r>
        <w:tab/>
      </w:r>
      <w:r>
        <w:rPr>
          <w:noProof/>
        </w:rPr>
        <w:t>Anhang IV des EWR-Abkommens sollte daher entsprechend geändert werden.</w:t>
      </w:r>
    </w:p>
    <w:p>
      <w:pPr>
        <w:pStyle w:val="ManualConsidrant"/>
        <w:rPr>
          <w:noProof/>
        </w:rPr>
      </w:pPr>
      <w:r>
        <w:t>(5)</w:t>
      </w:r>
      <w:r>
        <w:tab/>
      </w:r>
      <w:r>
        <w:rPr>
          <w:noProof/>
        </w:rPr>
        <w:t>Der von der Union im Gemeinsamen EWR-Ausschuss zu vertretende Standpunkt sollte daher auf dem beigefügten Entwurf eines Beschlusses beruhen —</w:t>
      </w:r>
    </w:p>
    <w:p>
      <w:pPr>
        <w:pStyle w:val="Formuledadoption"/>
        <w:rPr>
          <w:noProof/>
        </w:rPr>
      </w:pPr>
      <w:r>
        <w:rPr>
          <w:noProof/>
        </w:rPr>
        <w:t xml:space="preserve">HAT FOLGENDEN BESCHLUSS ERLASSEN: </w:t>
      </w:r>
    </w:p>
    <w:p>
      <w:pPr>
        <w:pStyle w:val="Titrearticle"/>
        <w:rPr>
          <w:noProof/>
        </w:rPr>
      </w:pPr>
      <w:r>
        <w:rPr>
          <w:noProof/>
        </w:rPr>
        <w:t>Artikel 1</w:t>
      </w:r>
    </w:p>
    <w:p>
      <w:pPr>
        <w:rPr>
          <w:noProof/>
        </w:rPr>
      </w:pPr>
      <w:r>
        <w:rPr>
          <w:noProof/>
        </w:rPr>
        <w:t>Der Standpunkt, der im Namen der Union im Gemeinsamen EWR-Ausschuss zur vorgeschlagenen Änderung von Anhang IV (Energie) des EWR-Abkommens zu vertreten ist, beruht auf dem Entwurf eines Beschlusses des Gemeinsamen EWR-Ausschusses, der dem vorliegenden Beschluss beigefügt ist.</w:t>
      </w:r>
    </w:p>
    <w:p>
      <w:pPr>
        <w:pStyle w:val="Titrearticle"/>
        <w:rPr>
          <w:noProof/>
        </w:rPr>
      </w:pPr>
      <w:r>
        <w:rPr>
          <w:noProof/>
        </w:rPr>
        <w:lastRenderedPageBreak/>
        <w:t>Artikel 2</w:t>
      </w:r>
    </w:p>
    <w:p>
      <w:pPr>
        <w:keepLines/>
        <w:rPr>
          <w:noProof/>
        </w:rPr>
      </w:pPr>
      <w:r>
        <w:rPr>
          <w:noProof/>
        </w:rPr>
        <w:t>Dieser Beschluss tritt am Tag seiner Annahme in Kraft.</w:t>
      </w:r>
    </w:p>
    <w:p>
      <w:pPr>
        <w:pStyle w:val="Fait"/>
        <w:rPr>
          <w:noProof/>
        </w:rPr>
      </w:pPr>
      <w:r>
        <w:t xml:space="preserve">Geschehen zu Brüssel am </w:t>
      </w:r>
      <w:r>
        <w:rPr>
          <w:rStyle w:val="Marker"/>
        </w:rPr>
        <w:t>[…]</w:t>
      </w:r>
    </w:p>
    <w:p>
      <w:pPr>
        <w:pStyle w:val="Institutionquisigne"/>
        <w:rPr>
          <w:noProof/>
        </w:rPr>
      </w:pPr>
      <w:r>
        <w:rPr>
          <w:noProof/>
        </w:rPr>
        <w:tab/>
        <w:t>Im Namen des Rates</w:t>
      </w:r>
    </w:p>
    <w:p>
      <w:pPr>
        <w:pStyle w:val="Personnequisigne"/>
        <w:rPr>
          <w:noProof/>
        </w:rPr>
      </w:pPr>
      <w:r>
        <w:rPr>
          <w:noProof/>
        </w:rPr>
        <w:tab/>
        <w:t>Der Präsident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0"/>
        </w:rPr>
        <w:footnoteRef/>
      </w:r>
      <w:r>
        <w:tab/>
        <w:t>ABl. L 259 vom 27.9.2016, S. 42.</w:t>
      </w:r>
    </w:p>
  </w:footnote>
  <w:footnote w:id="2">
    <w:p>
      <w:pPr>
        <w:pStyle w:val="FootnoteText"/>
      </w:pPr>
      <w:r>
        <w:rPr>
          <w:rStyle w:val="FootnoteReference0"/>
        </w:rPr>
        <w:footnoteRef/>
      </w:r>
      <w:r>
        <w:tab/>
        <w:t>ABl. L 305 vom 30.11.1994, S. 6.</w:t>
      </w:r>
    </w:p>
  </w:footnote>
  <w:footnote w:id="3">
    <w:p>
      <w:pPr>
        <w:pStyle w:val="FootnoteText"/>
      </w:pPr>
      <w:r>
        <w:rPr>
          <w:rStyle w:val="FootnoteReference0"/>
        </w:rPr>
        <w:footnoteRef/>
      </w:r>
      <w:r>
        <w:tab/>
        <w:t>ABl. L 305 vom 30.11.1994, S. 6.</w:t>
      </w:r>
    </w:p>
  </w:footnote>
  <w:footnote w:id="4">
    <w:p>
      <w:pPr>
        <w:pStyle w:val="FootnoteText"/>
      </w:pPr>
      <w:r>
        <w:rPr>
          <w:rStyle w:val="FootnoteReference0"/>
        </w:rPr>
        <w:footnoteRef/>
      </w:r>
      <w:r>
        <w:tab/>
        <w:t>ABl. L 1 vom 3.1.1994, S. 3.</w:t>
      </w:r>
    </w:p>
  </w:footnote>
  <w:footnote w:id="5">
    <w:p>
      <w:pPr>
        <w:pStyle w:val="FootnoteText"/>
      </w:pPr>
      <w:r>
        <w:rPr>
          <w:rStyle w:val="FootnoteReference0"/>
        </w:rPr>
        <w:footnoteRef/>
      </w:r>
      <w:r>
        <w:tab/>
        <w:t>ABl. L 259 vom 27.9.2016, S. 42.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90A445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8D07C86"/>
    <w:lvl w:ilvl="0">
      <w:start w:val="1"/>
      <w:numFmt w:val="decimal"/>
      <w:pStyle w:val="ListNumber3"/>
      <w:lvlText w:val="%1."/>
      <w:lvlJc w:val="left"/>
      <w:pPr>
        <w:tabs>
          <w:tab w:val="num" w:pos="926"/>
        </w:tabs>
        <w:ind w:left="926" w:hanging="360"/>
      </w:pPr>
    </w:lvl>
  </w:abstractNum>
  <w:abstractNum w:abstractNumId="2">
    <w:nsid w:val="FFFFFF7F"/>
    <w:multiLevelType w:val="singleLevel"/>
    <w:tmpl w:val="087272BA"/>
    <w:lvl w:ilvl="0">
      <w:start w:val="1"/>
      <w:numFmt w:val="decimal"/>
      <w:pStyle w:val="ListNumber2"/>
      <w:lvlText w:val="%1."/>
      <w:lvlJc w:val="left"/>
      <w:pPr>
        <w:tabs>
          <w:tab w:val="num" w:pos="643"/>
        </w:tabs>
        <w:ind w:left="643" w:hanging="360"/>
      </w:pPr>
    </w:lvl>
  </w:abstractNum>
  <w:abstractNum w:abstractNumId="3">
    <w:nsid w:val="FFFFFF81"/>
    <w:multiLevelType w:val="singleLevel"/>
    <w:tmpl w:val="8F64600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498738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6E63D9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7D08B3C"/>
    <w:lvl w:ilvl="0">
      <w:start w:val="1"/>
      <w:numFmt w:val="decimal"/>
      <w:pStyle w:val="ListNumber"/>
      <w:lvlText w:val="%1."/>
      <w:lvlJc w:val="left"/>
      <w:pPr>
        <w:tabs>
          <w:tab w:val="num" w:pos="360"/>
        </w:tabs>
        <w:ind w:left="360" w:hanging="360"/>
      </w:pPr>
    </w:lvl>
  </w:abstractNum>
  <w:abstractNum w:abstractNumId="7">
    <w:nsid w:val="FFFFFF89"/>
    <w:multiLevelType w:val="singleLevel"/>
    <w:tmpl w:val="0EECC3B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ttachedTemplate r:id="rId1"/>
  <w:revisionView w:markup="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1-10 11:11:55"/>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080B76F1-0874-47D7-92D0-A5BAA9BED35E"/>
    <w:docVar w:name="LW_COVERPAGE_TYPE" w:val="1"/>
    <w:docVar w:name="LW_CROSSREFERENCE" w:val="&lt;UNUSED&gt;"/>
    <w:docVar w:name="LW_DocType" w:val="COM"/>
    <w:docVar w:name="LW_EMISSION" w:val="12.11.2020"/>
    <w:docVar w:name="LW_EMISSION_ISODATE" w:val="2020-11-12"/>
    <w:docVar w:name="LW_EMISSION_LOCATION" w:val="BRX"/>
    <w:docVar w:name="LW_EMISSION_PREFIX" w:val="Brüssel, den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Text von Bedeutung für den EWR)"/>
    <w:docVar w:name="LW_LANGUE" w:val="DE"/>
    <w:docVar w:name="LW_LEVEL_OF_SENSITIVITY" w:val="Standard treatment"/>
    <w:docVar w:name="LW_NOM.INST" w:val="EUROPÄISCHE KOMMISSION"/>
    <w:docVar w:name="LW_NOM.INST_JOINTDOC" w:val="&lt;EMPTY&gt;"/>
    <w:docVar w:name="LW_PART_NBR" w:val="1"/>
    <w:docVar w:name="LW_PART_NBR_TOTAL" w:val="1"/>
    <w:docVar w:name="LW_REF.II.NEW.CP" w:val="NLE"/>
    <w:docVar w:name="LW_REF.II.NEW.CP_NUMBER" w:val="0316"/>
    <w:docVar w:name="LW_REF.II.NEW.CP_YEAR" w:val="2020"/>
    <w:docVar w:name="LW_REF.INST.NEW" w:val="COM"/>
    <w:docVar w:name="LW_REF.INST.NEW_ADOPTED" w:val="final"/>
    <w:docVar w:name="LW_REF.INST.NEW_TEXT" w:val="(2020) 70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Vorschlag für einen"/>
    <w:docVar w:name="LW_SUPERTITRE" w:val="&lt;UNUSED&gt;"/>
    <w:docVar w:name="LW_TITRE.OBJ.CP" w:val="über den im Namen der Europäischen Union im Gemeinsamen EWR-Ausschuss zu vertretenden Standpunkt zur Änderung von Anhang IV (Energie) des EWR-Abkommens _x000b_ _x000b_[32016R1719 - Leitlinie für die Vergabe langfristiger Kapazität]"/>
    <w:docVar w:name="LW_TYPE.DOC.CP" w:val="BESCHLUSS DES RATE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character" w:customStyle="1" w:styleId="footnotereference">
    <w:name w:val="footnotereference"/>
    <w:basedOn w:val="DefaultParagraphFont"/>
  </w:style>
  <w:style w:type="character" w:styleId="Hyperlink">
    <w:name w:val="Hyperlink"/>
    <w:basedOn w:val="DefaultParagraphFont"/>
    <w:uiPriority w:val="99"/>
    <w:unhideWhenUsed/>
    <w:rPr>
      <w:color w:val="0000FF"/>
      <w:u w:val="single"/>
    </w:rPr>
  </w:style>
  <w:style w:type="character" w:styleId="FootnoteReference0">
    <w:name w:val="footnote reference"/>
    <w:basedOn w:val="DefaultParagraphFont"/>
    <w:uiPriority w:val="99"/>
    <w:semiHidden/>
    <w:unhideWhenUsed/>
    <w:rPr>
      <w:shd w:val="clear" w:color="auto" w:fill="auto"/>
      <w:vertAlign w:val="superscript"/>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character" w:customStyle="1" w:styleId="footnotereference">
    <w:name w:val="footnotereference"/>
    <w:basedOn w:val="DefaultParagraphFont"/>
  </w:style>
  <w:style w:type="character" w:styleId="Hyperlink">
    <w:name w:val="Hyperlink"/>
    <w:basedOn w:val="DefaultParagraphFont"/>
    <w:uiPriority w:val="99"/>
    <w:unhideWhenUsed/>
    <w:rPr>
      <w:color w:val="0000FF"/>
      <w:u w:val="single"/>
    </w:rPr>
  </w:style>
  <w:style w:type="character" w:styleId="FootnoteReference0">
    <w:name w:val="footnote reference"/>
    <w:basedOn w:val="DefaultParagraphFont"/>
    <w:uiPriority w:val="99"/>
    <w:semiHidden/>
    <w:unhideWhenUsed/>
    <w:rPr>
      <w:shd w:val="clear" w:color="auto" w:fill="auto"/>
      <w:vertAlign w:val="superscript"/>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78674">
      <w:bodyDiv w:val="1"/>
      <w:marLeft w:val="0"/>
      <w:marRight w:val="0"/>
      <w:marTop w:val="0"/>
      <w:marBottom w:val="0"/>
      <w:divBdr>
        <w:top w:val="none" w:sz="0" w:space="0" w:color="auto"/>
        <w:left w:val="none" w:sz="0" w:space="0" w:color="auto"/>
        <w:bottom w:val="none" w:sz="0" w:space="0" w:color="auto"/>
        <w:right w:val="none" w:sz="0" w:space="0" w:color="auto"/>
      </w:divBdr>
      <w:divsChild>
        <w:div w:id="2029524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6</Pages>
  <Words>1024</Words>
  <Characters>6997</Characters>
  <Application>Microsoft Office Word</Application>
  <DocSecurity>0</DocSecurity>
  <Lines>132</Lines>
  <Paragraphs>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2020-10-27T15:06:00Z</dcterms:created>
  <dcterms:modified xsi:type="dcterms:W3CDTF">2020-11-10T10:11:00Z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