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4770" w14:textId="1CA3651D" w:rsidR="00B50935" w:rsidRPr="009017BC" w:rsidRDefault="00907235" w:rsidP="009017BC">
      <w:pPr>
        <w:pStyle w:val="Pagedecouverture"/>
      </w:pPr>
      <w:bookmarkStart w:id="0" w:name="_GoBack"/>
      <w:bookmarkEnd w:id="0"/>
      <w:r>
        <w:pict w14:anchorId="18F07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CEE3896-A10F-4106-AA2C-431E9F6DF54D" style="width:450.35pt;height:352.55pt">
            <v:imagedata r:id="rId7" o:title=""/>
          </v:shape>
        </w:pict>
      </w:r>
    </w:p>
    <w:p w14:paraId="2E6D602E" w14:textId="77777777" w:rsidR="00B50935" w:rsidRPr="009017BC" w:rsidRDefault="00B50935" w:rsidP="00B50935">
      <w:pPr>
        <w:sectPr w:rsidR="00B50935" w:rsidRPr="009017BC" w:rsidSect="00DF5771">
          <w:footerReference w:type="default" r:id="rId8"/>
          <w:pgSz w:w="11907" w:h="16839"/>
          <w:pgMar w:top="1134" w:right="1417" w:bottom="1134" w:left="1417" w:header="709" w:footer="709" w:gutter="0"/>
          <w:pgNumType w:start="0"/>
          <w:cols w:space="720"/>
          <w:docGrid w:linePitch="360"/>
        </w:sectPr>
      </w:pPr>
    </w:p>
    <w:p w14:paraId="350F817B" w14:textId="77777777" w:rsidR="00B50935" w:rsidRPr="009017BC" w:rsidRDefault="00B50935" w:rsidP="00427764">
      <w:pPr>
        <w:pStyle w:val="Exposdesmotifstitre"/>
      </w:pPr>
      <w:r w:rsidRPr="009017BC">
        <w:lastRenderedPageBreak/>
        <w:t>EXPOSICIÓN DE MOTIVOS</w:t>
      </w:r>
    </w:p>
    <w:p w14:paraId="2EE70B13" w14:textId="77777777" w:rsidR="00B50935" w:rsidRPr="009017BC" w:rsidRDefault="00B50935" w:rsidP="00B50935">
      <w:pPr>
        <w:pStyle w:val="ManualHeading1"/>
      </w:pPr>
      <w:bookmarkStart w:id="1" w:name="_Toc57975599"/>
      <w:r w:rsidRPr="009017BC">
        <w:t>1.</w:t>
      </w:r>
      <w:r w:rsidRPr="009017BC">
        <w:tab/>
        <w:t>CONTEXTO DE LA PROPUESTA</w:t>
      </w:r>
      <w:bookmarkEnd w:id="1"/>
    </w:p>
    <w:p w14:paraId="70A0A500" w14:textId="77777777" w:rsidR="00B50935" w:rsidRPr="009017BC" w:rsidRDefault="00B50935" w:rsidP="00B50935">
      <w:pPr>
        <w:pStyle w:val="ManualHeading2"/>
        <w:rPr>
          <w:rFonts w:eastAsia="Arial Unicode MS"/>
        </w:rPr>
      </w:pPr>
      <w:bookmarkStart w:id="2" w:name="_Toc57975600"/>
      <w:r w:rsidRPr="009017BC">
        <w:rPr>
          <w:color w:val="000000"/>
          <w:u w:color="000000"/>
          <w:bdr w:val="nil"/>
        </w:rPr>
        <w:t>•</w:t>
      </w:r>
      <w:r w:rsidRPr="009017BC">
        <w:tab/>
        <w:t>Razones y objetivos de la propuesta</w:t>
      </w:r>
      <w:bookmarkEnd w:id="2"/>
    </w:p>
    <w:p w14:paraId="5DE6EDAE" w14:textId="77777777" w:rsidR="00B50935" w:rsidRPr="009017BC" w:rsidRDefault="00B50935" w:rsidP="00B50935">
      <w:pPr>
        <w:pStyle w:val="Text1"/>
      </w:pPr>
      <w:r w:rsidRPr="009017BC">
        <w:t>Como elemento fundamental de la Unión Europea de la Salud, la presente propuesta refuerza el mandato del Centro Europeo para la Prevención y el Control de las Enfermedades (en adelante, «el Centro») relacionado con la vigilancia, la preparación, la alerta precoz y la respuesta en un marco reforzado de seguridad sanitaria de la UE. La pandemia de COVID-19 ha puesto de manifiesto deficiencias en los mecanismos de la Unión para gestionar las amenazas para la salud, lo que requiere un enfoque más estructurado a escala de la Unión para futuras crisis sanitarias, que se base también en el valor europeo de la solidaridad. Este enfoque debería incluir el refuerzo de las funciones del Centro. También debería adoptar, en coordinación con otras agencias pertinentes de la UE, el concepto «Una sola salud» para esta cuestión, teniendo en cuenta las interacciones entre los seres humanos, los animales y el medio ambiente.</w:t>
      </w:r>
    </w:p>
    <w:p w14:paraId="7F390FA3" w14:textId="77777777" w:rsidR="00B50935" w:rsidRPr="009017BC" w:rsidRDefault="00B50935" w:rsidP="00B50935">
      <w:pPr>
        <w:pStyle w:val="Text1"/>
        <w:rPr>
          <w:rFonts w:eastAsia="Times New Roman"/>
          <w:szCs w:val="20"/>
        </w:rPr>
      </w:pPr>
      <w:r w:rsidRPr="009017BC">
        <w:t>El mandato del Centro, establecido por el Reglamento (CE) n.º 851/2004 del Parlamento Europeo y del Consejo</w:t>
      </w:r>
      <w:r w:rsidRPr="009017BC">
        <w:rPr>
          <w:rStyle w:val="FootnoteReference"/>
          <w:rFonts w:eastAsia="Times New Roman"/>
          <w:szCs w:val="20"/>
        </w:rPr>
        <w:footnoteReference w:id="2"/>
      </w:r>
      <w:r w:rsidRPr="009017BC">
        <w:t>, se adoptó antes de los mecanismos y estructuras del marco de seguridad sanitaria de la UE vigente en virtud de la Decisión 1082/2013/UE sobre las amenazas transfronterizas graves para la salud</w:t>
      </w:r>
      <w:r w:rsidRPr="009017BC">
        <w:rPr>
          <w:rStyle w:val="FootnoteReference"/>
          <w:rFonts w:eastAsia="Times New Roman"/>
          <w:szCs w:val="20"/>
        </w:rPr>
        <w:footnoteReference w:id="3"/>
      </w:r>
      <w:r w:rsidRPr="009017BC">
        <w:t>.</w:t>
      </w:r>
    </w:p>
    <w:p w14:paraId="4B19E1D7" w14:textId="77777777" w:rsidR="00B50935" w:rsidRPr="009017BC" w:rsidRDefault="00B50935" w:rsidP="00B50935">
      <w:pPr>
        <w:pStyle w:val="Text1"/>
        <w:rPr>
          <w:rFonts w:eastAsia="Times New Roman"/>
          <w:szCs w:val="20"/>
        </w:rPr>
      </w:pPr>
      <w:r w:rsidRPr="009017BC">
        <w:t>Habida cuenta de la revisión de este marco, es necesario modificar el Reglamento constitutivo del Centro a fin de garantizar la coherencia con otros instrumentos de la Unión y con la propuesta de Reglamento de modificación sobre las amenazas transfronterizas graves para la salud. La revisión también garantizará que el Centro cumpla plenamente el «planteamiento común» para las agencias descentralizadas, tal como se establece en la Declaración Común del Parlamento Europeo, el Consejo de la UE y la Comisión Europea sobre las agencias descentralizadas</w:t>
      </w:r>
      <w:r w:rsidRPr="009017BC">
        <w:rPr>
          <w:rStyle w:val="FootnoteReference"/>
          <w:rFonts w:eastAsia="Times New Roman"/>
          <w:szCs w:val="20"/>
        </w:rPr>
        <w:footnoteReference w:id="4"/>
      </w:r>
      <w:r w:rsidRPr="009017BC">
        <w:t>.</w:t>
      </w:r>
    </w:p>
    <w:p w14:paraId="3AF9D83C" w14:textId="77777777" w:rsidR="00B50935" w:rsidRPr="009017BC" w:rsidRDefault="00B50935" w:rsidP="00B50935">
      <w:pPr>
        <w:pStyle w:val="ManualHeading2"/>
        <w:rPr>
          <w:rFonts w:eastAsia="Arial Unicode MS"/>
          <w:color w:val="000000"/>
          <w:u w:color="000000"/>
          <w:bdr w:val="nil"/>
        </w:rPr>
      </w:pPr>
      <w:bookmarkStart w:id="3" w:name="_Toc57975601"/>
      <w:r w:rsidRPr="009017BC">
        <w:rPr>
          <w:color w:val="000000"/>
          <w:u w:color="000000"/>
          <w:bdr w:val="nil"/>
        </w:rPr>
        <w:t>•</w:t>
      </w:r>
      <w:r w:rsidRPr="009017BC">
        <w:tab/>
        <w:t>Coherencia con las medidas de la Unión existentes en este ámbito</w:t>
      </w:r>
      <w:bookmarkEnd w:id="3"/>
    </w:p>
    <w:p w14:paraId="1DE95B8D" w14:textId="77777777" w:rsidR="00B50935" w:rsidRPr="009017BC" w:rsidRDefault="00B50935" w:rsidP="00B50935">
      <w:pPr>
        <w:pStyle w:val="Text1"/>
      </w:pPr>
      <w:r w:rsidRPr="009017BC">
        <w:t xml:space="preserve">La propuesta forma parte de un paquete de medidas estrechamente asociadas y es uno de los elementos de la respuesta sanitaria general de la Unión a la COVID-19, así como de un marco mejorado de gestión de crisis. </w:t>
      </w:r>
    </w:p>
    <w:p w14:paraId="1C69FD54" w14:textId="77777777" w:rsidR="00B50935" w:rsidRPr="009017BC" w:rsidRDefault="00B50935" w:rsidP="00B50935">
      <w:pPr>
        <w:pStyle w:val="Text1"/>
      </w:pPr>
      <w:r w:rsidRPr="009017BC">
        <w:t xml:space="preserve">Por consiguiente, a partir de 2012, las modificaciones propuestas se ajustarán al «planteamiento común» para las agencias descentralizadas. </w:t>
      </w:r>
    </w:p>
    <w:p w14:paraId="29282F79" w14:textId="77777777" w:rsidR="00B50935" w:rsidRPr="009017BC" w:rsidRDefault="00B50935" w:rsidP="00B50935">
      <w:pPr>
        <w:pStyle w:val="ManualHeading2"/>
        <w:rPr>
          <w:rFonts w:eastAsia="Arial Unicode MS"/>
        </w:rPr>
      </w:pPr>
      <w:bookmarkStart w:id="4" w:name="_Toc57975602"/>
      <w:r w:rsidRPr="009017BC">
        <w:rPr>
          <w:color w:val="000000"/>
          <w:u w:color="000000"/>
          <w:bdr w:val="nil"/>
        </w:rPr>
        <w:t>•</w:t>
      </w:r>
      <w:r w:rsidRPr="009017BC">
        <w:tab/>
        <w:t>Coherencia con otras políticas de la Unión</w:t>
      </w:r>
      <w:bookmarkEnd w:id="4"/>
    </w:p>
    <w:p w14:paraId="05B1F207" w14:textId="77777777" w:rsidR="00B50935" w:rsidRPr="009017BC" w:rsidRDefault="00B50935" w:rsidP="00B50935">
      <w:pPr>
        <w:pStyle w:val="Text1"/>
      </w:pPr>
      <w:r w:rsidRPr="009017BC">
        <w:t xml:space="preserve">La presente propuesta está en consonancia con los objetivos generales de la Unión, entre ellos una Unión de la salud más fuerte, el buen funcionamiento del mercado único, la complementariedad con el Mecanismo de Protección Civil de la Unión, sistemas sanitarios sostenibles y resilientes, y una agenda de investigación e innovación ambiciosa. Además, ofrecerá aportaciones útiles a la agenda del mercado único digital de la UE y al futuro espacio europeo de datos sanitarios, y sinergias con ambos, fomentará la innovación y la investigación, facilitará el intercambio de </w:t>
      </w:r>
      <w:r w:rsidRPr="009017BC">
        <w:lastRenderedPageBreak/>
        <w:t xml:space="preserve">información (incluso de datos en tiempo real) y apoyará el desarrollo de una infraestructura informática a escala de la UE para la vigilancia epidemiológica y el seguimiento. </w:t>
      </w:r>
    </w:p>
    <w:p w14:paraId="169EAB72" w14:textId="77777777" w:rsidR="00B50935" w:rsidRPr="009017BC" w:rsidRDefault="00B50935" w:rsidP="00B50935">
      <w:pPr>
        <w:pStyle w:val="ManualHeading1"/>
      </w:pPr>
      <w:bookmarkStart w:id="5" w:name="_Toc57975603"/>
      <w:r w:rsidRPr="009017BC">
        <w:t>2.</w:t>
      </w:r>
      <w:r w:rsidRPr="009017BC">
        <w:tab/>
        <w:t>BASE JURÍDICA, SUBSIDIARIEDAD Y PROPORCIONALIDAD</w:t>
      </w:r>
      <w:bookmarkEnd w:id="5"/>
    </w:p>
    <w:p w14:paraId="6023F108" w14:textId="77777777" w:rsidR="00B50935" w:rsidRPr="009017BC" w:rsidRDefault="00B50935" w:rsidP="00B50935">
      <w:pPr>
        <w:pStyle w:val="ManualHeading2"/>
        <w:rPr>
          <w:rFonts w:eastAsia="Arial Unicode MS"/>
          <w:u w:color="000000"/>
          <w:bdr w:val="nil"/>
        </w:rPr>
      </w:pPr>
      <w:bookmarkStart w:id="6" w:name="_Toc57975604"/>
      <w:r w:rsidRPr="009017BC">
        <w:rPr>
          <w:u w:color="000000"/>
          <w:bdr w:val="nil"/>
        </w:rPr>
        <w:t>•</w:t>
      </w:r>
      <w:r w:rsidRPr="009017BC">
        <w:tab/>
      </w:r>
      <w:r w:rsidRPr="009017BC">
        <w:rPr>
          <w:u w:color="000000"/>
          <w:bdr w:val="nil"/>
        </w:rPr>
        <w:t>Base jurídica</w:t>
      </w:r>
      <w:bookmarkEnd w:id="6"/>
    </w:p>
    <w:p w14:paraId="5DE297B9" w14:textId="77777777" w:rsidR="00B50935" w:rsidRPr="009017BC" w:rsidRDefault="00B50935" w:rsidP="00B50935">
      <w:pPr>
        <w:pStyle w:val="Text1"/>
      </w:pPr>
      <w:r w:rsidRPr="009017BC">
        <w:t>La propuesta de Reglamento se basa en el artículo 168, apartado 5, del Tratado de Funcionamiento de la Unión Europea (TFUE). Este enfoque se basa en los objetivos específicos de la propuesta, a saber, adoptar medidas para proteger y mejorar la salud humana y, en particular, luchar contra las principales amenazas transfronterizas para la salud, especialmente mediante el seguimiento y la alerta precoz.</w:t>
      </w:r>
    </w:p>
    <w:p w14:paraId="58E3698D" w14:textId="77777777" w:rsidR="00B50935" w:rsidRPr="009017BC" w:rsidRDefault="00B50935" w:rsidP="00025545">
      <w:pPr>
        <w:pStyle w:val="ManualHeading2"/>
        <w:rPr>
          <w:rFonts w:eastAsia="Arial Unicode MS"/>
          <w:u w:color="000000"/>
          <w:bdr w:val="nil"/>
        </w:rPr>
      </w:pPr>
      <w:bookmarkStart w:id="7" w:name="_Toc57975605"/>
      <w:r w:rsidRPr="009017BC">
        <w:rPr>
          <w:u w:color="000000"/>
          <w:bdr w:val="nil"/>
        </w:rPr>
        <w:t>•</w:t>
      </w:r>
      <w:r w:rsidRPr="009017BC">
        <w:tab/>
      </w:r>
      <w:r w:rsidRPr="009017BC">
        <w:rPr>
          <w:u w:color="000000"/>
          <w:bdr w:val="nil"/>
        </w:rPr>
        <w:t>Subsidiariedad (en el caso de competencia no exclusiva)</w:t>
      </w:r>
      <w:bookmarkEnd w:id="7"/>
      <w:r w:rsidRPr="009017BC">
        <w:rPr>
          <w:u w:color="000000"/>
          <w:bdr w:val="nil"/>
        </w:rPr>
        <w:t xml:space="preserve"> </w:t>
      </w:r>
    </w:p>
    <w:p w14:paraId="27551BCB" w14:textId="77777777" w:rsidR="00B50935" w:rsidRPr="009017BC" w:rsidRDefault="00B50935" w:rsidP="00B50935">
      <w:pPr>
        <w:pStyle w:val="Text1"/>
      </w:pPr>
      <w:r w:rsidRPr="009017BC">
        <w:t>Aunque los Estados miembros son responsables de gestionar las crisis de salud pública a nivel nacional, ningún país puede hacer frente por sí solo a una crisis transfronteriza en este ámbito. De conformidad con el artículo 2, apartado 5, del TFUE, la Unión dispone de competencia para llevar a cabo acciones con el fin de apoyar, coordinar o complementar la acción de los Estados miembros, sin por ello sustituir la competencia de estos en este ámbito.</w:t>
      </w:r>
    </w:p>
    <w:p w14:paraId="0717FEDC" w14:textId="0D1AEDA6" w:rsidR="00B50935" w:rsidRPr="009017BC" w:rsidRDefault="00B50935" w:rsidP="00B50935">
      <w:pPr>
        <w:pStyle w:val="Text1"/>
      </w:pPr>
      <w:r w:rsidRPr="009017BC">
        <w:t>Las amenazas transfronterizas graves para la salud tienen, por su propia naturaleza, implicaciones transnacionales. En una sociedad globalizada, las personas y las mercancías se desplazan en gran número a través de las fronteras, lo que facilita la circulación rápida de enfermedades y productos contaminados por todo el mundo. Por ello, las medidas de salud pública a nivel nacional deben ser coherentes entre sí y estar coordinadas para contener la propagación de estas amenazas y reducir al mínimo sus consecuencias.</w:t>
      </w:r>
    </w:p>
    <w:p w14:paraId="3E98F5AB" w14:textId="77777777" w:rsidR="00B50935" w:rsidRPr="009017BC" w:rsidRDefault="00B50935" w:rsidP="00B50935">
      <w:pPr>
        <w:pStyle w:val="Text1"/>
      </w:pPr>
      <w:r w:rsidRPr="009017BC">
        <w:t>Las emergencias de salud pública de la magnitud de la COVID-19 afectan a todos los Estados miembros. La propuesta se basa en las enseñanzas extraídas durante la crisis de la COVID-19 e incluye reforzar las estructuras y los mecanismos existentes a escala de la Unión para mejorar los niveles de protección, prevención, preparación y respuesta ante todos los peligros para la salud en todo el territorio de la Unión.</w:t>
      </w:r>
    </w:p>
    <w:p w14:paraId="0D15805C" w14:textId="77777777" w:rsidR="00B50935" w:rsidRPr="009017BC" w:rsidRDefault="00B50935" w:rsidP="00B50935">
      <w:pPr>
        <w:pStyle w:val="Text1"/>
      </w:pPr>
      <w:r w:rsidRPr="009017BC">
        <w:t>Dado que los objetivos del presente Reglamento no pueden ser alcanzados de manera suficiente por los Estados miembros debido a la dimensión transfronteriza de las amenazas descritas y, por consiguiente, pueden lograrse mejor a escala de la Unión, esta puede adoptar medidas, de acuerdo con el principio de subsidiariedad establecido en el artículo 5, apartado 3, del Tratado de la Unión Europea.</w:t>
      </w:r>
    </w:p>
    <w:p w14:paraId="0CE9F7BB" w14:textId="77777777" w:rsidR="00B50935" w:rsidRPr="009017BC" w:rsidRDefault="00B50935" w:rsidP="00B50935">
      <w:pPr>
        <w:pStyle w:val="ManualHeading2"/>
        <w:rPr>
          <w:rFonts w:eastAsia="Arial Unicode MS"/>
          <w:u w:color="000000"/>
          <w:bdr w:val="nil"/>
        </w:rPr>
      </w:pPr>
      <w:bookmarkStart w:id="8" w:name="_Toc57975606"/>
      <w:r w:rsidRPr="009017BC">
        <w:rPr>
          <w:u w:color="000000"/>
          <w:bdr w:val="nil"/>
        </w:rPr>
        <w:t>•</w:t>
      </w:r>
      <w:r w:rsidRPr="009017BC">
        <w:tab/>
      </w:r>
      <w:r w:rsidRPr="009017BC">
        <w:rPr>
          <w:u w:color="000000"/>
          <w:bdr w:val="nil"/>
        </w:rPr>
        <w:t>Proporcionalidad</w:t>
      </w:r>
      <w:bookmarkEnd w:id="8"/>
    </w:p>
    <w:p w14:paraId="06D17E27" w14:textId="77777777" w:rsidR="00B50935" w:rsidRPr="009017BC" w:rsidRDefault="00B50935" w:rsidP="00B50935">
      <w:pPr>
        <w:pStyle w:val="Text1"/>
        <w:rPr>
          <w:rFonts w:eastAsia="Arial Unicode MS"/>
        </w:rPr>
      </w:pPr>
      <w:r w:rsidRPr="009017BC">
        <w:t>La propuesta constituye una respuesta proporcionada y necesaria para los problemas descritos en la sección 1. De conformidad con el principio de proporcionalidad establecido en el artículo 5, apartado 4, del Tratado de la Unión Europea, el presente Reglamento no excede de lo necesario para alcanzar dichos objetivos.</w:t>
      </w:r>
    </w:p>
    <w:p w14:paraId="2DE16101" w14:textId="77777777" w:rsidR="00B50935" w:rsidRPr="009017BC" w:rsidRDefault="00B50935" w:rsidP="00B50935">
      <w:pPr>
        <w:pStyle w:val="ManualHeading2"/>
        <w:rPr>
          <w:rFonts w:eastAsia="Arial Unicode MS"/>
          <w:u w:color="000000"/>
          <w:bdr w:val="nil"/>
        </w:rPr>
      </w:pPr>
      <w:bookmarkStart w:id="9" w:name="_Toc57975607"/>
      <w:r w:rsidRPr="009017BC">
        <w:rPr>
          <w:u w:color="000000"/>
          <w:bdr w:val="nil"/>
        </w:rPr>
        <w:t>•</w:t>
      </w:r>
      <w:r w:rsidRPr="009017BC">
        <w:tab/>
      </w:r>
      <w:r w:rsidRPr="009017BC">
        <w:rPr>
          <w:u w:color="000000"/>
          <w:bdr w:val="nil"/>
        </w:rPr>
        <w:t>Elección del instrumento</w:t>
      </w:r>
      <w:bookmarkEnd w:id="9"/>
    </w:p>
    <w:p w14:paraId="3A533E1A" w14:textId="526BD0BD" w:rsidR="00B50935" w:rsidRPr="009017BC" w:rsidRDefault="00B50935" w:rsidP="00B50935">
      <w:pPr>
        <w:pStyle w:val="Text1"/>
        <w:rPr>
          <w:rFonts w:eastAsia="Arial Unicode MS"/>
        </w:rPr>
      </w:pPr>
      <w:r w:rsidRPr="009017BC">
        <w:t xml:space="preserve">La propuesta adopta la forma de una modificación del Reglamento vigente. Este tipo de instrumento se considera el más adecuado, teniendo en cuenta que un elemento clave de la propuesta es establecer procedimientos y estructuras bien armonizados para cooperar en el trabajo a escala de la Unión, y que presta especial atención a la asignación de tareas adicionales al Centro. Las medidas no requieren la aplicación de medidas nacionales y pueden ser directamente aplicables. </w:t>
      </w:r>
    </w:p>
    <w:p w14:paraId="26824403" w14:textId="77777777" w:rsidR="00B50935" w:rsidRPr="009017BC" w:rsidRDefault="00B50935" w:rsidP="00B50935">
      <w:pPr>
        <w:pStyle w:val="ManualHeading1"/>
      </w:pPr>
      <w:bookmarkStart w:id="10" w:name="_Toc57975608"/>
      <w:r w:rsidRPr="009017BC">
        <w:t>3.</w:t>
      </w:r>
      <w:r w:rsidRPr="009017BC">
        <w:tab/>
        <w:t xml:space="preserve">RESULTADOS DE LAS EVALUACIONES </w:t>
      </w:r>
      <w:r w:rsidRPr="009017BC">
        <w:rPr>
          <w:i/>
        </w:rPr>
        <w:t>EX POST</w:t>
      </w:r>
      <w:r w:rsidRPr="009017BC">
        <w:t>, DE LAS CONSULTAS CON LAS PARTES INTERESADAS Y DE LAS EVALUACIONES DE IMPACTO</w:t>
      </w:r>
      <w:bookmarkEnd w:id="10"/>
    </w:p>
    <w:p w14:paraId="6E77F563" w14:textId="77777777" w:rsidR="00B50935" w:rsidRPr="009017BC" w:rsidRDefault="00B50935" w:rsidP="00B50935">
      <w:pPr>
        <w:pStyle w:val="ManualHeading2"/>
        <w:rPr>
          <w:rFonts w:eastAsia="Arial Unicode MS"/>
          <w:u w:color="000000"/>
          <w:bdr w:val="nil"/>
        </w:rPr>
      </w:pPr>
      <w:bookmarkStart w:id="11" w:name="_Toc57975609"/>
      <w:r w:rsidRPr="009017BC">
        <w:rPr>
          <w:u w:color="000000"/>
          <w:bdr w:val="nil"/>
        </w:rPr>
        <w:t>•</w:t>
      </w:r>
      <w:r w:rsidRPr="009017BC">
        <w:tab/>
      </w:r>
      <w:r w:rsidRPr="009017BC">
        <w:rPr>
          <w:u w:color="000000"/>
          <w:bdr w:val="nil"/>
        </w:rPr>
        <w:t xml:space="preserve">Evaluaciones </w:t>
      </w:r>
      <w:r w:rsidRPr="009017BC">
        <w:rPr>
          <w:i/>
          <w:u w:color="000000"/>
          <w:bdr w:val="nil"/>
        </w:rPr>
        <w:t>ex post</w:t>
      </w:r>
      <w:r w:rsidRPr="009017BC">
        <w:rPr>
          <w:u w:color="000000"/>
          <w:bdr w:val="nil"/>
        </w:rPr>
        <w:t xml:space="preserve"> / controles de la adecuación de la legislación existente</w:t>
      </w:r>
      <w:bookmarkEnd w:id="11"/>
    </w:p>
    <w:p w14:paraId="0B0DD00D" w14:textId="77777777" w:rsidR="00B50935" w:rsidRPr="009017BC" w:rsidRDefault="00B50935" w:rsidP="00B50935">
      <w:pPr>
        <w:pStyle w:val="Text1"/>
        <w:rPr>
          <w:rFonts w:eastAsia="Arial Unicode MS"/>
        </w:rPr>
      </w:pPr>
      <w:r w:rsidRPr="009017BC">
        <w:t>La iniciativa, que forma parte de un paquete de medidas urgentes basadas en las enseñanzas extraídas hasta la fecha de la COVID-19, se apoya en las conclusiones de la reciente evaluación del funcionamiento del Centro</w:t>
      </w:r>
      <w:r w:rsidRPr="009017BC">
        <w:rPr>
          <w:rStyle w:val="FootnoteReference"/>
          <w:szCs w:val="24"/>
        </w:rPr>
        <w:footnoteReference w:id="5"/>
      </w:r>
      <w:r w:rsidRPr="009017BC">
        <w:t>, en una evaluación de los datos recopilados y en los intercambios mantenidos con las partes interesadas públicas y privadas sobre los problemas detectados durante la pandemia de COVID-19 y los posibles medios para hacerles frente. También se tienen debidamente en cuenta las conclusiones del informe del Tribunal de Cuentas sobre el marco de seguridad sanitaria de la UE</w:t>
      </w:r>
      <w:r w:rsidRPr="009017BC">
        <w:rPr>
          <w:rStyle w:val="FootnoteReference"/>
          <w:szCs w:val="24"/>
        </w:rPr>
        <w:footnoteReference w:id="6"/>
      </w:r>
      <w:r w:rsidRPr="009017BC">
        <w:t xml:space="preserve">. Esta información se resume en la Comunicación de la Comisión que acompaña el paquete de medidas. Teniendo en cuenta que la iniciativa propone ampliar el ámbito de aplicación de la legislación vigente, no se basará en una evaluación </w:t>
      </w:r>
      <w:r w:rsidRPr="009017BC">
        <w:rPr>
          <w:i/>
          <w:iCs/>
        </w:rPr>
        <w:t>ex post</w:t>
      </w:r>
      <w:r w:rsidRPr="009017BC">
        <w:t>, ya que las necesidades detectadas no se abordan en el marco existente.</w:t>
      </w:r>
    </w:p>
    <w:p w14:paraId="2BF34A95" w14:textId="77777777" w:rsidR="00B50935" w:rsidRPr="009017BC" w:rsidRDefault="00B50935" w:rsidP="00B50935">
      <w:pPr>
        <w:pStyle w:val="Text1"/>
        <w:rPr>
          <w:rFonts w:eastAsia="Arial Unicode MS"/>
        </w:rPr>
      </w:pPr>
      <w:r w:rsidRPr="009017BC">
        <w:t>Se propone que la Comisión informe, a más tardar en 2023, sobre las actividades del Centro, incluyendo un análisis de la forma en que se ha aplicado el mandato modificado, de la interacción y de la coherencia de las actividades del Centro con la propuesta de Reglamento relativo a las amenazas transfronterizas graves para la salud y, a más tardar en 2028, sobre las posibles modificaciones del mandato del Centro. Se incluirá también un análisis de la pertinencia del Centro en relación con las prioridades sanitarias internacionales, de la Unión y nacionales, así como la relación entre los resultados del Centro y las capacidades de los Estados miembros. El informe irá acompañado de un estudio encargado por la Comisión. Además, cada cinco años, la Comisión evaluará el rendimiento del Centro en relación con sus objetivos, su mandato, sus tareas, sus procedimientos y su localización, de acuerdo con las directrices de la Comisión para la mejora de la legislación.</w:t>
      </w:r>
    </w:p>
    <w:p w14:paraId="2F80F106" w14:textId="77777777" w:rsidR="00B50935" w:rsidRPr="009017BC" w:rsidRDefault="00B50935" w:rsidP="00B50935">
      <w:pPr>
        <w:pStyle w:val="ManualHeading2"/>
        <w:rPr>
          <w:rFonts w:eastAsia="Arial Unicode MS"/>
          <w:u w:color="000000"/>
          <w:bdr w:val="nil"/>
        </w:rPr>
      </w:pPr>
      <w:bookmarkStart w:id="12" w:name="_Toc57975610"/>
      <w:r w:rsidRPr="009017BC">
        <w:rPr>
          <w:u w:color="000000"/>
          <w:bdr w:val="nil"/>
        </w:rPr>
        <w:t>•</w:t>
      </w:r>
      <w:r w:rsidRPr="009017BC">
        <w:tab/>
      </w:r>
      <w:r w:rsidRPr="009017BC">
        <w:rPr>
          <w:u w:color="000000"/>
          <w:bdr w:val="nil"/>
        </w:rPr>
        <w:t>Consultas con las partes interesadas</w:t>
      </w:r>
      <w:bookmarkEnd w:id="12"/>
    </w:p>
    <w:p w14:paraId="00AB442E" w14:textId="77777777" w:rsidR="00B50935" w:rsidRPr="009017BC" w:rsidRDefault="00B50935" w:rsidP="00B50935">
      <w:pPr>
        <w:pStyle w:val="Text1"/>
        <w:rPr>
          <w:rFonts w:eastAsia="Arial Unicode MS"/>
        </w:rPr>
      </w:pPr>
      <w:r w:rsidRPr="009017BC">
        <w:t xml:space="preserve">En la reunión informal del Consejo de Sanidad celebrada el 16 de julio de 2020, la Presidencia alemana del Consejo de la UE presidió un debate sobre el refuerzo del Centro. Los Estados miembros mostraron su apoyo a una iniciativa en este sentido dentro del mecanismo general de preparación y respuesta a las crisis sanitarias de la UE. Esto implica una modificación del Reglamento constitutivo del Centro. En la reunión informal del grupo de trabajo sobre salud pública del Consejo de Sanidad celebrada el 29 de octubre de 2020 prosiguió el debate acerca del proyecto de conclusiones del Consejo sobre las enseñanzas extraídas de la COVID-19 en materia de salud. También se celebraron reuniones bilaterales a nivel político y técnico, y el 29 de octubre se organizó un seminario web público para deliberar sobre el paquete. </w:t>
      </w:r>
    </w:p>
    <w:p w14:paraId="456359C0" w14:textId="77777777" w:rsidR="00B50935" w:rsidRPr="009017BC" w:rsidRDefault="00B50935" w:rsidP="00B50935">
      <w:pPr>
        <w:pStyle w:val="ManualHeading2"/>
        <w:rPr>
          <w:rFonts w:eastAsia="Arial Unicode MS"/>
          <w:u w:color="000000"/>
          <w:bdr w:val="nil"/>
        </w:rPr>
      </w:pPr>
      <w:bookmarkStart w:id="13" w:name="_Toc57975611"/>
      <w:r w:rsidRPr="009017BC">
        <w:rPr>
          <w:u w:color="000000"/>
          <w:bdr w:val="nil"/>
        </w:rPr>
        <w:t>•</w:t>
      </w:r>
      <w:r w:rsidRPr="009017BC">
        <w:tab/>
      </w:r>
      <w:r w:rsidRPr="009017BC">
        <w:rPr>
          <w:u w:color="000000"/>
          <w:bdr w:val="nil"/>
        </w:rPr>
        <w:t>Evaluación de impacto</w:t>
      </w:r>
      <w:bookmarkEnd w:id="13"/>
    </w:p>
    <w:p w14:paraId="0F76E7B5" w14:textId="3E0D2D60" w:rsidR="00B50935" w:rsidRPr="009017BC" w:rsidRDefault="00B50935" w:rsidP="00B50935">
      <w:pPr>
        <w:pStyle w:val="Text1"/>
        <w:rPr>
          <w:rFonts w:eastAsia="Arial Unicode MS"/>
        </w:rPr>
      </w:pPr>
      <w:r w:rsidRPr="009017BC">
        <w:rPr>
          <w:shd w:val="clear" w:color="auto" w:fill="FFFFFF"/>
        </w:rPr>
        <w:t>Debido a su carácter urgente, la presente propuesta no va acompañada de la evaluación de impacto formal.</w:t>
      </w:r>
      <w:r w:rsidRPr="009017BC">
        <w:t xml:space="preserve"> En su lugar, </w:t>
      </w:r>
      <w:r w:rsidRPr="009017BC">
        <w:rPr>
          <w:shd w:val="clear" w:color="auto" w:fill="FFFFFF"/>
        </w:rPr>
        <w:t xml:space="preserve">las modificaciones se basan principalmente en una evaluación de los datos recopilados durante los primeros meses de la pandemia y en los intercambios con las partes interesadas públicas y privadas sobre problemas relacionados con la COVID-19 y posibles formas de abordarlos, así como en las conclusiones de una evaluación reciente. Esta información se ha resumido en una Comunicación de la Comisión que acompaña al paquete general de propuestas y que proporciona todos los datos disponibles o remite a ellos, puesto que no se pudo realizar una consulta pública ni una evaluación de impacto en el plazo disponible antes de la adopción de la presente propuesta. </w:t>
      </w:r>
    </w:p>
    <w:p w14:paraId="5FA3B83C" w14:textId="77777777" w:rsidR="00B50935" w:rsidRPr="009017BC" w:rsidRDefault="00B50935" w:rsidP="00B50935">
      <w:pPr>
        <w:pStyle w:val="ManualHeading2"/>
        <w:rPr>
          <w:rFonts w:eastAsia="Arial Unicode MS"/>
          <w:u w:color="000000"/>
          <w:bdr w:val="nil"/>
        </w:rPr>
      </w:pPr>
      <w:bookmarkStart w:id="14" w:name="_Toc57975612"/>
      <w:r w:rsidRPr="009017BC">
        <w:rPr>
          <w:u w:color="000000"/>
          <w:bdr w:val="nil"/>
        </w:rPr>
        <w:t>•</w:t>
      </w:r>
      <w:r w:rsidRPr="009017BC">
        <w:tab/>
      </w:r>
      <w:r w:rsidRPr="009017BC">
        <w:rPr>
          <w:u w:color="000000"/>
          <w:bdr w:val="nil"/>
        </w:rPr>
        <w:t>Derechos fundamentales</w:t>
      </w:r>
      <w:bookmarkEnd w:id="14"/>
    </w:p>
    <w:p w14:paraId="26DFB974" w14:textId="77777777" w:rsidR="00B50935" w:rsidRPr="009017BC" w:rsidRDefault="00B50935" w:rsidP="00B50935">
      <w:pPr>
        <w:pStyle w:val="Text1"/>
      </w:pPr>
      <w:r w:rsidRPr="009017BC">
        <w:t xml:space="preserve">La propuesta contribuye a lograr un alto nivel de protección de la salud humana, sensible a las cuestiones de género, y a cumplir las normas más estrictas en materia de protección de los derechos humanos y las libertades civiles, consagrados en la Carta de los Derechos Fundamentales y en el pilar europeo de derechos sociales, durante la crisis sanitaria. El tratamiento de datos personales en virtud de la presente propuesta de Reglamento, cuando sea necesario, se hará de conformidad con la legislación pertinente de la Unión en materia de protección de datos personales, en particular el Reglamento (UE) 2018/1725 y el Reglamento (UE) 2016/679. </w:t>
      </w:r>
    </w:p>
    <w:p w14:paraId="6FDA60F1" w14:textId="77777777" w:rsidR="00B50935" w:rsidRPr="009017BC" w:rsidRDefault="00B50935" w:rsidP="00B50935">
      <w:pPr>
        <w:pStyle w:val="ManualHeading1"/>
      </w:pPr>
      <w:bookmarkStart w:id="15" w:name="_Toc57975613"/>
      <w:r w:rsidRPr="009017BC">
        <w:t>4.</w:t>
      </w:r>
      <w:r w:rsidRPr="009017BC">
        <w:tab/>
        <w:t>REPERCUSIONES PRESUPUESTARIAS</w:t>
      </w:r>
      <w:bookmarkEnd w:id="15"/>
    </w:p>
    <w:p w14:paraId="27C5FA88" w14:textId="77777777" w:rsidR="00B50935" w:rsidRPr="009017BC" w:rsidRDefault="00B50935" w:rsidP="00B50935">
      <w:pPr>
        <w:pStyle w:val="Text1"/>
      </w:pPr>
      <w:r w:rsidRPr="009017BC">
        <w:t xml:space="preserve">La aplicación de la presente propuesta no tiene ninguna repercusión en el marco financiero plurianual 2014-2020 vigente. </w:t>
      </w:r>
    </w:p>
    <w:p w14:paraId="71290C58" w14:textId="77777777" w:rsidR="00B50935" w:rsidRPr="009017BC" w:rsidRDefault="00B50935" w:rsidP="00B50935">
      <w:pPr>
        <w:pStyle w:val="Text1"/>
      </w:pPr>
      <w:r w:rsidRPr="009017BC">
        <w:t xml:space="preserve">La incidencia financiera de la presente propuesta en el presupuesto de la Unión formará parte del próximo marco financiero plurianual 2021-2027. </w:t>
      </w:r>
    </w:p>
    <w:p w14:paraId="4ECB7D1C" w14:textId="77777777" w:rsidR="00B50935" w:rsidRPr="009017BC" w:rsidRDefault="00B50935" w:rsidP="00B50935">
      <w:pPr>
        <w:pStyle w:val="Text1"/>
      </w:pPr>
      <w:r w:rsidRPr="009017BC">
        <w:t>Las repercusiones presupuestarias están relacionadas principalmente con los objetivos siguientes:</w:t>
      </w:r>
    </w:p>
    <w:p w14:paraId="6F8B7FCC" w14:textId="7AF42DD9" w:rsidR="00B50935" w:rsidRPr="009017BC" w:rsidRDefault="00B50935" w:rsidP="00B50935">
      <w:pPr>
        <w:pStyle w:val="Point1"/>
      </w:pPr>
      <w:r w:rsidRPr="009017BC">
        <w:t>●</w:t>
      </w:r>
      <w:r w:rsidRPr="009017BC">
        <w:tab/>
        <w:t>creación de una nueva plataforma de seguimiento de vacunas gestionada conjuntamente por la Agencia Europea de Medicamentos y el Centro;</w:t>
      </w:r>
    </w:p>
    <w:p w14:paraId="55B2B323" w14:textId="77777777" w:rsidR="00B50935" w:rsidRPr="009017BC" w:rsidRDefault="00B50935" w:rsidP="00B50935">
      <w:pPr>
        <w:pStyle w:val="Point1"/>
        <w:rPr>
          <w:rFonts w:eastAsia="Arial Unicode MS"/>
        </w:rPr>
      </w:pPr>
      <w:r w:rsidRPr="009017BC">
        <w:t>●</w:t>
      </w:r>
      <w:r w:rsidRPr="009017BC">
        <w:tab/>
        <w:t xml:space="preserve">actividades de planificación de la preparación y la respuesta, incluidas la modelización, la anticipación, el seguimiento y la evaluación; </w:t>
      </w:r>
    </w:p>
    <w:p w14:paraId="438F33A2" w14:textId="77777777" w:rsidR="00B50935" w:rsidRPr="009017BC" w:rsidRDefault="00B50935" w:rsidP="00B50935">
      <w:pPr>
        <w:pStyle w:val="Point1"/>
        <w:rPr>
          <w:rFonts w:eastAsia="Arial Unicode MS"/>
        </w:rPr>
      </w:pPr>
      <w:r w:rsidRPr="009017BC">
        <w:t>●</w:t>
      </w:r>
      <w:r w:rsidRPr="009017BC">
        <w:tab/>
        <w:t xml:space="preserve">nuevas redes de laboratorios de referencia de la Unión y sobre transfusiones, trasplantes y reproducción asistida; </w:t>
      </w:r>
    </w:p>
    <w:p w14:paraId="67BCB999" w14:textId="3FD10C24" w:rsidR="00B50935" w:rsidRPr="009017BC" w:rsidRDefault="00B50935" w:rsidP="00B50935">
      <w:pPr>
        <w:pStyle w:val="Point1"/>
        <w:rPr>
          <w:rFonts w:eastAsia="Arial Unicode MS"/>
        </w:rPr>
      </w:pPr>
      <w:r w:rsidRPr="009017BC">
        <w:t>●</w:t>
      </w:r>
      <w:r w:rsidRPr="009017BC">
        <w:tab/>
        <w:t xml:space="preserve">refuerzo de los sistemas de vigilancia y del Sistema de Alerta Precoz y Respuesta; </w:t>
      </w:r>
    </w:p>
    <w:p w14:paraId="4E290410" w14:textId="77777777" w:rsidR="00B50935" w:rsidRPr="009017BC" w:rsidRDefault="00B50935" w:rsidP="00B50935">
      <w:pPr>
        <w:pStyle w:val="Point1"/>
      </w:pPr>
      <w:r w:rsidRPr="009017BC">
        <w:t>●</w:t>
      </w:r>
      <w:r w:rsidRPr="009017BC">
        <w:tab/>
        <w:t>seguimiento y evaluación de la capacidad de los sistemas sanitarios, y detección de los grupos de población en situación de riesgo y que necesitan medidas de prevención y respuesta específicas;</w:t>
      </w:r>
    </w:p>
    <w:p w14:paraId="168DBFB8" w14:textId="7FEEEA26" w:rsidR="00B50935" w:rsidRPr="009017BC" w:rsidRDefault="00B50935" w:rsidP="00B50935">
      <w:pPr>
        <w:pStyle w:val="Point1"/>
        <w:rPr>
          <w:rFonts w:eastAsia="Arial Unicode MS"/>
        </w:rPr>
      </w:pPr>
      <w:r w:rsidRPr="009017BC">
        <w:t>●</w:t>
      </w:r>
      <w:r w:rsidRPr="009017BC">
        <w:tab/>
        <w:t>creación de un Grupo de Trabajo sobre Salud de la UE para ayudar a los países a reforzar la preparación e intervenir rápidamente en una crisis sanitaria;</w:t>
      </w:r>
    </w:p>
    <w:p w14:paraId="5700AA84" w14:textId="0B999D88" w:rsidR="00B50935" w:rsidRPr="009017BC" w:rsidRDefault="00B50935" w:rsidP="00B50935">
      <w:pPr>
        <w:pStyle w:val="Point1"/>
        <w:rPr>
          <w:rFonts w:eastAsia="Arial Unicode MS"/>
        </w:rPr>
      </w:pPr>
      <w:r w:rsidRPr="009017BC">
        <w:t>●</w:t>
      </w:r>
      <w:r w:rsidRPr="009017BC">
        <w:tab/>
        <w:t>mejora de la colaboración internacional y recopilación de inteligencia regional y nacional.</w:t>
      </w:r>
    </w:p>
    <w:p w14:paraId="4F9A7E64" w14:textId="77777777" w:rsidR="00B50935" w:rsidRPr="009017BC" w:rsidRDefault="00B50935" w:rsidP="00B50935">
      <w:pPr>
        <w:pStyle w:val="ManualHeading1"/>
      </w:pPr>
      <w:bookmarkStart w:id="16" w:name="_Toc57975614"/>
      <w:r w:rsidRPr="009017BC">
        <w:t>5.</w:t>
      </w:r>
      <w:r w:rsidRPr="009017BC">
        <w:tab/>
        <w:t>OTROS ELEMENTOS</w:t>
      </w:r>
      <w:bookmarkEnd w:id="16"/>
    </w:p>
    <w:p w14:paraId="74EFA681" w14:textId="77777777" w:rsidR="00B50935" w:rsidRPr="009017BC" w:rsidRDefault="00B50935" w:rsidP="00B50935">
      <w:pPr>
        <w:pStyle w:val="ManualHeading2"/>
        <w:rPr>
          <w:rFonts w:eastAsia="Arial Unicode MS"/>
          <w:u w:color="000000"/>
          <w:bdr w:val="nil"/>
        </w:rPr>
      </w:pPr>
      <w:bookmarkStart w:id="17" w:name="_Toc57975615"/>
      <w:r w:rsidRPr="009017BC">
        <w:rPr>
          <w:u w:color="000000"/>
          <w:bdr w:val="nil"/>
        </w:rPr>
        <w:t>•</w:t>
      </w:r>
      <w:r w:rsidRPr="009017BC">
        <w:tab/>
      </w:r>
      <w:r w:rsidRPr="009017BC">
        <w:rPr>
          <w:u w:color="000000"/>
          <w:bdr w:val="nil"/>
        </w:rPr>
        <w:t>Explicación detallada de las disposiciones específicas de la propuesta</w:t>
      </w:r>
      <w:bookmarkEnd w:id="17"/>
    </w:p>
    <w:p w14:paraId="28D39D73" w14:textId="77777777" w:rsidR="00B50935" w:rsidRPr="009017BC" w:rsidRDefault="00B50935" w:rsidP="00B50935">
      <w:pPr>
        <w:pStyle w:val="Text1"/>
      </w:pPr>
      <w:r w:rsidRPr="009017BC">
        <w:t xml:space="preserve">La propuesta tiene por objeto reforzar las capacidades del Centro para apoyar la preparación, la vigilancia, la evaluación de riesgos, y la alerta precoz y respuesta a fin de hacer frente a futuras amenazas transfronterizas para la salud. </w:t>
      </w:r>
    </w:p>
    <w:p w14:paraId="594BFE8C" w14:textId="77777777" w:rsidR="00B50935" w:rsidRPr="009017BC" w:rsidRDefault="00B50935" w:rsidP="00B50935">
      <w:pPr>
        <w:pStyle w:val="Text1"/>
      </w:pPr>
      <w:r w:rsidRPr="009017BC">
        <w:t>Ámbitos clave de la propuesta:</w:t>
      </w:r>
    </w:p>
    <w:p w14:paraId="53711C6C" w14:textId="541C610D" w:rsidR="00B50935" w:rsidRPr="009017BC" w:rsidRDefault="00B50935" w:rsidP="00B50935">
      <w:pPr>
        <w:pStyle w:val="Point1"/>
        <w:rPr>
          <w:rFonts w:eastAsia="Times New Roman"/>
          <w:szCs w:val="20"/>
        </w:rPr>
      </w:pPr>
      <w:r w:rsidRPr="009017BC">
        <w:t>●</w:t>
      </w:r>
      <w:r w:rsidRPr="009017BC">
        <w:tab/>
        <w:t xml:space="preserve">conocimiento de la situación: digitalización rápida de los sistemas de vigilancia integrados; </w:t>
      </w:r>
    </w:p>
    <w:p w14:paraId="355C33BA" w14:textId="77777777" w:rsidR="00B50935" w:rsidRPr="009017BC" w:rsidRDefault="00B50935" w:rsidP="00B50935">
      <w:pPr>
        <w:pStyle w:val="Point1"/>
        <w:rPr>
          <w:rFonts w:eastAsia="Times New Roman"/>
          <w:szCs w:val="20"/>
        </w:rPr>
      </w:pPr>
      <w:r w:rsidRPr="009017BC">
        <w:t>●</w:t>
      </w:r>
      <w:r w:rsidRPr="009017BC">
        <w:tab/>
        <w:t>mejor preparación en los Estados miembros: desarrollo de planes de prevención y respuesta frente a epidemias futuras y refuerzo de las capacidades de respuesta rápida e integrada a epidemias y brotes;</w:t>
      </w:r>
    </w:p>
    <w:p w14:paraId="2D392DE7" w14:textId="77777777" w:rsidR="00B50935" w:rsidRPr="009017BC" w:rsidRDefault="00B50935" w:rsidP="00B50935">
      <w:pPr>
        <w:pStyle w:val="Point1"/>
        <w:rPr>
          <w:rFonts w:eastAsia="Times New Roman"/>
          <w:szCs w:val="20"/>
        </w:rPr>
      </w:pPr>
      <w:r w:rsidRPr="009017BC">
        <w:t>●</w:t>
      </w:r>
      <w:r w:rsidRPr="009017BC">
        <w:tab/>
        <w:t>medidas reforzadas de control de epidemias y brotes: formulación de recomendaciones no vinculantes para la gestión de riesgos;</w:t>
      </w:r>
    </w:p>
    <w:p w14:paraId="05A2CDC4" w14:textId="2D6946E5" w:rsidR="00B50935" w:rsidRPr="009017BC" w:rsidRDefault="00B50935" w:rsidP="00B50935">
      <w:pPr>
        <w:pStyle w:val="Point1"/>
        <w:rPr>
          <w:rFonts w:eastAsia="Times New Roman"/>
          <w:szCs w:val="20"/>
        </w:rPr>
      </w:pPr>
      <w:r w:rsidRPr="009017BC">
        <w:t>●</w:t>
      </w:r>
      <w:r w:rsidRPr="009017BC">
        <w:tab/>
        <w:t>ampliación de la capacidad para movilizar y desplegar el Grupo de Trabajo sobre Salud de la UE para ayudar a la respuesta en los Estados miembros;</w:t>
      </w:r>
    </w:p>
    <w:p w14:paraId="51BC7952" w14:textId="77777777" w:rsidR="00B50935" w:rsidRPr="009017BC" w:rsidRDefault="00B50935" w:rsidP="00025545">
      <w:pPr>
        <w:pStyle w:val="Point1"/>
        <w:rPr>
          <w:rFonts w:eastAsia="Times New Roman"/>
          <w:szCs w:val="20"/>
        </w:rPr>
      </w:pPr>
      <w:r w:rsidRPr="009017BC">
        <w:t>●</w:t>
      </w:r>
      <w:r w:rsidRPr="009017BC">
        <w:tab/>
        <w:t>refuerzo de la capacidad y desarrollo de competencias clave para hacer un seguimiento y evaluar la capacidad de los sistemas sanitarios para el diagnóstico, la prevención y el tratamiento de enfermedades transmisibles específicas, así como la seguridad de los pacientes;</w:t>
      </w:r>
    </w:p>
    <w:p w14:paraId="46872391" w14:textId="77777777" w:rsidR="00B50935" w:rsidRPr="009017BC" w:rsidRDefault="00B50935" w:rsidP="00B50935">
      <w:pPr>
        <w:pStyle w:val="Point1"/>
        <w:ind w:hanging="566"/>
        <w:rPr>
          <w:rFonts w:eastAsia="Times New Roman"/>
          <w:szCs w:val="20"/>
        </w:rPr>
      </w:pPr>
      <w:r w:rsidRPr="009017BC">
        <w:t>●</w:t>
      </w:r>
      <w:r w:rsidRPr="009017BC">
        <w:tab/>
        <w:t>refuerzo de la capacidad y detección de los grupos de población en situación de riesgo y que necesitan medidas de prevención y respuesta específicas;</w:t>
      </w:r>
    </w:p>
    <w:p w14:paraId="496C5747" w14:textId="77777777" w:rsidR="00B50935" w:rsidRPr="009017BC" w:rsidRDefault="00B50935" w:rsidP="00B50935">
      <w:pPr>
        <w:pStyle w:val="Point1"/>
      </w:pPr>
      <w:r w:rsidRPr="009017BC">
        <w:t>●</w:t>
      </w:r>
      <w:r w:rsidRPr="009017BC">
        <w:tab/>
        <w:t>vinculación entre la investigación y la preparación y respuesta: intermediar entre la salud pública y las comunidades de investigación, contribuir a definir las prioridades de investigación relacionadas con la preparación y respuesta, y garantizar la integración de los resultados de investigación en las recomendaciones de políticas;</w:t>
      </w:r>
    </w:p>
    <w:p w14:paraId="5C5D2452" w14:textId="77777777" w:rsidR="00B50935" w:rsidRPr="009017BC" w:rsidRDefault="00B50935" w:rsidP="00B50935">
      <w:pPr>
        <w:pStyle w:val="Point1"/>
        <w:rPr>
          <w:rFonts w:eastAsia="Times New Roman"/>
          <w:szCs w:val="20"/>
        </w:rPr>
      </w:pPr>
      <w:r w:rsidRPr="009017BC">
        <w:t>●</w:t>
      </w:r>
      <w:r w:rsidRPr="009017BC">
        <w:tab/>
        <w:t>desarrollo de las competencias clave para la protección de la salud en los Estados miembros: se encomendará al Centro la tarea de coordinar una nueva red de laboratorios de referencia de la Unión para la salud pública y una nueva red de servicios nacionales de apoyo a transfusiones, trasplantes y reproducción asistida;</w:t>
      </w:r>
    </w:p>
    <w:p w14:paraId="7C473C58" w14:textId="77777777" w:rsidR="00B50935" w:rsidRPr="009017BC" w:rsidRDefault="00B50935" w:rsidP="00B50935">
      <w:pPr>
        <w:pStyle w:val="Point1"/>
        <w:rPr>
          <w:rFonts w:eastAsia="Times New Roman"/>
          <w:szCs w:val="20"/>
        </w:rPr>
      </w:pPr>
      <w:r w:rsidRPr="009017BC">
        <w:t>●</w:t>
      </w:r>
      <w:r w:rsidRPr="009017BC">
        <w:tab/>
        <w:t>ampliación del trabajo sobre prevención de enfermedades transmisibles y problemas de salud específicos, por ejemplo, la resistencia a los antimicrobianos, la vacunación y la bioseguridad;</w:t>
      </w:r>
    </w:p>
    <w:p w14:paraId="53E30503" w14:textId="77777777" w:rsidR="00B50935" w:rsidRPr="009017BC" w:rsidRDefault="00B50935" w:rsidP="00B50935">
      <w:pPr>
        <w:pStyle w:val="Point1"/>
        <w:rPr>
          <w:rFonts w:eastAsia="Times New Roman"/>
          <w:szCs w:val="20"/>
        </w:rPr>
      </w:pPr>
      <w:r w:rsidRPr="009017BC">
        <w:t>●</w:t>
      </w:r>
      <w:r w:rsidRPr="009017BC">
        <w:tab/>
        <w:t>refuerzo de la contribución a la cooperación y el desarrollo internacionales de la UE y del compromiso de la Unión con la preparación mundial en materia de seguridad sanitaria.</w:t>
      </w:r>
    </w:p>
    <w:p w14:paraId="47442678" w14:textId="77777777" w:rsidR="00B50935" w:rsidRPr="009017BC" w:rsidRDefault="00B50935" w:rsidP="00B50935">
      <w:pPr>
        <w:pStyle w:val="Text1"/>
        <w:rPr>
          <w:rFonts w:eastAsia="Times New Roman"/>
          <w:szCs w:val="20"/>
        </w:rPr>
      </w:pPr>
      <w:r w:rsidRPr="009017BC">
        <w:t xml:space="preserve">La propuesta también tratará de garantizar una cooperación fluida durante estas emergencias entre el Centro y las demás agencias descentralizadas de la UE, especialmente con la Agencia Europea de Medicamentos. </w:t>
      </w:r>
    </w:p>
    <w:p w14:paraId="1C84B664" w14:textId="0BCDF641" w:rsidR="00B50935" w:rsidRPr="009017BC" w:rsidRDefault="00B50935" w:rsidP="00B50935">
      <w:pPr>
        <w:pStyle w:val="Text1"/>
      </w:pPr>
      <w:r w:rsidRPr="009017BC">
        <w:t>La presente propuesta está en consonancia con el planteamiento común</w:t>
      </w:r>
      <w:r w:rsidRPr="009017BC">
        <w:rPr>
          <w:rStyle w:val="FootnoteReference"/>
        </w:rPr>
        <w:footnoteReference w:id="7"/>
      </w:r>
      <w:r w:rsidRPr="009017BC">
        <w:t xml:space="preserve"> en relación con la estructura y el gobierno de las agencias, su funcionamiento, su programación y su responsabilidad.</w:t>
      </w:r>
    </w:p>
    <w:p w14:paraId="2A55EA47" w14:textId="77777777" w:rsidR="00B50935" w:rsidRPr="009017BC" w:rsidRDefault="00B50935" w:rsidP="00B50935">
      <w:pPr>
        <w:sectPr w:rsidR="00B50935" w:rsidRPr="009017BC" w:rsidSect="00DF5771">
          <w:footerReference w:type="default" r:id="rId9"/>
          <w:footerReference w:type="first" r:id="rId10"/>
          <w:pgSz w:w="11907" w:h="16839"/>
          <w:pgMar w:top="1134" w:right="1417" w:bottom="1134" w:left="1417" w:header="709" w:footer="709" w:gutter="0"/>
          <w:cols w:space="708"/>
          <w:docGrid w:linePitch="360"/>
        </w:sectPr>
      </w:pPr>
    </w:p>
    <w:p w14:paraId="6B802FA5" w14:textId="079D4639" w:rsidR="00E2254D" w:rsidRPr="009017BC" w:rsidRDefault="009017BC" w:rsidP="009017BC">
      <w:pPr>
        <w:pStyle w:val="Rfrenceinterinstitutionnelle"/>
      </w:pPr>
      <w:r w:rsidRPr="009017BC">
        <w:t>2020/0320 (COD)</w:t>
      </w:r>
    </w:p>
    <w:p w14:paraId="3D09785D" w14:textId="53EE7E3B" w:rsidR="00B50935" w:rsidRPr="009017BC" w:rsidRDefault="009017BC" w:rsidP="009017BC">
      <w:pPr>
        <w:pStyle w:val="Statut"/>
      </w:pPr>
      <w:r w:rsidRPr="009017BC">
        <w:t>Propuesta de</w:t>
      </w:r>
    </w:p>
    <w:p w14:paraId="2F5B6812" w14:textId="0EB8E221" w:rsidR="00B50935" w:rsidRPr="009017BC" w:rsidRDefault="009017BC" w:rsidP="009017BC">
      <w:pPr>
        <w:pStyle w:val="Typedudocument"/>
      </w:pPr>
      <w:r w:rsidRPr="009017BC">
        <w:t>REGLAMENTO DEL PARLAMENTO EUROPEO Y DEL CONSEJO</w:t>
      </w:r>
    </w:p>
    <w:p w14:paraId="60B43DAC" w14:textId="5446E89D" w:rsidR="00B50935" w:rsidRPr="009017BC" w:rsidRDefault="009017BC" w:rsidP="009017BC">
      <w:pPr>
        <w:pStyle w:val="Titreobjet"/>
      </w:pPr>
      <w:r w:rsidRPr="009017BC">
        <w:t>que modifica el Reglamento (CE) n.º 851/2004 por el que se crea un Centro Europeo para la Prevención y el Control de las Enfermedades</w:t>
      </w:r>
    </w:p>
    <w:p w14:paraId="7DAEE618" w14:textId="77777777" w:rsidR="00B50935" w:rsidRPr="009017BC" w:rsidRDefault="00B50935" w:rsidP="00B50935">
      <w:pPr>
        <w:pStyle w:val="Institutionquiagit"/>
      </w:pPr>
      <w:r w:rsidRPr="009017BC">
        <w:t>EL PARLAMENTO EUROPEO Y EL CONSEJO DE LA UNIÓN EUROPEA,</w:t>
      </w:r>
    </w:p>
    <w:p w14:paraId="39BE152A" w14:textId="77777777" w:rsidR="00B50935" w:rsidRPr="009017BC" w:rsidRDefault="00B50935" w:rsidP="00B50935">
      <w:r w:rsidRPr="009017BC">
        <w:t>Visto el Tratado de Funcionamiento de la Unión Europea, y en particular su artículo 168, apartado 5,</w:t>
      </w:r>
    </w:p>
    <w:p w14:paraId="4C3EBC35" w14:textId="77777777" w:rsidR="00B50935" w:rsidRPr="009017BC" w:rsidRDefault="00B50935" w:rsidP="00B50935">
      <w:r w:rsidRPr="009017BC">
        <w:t>Vista la propuesta de la Comisión Europea,</w:t>
      </w:r>
    </w:p>
    <w:p w14:paraId="1DC70FD4" w14:textId="77777777" w:rsidR="00B50935" w:rsidRPr="009017BC" w:rsidRDefault="00B50935" w:rsidP="00B50935">
      <w:r w:rsidRPr="009017BC">
        <w:t>Previa transmisión del proyecto de acto legislativo a los parlamentos nacionales,</w:t>
      </w:r>
    </w:p>
    <w:p w14:paraId="78B6F1EF" w14:textId="77777777" w:rsidR="00B50935" w:rsidRPr="009017BC" w:rsidRDefault="00B50935" w:rsidP="00B50935">
      <w:r w:rsidRPr="009017BC">
        <w:t>Visto el dictamen del Comité Económico y Social Europeo</w:t>
      </w:r>
      <w:r w:rsidRPr="009017BC">
        <w:rPr>
          <w:rStyle w:val="FootnoteReference"/>
        </w:rPr>
        <w:footnoteReference w:id="8"/>
      </w:r>
      <w:r w:rsidRPr="009017BC">
        <w:t xml:space="preserve">, </w:t>
      </w:r>
    </w:p>
    <w:p w14:paraId="1D6C4753" w14:textId="77777777" w:rsidR="00B50935" w:rsidRPr="009017BC" w:rsidRDefault="00B50935" w:rsidP="00B50935">
      <w:r w:rsidRPr="009017BC">
        <w:t>Visto el dictamen del Comité de las Regiones</w:t>
      </w:r>
      <w:r w:rsidRPr="009017BC">
        <w:rPr>
          <w:rStyle w:val="FootnoteReference"/>
        </w:rPr>
        <w:footnoteReference w:id="9"/>
      </w:r>
      <w:r w:rsidRPr="009017BC">
        <w:t xml:space="preserve">, </w:t>
      </w:r>
    </w:p>
    <w:p w14:paraId="5DF90B66" w14:textId="77777777" w:rsidR="00B50935" w:rsidRPr="009017BC" w:rsidRDefault="00B50935" w:rsidP="00B50935">
      <w:r w:rsidRPr="009017BC">
        <w:t>De conformidad con el procedimiento legislativo ordinario,</w:t>
      </w:r>
    </w:p>
    <w:p w14:paraId="36373680" w14:textId="77777777" w:rsidR="00B50935" w:rsidRPr="009017BC" w:rsidRDefault="00B50935" w:rsidP="00B50935">
      <w:r w:rsidRPr="009017BC">
        <w:t>Considerando lo siguiente:</w:t>
      </w:r>
    </w:p>
    <w:p w14:paraId="7F329C4C" w14:textId="242EF895" w:rsidR="00B50935" w:rsidRPr="009017BC" w:rsidRDefault="00B50935" w:rsidP="00F36FFA">
      <w:pPr>
        <w:pStyle w:val="Considrant"/>
        <w:numPr>
          <w:ilvl w:val="0"/>
          <w:numId w:val="18"/>
        </w:numPr>
      </w:pPr>
      <w:r w:rsidRPr="009017BC">
        <w:t xml:space="preserve">La Unión se ha comprometido a proteger y mejorar la salud humana, en particular a luchar contra los grandes problemas sanitarios transfronterizos, con medidas relativas al seguimiento, la alerta precoz y la lucha contra las amenazas transfronterizas graves para la salud. </w:t>
      </w:r>
    </w:p>
    <w:p w14:paraId="53A2FA9B" w14:textId="497E3C5B" w:rsidR="00B50935" w:rsidRPr="009017BC" w:rsidRDefault="00B50935" w:rsidP="00F36FFA">
      <w:pPr>
        <w:pStyle w:val="Considrant"/>
        <w:numPr>
          <w:ilvl w:val="0"/>
          <w:numId w:val="18"/>
        </w:numPr>
      </w:pPr>
      <w:r w:rsidRPr="009017BC">
        <w:t>El Reglamento (CE) n.º 851/2004 del Parlamento Europeo y del Consejo</w:t>
      </w:r>
      <w:r w:rsidRPr="009017BC">
        <w:rPr>
          <w:rStyle w:val="FootnoteReference"/>
        </w:rPr>
        <w:footnoteReference w:id="10"/>
      </w:r>
      <w:r w:rsidRPr="009017BC">
        <w:t xml:space="preserve"> creó una agencia europea independiente, el Centro Europeo para la Prevención y el Control de las Enfermedades («el Centro»), con la misión de identificar, determinar y comunicar las amenazas actuales y emergentes que representan para la salud humana las enfermedades transmisibles. </w:t>
      </w:r>
    </w:p>
    <w:p w14:paraId="2E74F4D6" w14:textId="0ADE5CD5" w:rsidR="00B50935" w:rsidRPr="009017BC" w:rsidRDefault="00B50935" w:rsidP="00B50935">
      <w:pPr>
        <w:pStyle w:val="Considrant"/>
      </w:pPr>
      <w:r w:rsidRPr="009017BC">
        <w:t xml:space="preserve">El 11 de marzo de 2020, la Organización Mundial de la Salud (OMS) declaró como pandemia mundial el brote del nuevo coronavirus, que causa la enfermedad COVID-19. Los retos surgidos durante la respuesta a la pandemia pusieron de manifiesto la necesidad de reforzar el papel del Centro en el marco de la Unión para la preparación y respuesta ante las crisis sanitarias. </w:t>
      </w:r>
    </w:p>
    <w:p w14:paraId="57E17821" w14:textId="604CFFD5" w:rsidR="00B50935" w:rsidRPr="009017BC" w:rsidRDefault="00B50935" w:rsidP="00B50935">
      <w:pPr>
        <w:pStyle w:val="Considrant"/>
      </w:pPr>
      <w:r w:rsidRPr="009017BC">
        <w:t>En un dictamen conjunto emitido por el Grupo de Consejeros Científicos Principales de la Comisión Europea, el Grupo Europeo de Ética de la Ciencia y de las Nuevas Tecnologías y el asesor especial de la presidenta de la Comisión Europea sobre la respuesta a la COVID-19 se recomendó la creación de un órgano consultivo permanente de la UE para las amenazas y las crisis sanitarias.</w:t>
      </w:r>
    </w:p>
    <w:p w14:paraId="7FCA6147" w14:textId="77777777" w:rsidR="00B50935" w:rsidRPr="009017BC" w:rsidRDefault="00B50935" w:rsidP="00B50935">
      <w:pPr>
        <w:pStyle w:val="Considrant"/>
      </w:pPr>
      <w:r w:rsidRPr="009017BC">
        <w:t>En consecuencia, el presente Reglamento amplía la misión y las tareas del Centro para mejorar su capacidad de proporcionar los conocimientos científicos necesarios y apoyar acciones que sean pertinentes para la prevención, la preparación, la planificación de la respuesta y la lucha contra las amenazas transfronterizas graves para la salud en la Unión, de conformidad con el Reglamento (UE) .../... del Parlamento Europeo y del Consejo</w:t>
      </w:r>
      <w:r w:rsidRPr="009017BC">
        <w:rPr>
          <w:rStyle w:val="FootnoteReference"/>
        </w:rPr>
        <w:footnoteReference w:id="11"/>
      </w:r>
      <w:r w:rsidRPr="009017BC">
        <w:t xml:space="preserve"> [ISC/2020/12524]. </w:t>
      </w:r>
    </w:p>
    <w:p w14:paraId="1202D216" w14:textId="4FDCD3D7" w:rsidR="00B50935" w:rsidRPr="009017BC" w:rsidRDefault="00B50935" w:rsidP="00B50935">
      <w:pPr>
        <w:pStyle w:val="Considrant"/>
      </w:pPr>
      <w:r w:rsidRPr="009017BC">
        <w:t>A este respecto, debe encomendarse al Centro que proporcione información epidemiológica y su análisis, modelización, anticipación y previsión epidemiológicas, evaluaciones de riesgo pertinentes y recomendaciones que establezcan opciones para la prevención y el control de enfermedades transmisibles. Sus acciones deben ser coherentes con el concepto «Una sola salud» y reconocer las interconexiones entre la salud humana y animal y el medio ambiente. Debe hacer un seguimiento de la capacidad de los sistemas sanitarios nacionales para responder ante las amenazas que plantean las enfermedades transmisibles, en particular dada la importancia de esta información para la elaboración de los planes nacionales de preparación y respuesta. El Centro debe apoyar la ejecución de acciones financiadas por los programas e instrumentos de financiación pertinentes de la Unión y relacionadas con enfermedades transmisibles, proporcionar directrices para el tratamiento y la gestión de casos sobre la base de una evaluación exhaustiva de los datos más recientes, apoyar las respuestas a las epidemias y los brotes en los Estados miembros y terceros países, incluida la respuesta sobre el terreno, y proporcionar al público información oportuna, objetiva, fiable y de fácil acceso sobre las enfermedades transmisibles. El Centro también debe establecer procedimientos claros de cooperación con los agentes de la salud pública de terceros países, así como con las organizaciones internacionales competentes en el ámbito de la salud pública, contribuyendo así al compromiso de la Unión de reforzar la capacidad de preparación y respuesta de los socios.</w:t>
      </w:r>
    </w:p>
    <w:p w14:paraId="1142620C" w14:textId="1C3265BC" w:rsidR="00B50935" w:rsidRPr="009017BC" w:rsidRDefault="00B50935" w:rsidP="00F36FFA">
      <w:pPr>
        <w:pStyle w:val="Considrant"/>
        <w:numPr>
          <w:ilvl w:val="0"/>
          <w:numId w:val="18"/>
        </w:numPr>
      </w:pPr>
      <w:r w:rsidRPr="009017BC">
        <w:t>Con objeto de apoyar eficazmente el trabajo del Centro y garantizar que cumpla su misión, debe encomendarse a los Estados miembros que comuniquen al Centro los datos sobre la vigilancia de las enfermedades transmisibles y otros problemas de salud especiales, como la resistencia a los antimicrobianos y las infecciones asociadas a la asistencia sanitaria relacionadas con enfermedades transmisibles, los datos científicos y técnicos disponibles y la información pertinente para la misión del Centro; que notifiquen al Centro cualquier amenaza transfronteriza grave para la salud, e información sobre la planificación de la preparación y respuesta y sobre la capacidad del sistema sanitario, y le faciliten información pertinente que pueda ser útil para coordinar la respuesta, así como que determinen los órganos competentes reconocidos y los expertos en salud pública disponibles para prestar asistencia en las respuestas de la Unión a las amenazas para la salud.</w:t>
      </w:r>
    </w:p>
    <w:p w14:paraId="3AB827D9" w14:textId="04FF824C" w:rsidR="00B50935" w:rsidRPr="009017BC" w:rsidRDefault="00B50935" w:rsidP="00B50935">
      <w:pPr>
        <w:pStyle w:val="Considrant"/>
      </w:pPr>
      <w:r w:rsidRPr="009017BC">
        <w:t xml:space="preserve">A fin de mejorar las actividades de </w:t>
      </w:r>
      <w:r w:rsidRPr="009017BC">
        <w:rPr>
          <w:i/>
          <w:iCs/>
        </w:rPr>
        <w:t>planificación de la preparación y respuesta</w:t>
      </w:r>
      <w:r w:rsidRPr="009017BC">
        <w:t xml:space="preserve"> en la Unión, debe ampliarse la gestión por el Centro de redes especializadas y actividades de interconexión en redes para reflejar el ámbito de aplicación del Reglamento (UE).../.... [DO: Insértese la referencia del Reglamento sobre las amenazas transfronterizas graves para la salud (ISC/2020/12524)]. A tal fin, el Centro debe coordinar y proporcionar conocimientos científicos y técnicos a la Comisión y a los Estados miembros a través de redes especializadas con organismos de coordinación competentes, entre ellas redes de nueva creación para laboratorios y para el apoyo a transfusiones, trasplantes y reproducción asistida.</w:t>
      </w:r>
    </w:p>
    <w:p w14:paraId="45DD803B" w14:textId="2056DF93" w:rsidR="00B50935" w:rsidRPr="009017BC" w:rsidRDefault="00B50935" w:rsidP="00B50935">
      <w:pPr>
        <w:pStyle w:val="Considrant"/>
      </w:pPr>
      <w:r w:rsidRPr="009017BC">
        <w:t>Con objeto de mejorar la eficacia de la vigilancia epidemiológica de las enfermedades transmisibles y de los problemas sanitarios especiales relacionados en la Unión, el Centro debe encargarse de seguir desarrollando plataformas y aplicaciones digitales que permitan apoyar la vigilancia epidemiológica a escala de la Unión, faciliten el uso de tecnologías digitales, como la inteligencia artificial, en la recopilación y el análisis de datos, y proporcionen a los Estados miembros asesoramiento técnico y científico para establecer sistemas integrados de vigilancia epidemiológica. Estas plataformas y aplicaciones digitales deben desarrollarse con datos espaciales integrados de la UE con la intención de incorporarlas en el futuro espacio europeo de datos sanitarios regido por la legislación de la Unión.</w:t>
      </w:r>
    </w:p>
    <w:p w14:paraId="5D8D2D73" w14:textId="13CEAACC" w:rsidR="00B50935" w:rsidRPr="009017BC" w:rsidRDefault="00B50935" w:rsidP="00B50935">
      <w:pPr>
        <w:pStyle w:val="Considrant"/>
      </w:pPr>
      <w:r w:rsidRPr="009017BC">
        <w:t>A fin de reforzar la capacidad de la Unión y de los Estados miembros para evaluar la situación epidemiológica y realizar con precisión la evaluación y respuesta ante el riesgo, el Centro debe, en particular, hacer un seguimiento de las tendencias de las enfermedades transmisibles e informar al respecto, apoyar y facilitar acciones de respuesta basadas en datos contrastados, formular recomendaciones para mejorar los programas de prevención y control de enfermedades transmisibles establecidos a nivel nacional y de la Unión, hacer un seguimiento y evaluar la capacidad de los sistemas sanitarios nacionales para el diagnóstico, la prevención y el tratamiento de enfermedades transmisibles, sin olvidar la perspectiva de género, determinar los grupos de población de riesgo que requieran medidas específicas, analizar la correlación de la incidencia de las enfermedades con factores sociales y ambientales, y detectar los factores de riesgo para la transmisión y la gravedad de las enfermedades transmisibles, así como determinar las necesidades y prioridades de la investigación. El Centro debe trabajar con los centros de referencia nacionales designados para la vigilancia, formando una red que lo asesore estratégicamente sobre estas cuestiones y que promueva el uso de sectores facilitadores, como los datos y servicios espaciales de la UE.</w:t>
      </w:r>
    </w:p>
    <w:p w14:paraId="0C1582B3" w14:textId="77777777" w:rsidR="00B50935" w:rsidRPr="009017BC" w:rsidRDefault="00B50935" w:rsidP="00B50935">
      <w:pPr>
        <w:pStyle w:val="Considrant"/>
      </w:pPr>
      <w:r w:rsidRPr="009017BC">
        <w:t xml:space="preserve">El Centro debe contribuir a reforzar la capacidad dentro de la Unión para </w:t>
      </w:r>
      <w:r w:rsidRPr="009017BC">
        <w:rPr>
          <w:rStyle w:val="highlight"/>
          <w:szCs w:val="24"/>
        </w:rPr>
        <w:t>diagnosticar</w:t>
      </w:r>
      <w:r w:rsidRPr="009017BC">
        <w:t xml:space="preserve">, detectar, identificar y caracterizar agentes infecciosos que puedan suponer una amenaza para la salud pública garantizando el funcionamiento de la red de laboratorios de referencia de la Unión de conformidad con el Reglamento (UE).../... [DO: insértese la referencia del Reglamento sobre las amenazas transfronterizas graves para la salud (ISC/2020/12524)]. Esta red es responsable de la promoción de buenas prácticas y de la armonización en materia de diagnóstico, métodos de ensayo y uso de pruebas, con el fin de garantizar la uniformidad de la vigilancia, la notificación y la presentación de informes sobre las enfermedades, así como de la mejora de la calidad de las pruebas y la vigilancia. </w:t>
      </w:r>
    </w:p>
    <w:p w14:paraId="3043D26A" w14:textId="77777777" w:rsidR="00B50935" w:rsidRPr="009017BC" w:rsidRDefault="00B50935" w:rsidP="00B50935">
      <w:pPr>
        <w:pStyle w:val="Considrant"/>
      </w:pPr>
      <w:r w:rsidRPr="009017BC">
        <w:t xml:space="preserve">En caso de amenazas transfronterizas para la salud planteadas por enfermedades transmisibles, los servicios de donación de sangre y trasplantes de los Estados miembros pueden servir para realizar pruebas rápidas a la población donante y evaluar la exposición a la enfermedad y la inmunidad en la población general. Estos servicios dependen de evaluaciones rápidas del riesgo efectuadas por el Centro para proteger de la transmisión de enfermedades transmisibles a los pacientes que necesitan recibir tratamiento con sustancias de origen humano. Las evaluaciones del riesgo sirven de base para adaptar de forma adecuada las medidas por las que se establecen normas de calidad y seguridad para las sustancias de origen humano. Por consiguiente, el Centro debe establecer y gestionar con este fin una red de los servicios nacionales de donación de sangre y trasplantes y de las autoridades responsables. </w:t>
      </w:r>
    </w:p>
    <w:p w14:paraId="34EBE7A1" w14:textId="3A0142E7" w:rsidR="00B50935" w:rsidRPr="009017BC" w:rsidRDefault="00B50935" w:rsidP="00B50935">
      <w:pPr>
        <w:pStyle w:val="Considrant"/>
      </w:pPr>
      <w:r w:rsidRPr="009017BC">
        <w:t xml:space="preserve">Con la finalidad de reducir la aparición de epidemias y reforzar las capacidades de prevención de enfermedades transmisibles en la Unión, el Centro debe desarrollar un marco para la prevención de enfermedades transmisibles que aborde cuestiones como las enfermedades evitables mediante vacunación, la resistencia a los antimicrobianos, la educación sanitaria, la alfabetización sanitaria y el cambio de comportamientos. </w:t>
      </w:r>
    </w:p>
    <w:p w14:paraId="5921CB07" w14:textId="0F9C0ED4" w:rsidR="00B50935" w:rsidRPr="009017BC" w:rsidRDefault="00B50935" w:rsidP="00B50935">
      <w:pPr>
        <w:pStyle w:val="Considrant"/>
      </w:pPr>
      <w:r w:rsidRPr="009017BC">
        <w:t xml:space="preserve">El Centro debe mejorar las capacidades de preparación y respuesta a escala nacional y de la Unión proporcionando conocimientos científicos y técnicos a los Estados miembros y a la Comisión. En este contexto, el Centro, en estrecha colaboración con los Estados miembros y la Comisión, debe llevar a cabo diversas acciones, como desarrollar planes de preparación y respuesta nacionales y de la Unión y elaborar marcos de seguimiento y evaluación de la preparación, además de formular recomendaciones sobre las capacidades para prevenir, preparar y responder a los brotes de enfermedades y sobre el refuerzo de los sistemas sanitarios nacionales. El Centro debe ampliar la recopilación y el análisis de datos relativos a vigilancia epidemiológica y problemas sanitarios especiales relacionados, evolución de situaciones epidémicas, fenómenos epidémicos inusuales o nuevas enfermedades de origen desconocido, incluso en terceros países, datos sobre patógenos moleculares y datos sobre sistemas sanitarios. Así, debe garantizar conjuntos de datos apropiados y procedimientos para facilitar la consulta de los datos, su transmisión y el acceso a ellos, llevar a cabo una evaluación científica y técnica de las medidas de prevención y control a escala de la Unión, y colaborar con las agencias, los organismos competentes y las organizaciones que trabajan en el ámbito de la recopilación de datos. </w:t>
      </w:r>
    </w:p>
    <w:p w14:paraId="0076A696" w14:textId="42C1CB56" w:rsidR="00B50935" w:rsidRPr="009017BC" w:rsidRDefault="00B50935" w:rsidP="00B50935">
      <w:pPr>
        <w:pStyle w:val="Considrant"/>
      </w:pPr>
      <w:r w:rsidRPr="009017BC">
        <w:t>El Reglamento.../... [DO:</w:t>
      </w:r>
      <w:r w:rsidRPr="009017BC">
        <w:rPr>
          <w:i/>
        </w:rPr>
        <w:t xml:space="preserve"> </w:t>
      </w:r>
      <w:r w:rsidRPr="009017BC">
        <w:t>insértese la referencia del Reglamento sobre las amenazas transfronterizas graves para la salud (ISC/2020/12524)] establece el Sistema de Alerta Precoz y Respuesta que permite la notificación a escala de la Unión de las alertas relacionadas con amenazas transfronterizas graves para la salud, y que sigue siendo gestionado por el Centro. Dado que las tecnologías modernas pueden ser un apoyo sustancial para luchar contra las amenazas para la salud y para contener e invertir las epidemias, el Centro debería trabajar en la actualización de este sistema para permitir el uso de tecnologías de inteligencia artificial y herramientas digitales interoperables y que protejan la intimidad, como aplicaciones móviles, con funciones de rastreo que detecten a las personas en situación de riesgo.</w:t>
      </w:r>
    </w:p>
    <w:p w14:paraId="62E17034" w14:textId="3DE2CFFC" w:rsidR="00B50935" w:rsidRPr="009017BC" w:rsidRDefault="00B50935" w:rsidP="00B50935">
      <w:pPr>
        <w:pStyle w:val="Considrant"/>
      </w:pPr>
      <w:r w:rsidRPr="009017BC">
        <w:t>El Centro debe establecer capacidades adecuadas para apoyar la respuesta internacional y sobre el terreno, de conformidad con el Reglamento.../... [DO:</w:t>
      </w:r>
      <w:r w:rsidRPr="009017BC">
        <w:rPr>
          <w:i/>
        </w:rPr>
        <w:t xml:space="preserve"> </w:t>
      </w:r>
      <w:r w:rsidRPr="009017BC">
        <w:t>insértese la referencia del Reglamento sobre las amenazas transfronterizas graves para la salud (ISC/2020/12524)]. Estas capacidades deben permitir al Centro movilizar y desplegar equipos de asistencia en caso de brotes, el denominado Grupo de Trabajo sobre Salud de la UE, para ayudar a responder localmente a los brotes de enfermedades. Por tanto, debe garantizar la capacidad de llevar a cabo misiones en los Estados miembros, así como en terceros países, y de formular recomendaciones sobre la respuesta a las amenazas para la salud. Los equipos también podrán desplegarse en el marco del Mecanismo de Protección Civil de la Unión con el apoyo del Centro de Coordinación de la Respuesta a Emergencias. El Centro debe apoyar asimismo el refuerzo de las capacidades de preparación en virtud del Reglamento Sanitario Internacional (RSI) en terceros países, con el fin de hacer frente a las amenazas transfronterizas graves para la salud y sus consecuencias.</w:t>
      </w:r>
    </w:p>
    <w:p w14:paraId="7D9A5F11" w14:textId="4A33CC53" w:rsidR="00B50935" w:rsidRPr="009017BC" w:rsidRDefault="00B50935" w:rsidP="00B50935">
      <w:pPr>
        <w:pStyle w:val="Considrant"/>
      </w:pPr>
      <w:r w:rsidRPr="009017BC">
        <w:t>Con la finalidad de ayudar a responder a brotes que puedan propagarse dentro de la Unión o entrar en su territorio, el Centro debe desarrollar un marco para la movilización del Grupo de Trabajo sobre Salud de la UE de conformidad con la Decisión n.º 1313/2013/UE del Parlamento Europeo y del Consejo</w:t>
      </w:r>
      <w:r w:rsidRPr="009017BC">
        <w:rPr>
          <w:rStyle w:val="FootnoteReference"/>
        </w:rPr>
        <w:footnoteReference w:id="12"/>
      </w:r>
      <w:r w:rsidRPr="009017BC">
        <w:t xml:space="preserve"> y facilitar que expertos de la Unión en respuesta sobre el terreno participen en equipos internacionales de respuesta para apoyar el Mecanismo de Protección Civil de la Unión. El Centro debe reforzar la capacidad de su personal, así como de expertos de países de la Unión y del EEE, de países candidatos y candidatos potenciales, así como de países de la Política Europea de Vecindad y de los países socios de la UE contemplados en el Reglamento (UE) n.º 233/2014 del Parlamento Europeo y del Consejo</w:t>
      </w:r>
      <w:r w:rsidRPr="009017BC">
        <w:rPr>
          <w:rStyle w:val="FootnoteReference"/>
        </w:rPr>
        <w:footnoteReference w:id="13"/>
      </w:r>
      <w:r w:rsidRPr="009017BC">
        <w:t>, para participar de manera efectiva en misiones sobre el terreno y en la gestión de crisis.</w:t>
      </w:r>
    </w:p>
    <w:p w14:paraId="263E1539" w14:textId="77777777" w:rsidR="00B50935" w:rsidRPr="009017BC" w:rsidRDefault="00B50935" w:rsidP="00B50935">
      <w:pPr>
        <w:pStyle w:val="Considrant"/>
      </w:pPr>
      <w:r w:rsidRPr="009017BC">
        <w:t xml:space="preserve">Con el fin de evaluar la eficacia y la eficiencia de las disposiciones legales aplicables al Centro, procede prever una evaluación periódica por la Comisión del rendimiento del Centro. </w:t>
      </w:r>
    </w:p>
    <w:p w14:paraId="36C103E6" w14:textId="77777777" w:rsidR="00B50935" w:rsidRPr="009017BC" w:rsidRDefault="00B50935" w:rsidP="00B50935">
      <w:pPr>
        <w:pStyle w:val="Considrant"/>
      </w:pPr>
      <w:r w:rsidRPr="009017BC">
        <w:t>El presente Reglamento no debe conferir al Centro poderes de reglamentación.</w:t>
      </w:r>
    </w:p>
    <w:p w14:paraId="25BF6061" w14:textId="77777777" w:rsidR="00B50935" w:rsidRPr="009017BC" w:rsidRDefault="00B50935" w:rsidP="00B50935">
      <w:pPr>
        <w:pStyle w:val="Considrant"/>
        <w:rPr>
          <w:szCs w:val="24"/>
        </w:rPr>
      </w:pPr>
      <w:r w:rsidRPr="009017BC">
        <w:t>El Centro debe aplicar un sistema de información capaz de intercambiar información clasificada e información sensible no clasificada para garantizar que se gestiona con la máxima discreción.</w:t>
      </w:r>
    </w:p>
    <w:p w14:paraId="39E12A34" w14:textId="77777777" w:rsidR="00B50935" w:rsidRPr="009017BC" w:rsidRDefault="00B50935" w:rsidP="00B50935">
      <w:pPr>
        <w:pStyle w:val="Considrant"/>
      </w:pPr>
      <w:r w:rsidRPr="009017BC">
        <w:t>En vista de la urgencia que implican las circunstancias excepcionales causadas por la pandemia de COVID-19, se ha considerado adecuado establecer una excepción al plazo de ocho semanas previsto en el artículo 4 del Protocolo n.º 1 sobre el cometido de los Parlamentos nacionales en la Unión Europea, anejo al Tratado de la Unión Europea, al Tratado de Funcionamiento de la Unión Europea y al Tratado constitutivo de la Comunidad Europea de la Energía Atómica</w:t>
      </w:r>
    </w:p>
    <w:p w14:paraId="0E1CD2E1" w14:textId="77777777" w:rsidR="00B50935" w:rsidRPr="009017BC" w:rsidRDefault="00B50935" w:rsidP="00B50935">
      <w:pPr>
        <w:pStyle w:val="Considrant"/>
      </w:pPr>
      <w:r w:rsidRPr="009017BC">
        <w:t>Dado que los objetivos del presente Reglamento, de ampliar la misión y las tareas del Centro con el fin de reforzar su capacidad para proporcionar los conocimientos científicos necesarios y apoyar acciones de lucha contra las amenazas transfronterizas graves para la salud en la Unión, no pueden ser alcanzados de manera suficiente por los Estados miembros, sino que, debido al carácter transfronterizo de las amenazas para la salud y a la necesidad de una respuesta rápida, coordinada y coherente, pueden lograrse mejor a escala de la Unión, esta puede adoptar medidas, de acuerdo con el principio de subsidiariedad establecido en el artículo 5 del Tratado de la Unión Europea. De conformidad con el principio de proporcionalidad establecido en el mismo artículo, el presente Reglamento no excede de lo necesario para alcanzar dichos objetivos.</w:t>
      </w:r>
    </w:p>
    <w:p w14:paraId="02D2A7E1" w14:textId="77777777" w:rsidR="00B50935" w:rsidRPr="009017BC" w:rsidRDefault="00B50935" w:rsidP="00B50935">
      <w:pPr>
        <w:pStyle w:val="Considrant"/>
      </w:pPr>
      <w:r w:rsidRPr="009017BC">
        <w:t>Procede, por tanto, modificar el Reglamento (CE) n.º 851/2004 en consecuencia.</w:t>
      </w:r>
    </w:p>
    <w:p w14:paraId="667F27AC" w14:textId="77777777" w:rsidR="00B50935" w:rsidRPr="009017BC" w:rsidRDefault="00B50935" w:rsidP="00B50935">
      <w:pPr>
        <w:pStyle w:val="Formuledadoption"/>
      </w:pPr>
      <w:r w:rsidRPr="009017BC">
        <w:t>HAN ADOPTADO EL PRESENTE REGLAMENTO:</w:t>
      </w:r>
    </w:p>
    <w:p w14:paraId="3721CF86" w14:textId="77777777" w:rsidR="00B50935" w:rsidRPr="009017BC" w:rsidRDefault="00B50935" w:rsidP="00B50935">
      <w:pPr>
        <w:pStyle w:val="Titrearticle"/>
        <w:rPr>
          <w:i w:val="0"/>
        </w:rPr>
      </w:pPr>
      <w:r w:rsidRPr="009017BC">
        <w:t>Artículo 1</w:t>
      </w:r>
    </w:p>
    <w:p w14:paraId="27231096" w14:textId="77777777" w:rsidR="00B50935" w:rsidRPr="009017BC" w:rsidRDefault="00B50935" w:rsidP="00B50935">
      <w:pPr>
        <w:jc w:val="left"/>
      </w:pPr>
      <w:r w:rsidRPr="009017BC">
        <w:t>El Reglamento (CE) n.° 851/2004 se modifica como sigue:</w:t>
      </w:r>
    </w:p>
    <w:p w14:paraId="07401A38" w14:textId="77777777" w:rsidR="00B50935" w:rsidRPr="009017BC" w:rsidRDefault="00B50935" w:rsidP="00B50935">
      <w:pPr>
        <w:pStyle w:val="Point0"/>
      </w:pPr>
      <w:r w:rsidRPr="009017BC">
        <w:t>1.</w:t>
      </w:r>
      <w:r w:rsidRPr="009017BC">
        <w:tab/>
        <w:t>El artículo 2 se sustituye por el texto siguiente:</w:t>
      </w:r>
    </w:p>
    <w:p w14:paraId="413A9403" w14:textId="01A2255D" w:rsidR="00B50935" w:rsidRPr="009017BC" w:rsidRDefault="00B50935" w:rsidP="00B50935">
      <w:pPr>
        <w:pStyle w:val="Text1"/>
        <w:rPr>
          <w:i/>
        </w:rPr>
      </w:pPr>
      <w:r w:rsidRPr="009017BC">
        <w:t>«</w:t>
      </w:r>
    </w:p>
    <w:p w14:paraId="7F4CFD5E" w14:textId="77777777" w:rsidR="00B50935" w:rsidRPr="009017BC" w:rsidRDefault="00B50935" w:rsidP="00B50935">
      <w:pPr>
        <w:pStyle w:val="Titrearticle"/>
      </w:pPr>
      <w:r w:rsidRPr="009017BC">
        <w:t>Artículo 2</w:t>
      </w:r>
    </w:p>
    <w:p w14:paraId="47A10DE3" w14:textId="77777777" w:rsidR="00B50935" w:rsidRPr="009017BC" w:rsidRDefault="00B50935" w:rsidP="00B50935">
      <w:pPr>
        <w:jc w:val="center"/>
        <w:rPr>
          <w:b/>
        </w:rPr>
      </w:pPr>
      <w:r w:rsidRPr="009017BC">
        <w:rPr>
          <w:b/>
        </w:rPr>
        <w:t>Definiciones</w:t>
      </w:r>
    </w:p>
    <w:p w14:paraId="089E985B" w14:textId="77777777" w:rsidR="00B50935" w:rsidRPr="009017BC" w:rsidRDefault="00B50935" w:rsidP="00B50935">
      <w:pPr>
        <w:pStyle w:val="Text1"/>
      </w:pPr>
      <w:r w:rsidRPr="009017BC">
        <w:t>A los efectos del presente Reglamento, se entenderá por:</w:t>
      </w:r>
    </w:p>
    <w:p w14:paraId="47479B32" w14:textId="572EFCD1" w:rsidR="00B50935" w:rsidRPr="009017BC" w:rsidRDefault="001C56E5" w:rsidP="00B50935">
      <w:pPr>
        <w:pStyle w:val="Point1"/>
      </w:pPr>
      <w:r>
        <w:t>1)</w:t>
      </w:r>
      <w:r>
        <w:tab/>
        <w:t>“</w:t>
      </w:r>
      <w:r w:rsidR="00B50935" w:rsidRPr="009017BC">
        <w:t>organismo competente</w:t>
      </w:r>
      <w:r>
        <w:t>”</w:t>
      </w:r>
      <w:r w:rsidR="00B50935" w:rsidRPr="009017BC">
        <w:t xml:space="preserve">, cualquier estructura, instituto, agencia u otro organismo científico que las autoridades de los Estados miembros reconozcan como fuente de asesoramiento científico y técnico independiente o con capacidad de acción en el campo de la prevención y el control de las enfermedades humanas; </w:t>
      </w:r>
    </w:p>
    <w:p w14:paraId="2119B996" w14:textId="4D5200D6" w:rsidR="00B50935" w:rsidRPr="009017BC" w:rsidRDefault="001C56E5" w:rsidP="00B50935">
      <w:pPr>
        <w:pStyle w:val="Point1"/>
      </w:pPr>
      <w:r>
        <w:t>2)</w:t>
      </w:r>
      <w:r>
        <w:tab/>
        <w:t>“</w:t>
      </w:r>
      <w:r w:rsidR="00B50935" w:rsidRPr="009017BC">
        <w:t>organismo competente de coordinación</w:t>
      </w:r>
      <w:r>
        <w:t>”</w:t>
      </w:r>
      <w:r w:rsidR="00B50935" w:rsidRPr="009017BC">
        <w:t xml:space="preserve">, un organismo en cada Estado miembro que tenga un coordinador nacional designado responsable de los contactos institucionales con el Centro, así como centros de referencia nacionales y puntos de contacto operativos responsables de la colaboración estratégica y operativa sobre cuestiones técnicas y científicas relativas a grupos de enfermedades específicas y a funciones de salud pública; </w:t>
      </w:r>
    </w:p>
    <w:p w14:paraId="72F182F6" w14:textId="0CC71EBD" w:rsidR="00B50935" w:rsidRPr="009017BC" w:rsidRDefault="001C56E5" w:rsidP="00B50935">
      <w:pPr>
        <w:pStyle w:val="Point1"/>
      </w:pPr>
      <w:r>
        <w:t>3)</w:t>
      </w:r>
      <w:r>
        <w:tab/>
        <w:t>“</w:t>
      </w:r>
      <w:r w:rsidR="00B50935" w:rsidRPr="009017BC">
        <w:t>red especializada</w:t>
      </w:r>
      <w:r>
        <w:t>”</w:t>
      </w:r>
      <w:r w:rsidR="00B50935" w:rsidRPr="009017BC">
        <w:t xml:space="preserve">, cualquier red específica en materia de enfermedades, problemas de salud especiales o funciones de salud pública destinada a garantizar la colaboración entre los organismos competentes de coordinación de los Estados miembros; </w:t>
      </w:r>
    </w:p>
    <w:p w14:paraId="3639FE8B" w14:textId="4280B950" w:rsidR="00B50935" w:rsidRPr="009017BC" w:rsidRDefault="001C56E5" w:rsidP="00B50935">
      <w:pPr>
        <w:pStyle w:val="Point1"/>
        <w:rPr>
          <w:color w:val="FF0000"/>
        </w:rPr>
      </w:pPr>
      <w:r>
        <w:t>4)</w:t>
      </w:r>
      <w:r>
        <w:tab/>
        <w:t>“</w:t>
      </w:r>
      <w:r w:rsidR="00B50935" w:rsidRPr="009017BC">
        <w:t>enfermedad transmisible</w:t>
      </w:r>
      <w:r>
        <w:t>”</w:t>
      </w:r>
      <w:r w:rsidR="00B50935" w:rsidRPr="009017BC">
        <w:t xml:space="preserve">, una enfermedad transmisible tal como se define en el artículo 3, punto 2), del </w:t>
      </w:r>
      <w:r w:rsidR="00B50935" w:rsidRPr="009017BC">
        <w:rPr>
          <w:color w:val="FF0000"/>
        </w:rPr>
        <w:t>Reglamento (UE).../... [DO:</w:t>
      </w:r>
      <w:r w:rsidR="00B50935" w:rsidRPr="009017BC">
        <w:rPr>
          <w:i/>
          <w:color w:val="FF0000"/>
        </w:rPr>
        <w:t xml:space="preserve"> </w:t>
      </w:r>
      <w:r w:rsidR="00B50935" w:rsidRPr="009017BC">
        <w:rPr>
          <w:color w:val="FF0000"/>
        </w:rPr>
        <w:t>insértese la referencia del Reglamento sobre las amenazas transfronterizas graves para la salud (ISC/2020/12524)].</w:t>
      </w:r>
    </w:p>
    <w:p w14:paraId="69E6F8FA" w14:textId="3573DCD6" w:rsidR="00B50935" w:rsidRPr="009017BC" w:rsidRDefault="001C56E5" w:rsidP="00B50935">
      <w:pPr>
        <w:pStyle w:val="Point1"/>
      </w:pPr>
      <w:r>
        <w:t>5)</w:t>
      </w:r>
      <w:r>
        <w:tab/>
        <w:t>“</w:t>
      </w:r>
      <w:r w:rsidR="00B50935" w:rsidRPr="009017BC">
        <w:t>amenaza transfronteriza grave para la salud</w:t>
      </w:r>
      <w:r>
        <w:t>”</w:t>
      </w:r>
      <w:r w:rsidR="00B50935" w:rsidRPr="009017BC">
        <w:t xml:space="preserve">, una amenaza transfronteriza grave para la salud tal como se define en el artículo 3, punto 7), del </w:t>
      </w:r>
      <w:r w:rsidR="00B50935" w:rsidRPr="009017BC">
        <w:rPr>
          <w:color w:val="FF0000"/>
        </w:rPr>
        <w:t>Reglamento (UE).../... [DO:</w:t>
      </w:r>
      <w:r w:rsidR="00B50935" w:rsidRPr="009017BC">
        <w:rPr>
          <w:i/>
          <w:color w:val="FF0000"/>
        </w:rPr>
        <w:t xml:space="preserve"> </w:t>
      </w:r>
      <w:r w:rsidR="00B50935" w:rsidRPr="009017BC">
        <w:rPr>
          <w:color w:val="FF0000"/>
        </w:rPr>
        <w:t>insértese la referencia del Reglamento sobre las amenazas transfronterizas graves para la salud (ISC/2020/12524)].</w:t>
      </w:r>
    </w:p>
    <w:p w14:paraId="5CEA90E5" w14:textId="7ABFDDC2" w:rsidR="00B50935" w:rsidRPr="009017BC" w:rsidRDefault="001C56E5" w:rsidP="00B50935">
      <w:pPr>
        <w:pStyle w:val="Point1"/>
      </w:pPr>
      <w:r>
        <w:t>6)</w:t>
      </w:r>
      <w:r>
        <w:tab/>
        <w:t>“</w:t>
      </w:r>
      <w:r w:rsidR="00B50935" w:rsidRPr="009017BC">
        <w:t>vigilancia epidemiológica</w:t>
      </w:r>
      <w:r>
        <w:t>”</w:t>
      </w:r>
      <w:r w:rsidR="00B50935" w:rsidRPr="009017BC">
        <w:t xml:space="preserve">, la vigilancia epidemiológica tal como se define en el artículo 3, punto 4), del </w:t>
      </w:r>
      <w:r w:rsidR="00B50935" w:rsidRPr="009017BC">
        <w:rPr>
          <w:color w:val="FF0000"/>
        </w:rPr>
        <w:t>Reglamento (UE).../... [DO:</w:t>
      </w:r>
      <w:r w:rsidR="00B50935" w:rsidRPr="009017BC">
        <w:rPr>
          <w:i/>
          <w:color w:val="FF0000"/>
        </w:rPr>
        <w:t xml:space="preserve"> </w:t>
      </w:r>
      <w:r w:rsidR="00B50935" w:rsidRPr="009017BC">
        <w:rPr>
          <w:color w:val="FF0000"/>
        </w:rPr>
        <w:t>insértese la referencia del Reglamento sobre las amenazas transfronterizas graves para la salud (ISC/2020/12524)].</w:t>
      </w:r>
      <w:r w:rsidR="00B50935" w:rsidRPr="009017BC">
        <w:t xml:space="preserve"> ».</w:t>
      </w:r>
    </w:p>
    <w:p w14:paraId="0DF09DDB" w14:textId="6F347A1B" w:rsidR="00B50935" w:rsidRPr="009017BC" w:rsidRDefault="00B50935" w:rsidP="00B50935">
      <w:pPr>
        <w:pStyle w:val="Point0"/>
      </w:pPr>
      <w:r w:rsidRPr="009017BC">
        <w:t>2.</w:t>
      </w:r>
      <w:r w:rsidRPr="009017BC">
        <w:tab/>
        <w:t xml:space="preserve">El artículo 3 se sustituye por el texto siguiente: </w:t>
      </w:r>
    </w:p>
    <w:p w14:paraId="62E48BC9" w14:textId="77777777" w:rsidR="00B50935" w:rsidRPr="009017BC" w:rsidRDefault="00B50935" w:rsidP="00B50935">
      <w:pPr>
        <w:pStyle w:val="Titrearticle"/>
        <w:rPr>
          <w:b/>
          <w:i w:val="0"/>
        </w:rPr>
      </w:pPr>
      <w:r w:rsidRPr="009017BC">
        <w:t>«Artículo 3</w:t>
      </w:r>
    </w:p>
    <w:p w14:paraId="74D384D1" w14:textId="77777777" w:rsidR="00B50935" w:rsidRPr="009017BC" w:rsidRDefault="00B50935" w:rsidP="00B50935">
      <w:pPr>
        <w:jc w:val="center"/>
      </w:pPr>
      <w:r w:rsidRPr="009017BC">
        <w:rPr>
          <w:b/>
        </w:rPr>
        <w:t>Misión y tareas del Centro</w:t>
      </w:r>
    </w:p>
    <w:p w14:paraId="719B4E38" w14:textId="4DD174A1" w:rsidR="00B50935" w:rsidRPr="009017BC" w:rsidRDefault="00B50935" w:rsidP="00B50935">
      <w:pPr>
        <w:pStyle w:val="Point1"/>
      </w:pPr>
      <w:r w:rsidRPr="009017BC">
        <w:t>1.</w:t>
      </w:r>
      <w:r w:rsidRPr="009017BC">
        <w:tab/>
        <w:t xml:space="preserve">Con el fin de aumentar la capacidad de la Unión y los Estados miembros para proteger la salud humana mediante la prevención y el control de las enfermedades transmisibles de los seres humanos y de los problemas sanitarios especiales relacionados establecidos en el artículo 2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el Centro tendrá por misión identificar, evaluar e informar sobre las amenazas actuales y emergentes que representan para la salud humana las enfermedades transmisibles, y formular recomendaciones de respuesta a escala de la Unión y nacional, así como a escala regional, si se considera necesario. </w:t>
      </w:r>
    </w:p>
    <w:p w14:paraId="6E14A3C4" w14:textId="73247495" w:rsidR="00B50935" w:rsidRPr="009017BC" w:rsidRDefault="00B50935" w:rsidP="00B50935">
      <w:pPr>
        <w:pStyle w:val="Text2"/>
      </w:pPr>
      <w:r w:rsidRPr="009017BC">
        <w:t xml:space="preserve">En el caso de otros brotes de enfermedades de origen desconocido que pudieran propagarse dentro de la Unión o entrar en su territorio, el Centro actuará por propia iniciativa hasta que se determine la fuente del brote. En el caso de un brote claramente no causado por una enfermedad transmisible, el Centro solamente actuará en colaboración con el organismo competente y a petición de este. </w:t>
      </w:r>
    </w:p>
    <w:p w14:paraId="28DB85EC" w14:textId="77777777" w:rsidR="00B50935" w:rsidRPr="009017BC" w:rsidRDefault="00B50935" w:rsidP="00B50935">
      <w:pPr>
        <w:pStyle w:val="Text2"/>
      </w:pPr>
      <w:r w:rsidRPr="009017BC">
        <w:t>En el ejercicio de su misión, el Centro tendrá plenamente en cuenta las responsabilidades de los Estados miembros, la Comisión y otros organismos o agencias de la Unión, así como las de las organizaciones internacionales activas en el ámbito de la salud pública, a fin de asegurar la integridad, la coherencia y la complementariedad de las acciones.</w:t>
      </w:r>
    </w:p>
    <w:p w14:paraId="08AD81FC" w14:textId="77777777" w:rsidR="00B50935" w:rsidRPr="009017BC" w:rsidRDefault="00B50935" w:rsidP="00B50935">
      <w:pPr>
        <w:pStyle w:val="Point1"/>
      </w:pPr>
      <w:r w:rsidRPr="009017BC">
        <w:t>2.</w:t>
      </w:r>
      <w:r w:rsidRPr="009017BC">
        <w:tab/>
        <w:t xml:space="preserve">El Centro, dentro de los límites de su capacidad financiera y de su mandato, desempeñará las tareas siguientes: </w:t>
      </w:r>
    </w:p>
    <w:p w14:paraId="03604C75" w14:textId="77777777" w:rsidR="00B50935" w:rsidRPr="009017BC" w:rsidRDefault="00B50935" w:rsidP="00B50935">
      <w:pPr>
        <w:pStyle w:val="Point2"/>
      </w:pPr>
      <w:r w:rsidRPr="009017BC">
        <w:t>a)</w:t>
      </w:r>
      <w:r w:rsidRPr="009017BC">
        <w:tab/>
        <w:t>buscar, recopilar, cotejar, evaluar y difundir la información y los datos científicos y técnicos pertinentes, teniendo en cuenta las tecnologías más recientes;</w:t>
      </w:r>
    </w:p>
    <w:p w14:paraId="2061E8EA" w14:textId="5B373B5D" w:rsidR="00B50935" w:rsidRPr="009017BC" w:rsidRDefault="00B50935" w:rsidP="00B50935">
      <w:pPr>
        <w:pStyle w:val="Point2"/>
      </w:pPr>
      <w:r w:rsidRPr="009017BC">
        <w:t>b)</w:t>
      </w:r>
      <w:r w:rsidRPr="009017BC">
        <w:tab/>
        <w:t>proporcionar análisis, asesoramiento científico, dictámenes y apoyo a las acciones de la Unión y de los Estados miembros sobre las amenazas transfronterizas para la salud, lo que incluye evaluaciones de riesgo, análisis de la información epidemiológica, modelización, anticipación y previsiones epidemiológicas, recomendaciones de acciones para prevenir y controlar las amenazas planteadas por enfermedades transmisibles y otros problemas de salud especiales, contribuciones a la definición de prioridades de investigación, y asistencia científica y técnica, incluida la formación y otras actividades de su mandato;</w:t>
      </w:r>
    </w:p>
    <w:p w14:paraId="67312CA0" w14:textId="10E59D49" w:rsidR="00B50935" w:rsidRPr="009017BC" w:rsidRDefault="00B50935" w:rsidP="00B50935">
      <w:pPr>
        <w:pStyle w:val="Point2"/>
      </w:pPr>
      <w:r w:rsidRPr="009017BC">
        <w:t>c)</w:t>
      </w:r>
      <w:r w:rsidRPr="009017BC">
        <w:tab/>
        <w:t>coordinar la interconexión en redes europeas de los organismos que actúan en los ámbitos objeto de la misión del Centro, incluidas las redes creadas en el marco de acciones de salud pública respaldadas por la Comisión y que se encargan de las redes especializadas;</w:t>
      </w:r>
    </w:p>
    <w:p w14:paraId="6489EB3C" w14:textId="77777777" w:rsidR="00B50935" w:rsidRPr="009017BC" w:rsidRDefault="00B50935" w:rsidP="00B50935">
      <w:pPr>
        <w:pStyle w:val="Point2"/>
      </w:pPr>
      <w:r w:rsidRPr="009017BC">
        <w:t>d)</w:t>
      </w:r>
      <w:r w:rsidRPr="009017BC">
        <w:tab/>
        <w:t xml:space="preserve">proceder al intercambio de información, de conocimientos especializados y de mejores prácticas; </w:t>
      </w:r>
    </w:p>
    <w:p w14:paraId="1A125955" w14:textId="77777777" w:rsidR="00B50935" w:rsidRPr="009017BC" w:rsidRDefault="00B50935" w:rsidP="00B50935">
      <w:pPr>
        <w:pStyle w:val="Point2"/>
      </w:pPr>
      <w:r w:rsidRPr="009017BC">
        <w:t>e)</w:t>
      </w:r>
      <w:r w:rsidRPr="009017BC">
        <w:tab/>
        <w:t>supervisar la capacidad de los sistemas sanitarios pertinente para la gestión de las amenazas planteadas por enfermedades transmisibles y otros problemas de salud especiales;</w:t>
      </w:r>
    </w:p>
    <w:p w14:paraId="4CF9C102" w14:textId="77777777" w:rsidR="00B50935" w:rsidRPr="009017BC" w:rsidRDefault="00B50935" w:rsidP="00B50935">
      <w:pPr>
        <w:pStyle w:val="Point2"/>
      </w:pPr>
      <w:r w:rsidRPr="009017BC">
        <w:t>f)</w:t>
      </w:r>
      <w:r w:rsidRPr="009017BC">
        <w:tab/>
        <w:t>facilitar el desarrollo y la ejecución de acciones financiadas por programas e instrumentos de financiación de la Unión pertinentes, incluida la ejecución de acciones conjuntas;</w:t>
      </w:r>
    </w:p>
    <w:p w14:paraId="246E4D3C" w14:textId="77777777" w:rsidR="00B50935" w:rsidRPr="009017BC" w:rsidRDefault="00B50935" w:rsidP="00B50935">
      <w:pPr>
        <w:pStyle w:val="Point2"/>
      </w:pPr>
      <w:r w:rsidRPr="009017BC">
        <w:t>g)</w:t>
      </w:r>
      <w:r w:rsidRPr="009017BC">
        <w:tab/>
        <w:t>proporcionar, a petición de la Comisión o del Comité de Seguridad Sanitaria, o por iniciativa propia, directrices para el tratamiento y la gestión de casos de enfermedades transmisibles y otros problemas de salud especiales en el ámbito de la salud pública, en cooperación con las sociedades pertinentes;</w:t>
      </w:r>
    </w:p>
    <w:p w14:paraId="3695B2AA" w14:textId="77777777" w:rsidR="00B50935" w:rsidRPr="009017BC" w:rsidRDefault="00B50935" w:rsidP="00B50935">
      <w:pPr>
        <w:pStyle w:val="Point2"/>
      </w:pPr>
      <w:r w:rsidRPr="009017BC">
        <w:t>h)</w:t>
      </w:r>
      <w:r w:rsidRPr="009017BC">
        <w:tab/>
        <w:t xml:space="preserve">apoyar la respuesta ante las epidemias y los brotes en los Estados miembros y en terceros países, en complementariedad con otros instrumentos de respuesta de emergencia de la Unión, en particular el Mecanismo de Protección Civil de la Unión; </w:t>
      </w:r>
    </w:p>
    <w:p w14:paraId="27F4029E" w14:textId="53CFC07A" w:rsidR="00B50935" w:rsidRPr="009017BC" w:rsidRDefault="00B50935" w:rsidP="00B50935">
      <w:pPr>
        <w:pStyle w:val="Point2"/>
      </w:pPr>
      <w:r w:rsidRPr="009017BC">
        <w:t>i)</w:t>
      </w:r>
      <w:r w:rsidRPr="009017BC">
        <w:tab/>
        <w:t>contribuir al refuerzo de las capacidades de preparación en el marco del Reglamento Sanitario Internacional en terceros países, en particular en los países socios de la UE;</w:t>
      </w:r>
    </w:p>
    <w:p w14:paraId="57153F97" w14:textId="1625B582" w:rsidR="00B50935" w:rsidRPr="009017BC" w:rsidRDefault="00B50935" w:rsidP="00B50935">
      <w:pPr>
        <w:pStyle w:val="Point2"/>
      </w:pPr>
      <w:r w:rsidRPr="009017BC">
        <w:t>j)</w:t>
      </w:r>
      <w:r w:rsidRPr="009017BC">
        <w:tab/>
        <w:t>proporcionar, a petición de la Comisión o del Comité de Seguridad Sanitaria, mensajes de comunicación al público, basados en datos, sobre las enfermedades transmisibles, las amenazas para la salud que plantean, y las medidas de prevención y control adecuadas.</w:t>
      </w:r>
    </w:p>
    <w:p w14:paraId="653555AD" w14:textId="73E491FB" w:rsidR="00B50935" w:rsidRPr="009017BC" w:rsidRDefault="00B50935" w:rsidP="00B50935">
      <w:pPr>
        <w:pStyle w:val="Point1"/>
      </w:pPr>
      <w:r w:rsidRPr="009017BC">
        <w:t>3.</w:t>
      </w:r>
      <w:r w:rsidRPr="009017BC">
        <w:tab/>
        <w:t>El Centro, la Comisión, los organismos o las agencias competentes de la Unión y los Estados miembros cooperarán con vistas a promover la coherencia efectiva entre sus actividades respectivas.».</w:t>
      </w:r>
    </w:p>
    <w:p w14:paraId="4A24B52C" w14:textId="77777777" w:rsidR="00B50935" w:rsidRPr="009017BC" w:rsidRDefault="00B50935" w:rsidP="00B50935">
      <w:pPr>
        <w:pStyle w:val="Point0"/>
      </w:pPr>
      <w:r w:rsidRPr="009017BC">
        <w:t>3.</w:t>
      </w:r>
      <w:r w:rsidRPr="009017BC">
        <w:tab/>
        <w:t>El artículo 4 se sustituye por el texto siguiente:</w:t>
      </w:r>
    </w:p>
    <w:p w14:paraId="7D474554" w14:textId="77777777" w:rsidR="00B50935" w:rsidRPr="009017BC" w:rsidRDefault="00B50935" w:rsidP="00B50935">
      <w:pPr>
        <w:pStyle w:val="Titrearticle"/>
        <w:rPr>
          <w:b/>
        </w:rPr>
      </w:pPr>
      <w:r w:rsidRPr="009017BC">
        <w:t>«Artículo 4</w:t>
      </w:r>
    </w:p>
    <w:p w14:paraId="323B9A62" w14:textId="77777777" w:rsidR="00B50935" w:rsidRPr="009017BC" w:rsidRDefault="00B50935" w:rsidP="00B50935">
      <w:pPr>
        <w:jc w:val="center"/>
        <w:rPr>
          <w:b/>
        </w:rPr>
      </w:pPr>
      <w:r w:rsidRPr="009017BC">
        <w:rPr>
          <w:b/>
        </w:rPr>
        <w:t>Obligaciones de los Estados miembros</w:t>
      </w:r>
    </w:p>
    <w:p w14:paraId="339E669D" w14:textId="77777777" w:rsidR="00B50935" w:rsidRPr="009017BC" w:rsidRDefault="00B50935" w:rsidP="00B50935">
      <w:pPr>
        <w:pStyle w:val="Text1"/>
      </w:pPr>
      <w:r w:rsidRPr="009017BC">
        <w:t>Los Estados miembros:</w:t>
      </w:r>
    </w:p>
    <w:p w14:paraId="5ED353AC" w14:textId="06D2A7F6" w:rsidR="00B50935" w:rsidRPr="009017BC" w:rsidRDefault="00B50935" w:rsidP="00B50935">
      <w:pPr>
        <w:pStyle w:val="Point1"/>
      </w:pPr>
      <w:r w:rsidRPr="009017BC">
        <w:t>a)</w:t>
      </w:r>
      <w:r w:rsidRPr="009017BC">
        <w:tab/>
        <w:t xml:space="preserve">comunicarán al Centro, puntualmente y de conformidad con las definiciones de casos, los indicadores, las normas, los protocolos y los procedimientos acordados, los datos relativos a la vigilancia de las enfermedades transmisibles y otros problemas de salud especiales llevada a cabo de conformidad con el artículo 13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así como los datos científicos y técnicos disponibles y la información pertinente para la misión del Centro, entre otras cosas sobre la preparación, y las capacidades de los sistemas sanitarios para la detección, la prevención, la respuesta y la recuperación de brotes de enfermedades transmisibles; </w:t>
      </w:r>
    </w:p>
    <w:p w14:paraId="6C3DE7FD" w14:textId="77777777" w:rsidR="00B50935" w:rsidRPr="009017BC" w:rsidRDefault="00B50935" w:rsidP="00B50935">
      <w:pPr>
        <w:pStyle w:val="Point1"/>
      </w:pPr>
      <w:r w:rsidRPr="009017BC">
        <w:t>b)</w:t>
      </w:r>
      <w:r w:rsidRPr="009017BC">
        <w:tab/>
        <w:t xml:space="preserve">notificarán al Centro cualquier amenaza transfronteriza grave para la salud, tan pronto como la detecten, a través del Sistema de Alerta Precoz y Respuesta (SAPR), y comunicarán rápidamente las medidas de respuesta adoptadas, así como cualquier información pertinente que pueda ser útil para coordinar la respuesta como se contempla en el artículo 21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y </w:t>
      </w:r>
    </w:p>
    <w:p w14:paraId="1DF9D471" w14:textId="0B0F1BE0" w:rsidR="00B50935" w:rsidRPr="009017BC" w:rsidRDefault="00B50935" w:rsidP="00B50935">
      <w:pPr>
        <w:pStyle w:val="Point1"/>
      </w:pPr>
      <w:r w:rsidRPr="009017BC">
        <w:t>c)</w:t>
      </w:r>
      <w:r w:rsidRPr="009017BC">
        <w:tab/>
        <w:t>determinarán, en el ámbito de la misión del Centro, los organismos competentes reconocidos y los expertos en salud pública que puedan estar disponibles para prestar asistencia en las respuestas de la Unión a las amenazas para la salud como, por ejemplo, llevando a cabo misiones a los Estados miembros para proporcionar asesoramiento experto e investigaciones de campo en caso de brotes o agrupaciones de enfermedades.».</w:t>
      </w:r>
    </w:p>
    <w:p w14:paraId="1457AC86" w14:textId="77777777" w:rsidR="00B50935" w:rsidRPr="009017BC" w:rsidRDefault="00B50935" w:rsidP="00B50935">
      <w:pPr>
        <w:pStyle w:val="Point0"/>
      </w:pPr>
      <w:r w:rsidRPr="009017BC">
        <w:t>4.</w:t>
      </w:r>
      <w:r w:rsidRPr="009017BC">
        <w:tab/>
        <w:t>El artículo 5 se sustituye por el texto siguiente:</w:t>
      </w:r>
    </w:p>
    <w:p w14:paraId="0282505F" w14:textId="77777777" w:rsidR="00B50935" w:rsidRPr="009017BC" w:rsidRDefault="00B50935" w:rsidP="00B50935">
      <w:pPr>
        <w:pStyle w:val="Titrearticle"/>
      </w:pPr>
      <w:r w:rsidRPr="009017BC">
        <w:t>«Artículo 5</w:t>
      </w:r>
    </w:p>
    <w:p w14:paraId="5C520F1F" w14:textId="77777777" w:rsidR="00B50935" w:rsidRPr="009017BC" w:rsidRDefault="00B50935" w:rsidP="00B50935">
      <w:pPr>
        <w:jc w:val="center"/>
        <w:rPr>
          <w:b/>
        </w:rPr>
      </w:pPr>
      <w:r w:rsidRPr="009017BC">
        <w:rPr>
          <w:b/>
        </w:rPr>
        <w:t>Funcionamiento de redes especializadas y actividades de interconexión en redes</w:t>
      </w:r>
    </w:p>
    <w:p w14:paraId="531B0476" w14:textId="77777777" w:rsidR="00B50935" w:rsidRPr="009017BC" w:rsidRDefault="00B50935" w:rsidP="00B50935">
      <w:pPr>
        <w:pStyle w:val="Point1"/>
      </w:pPr>
      <w:r w:rsidRPr="009017BC">
        <w:t>1.</w:t>
      </w:r>
      <w:r w:rsidRPr="009017BC">
        <w:tab/>
        <w:t>El Centro apoyará las actividades de interconexión en redes de los organismos competentes reconocidos por los Estados miembros proporcionando coordinación y conocimientos técnicos y científicos a la Comisión y a los Estados miembros, así como mediante el funcionamiento de las redes especializadas.</w:t>
      </w:r>
    </w:p>
    <w:p w14:paraId="4E86F86F" w14:textId="77777777" w:rsidR="00B50935" w:rsidRPr="009017BC" w:rsidRDefault="00B50935" w:rsidP="00B50935">
      <w:pPr>
        <w:pStyle w:val="Point1"/>
      </w:pPr>
      <w:r w:rsidRPr="009017BC">
        <w:t>2.</w:t>
      </w:r>
      <w:r w:rsidRPr="009017BC">
        <w:tab/>
        <w:t xml:space="preserve">El Centro garantizará el funcionamiento integrado de la red de vigilancia epidemiológica de las enfermedades transmisibles y de los problemas sanitarios especiales relacionados contemplados en el artículo 2, apartado 1, letra a), incisos i) y ii), del </w:t>
      </w:r>
      <w:r w:rsidRPr="009017BC">
        <w:rPr>
          <w:color w:val="FF0000"/>
        </w:rPr>
        <w:t>Reglamento (UE).../ ... [DO:</w:t>
      </w:r>
      <w:r w:rsidRPr="009017BC">
        <w:rPr>
          <w:i/>
          <w:color w:val="FF0000"/>
        </w:rPr>
        <w:t xml:space="preserve"> </w:t>
      </w:r>
      <w:r w:rsidRPr="009017BC">
        <w:rPr>
          <w:color w:val="FF0000"/>
        </w:rPr>
        <w:t>insértese la referencia del Reglamento sobre las amenazas transfronterizas graves para la salud (ISC/2020/12524)].</w:t>
      </w:r>
    </w:p>
    <w:p w14:paraId="2AF5A4CD" w14:textId="77777777" w:rsidR="00B50935" w:rsidRPr="009017BC" w:rsidRDefault="00B50935" w:rsidP="00B50935">
      <w:pPr>
        <w:pStyle w:val="Text2"/>
      </w:pPr>
      <w:r w:rsidRPr="009017BC">
        <w:t>En particular:</w:t>
      </w:r>
    </w:p>
    <w:p w14:paraId="2CC00439" w14:textId="77777777" w:rsidR="00B50935" w:rsidRPr="009017BC" w:rsidRDefault="00B50935" w:rsidP="00B50935">
      <w:pPr>
        <w:pStyle w:val="Point2"/>
      </w:pPr>
      <w:r w:rsidRPr="009017BC">
        <w:t>a)</w:t>
      </w:r>
      <w:r w:rsidRPr="009017BC">
        <w:tab/>
        <w:t xml:space="preserve">garantizará un mayor desarrollo de las plataformas y aplicaciones digitales que apoyan la vigilancia epidemiológica a escala de la Unión, ayudando a los Estados miembros con asesoramiento técnico y científico para establecer sistemas integrados de vigilancia que permitan la vigilancia en tiempo real cuando proceda, beneficiándose de las infraestructuras y servicios espaciales de la UE existentes; </w:t>
      </w:r>
    </w:p>
    <w:p w14:paraId="5D6EB793" w14:textId="77777777" w:rsidR="00B50935" w:rsidRPr="009017BC" w:rsidRDefault="00B50935" w:rsidP="00B50935">
      <w:pPr>
        <w:pStyle w:val="Point2"/>
      </w:pPr>
      <w:r w:rsidRPr="009017BC">
        <w:t>b)</w:t>
      </w:r>
      <w:r w:rsidRPr="009017BC">
        <w:tab/>
        <w:t>proporcionará el aseguramiento de la calidad mediante el seguimiento y la evaluación de las actividades de vigilancia epidemiológica (como el establecimiento de normas de vigilancia y la exhaustividad de los datos de seguimiento) de las redes de vigilancia especializadas a fin de garantizar al máximo la eficacia de su funcionamiento;</w:t>
      </w:r>
    </w:p>
    <w:p w14:paraId="7B857D6E" w14:textId="5A8245BB" w:rsidR="00B50935" w:rsidRPr="009017BC" w:rsidRDefault="00B50935" w:rsidP="00B50935">
      <w:pPr>
        <w:pStyle w:val="Point2"/>
      </w:pPr>
      <w:r w:rsidRPr="009017BC">
        <w:t>c)</w:t>
      </w:r>
      <w:r w:rsidRPr="009017BC">
        <w:tab/>
        <w:t>mantendrá la base o las bases de datos para dicha vigilancia epidemiológica, se coordinará con los gestores de otras bases de datos pertinentes y trabajará en pro de enfoques armonizados de recopilación y modelización de datos;</w:t>
      </w:r>
    </w:p>
    <w:p w14:paraId="4B29EEE7" w14:textId="77777777" w:rsidR="00B50935" w:rsidRPr="009017BC" w:rsidRDefault="00B50935" w:rsidP="00B50935">
      <w:pPr>
        <w:pStyle w:val="Point2"/>
      </w:pPr>
      <w:r w:rsidRPr="009017BC">
        <w:t>d)</w:t>
      </w:r>
      <w:r w:rsidRPr="009017BC">
        <w:tab/>
        <w:t xml:space="preserve">comunicará los resultados del análisis de los datos a la Comisión y a los Estados miembros; </w:t>
      </w:r>
    </w:p>
    <w:p w14:paraId="22BEFD32" w14:textId="77777777" w:rsidR="00B50935" w:rsidRPr="009017BC" w:rsidRDefault="00B50935" w:rsidP="00B50935">
      <w:pPr>
        <w:pStyle w:val="Point2"/>
      </w:pPr>
      <w:r w:rsidRPr="009017BC">
        <w:t>e)</w:t>
      </w:r>
      <w:r w:rsidRPr="009017BC">
        <w:tab/>
        <w:t>armonizará y racionalizará las metodologías operativas;</w:t>
      </w:r>
    </w:p>
    <w:p w14:paraId="14042283" w14:textId="64F95A5C" w:rsidR="00B50935" w:rsidRPr="009017BC" w:rsidRDefault="00B50935" w:rsidP="00B50935">
      <w:pPr>
        <w:pStyle w:val="Point2"/>
      </w:pPr>
      <w:r w:rsidRPr="009017BC">
        <w:t>f)</w:t>
      </w:r>
      <w:r w:rsidRPr="009017BC">
        <w:tab/>
        <w:t xml:space="preserve">garantizará la interoperabilidad de las aplicaciones automatizadas, incluidas las de rastreo de contactos, desarrolladas a nivel nacional; </w:t>
      </w:r>
    </w:p>
    <w:p w14:paraId="78187139" w14:textId="1810250A" w:rsidR="00F233D0" w:rsidRPr="009017BC" w:rsidRDefault="00B50935" w:rsidP="00B50935">
      <w:pPr>
        <w:pStyle w:val="Point2"/>
      </w:pPr>
      <w:r w:rsidRPr="009017BC">
        <w:t>g)</w:t>
      </w:r>
      <w:r w:rsidRPr="009017BC">
        <w:tab/>
        <w:t>garantizará la interoperabilidad de las plataformas digitales de vigilancia con las infraestructuras digitales que permiten el uso de los datos sobre salud con fines de asistencia sanitaria, investigación, elaboración de políticas y reglamentación, y con miras a integrar esas plataformas e infraestructuras en el espacio europeo de datos sanitarios, regido por la legislación de la Unión, y a hacer uso de otros datos pertinentes, por ejemplo factores ambientales.</w:t>
      </w:r>
    </w:p>
    <w:p w14:paraId="63F5FA28" w14:textId="4E9097C7" w:rsidR="00B50935" w:rsidRPr="009017BC" w:rsidRDefault="00B50935" w:rsidP="00B50935">
      <w:pPr>
        <w:pStyle w:val="Point1"/>
      </w:pPr>
      <w:r w:rsidRPr="009017BC">
        <w:t>3.</w:t>
      </w:r>
      <w:r w:rsidRPr="009017BC">
        <w:tab/>
        <w:t>El Centro apoyará la labor del Comité de Seguridad Sanitaria, del Consejo y de otras estructuras de la Unión para coordinar la respuesta a las amenazas transfronterizas graves para la salud en el marco de su mandato.</w:t>
      </w:r>
    </w:p>
    <w:p w14:paraId="6E8AC63E" w14:textId="77777777" w:rsidR="00B50935" w:rsidRPr="009017BC" w:rsidRDefault="00B50935" w:rsidP="00B50935">
      <w:pPr>
        <w:pStyle w:val="Point1"/>
      </w:pPr>
      <w:r w:rsidRPr="009017BC">
        <w:t>4.</w:t>
      </w:r>
      <w:r w:rsidRPr="009017BC">
        <w:tab/>
        <w:t>El Centro, a través del funcionamiento de la red de vigilancia epidemiológica:</w:t>
      </w:r>
    </w:p>
    <w:p w14:paraId="5CE42013" w14:textId="77777777" w:rsidR="00B50935" w:rsidRPr="009017BC" w:rsidRDefault="00B50935" w:rsidP="00B50935">
      <w:pPr>
        <w:pStyle w:val="Point2"/>
      </w:pPr>
      <w:r w:rsidRPr="009017BC">
        <w:t>a)</w:t>
      </w:r>
      <w:r w:rsidRPr="009017BC">
        <w:tab/>
        <w:t xml:space="preserve">hará un seguimiento y elaborará informes sobre las tendencias de las enfermedades transmisibles a lo largo del tiempo, entre los Estados miembros y en terceros países, sobre la base de indicadores acordados, para evaluar la situación actual y facilitar una actuación adecuada basada en datos contrastados, entre otras cosas determinando las especificaciones para la recopilación armonizada de datos de los Estados miembros; </w:t>
      </w:r>
    </w:p>
    <w:p w14:paraId="36AF53F1" w14:textId="52BA0E12" w:rsidR="00B50935" w:rsidRPr="009017BC" w:rsidRDefault="00B50935" w:rsidP="00B50935">
      <w:pPr>
        <w:pStyle w:val="Point2"/>
      </w:pPr>
      <w:r w:rsidRPr="009017BC">
        <w:t>b)</w:t>
      </w:r>
      <w:r w:rsidRPr="009017BC">
        <w:tab/>
        <w:t xml:space="preserve">detectará, hará un seguimiento y elaborará informes sobre las amenazas transfronterizas graves para la salud en caso de una amenaza contemplada en el artículo 2, apartado 1, letra a), incisos i) y ii) , del </w:t>
      </w:r>
      <w:r w:rsidRPr="009017BC">
        <w:rPr>
          <w:color w:val="FF0000"/>
        </w:rPr>
        <w:t>Reglamento (UE).../ ... [DO:</w:t>
      </w:r>
      <w:r w:rsidRPr="009017BC">
        <w:rPr>
          <w:i/>
          <w:color w:val="FF0000"/>
        </w:rPr>
        <w:t xml:space="preserve"> </w:t>
      </w:r>
      <w:r w:rsidRPr="009017BC">
        <w:rPr>
          <w:color w:val="FF0000"/>
        </w:rPr>
        <w:t>insértese la referencia del Reglamento sobre las amenazas transfronterizas graves para la salud (ISC/2020/12524)]</w:t>
      </w:r>
      <w:r w:rsidRPr="009017BC">
        <w:t>, incluidas las amenazas para sustancias de origen humano, como sangre, órganos, tejidos y células potencialmente afectados por enfermedades transmisibles, o en el artículo 2, apartado 1, letra d), de dicho Reglamento, en lo que respecta al origen, el tiempo, la población y el lugar, a fin de justificar la acción en materia de salud pública;</w:t>
      </w:r>
    </w:p>
    <w:p w14:paraId="7F34129F" w14:textId="6F83E0AE" w:rsidR="00B50935" w:rsidRPr="009017BC" w:rsidRDefault="00B50935" w:rsidP="00B50935">
      <w:pPr>
        <w:pStyle w:val="Point2"/>
      </w:pPr>
      <w:r w:rsidRPr="009017BC">
        <w:t>c)</w:t>
      </w:r>
      <w:r w:rsidRPr="009017BC">
        <w:tab/>
        <w:t xml:space="preserve">contribuirá a la evaluación y el seguimiento de los programas de prevención y control de enfermedades transmisibles con el fin de aportar datos para las recomendaciones encaminadas a reforzar y mejorar esos programas a escala nacional y de la Unión; </w:t>
      </w:r>
    </w:p>
    <w:p w14:paraId="0BBB684F" w14:textId="46BA9B09" w:rsidR="00B50935" w:rsidRPr="009017BC" w:rsidRDefault="00B50935" w:rsidP="00B50935">
      <w:pPr>
        <w:pStyle w:val="Point2"/>
      </w:pPr>
      <w:r w:rsidRPr="009017BC">
        <w:t>d)</w:t>
      </w:r>
      <w:r w:rsidRPr="009017BC">
        <w:tab/>
        <w:t>hará un seguimiento y evaluará la capacidad de los sistemas sanitarios para el diagnóstico, la prevención y el tratamiento de enfermedades transmisibles específicas, así como la seguridad de los pacientes;</w:t>
      </w:r>
    </w:p>
    <w:p w14:paraId="2F9D4CA2" w14:textId="77777777" w:rsidR="00B50935" w:rsidRPr="009017BC" w:rsidRDefault="00B50935" w:rsidP="00B50935">
      <w:pPr>
        <w:pStyle w:val="Point2"/>
      </w:pPr>
      <w:r w:rsidRPr="009017BC">
        <w:t>e)</w:t>
      </w:r>
      <w:r w:rsidRPr="009017BC">
        <w:tab/>
        <w:t xml:space="preserve">identificará los grupos de población en situación de riesgo y que necesitan medidas de prevención y respuesta específicas, y garantizará que dichas medidas sean accesibles para las personas con discapacidad; </w:t>
      </w:r>
    </w:p>
    <w:p w14:paraId="4091A397" w14:textId="77777777" w:rsidR="00B50935" w:rsidRPr="009017BC" w:rsidRDefault="00B50935" w:rsidP="00B50935">
      <w:pPr>
        <w:pStyle w:val="Point2"/>
      </w:pPr>
      <w:r w:rsidRPr="009017BC">
        <w:t>f)</w:t>
      </w:r>
      <w:r w:rsidRPr="009017BC">
        <w:tab/>
        <w:t xml:space="preserve">contribuirá a la evaluación de la carga que representan las enfermedades transmisibles para la población utilizando datos, como la prevalencia de la enfermedad, las complicaciones, la hospitalización y la mortalidad, y garantizará que estos datos se desglosen por edad, sexo y discapacidad; </w:t>
      </w:r>
    </w:p>
    <w:p w14:paraId="2E3DAF4C" w14:textId="0055AE08" w:rsidR="00B50935" w:rsidRPr="009017BC" w:rsidRDefault="00B50935" w:rsidP="00B50935">
      <w:pPr>
        <w:pStyle w:val="Point2"/>
      </w:pPr>
      <w:r w:rsidRPr="009017BC">
        <w:t>g)</w:t>
      </w:r>
      <w:r w:rsidRPr="009017BC">
        <w:tab/>
        <w:t xml:space="preserve">llevará a cabo la modelización epidemiológica, la anticipación y la elaboración de hipótesis para la respuesta, y coordinará esos esfuerzos con miras a intercambiar mejores prácticas y mejorar la capacidad de modelización en toda la Unión; y </w:t>
      </w:r>
    </w:p>
    <w:p w14:paraId="0F7ACF7A" w14:textId="7CAA1EBF" w:rsidR="00B50935" w:rsidRPr="009017BC" w:rsidRDefault="00B50935" w:rsidP="00B50935">
      <w:pPr>
        <w:pStyle w:val="Point2"/>
      </w:pPr>
      <w:r w:rsidRPr="009017BC">
        <w:t>h)</w:t>
      </w:r>
      <w:r w:rsidRPr="009017BC">
        <w:tab/>
        <w:t>determinará los factores de riesgo para la transmisión de las enfermedades y los grupos de mayor riesgo, incluida la correlación de la incidencia y la gravedad de la enfermedad con factores sociales y ambientales, así como las prioridades y necesidades de investigación.</w:t>
      </w:r>
    </w:p>
    <w:p w14:paraId="75763F21" w14:textId="77777777" w:rsidR="00B50935" w:rsidRPr="009017BC" w:rsidRDefault="00B50935" w:rsidP="00B50935">
      <w:pPr>
        <w:pStyle w:val="Point1"/>
      </w:pPr>
      <w:r w:rsidRPr="009017BC">
        <w:t>5.</w:t>
      </w:r>
      <w:r w:rsidRPr="009017BC">
        <w:tab/>
        <w:t xml:space="preserve">Cada Estado miembro nombrará un organismo competente de coordinación y designará un centro de referencia nacional y los puntos de contacto operativos que sean pertinentes para las funciones de salud pública, incluida la vigilancia epidemiológica, y para diversos grupos de enfermedades y enfermedades individuales. </w:t>
      </w:r>
    </w:p>
    <w:p w14:paraId="5460BD96" w14:textId="77777777" w:rsidR="00B50935" w:rsidRPr="009017BC" w:rsidRDefault="00B50935" w:rsidP="00B50935">
      <w:pPr>
        <w:pStyle w:val="Text2"/>
      </w:pPr>
      <w:r w:rsidRPr="009017BC">
        <w:t xml:space="preserve">Los centros de referencia nacionales formarán redes que proporcionarán asesoramiento estratégico al Centro. </w:t>
      </w:r>
    </w:p>
    <w:p w14:paraId="1E561336" w14:textId="77777777" w:rsidR="00B50935" w:rsidRPr="009017BC" w:rsidRDefault="00B50935" w:rsidP="00B50935">
      <w:pPr>
        <w:pStyle w:val="Text2"/>
      </w:pPr>
      <w:r w:rsidRPr="009017BC">
        <w:t xml:space="preserve">Los centros de referencia nacionales y los puntos de contacto operativos designados para mantener interacciones sobre enfermedades específicas con el Centro constituirán redes dedicadas a cada enfermedad o grupo de enfermedades, entre cuyas tareas figurará la transmisión al Centro de datos nacionales de vigilancia. </w:t>
      </w:r>
    </w:p>
    <w:p w14:paraId="672BD1C9" w14:textId="77777777" w:rsidR="00B50935" w:rsidRPr="009017BC" w:rsidRDefault="00B50935" w:rsidP="00B50935">
      <w:pPr>
        <w:pStyle w:val="Text2"/>
      </w:pPr>
      <w:r w:rsidRPr="009017BC">
        <w:t>Los Estados miembros notificarán al Centro y a los demás Estados miembros los organismos nombrados y los centros de referencia y puntos de contacto designados con arreglo al presente apartado, así como cualquier cambio al respecto.</w:t>
      </w:r>
    </w:p>
    <w:p w14:paraId="171BFDB0" w14:textId="77777777" w:rsidR="00B50935" w:rsidRPr="009017BC" w:rsidRDefault="00B50935" w:rsidP="00B50935">
      <w:pPr>
        <w:pStyle w:val="Point1"/>
      </w:pPr>
      <w:r w:rsidRPr="009017BC">
        <w:t>6.</w:t>
      </w:r>
      <w:r w:rsidRPr="009017BC">
        <w:tab/>
        <w:t xml:space="preserve">El Centro garantizará el funcionamiento de la red de laboratorios de referencia de la UE contemplada en el artículo 15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para el diagnóstico, la detección, la identificación y la caracterización de agentes infecciosos que puedan representar una amenaza para la salud pública. </w:t>
      </w:r>
    </w:p>
    <w:p w14:paraId="27E01178" w14:textId="77777777" w:rsidR="00B50935" w:rsidRPr="009017BC" w:rsidRDefault="00B50935" w:rsidP="00B50935">
      <w:pPr>
        <w:pStyle w:val="Point1"/>
      </w:pPr>
      <w:r w:rsidRPr="009017BC">
        <w:t>7.</w:t>
      </w:r>
      <w:r w:rsidRPr="009017BC">
        <w:tab/>
        <w:t>El Centro promoverá el desarrollo de una capacidad suficiente en la Unión para el diagnóstico, la detección, la identificación y la caracterización de agentes infecciosos que puedan representar una amenaza para la salud pública, fomentando para ello la cooperación entre laboratorios especializados y de referencia. Mantendrá y ampliará esta cooperación y apoyará la puesta en práctica de sistemas de aseguramiento de la calidad.</w:t>
      </w:r>
    </w:p>
    <w:p w14:paraId="5A0AFBD6" w14:textId="011854AD" w:rsidR="00B50935" w:rsidRPr="009017BC" w:rsidRDefault="00B50935" w:rsidP="00B50935">
      <w:pPr>
        <w:pStyle w:val="Point1"/>
      </w:pPr>
      <w:r w:rsidRPr="009017BC">
        <w:t>8.</w:t>
      </w:r>
      <w:r w:rsidRPr="009017BC">
        <w:tab/>
        <w:t xml:space="preserve">El Centro garantizará el funcionamiento de la red de servicios de los Estados miembros de apoyo a transfusiones, trasplantes y reproducción asistida para permitir el acceso rápido y continuo a datos seroepidemiológicos mediante estudios seroepidemiológicos de la población, lo que incluye la evaluación de la exposición y la inmunidad de la población donante. </w:t>
      </w:r>
    </w:p>
    <w:p w14:paraId="726C3960" w14:textId="1D7531BD" w:rsidR="00B50935" w:rsidRPr="009017BC" w:rsidRDefault="00B50935" w:rsidP="00B50935">
      <w:pPr>
        <w:pStyle w:val="Text2"/>
      </w:pPr>
      <w:r w:rsidRPr="009017BC">
        <w:t xml:space="preserve">La red contemplada en el primer párrafo apoyará al Centro mediante el seguimiento de los brotes de enfermedades que sean pertinentes para las sustancias de origen humano y su suministro a pacientes, y mediante la elaboración de directrices sobre la seguridad y la calidad de la sangre, los tejidos y las células. </w:t>
      </w:r>
    </w:p>
    <w:p w14:paraId="3CE202A6" w14:textId="75ADF75C" w:rsidR="00B50935" w:rsidRPr="009017BC" w:rsidRDefault="00B50935" w:rsidP="00B50935">
      <w:pPr>
        <w:pStyle w:val="Point1"/>
      </w:pPr>
      <w:r w:rsidRPr="009017BC">
        <w:t>9.</w:t>
      </w:r>
      <w:r w:rsidRPr="009017BC">
        <w:tab/>
        <w:t>El Centro cooperará con los organismos competentes reconocidos por los Estados miembros, en particular en los trabajos preparatorios para la emisión de dictámenes científicos, la asistencia científica y técnica, la recopilación de datos comparables basados en formatos comunes que faciliten la agregación, y la detección de amenazas emergentes para la salud.».</w:t>
      </w:r>
    </w:p>
    <w:p w14:paraId="458C6E00" w14:textId="77777777" w:rsidR="00B50935" w:rsidRPr="009017BC" w:rsidRDefault="00B50935" w:rsidP="00B50935">
      <w:pPr>
        <w:pStyle w:val="Point0"/>
      </w:pPr>
      <w:r w:rsidRPr="009017BC">
        <w:t>5.</w:t>
      </w:r>
      <w:r w:rsidRPr="009017BC">
        <w:tab/>
        <w:t>Se inserta el artículo 5 </w:t>
      </w:r>
      <w:r w:rsidRPr="009017BC">
        <w:rPr>
          <w:i/>
          <w:iCs/>
        </w:rPr>
        <w:t>bis</w:t>
      </w:r>
      <w:r w:rsidRPr="009017BC">
        <w:t xml:space="preserve"> siguiente:</w:t>
      </w:r>
    </w:p>
    <w:p w14:paraId="3764CBB8" w14:textId="77777777" w:rsidR="00B50935" w:rsidRPr="009017BC" w:rsidRDefault="00B50935" w:rsidP="00B50935">
      <w:pPr>
        <w:pStyle w:val="Titrearticle"/>
      </w:pPr>
      <w:r w:rsidRPr="009017BC">
        <w:t>«Artículo 5 </w:t>
      </w:r>
      <w:r w:rsidRPr="009017BC">
        <w:rPr>
          <w:i w:val="0"/>
        </w:rPr>
        <w:t>bis</w:t>
      </w:r>
    </w:p>
    <w:p w14:paraId="30E823E4" w14:textId="77777777" w:rsidR="00B50935" w:rsidRPr="009017BC" w:rsidRDefault="00B50935" w:rsidP="00B50935">
      <w:pPr>
        <w:jc w:val="center"/>
        <w:rPr>
          <w:b/>
        </w:rPr>
      </w:pPr>
      <w:r w:rsidRPr="009017BC">
        <w:rPr>
          <w:b/>
        </w:rPr>
        <w:t>Prevención de enfermedades transmisibles</w:t>
      </w:r>
    </w:p>
    <w:p w14:paraId="54B5B7B2" w14:textId="77777777" w:rsidR="00B50935" w:rsidRPr="009017BC" w:rsidRDefault="00B50935" w:rsidP="00B50935">
      <w:pPr>
        <w:pStyle w:val="Point1"/>
      </w:pPr>
      <w:r w:rsidRPr="009017BC">
        <w:t>1.</w:t>
      </w:r>
      <w:r w:rsidRPr="009017BC">
        <w:tab/>
        <w:t xml:space="preserve">El Centro ayudará a los Estados miembros a reforzar sus sistemas de prevención y control de las enfermedades transmisibles. </w:t>
      </w:r>
    </w:p>
    <w:p w14:paraId="5A5507A5" w14:textId="5632C299" w:rsidR="00B50935" w:rsidRPr="009017BC" w:rsidRDefault="00B50935" w:rsidP="00B50935">
      <w:pPr>
        <w:pStyle w:val="Point1"/>
      </w:pPr>
      <w:r w:rsidRPr="009017BC">
        <w:t>2.</w:t>
      </w:r>
      <w:r w:rsidRPr="009017BC">
        <w:tab/>
        <w:t xml:space="preserve">El Centro desarrollará un marco para la prevención de enfermedades transmisibles y problemas especiales, que incluirá las enfermedades evitables mediante vacunación, la resistencia a los antimicrobianos, la educación sanitaria, la alfabetización sanitaria y el cambio de comportamientos. </w:t>
      </w:r>
    </w:p>
    <w:p w14:paraId="0B1338EF" w14:textId="58264DC4" w:rsidR="00B50935" w:rsidRPr="009017BC" w:rsidRDefault="00B50935" w:rsidP="00B50935">
      <w:pPr>
        <w:pStyle w:val="Point1"/>
      </w:pPr>
      <w:r w:rsidRPr="009017BC">
        <w:t>3.</w:t>
      </w:r>
      <w:r w:rsidRPr="009017BC">
        <w:tab/>
        <w:t>El Centro evaluará y hará un seguimiento de los programas de prevención y control de enfermedades transmisibles con el fin de aportar datos para las recomendaciones encaminadas a reforzar y mejorar esos programas a escala nacional y de la Unión y, cuando corresponda, a escala internacional.</w:t>
      </w:r>
    </w:p>
    <w:p w14:paraId="7B7BE331" w14:textId="3401DEAD" w:rsidR="00B50935" w:rsidRPr="009017BC" w:rsidRDefault="00B50935" w:rsidP="00B50935">
      <w:pPr>
        <w:pStyle w:val="Point1"/>
      </w:pPr>
      <w:r w:rsidRPr="009017BC">
        <w:t>4.</w:t>
      </w:r>
      <w:r w:rsidRPr="009017BC">
        <w:tab/>
        <w:t>El Centro coordinará estudios independientes de seguimiento poscomercialización de la eficacia y la seguridad de las vacunas, para lo que recopilará nueva información o utilizará los datos pertinentes recopilados por los organismos competentes. Esa tarea se llevará a cabo conjuntamente con la Agencia Europea de Medicamentos y especialmente mediante una nueva plataforma de seguimiento de vacunas.».</w:t>
      </w:r>
    </w:p>
    <w:p w14:paraId="5AC7BBBF" w14:textId="77777777" w:rsidR="00B50935" w:rsidRPr="009017BC" w:rsidRDefault="00B50935" w:rsidP="00B50935">
      <w:pPr>
        <w:pStyle w:val="Point0"/>
      </w:pPr>
      <w:r w:rsidRPr="009017BC">
        <w:t>6.</w:t>
      </w:r>
      <w:r w:rsidRPr="009017BC">
        <w:tab/>
        <w:t>Se inserta el artículo 5 </w:t>
      </w:r>
      <w:r w:rsidRPr="009017BC">
        <w:rPr>
          <w:i/>
          <w:iCs/>
        </w:rPr>
        <w:t>ter</w:t>
      </w:r>
      <w:r w:rsidRPr="009017BC">
        <w:t xml:space="preserve"> siguiente:</w:t>
      </w:r>
    </w:p>
    <w:p w14:paraId="3B7A6C6C" w14:textId="77777777" w:rsidR="00B50935" w:rsidRPr="009017BC" w:rsidRDefault="00B50935" w:rsidP="00B50935">
      <w:pPr>
        <w:pStyle w:val="Titrearticle"/>
      </w:pPr>
      <w:r w:rsidRPr="009017BC">
        <w:t>«Artículo 5 </w:t>
      </w:r>
      <w:r w:rsidRPr="009017BC">
        <w:rPr>
          <w:i w:val="0"/>
        </w:rPr>
        <w:t>ter</w:t>
      </w:r>
    </w:p>
    <w:p w14:paraId="629E4380" w14:textId="77777777" w:rsidR="00B50935" w:rsidRPr="009017BC" w:rsidRDefault="00B50935" w:rsidP="00B50935">
      <w:pPr>
        <w:jc w:val="center"/>
        <w:rPr>
          <w:b/>
        </w:rPr>
      </w:pPr>
      <w:r w:rsidRPr="009017BC">
        <w:rPr>
          <w:b/>
        </w:rPr>
        <w:t>Planificación de la preparación y respuesta</w:t>
      </w:r>
    </w:p>
    <w:p w14:paraId="6C905E4A" w14:textId="77777777" w:rsidR="00B50935" w:rsidRPr="009017BC" w:rsidRDefault="00B50935" w:rsidP="00B50935">
      <w:pPr>
        <w:pStyle w:val="Point1"/>
      </w:pPr>
      <w:r w:rsidRPr="009017BC">
        <w:t>1.</w:t>
      </w:r>
      <w:r w:rsidRPr="009017BC">
        <w:tab/>
        <w:t>El Centro proporcionará conocimientos científicos y técnicos a los Estados miembros y a la Comisión en colaboración con los organismos y las agencias de la Unión y con las organizaciones internacionales pertinentes, de conformidad con los acuerdos de trabajo adecuados establecidos con la Comisión en el ámbito de la planificación de la preparación y respuesta.</w:t>
      </w:r>
    </w:p>
    <w:p w14:paraId="797E2016" w14:textId="77777777" w:rsidR="00B50935" w:rsidRPr="009017BC" w:rsidRDefault="00B50935" w:rsidP="00B50935">
      <w:pPr>
        <w:pStyle w:val="Text2"/>
      </w:pPr>
      <w:r w:rsidRPr="009017BC">
        <w:t xml:space="preserve">El Centro, en estrecha colaboración con los Estados miembros y la Comisión: </w:t>
      </w:r>
    </w:p>
    <w:p w14:paraId="76A1D8B6" w14:textId="77777777" w:rsidR="00B50935" w:rsidRPr="009017BC" w:rsidRDefault="00B50935" w:rsidP="00B50935">
      <w:pPr>
        <w:pStyle w:val="Point2"/>
      </w:pPr>
      <w:r w:rsidRPr="009017BC">
        <w:t>a)</w:t>
      </w:r>
      <w:r w:rsidRPr="009017BC">
        <w:tab/>
        <w:t>contribuirá al desarrollo, la revisión periódica y la actualización de los planes de preparación y los proyectos de planes de preparación sobre amenazas específicas para su adopción por el Comité de Seguridad Sanitaria;</w:t>
      </w:r>
    </w:p>
    <w:p w14:paraId="3A03AD89" w14:textId="77777777" w:rsidR="00B50935" w:rsidRPr="009017BC" w:rsidRDefault="00B50935" w:rsidP="00B50935">
      <w:pPr>
        <w:pStyle w:val="Point2"/>
      </w:pPr>
      <w:r w:rsidRPr="009017BC">
        <w:t>b)</w:t>
      </w:r>
      <w:r w:rsidRPr="009017BC">
        <w:tab/>
        <w:t>desarrollará marcos e indicadores de preparación para el seguimiento y la evaluación de la preparación;</w:t>
      </w:r>
    </w:p>
    <w:p w14:paraId="5F7CC0F5" w14:textId="7A404F5B" w:rsidR="00DB2CE6" w:rsidRPr="009017BC" w:rsidRDefault="00B50935" w:rsidP="00B50935">
      <w:pPr>
        <w:pStyle w:val="Point2"/>
      </w:pPr>
      <w:r w:rsidRPr="009017BC">
        <w:t>c)</w:t>
      </w:r>
      <w:r w:rsidRPr="009017BC">
        <w:tab/>
        <w:t xml:space="preserve">facilitará las autoevaluaciones y la evaluación externa de la planificación de la preparación y respuesta de los Estados miembros, y contribuirá a la presentación de informes y a las auditorías sobre la planificación de la preparación y respuesta con arreglo a los artículos 7 y 8 del </w:t>
      </w:r>
      <w:r w:rsidRPr="009017BC">
        <w:rPr>
          <w:color w:val="FF0000"/>
        </w:rPr>
        <w:t>Reglamento (UE).../... [ DO:</w:t>
      </w:r>
      <w:r w:rsidRPr="009017BC">
        <w:rPr>
          <w:i/>
          <w:color w:val="FF0000"/>
        </w:rPr>
        <w:t xml:space="preserve"> </w:t>
      </w:r>
      <w:r w:rsidRPr="009017BC">
        <w:rPr>
          <w:color w:val="FF0000"/>
        </w:rPr>
        <w:t>insértese la referencia del Reglamento sobre las amenazas transfronterizas graves para la salud (ISC/2020/12524)]</w:t>
      </w:r>
      <w:r w:rsidRPr="009017BC">
        <w:t>;</w:t>
      </w:r>
    </w:p>
    <w:p w14:paraId="41DBBD9E" w14:textId="77777777" w:rsidR="00B50935" w:rsidRPr="009017BC" w:rsidRDefault="00B50935" w:rsidP="00B50935">
      <w:pPr>
        <w:pStyle w:val="Point2"/>
      </w:pPr>
      <w:r w:rsidRPr="009017BC">
        <w:t>d)</w:t>
      </w:r>
      <w:r w:rsidRPr="009017BC">
        <w:tab/>
        <w:t xml:space="preserve">garantizará el seguimiento de las carencias en materia de preparación y la prestación de apoyo específico a los Estados miembros de la UE y a terceros países en caso de necesidad; </w:t>
      </w:r>
    </w:p>
    <w:p w14:paraId="26063FAD" w14:textId="46C86EF9" w:rsidR="00B50935" w:rsidRPr="009017BC" w:rsidRDefault="00B50935" w:rsidP="00B50935">
      <w:pPr>
        <w:pStyle w:val="Point2"/>
      </w:pPr>
      <w:r w:rsidRPr="009017BC">
        <w:t>e)</w:t>
      </w:r>
      <w:r w:rsidRPr="009017BC">
        <w:tab/>
        <w:t xml:space="preserve">elaborará ejercicios, efectuará revisiones durante la acción y </w:t>
      </w:r>
      <w:r w:rsidRPr="009017BC">
        <w:rPr>
          <w:i/>
          <w:iCs/>
        </w:rPr>
        <w:t>a posteriori</w:t>
      </w:r>
      <w:r w:rsidRPr="009017BC">
        <w:t xml:space="preserve">, y organizará acciones de desarrollo de capacidades para abordar las carencias detectadas en materia de capacidad de preparación y competencias; </w:t>
      </w:r>
    </w:p>
    <w:p w14:paraId="58C58B31" w14:textId="77777777" w:rsidR="00B50935" w:rsidRPr="009017BC" w:rsidRDefault="00B50935" w:rsidP="00B50935">
      <w:pPr>
        <w:pStyle w:val="Point2"/>
      </w:pPr>
      <w:r w:rsidRPr="009017BC">
        <w:t>f)</w:t>
      </w:r>
      <w:r w:rsidRPr="009017BC">
        <w:tab/>
        <w:t>desarrollará actividades específicas de preparación que aborden las enfermedades evitables mediante vacunación, la resistencia a los antimicrobianos, la capacidad de los laboratorios y la bioseguridad, de conformidad con las prioridades de la Comisión y sobre la base de las carencias detectadas;</w:t>
      </w:r>
    </w:p>
    <w:p w14:paraId="2D79AB3F" w14:textId="77777777" w:rsidR="00B50935" w:rsidRPr="009017BC" w:rsidRDefault="00B50935" w:rsidP="00B50935">
      <w:pPr>
        <w:pStyle w:val="Point2"/>
      </w:pPr>
      <w:r w:rsidRPr="009017BC">
        <w:t>g)</w:t>
      </w:r>
      <w:r w:rsidRPr="009017BC">
        <w:tab/>
        <w:t>apoyará la integración de la preparación para la investigación en los planes de preparación y respuesta;</w:t>
      </w:r>
    </w:p>
    <w:p w14:paraId="2FAB5E90" w14:textId="77777777" w:rsidR="00B50935" w:rsidRPr="009017BC" w:rsidRDefault="00B50935" w:rsidP="00B50935">
      <w:pPr>
        <w:pStyle w:val="Point2"/>
      </w:pPr>
      <w:r w:rsidRPr="009017BC">
        <w:t>h)</w:t>
      </w:r>
      <w:r w:rsidRPr="009017BC">
        <w:tab/>
        <w:t xml:space="preserve">desarrollará actividades específicas que aborden la preparación de los grupos de riesgo y de la comunidad; </w:t>
      </w:r>
    </w:p>
    <w:p w14:paraId="5C578983" w14:textId="125619AB" w:rsidR="00B50935" w:rsidRPr="009017BC" w:rsidRDefault="00B50935" w:rsidP="00B50935">
      <w:pPr>
        <w:pStyle w:val="Point2"/>
      </w:pPr>
      <w:r w:rsidRPr="009017BC">
        <w:t>i)</w:t>
      </w:r>
      <w:r w:rsidRPr="009017BC">
        <w:tab/>
        <w:t>evaluará la capacidad de los sistemas sanitarios para la detección, la prevención, la respuesta y la recuperación de brotes de enfermedades transmisibles, detectará carencias y formulará recomendaciones para reforzar los sistemas sanitarios, destinadas a su aplicación con el apoyo de la Unión, según proceda;</w:t>
      </w:r>
    </w:p>
    <w:p w14:paraId="25434035" w14:textId="77777777" w:rsidR="00B50935" w:rsidRPr="009017BC" w:rsidRDefault="00B50935" w:rsidP="00B50935">
      <w:pPr>
        <w:pStyle w:val="Point2"/>
      </w:pPr>
      <w:r w:rsidRPr="009017BC">
        <w:t>j)</w:t>
      </w:r>
      <w:r w:rsidRPr="009017BC">
        <w:tab/>
        <w:t xml:space="preserve">fortalecerá la capacidad de modelización, anticipación y previsión del Centro; y </w:t>
      </w:r>
    </w:p>
    <w:p w14:paraId="2002EE06" w14:textId="14487553" w:rsidR="00B50935" w:rsidRPr="009017BC" w:rsidRDefault="00B50935" w:rsidP="00B50935">
      <w:pPr>
        <w:pStyle w:val="Point2"/>
      </w:pPr>
      <w:r w:rsidRPr="009017BC">
        <w:t>k)</w:t>
      </w:r>
      <w:r w:rsidRPr="009017BC">
        <w:tab/>
        <w:t>mantendrá un mecanismo periódico de intercambio de personal entre el Centro, la Comisión y expertos de los Estados miembros.».</w:t>
      </w:r>
    </w:p>
    <w:p w14:paraId="2B721B92" w14:textId="77777777" w:rsidR="00B50935" w:rsidRPr="009017BC" w:rsidRDefault="00B50935" w:rsidP="00B50935">
      <w:pPr>
        <w:pStyle w:val="Point0"/>
      </w:pPr>
      <w:r w:rsidRPr="009017BC">
        <w:t>7.</w:t>
      </w:r>
      <w:r w:rsidRPr="009017BC">
        <w:tab/>
        <w:t>El artículo 6 se modifica como sigue:</w:t>
      </w:r>
    </w:p>
    <w:p w14:paraId="53987D24" w14:textId="77777777" w:rsidR="00B50935" w:rsidRPr="009017BC" w:rsidRDefault="00B50935" w:rsidP="00B50935">
      <w:pPr>
        <w:pStyle w:val="Point1"/>
      </w:pPr>
      <w:r w:rsidRPr="009017BC">
        <w:t>a)</w:t>
      </w:r>
      <w:r w:rsidRPr="009017BC">
        <w:tab/>
        <w:t>se inserta el apartado 1 </w:t>
      </w:r>
      <w:r w:rsidRPr="009017BC">
        <w:rPr>
          <w:i/>
          <w:iCs/>
        </w:rPr>
        <w:t>bis</w:t>
      </w:r>
      <w:r w:rsidRPr="009017BC">
        <w:t xml:space="preserve"> siguiente: </w:t>
      </w:r>
    </w:p>
    <w:p w14:paraId="1C05A466" w14:textId="77777777" w:rsidR="00B50935" w:rsidRPr="009017BC" w:rsidRDefault="00B50935" w:rsidP="00B50935">
      <w:pPr>
        <w:pStyle w:val="Point2"/>
      </w:pPr>
      <w:r w:rsidRPr="009017BC">
        <w:t>«1 </w:t>
      </w:r>
      <w:r w:rsidRPr="009017BC">
        <w:rPr>
          <w:i/>
          <w:iCs/>
        </w:rPr>
        <w:t>bis</w:t>
      </w:r>
      <w:r w:rsidRPr="009017BC">
        <w:t>.</w:t>
      </w:r>
      <w:r w:rsidRPr="009017BC">
        <w:tab/>
        <w:t>El Centro facilitará análisis y recomendaciones concretos de acciones para prevenir y controlar las amenazas planteadas por enfermedades transmisibles, a petición de la Comisión.»;</w:t>
      </w:r>
    </w:p>
    <w:p w14:paraId="1F809A20" w14:textId="77777777" w:rsidR="00B50935" w:rsidRPr="009017BC" w:rsidRDefault="00B50935" w:rsidP="00B50935">
      <w:pPr>
        <w:pStyle w:val="Point1"/>
      </w:pPr>
      <w:r w:rsidRPr="009017BC">
        <w:t>b)</w:t>
      </w:r>
      <w:r w:rsidRPr="009017BC">
        <w:tab/>
        <w:t>el apartado 3 se sustituye por el texto siguiente:</w:t>
      </w:r>
    </w:p>
    <w:p w14:paraId="23A57287" w14:textId="0C2370C4" w:rsidR="00B50935" w:rsidRPr="009017BC" w:rsidRDefault="00B50935" w:rsidP="00B50935">
      <w:pPr>
        <w:pStyle w:val="Point2"/>
      </w:pPr>
      <w:r w:rsidRPr="009017BC">
        <w:t>«3.</w:t>
      </w:r>
      <w:r w:rsidRPr="009017BC">
        <w:tab/>
        <w:t>El Centro podrá promover y emprender los estudios científicos que considere necesarios para el cumplimiento de su misión, así como estudios científicos aplicados y proyectos sobre la viabilidad, el desarrollo y la preparación de sus actividades. El Centro evitará duplicaciones con los programas de investigación y salud de la Comisión, los Estados miembros y la Unión, y servirá de enlace entre la salud pública y el sector de la investigación, en caso necesario.</w:t>
      </w:r>
    </w:p>
    <w:p w14:paraId="1D2761AA" w14:textId="46A9D928" w:rsidR="00B50935" w:rsidRPr="009017BC" w:rsidRDefault="00B50935" w:rsidP="00B50935">
      <w:pPr>
        <w:pStyle w:val="Text3"/>
      </w:pPr>
      <w:r w:rsidRPr="009017BC">
        <w:t>Para llevar a cabo los estudios contemplados en el párrafo primero, el Centro tendrá acceso a los datos sanitarios disponibles o intercambiados mediante infraestructuras y aplicaciones digitales, de conformidad con las normas de protección de datos, lo que permitirá que esos datos sobre salud se utilicen con fines de asistencia sanitaria, investigación, elaboración de políticas y reglamentación. A efectos de los estudios contemplados en el párrafo primero, el Centro también hará uso de otros datos pertinentes, por ejemplo sobre factores ambientales y socioeconómicos.»;</w:t>
      </w:r>
    </w:p>
    <w:p w14:paraId="0ADA6837" w14:textId="77777777" w:rsidR="00B50935" w:rsidRPr="009017BC" w:rsidRDefault="00B50935" w:rsidP="00B50935">
      <w:pPr>
        <w:pStyle w:val="Point1"/>
      </w:pPr>
      <w:r w:rsidRPr="009017BC">
        <w:t>c)</w:t>
      </w:r>
      <w:r w:rsidRPr="009017BC">
        <w:tab/>
        <w:t xml:space="preserve">el apartado 4 se sustituye por el texto siguiente: </w:t>
      </w:r>
    </w:p>
    <w:p w14:paraId="77DCB4F5" w14:textId="77777777" w:rsidR="00B50935" w:rsidRPr="009017BC" w:rsidRDefault="00B50935" w:rsidP="00B50935">
      <w:pPr>
        <w:pStyle w:val="Point2"/>
      </w:pPr>
      <w:r w:rsidRPr="009017BC">
        <w:t>«4.</w:t>
      </w:r>
      <w:r w:rsidRPr="009017BC">
        <w:tab/>
        <w:t>El Centro consultará a la Comisión y a otros organismos o agencias de la Unión sobre la planificación y la fijación de prioridades de investigación y estudios en materia de salud pública.».</w:t>
      </w:r>
    </w:p>
    <w:p w14:paraId="691716EF" w14:textId="77777777" w:rsidR="00B50935" w:rsidRPr="009017BC" w:rsidRDefault="00B50935" w:rsidP="00B50935">
      <w:pPr>
        <w:pStyle w:val="Point0"/>
      </w:pPr>
      <w:r w:rsidRPr="009017BC">
        <w:t>8.</w:t>
      </w:r>
      <w:r w:rsidRPr="009017BC">
        <w:tab/>
        <w:t xml:space="preserve">El artículo 7 se sustituye por el texto siguiente: </w:t>
      </w:r>
    </w:p>
    <w:p w14:paraId="35D7B973" w14:textId="77777777" w:rsidR="00B50935" w:rsidRPr="009017BC" w:rsidRDefault="00B50935" w:rsidP="00B50935">
      <w:pPr>
        <w:pStyle w:val="Titrearticle"/>
      </w:pPr>
      <w:r w:rsidRPr="009017BC">
        <w:t>«Artículo 7</w:t>
      </w:r>
    </w:p>
    <w:p w14:paraId="2FF23676" w14:textId="77777777" w:rsidR="00B50935" w:rsidRPr="009017BC" w:rsidRDefault="00B50935" w:rsidP="00B50935">
      <w:pPr>
        <w:jc w:val="center"/>
        <w:rPr>
          <w:b/>
        </w:rPr>
      </w:pPr>
      <w:r w:rsidRPr="009017BC">
        <w:rPr>
          <w:b/>
        </w:rPr>
        <w:t>Procedimiento relativo a la emisión de dictámenes científicos</w:t>
      </w:r>
    </w:p>
    <w:p w14:paraId="7A2023DB" w14:textId="77777777" w:rsidR="00B50935" w:rsidRPr="009017BC" w:rsidRDefault="00B50935" w:rsidP="00B50935">
      <w:pPr>
        <w:pStyle w:val="Point1"/>
      </w:pPr>
      <w:r w:rsidRPr="009017BC">
        <w:t>1.</w:t>
      </w:r>
      <w:r w:rsidRPr="009017BC">
        <w:tab/>
        <w:t>El Centro emitirá un dictamen científico sobre cualquier cuestión relacionada con su misión:</w:t>
      </w:r>
    </w:p>
    <w:p w14:paraId="3E0C8457" w14:textId="77777777" w:rsidR="00B50935" w:rsidRPr="009017BC" w:rsidRDefault="00B50935" w:rsidP="00B50935">
      <w:pPr>
        <w:pStyle w:val="Point2"/>
      </w:pPr>
      <w:r w:rsidRPr="009017BC">
        <w:t>a)</w:t>
      </w:r>
      <w:r w:rsidRPr="009017BC">
        <w:tab/>
        <w:t>en todos los casos en que la legislación de la Unión disponga que ha de consultarse al Centro;</w:t>
      </w:r>
    </w:p>
    <w:p w14:paraId="013DDA25" w14:textId="77777777" w:rsidR="00B50935" w:rsidRPr="009017BC" w:rsidRDefault="00B50935" w:rsidP="00B50935">
      <w:pPr>
        <w:pStyle w:val="Point2"/>
      </w:pPr>
      <w:r w:rsidRPr="009017BC">
        <w:t>b)</w:t>
      </w:r>
      <w:r w:rsidRPr="009017BC">
        <w:tab/>
        <w:t xml:space="preserve">a petición del Parlamento Europeo o de un Estado miembro; </w:t>
      </w:r>
    </w:p>
    <w:p w14:paraId="3CE67D6E" w14:textId="7CFCB815" w:rsidR="00B50935" w:rsidRPr="009017BC" w:rsidRDefault="00B50935" w:rsidP="00B50935">
      <w:pPr>
        <w:pStyle w:val="Point2"/>
      </w:pPr>
      <w:r w:rsidRPr="009017BC">
        <w:t>c)</w:t>
      </w:r>
      <w:r w:rsidRPr="009017BC">
        <w:tab/>
        <w:t>a petición de la Comisión; y</w:t>
      </w:r>
    </w:p>
    <w:p w14:paraId="7166C372" w14:textId="062EF4B2" w:rsidR="00B50935" w:rsidRPr="009017BC" w:rsidRDefault="00B50935" w:rsidP="00B50935">
      <w:pPr>
        <w:pStyle w:val="Point2"/>
      </w:pPr>
      <w:r w:rsidRPr="009017BC">
        <w:t>d)</w:t>
      </w:r>
      <w:r w:rsidRPr="009017BC">
        <w:tab/>
        <w:t>por iniciativa propia.</w:t>
      </w:r>
    </w:p>
    <w:p w14:paraId="0E64D398" w14:textId="77777777" w:rsidR="00B50935" w:rsidRPr="009017BC" w:rsidRDefault="00B50935" w:rsidP="00B50935">
      <w:pPr>
        <w:pStyle w:val="Point1"/>
      </w:pPr>
      <w:r w:rsidRPr="009017BC">
        <w:t>2.</w:t>
      </w:r>
      <w:r w:rsidRPr="009017BC">
        <w:tab/>
        <w:t>Las solicitudes de dictamen científico contempladas en el apartado 1 explicarán claramente el problema científico que debe abordarse y su interés para la Unión, e irán acompañadas de documentación de referencia suficiente al respecto.</w:t>
      </w:r>
    </w:p>
    <w:p w14:paraId="4D162657" w14:textId="77777777" w:rsidR="00B50935" w:rsidRPr="009017BC" w:rsidRDefault="00B50935" w:rsidP="00B50935">
      <w:pPr>
        <w:pStyle w:val="Point1"/>
      </w:pPr>
      <w:r w:rsidRPr="009017BC">
        <w:t>3.</w:t>
      </w:r>
      <w:r w:rsidRPr="009017BC">
        <w:tab/>
        <w:t>El Centro emitirá sus dictámenes científicos con arreglo a un calendario acordado entre las partes.</w:t>
      </w:r>
    </w:p>
    <w:p w14:paraId="65C9B351" w14:textId="77777777" w:rsidR="00B50935" w:rsidRPr="009017BC" w:rsidRDefault="00B50935" w:rsidP="00B50935">
      <w:pPr>
        <w:pStyle w:val="Point1"/>
      </w:pPr>
      <w:r w:rsidRPr="009017BC">
        <w:t>4.</w:t>
      </w:r>
      <w:r w:rsidRPr="009017BC">
        <w:tab/>
        <w:t xml:space="preserve">Cuando se formulen diversas solicitudes referidas a la misma cuestión o cuando la solicitud no cumpla lo dispuesto en el apartado 2, el Centro podrá negarse a emitir un dictamen científico o proponer modificaciones a la solicitud, en consulta con la institución o el Estado miembro que la haya formulado. En caso de que se deniegue la solicitud, se comunicará el motivo a la institución o al Estado miembro que la haya formulado. </w:t>
      </w:r>
    </w:p>
    <w:p w14:paraId="05F110DB" w14:textId="77777777" w:rsidR="00B50935" w:rsidRPr="009017BC" w:rsidRDefault="00B50935" w:rsidP="00B50935">
      <w:pPr>
        <w:pStyle w:val="Point1"/>
      </w:pPr>
      <w:r w:rsidRPr="009017BC">
        <w:t>5.</w:t>
      </w:r>
      <w:r w:rsidRPr="009017BC">
        <w:tab/>
        <w:t>En caso de que el Centro ya haya emitido un dictamen científico sobre la cuestión específica a que se refiera una solicitud y llegue a la conclusión de que ningún elemento científico justifica la revisión de dicha cuestión, se comunicará a la institución o al Estado miembro que haya formulado la solicitud la información en que se base esa conclusión.</w:t>
      </w:r>
    </w:p>
    <w:p w14:paraId="0C2060A7" w14:textId="77777777" w:rsidR="00B50935" w:rsidRPr="009017BC" w:rsidRDefault="00B50935" w:rsidP="00B50935">
      <w:pPr>
        <w:pStyle w:val="Point1"/>
      </w:pPr>
      <w:r w:rsidRPr="009017BC">
        <w:t>6.</w:t>
      </w:r>
      <w:r w:rsidRPr="009017BC">
        <w:tab/>
        <w:t>Los estatutos del Centro especificarán los requisitos relativos a la presentación, la motivación y la publicación de los dictámenes científicos.».</w:t>
      </w:r>
    </w:p>
    <w:p w14:paraId="512897E5" w14:textId="77777777" w:rsidR="00B50935" w:rsidRPr="009017BC" w:rsidRDefault="00B50935" w:rsidP="00025545">
      <w:pPr>
        <w:pStyle w:val="Point0"/>
      </w:pPr>
      <w:r w:rsidRPr="009017BC">
        <w:t>9.</w:t>
      </w:r>
      <w:r w:rsidRPr="009017BC">
        <w:tab/>
        <w:t>El artículo 8 se sustituye por el texto siguiente:</w:t>
      </w:r>
    </w:p>
    <w:p w14:paraId="1D5812FF" w14:textId="77777777" w:rsidR="00B50935" w:rsidRPr="009017BC" w:rsidRDefault="00B50935" w:rsidP="00B50935">
      <w:pPr>
        <w:pStyle w:val="Titrearticle"/>
      </w:pPr>
      <w:r w:rsidRPr="009017BC">
        <w:t>«Artículo 8</w:t>
      </w:r>
    </w:p>
    <w:p w14:paraId="56DD7C34" w14:textId="77777777" w:rsidR="00B50935" w:rsidRPr="009017BC" w:rsidRDefault="00B50935" w:rsidP="00B50935">
      <w:pPr>
        <w:jc w:val="center"/>
        <w:rPr>
          <w:b/>
        </w:rPr>
      </w:pPr>
      <w:r w:rsidRPr="009017BC">
        <w:rPr>
          <w:b/>
        </w:rPr>
        <w:t>Gestión del Sistema de Alerta Precoz y Respuesta</w:t>
      </w:r>
    </w:p>
    <w:p w14:paraId="09F2C03E" w14:textId="77777777" w:rsidR="00B50935" w:rsidRPr="009017BC" w:rsidRDefault="00B50935" w:rsidP="00B50935">
      <w:pPr>
        <w:pStyle w:val="Point1"/>
      </w:pPr>
      <w:r w:rsidRPr="009017BC">
        <w:t>1.</w:t>
      </w:r>
      <w:r w:rsidRPr="009017BC">
        <w:tab/>
        <w:t>El Centro apoyará y asistirá a la Comisión gestionando el SAPR y asegurando con los Estados miembros la capacidad para responder de manera coordinada.</w:t>
      </w:r>
    </w:p>
    <w:p w14:paraId="40C5CCD6" w14:textId="77777777" w:rsidR="00B50935" w:rsidRPr="009017BC" w:rsidRDefault="00B50935" w:rsidP="00B50935">
      <w:pPr>
        <w:pStyle w:val="Point1"/>
      </w:pPr>
      <w:r w:rsidRPr="009017BC">
        <w:t>2.</w:t>
      </w:r>
      <w:r w:rsidRPr="009017BC">
        <w:tab/>
        <w:t>El Centro:</w:t>
      </w:r>
    </w:p>
    <w:p w14:paraId="7F4FFE10" w14:textId="77777777" w:rsidR="00B50935" w:rsidRPr="009017BC" w:rsidRDefault="00B50935" w:rsidP="00B50935">
      <w:pPr>
        <w:pStyle w:val="Point2"/>
      </w:pPr>
      <w:r w:rsidRPr="009017BC">
        <w:t>a)</w:t>
      </w:r>
      <w:r w:rsidRPr="009017BC">
        <w:tab/>
        <w:t>analizará el contenido de los mensajes que reciba a través del SAPR;</w:t>
      </w:r>
    </w:p>
    <w:p w14:paraId="3AD2A13A" w14:textId="77777777" w:rsidR="00B50935" w:rsidRPr="009017BC" w:rsidRDefault="00B50935" w:rsidP="00B50935">
      <w:pPr>
        <w:pStyle w:val="Point2"/>
      </w:pPr>
      <w:r w:rsidRPr="009017BC">
        <w:t>b)</w:t>
      </w:r>
      <w:r w:rsidRPr="009017BC">
        <w:tab/>
        <w:t>facilitará información, conocimientos especializados, asesoramiento y evaluación de los riesgos a los Estados miembros y a la Comisión; y</w:t>
      </w:r>
    </w:p>
    <w:p w14:paraId="3D7FF9D3" w14:textId="77777777" w:rsidR="00B50935" w:rsidRPr="009017BC" w:rsidRDefault="00B50935" w:rsidP="00B50935">
      <w:pPr>
        <w:pStyle w:val="Point2"/>
      </w:pPr>
      <w:r w:rsidRPr="009017BC">
        <w:t>c)</w:t>
      </w:r>
      <w:r w:rsidRPr="009017BC">
        <w:tab/>
        <w:t>velará por que el SAPR se vincule de forma eficaz y efectiva con otros sistemas de alerta de la Unión.</w:t>
      </w:r>
    </w:p>
    <w:p w14:paraId="719FDFA0" w14:textId="45AF0BD5" w:rsidR="00B50935" w:rsidRPr="009017BC" w:rsidRDefault="00B50935" w:rsidP="00B50935">
      <w:pPr>
        <w:pStyle w:val="Point1"/>
      </w:pPr>
      <w:r w:rsidRPr="009017BC">
        <w:t>3.</w:t>
      </w:r>
      <w:r w:rsidRPr="009017BC">
        <w:tab/>
        <w:t>El Centro colaborará con la Comisión y el Comité de Seguridad Sanitaria en las actualizaciones del SAPR, incluso para el uso de tecnologías modernas, como las aplicaciones móviles digitales, los modelos de inteligencia artificial u otras tecnologías para el rastreo automatizado de contactos, aprovechando las tecnologías de rastreo de contactos desarrolladas por los Estados miembros, y en la definición de los requisitos funcionales del SAPR.</w:t>
      </w:r>
    </w:p>
    <w:p w14:paraId="1D53045F" w14:textId="526DF5E7" w:rsidR="00B50935" w:rsidRPr="009017BC" w:rsidRDefault="00B50935" w:rsidP="00B50935">
      <w:pPr>
        <w:pStyle w:val="Point1"/>
      </w:pPr>
      <w:r w:rsidRPr="009017BC">
        <w:t>4.</w:t>
      </w:r>
      <w:r w:rsidRPr="009017BC">
        <w:tab/>
        <w:t>El Centro colaborará con la Comisión, el Comité de Seguridad Sanitaria y la red de sanidad electrónica para definir con mayor precisión los requisitos funcionales de las aplicaciones de rastreo de contactos y su interoperabilidad, teniendo en cuenta las infraestructuras y servicios existentes, como los servicios de geolocalización prestados por el Programa Espacial de la Unión.</w:t>
      </w:r>
    </w:p>
    <w:p w14:paraId="14DB851C" w14:textId="61FCA42A" w:rsidR="00B50935" w:rsidRPr="009017BC" w:rsidRDefault="00B50935" w:rsidP="00B50935">
      <w:pPr>
        <w:pStyle w:val="Point1"/>
      </w:pPr>
      <w:r w:rsidRPr="009017BC">
        <w:t>5.</w:t>
      </w:r>
      <w:r w:rsidRPr="009017BC">
        <w:tab/>
        <w:t xml:space="preserve">El Centro, como encargado del tratamiento, tendrá la responsabilidad de garantizar la seguridad y confidencialidad de las operaciones de tratamiento de datos personales realizadas en el SAPR y en el contexto de la interoperabilidad de las aplicaciones de rastreo de contactos, de conformidad con las obligaciones establecidas en los artículos 33, 34, apartado 2, y 36 del Reglamento (UE) 2018/1725 del Parlamento Europeo y del Consejo*. </w:t>
      </w:r>
    </w:p>
    <w:p w14:paraId="448E396C" w14:textId="77777777" w:rsidR="00B50935" w:rsidRPr="009017BC" w:rsidRDefault="00B50935" w:rsidP="00B50935">
      <w:pPr>
        <w:pStyle w:val="Text1"/>
      </w:pPr>
      <w:r w:rsidRPr="009017BC">
        <w:t>________________</w:t>
      </w:r>
    </w:p>
    <w:p w14:paraId="1F3DAB32" w14:textId="77777777" w:rsidR="00B50935" w:rsidRPr="009017BC" w:rsidRDefault="00B50935" w:rsidP="00B50935">
      <w:pPr>
        <w:pStyle w:val="Point1"/>
      </w:pPr>
      <w:r w:rsidRPr="009017BC">
        <w:t>*</w:t>
      </w:r>
      <w:r w:rsidRPr="009017BC">
        <w:tab/>
        <w:t>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 (DO L 295 de 21.11.2018, p. 39).».</w:t>
      </w:r>
    </w:p>
    <w:p w14:paraId="1BDD512B" w14:textId="77777777" w:rsidR="00B50935" w:rsidRPr="009017BC" w:rsidRDefault="00B50935" w:rsidP="00B50935">
      <w:pPr>
        <w:pStyle w:val="Point0"/>
      </w:pPr>
      <w:r w:rsidRPr="009017BC">
        <w:t>10.</w:t>
      </w:r>
      <w:r w:rsidRPr="009017BC">
        <w:tab/>
        <w:t>Se inserta el artículo 8 </w:t>
      </w:r>
      <w:r w:rsidRPr="009017BC">
        <w:rPr>
          <w:i/>
          <w:iCs/>
        </w:rPr>
        <w:t>bis</w:t>
      </w:r>
      <w:r w:rsidRPr="009017BC">
        <w:t xml:space="preserve"> siguiente:</w:t>
      </w:r>
    </w:p>
    <w:p w14:paraId="147F9459" w14:textId="77777777" w:rsidR="00B50935" w:rsidRPr="009017BC" w:rsidRDefault="00B50935" w:rsidP="00B50935">
      <w:pPr>
        <w:pStyle w:val="Titrearticle"/>
      </w:pPr>
      <w:r w:rsidRPr="009017BC">
        <w:t>«Artículo 8 </w:t>
      </w:r>
      <w:r w:rsidRPr="009017BC">
        <w:rPr>
          <w:i w:val="0"/>
        </w:rPr>
        <w:t>bis</w:t>
      </w:r>
    </w:p>
    <w:p w14:paraId="7D6AD6DF" w14:textId="77777777" w:rsidR="00B50935" w:rsidRPr="009017BC" w:rsidRDefault="00B50935" w:rsidP="00B50935">
      <w:pPr>
        <w:jc w:val="center"/>
        <w:rPr>
          <w:b/>
        </w:rPr>
      </w:pPr>
      <w:r w:rsidRPr="009017BC">
        <w:rPr>
          <w:b/>
        </w:rPr>
        <w:t>Evaluación de riesgos</w:t>
      </w:r>
    </w:p>
    <w:p w14:paraId="06C2203A" w14:textId="015EF20B" w:rsidR="00B50935" w:rsidRPr="009017BC" w:rsidRDefault="00B50935" w:rsidP="00B50935">
      <w:pPr>
        <w:pStyle w:val="Point1"/>
      </w:pPr>
      <w:r w:rsidRPr="009017BC">
        <w:t>1.</w:t>
      </w:r>
      <w:r w:rsidRPr="009017BC">
        <w:tab/>
        <w:t xml:space="preserve">El Centro facilitará oportunamente evaluaciones rápidas de riesgos de conformidad con el artículo 20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en caso de amenaza contemplada en el artículo 2, apartado 1, letra a), incisos i) y ii), de dicho Reglamento, incluidas las amenaza para sustancias de origen humano, como sangre, órganos, tejidos y células potencialmente afectados por enfermedades transmisibles, o en su artículo 2, apartado 1, letra d).</w:t>
      </w:r>
    </w:p>
    <w:p w14:paraId="605B043F" w14:textId="77777777" w:rsidR="00B50935" w:rsidRPr="009017BC" w:rsidRDefault="00B50935" w:rsidP="00B50935">
      <w:pPr>
        <w:pStyle w:val="Point1"/>
      </w:pPr>
      <w:r w:rsidRPr="009017BC">
        <w:t>2.</w:t>
      </w:r>
      <w:r w:rsidRPr="009017BC">
        <w:tab/>
        <w:t xml:space="preserve">La evaluación de riesgos incluirá recomendaciones de respuesta generales y específicas como base para la coordinación en el Comité de Seguridad Sanitaria. </w:t>
      </w:r>
    </w:p>
    <w:p w14:paraId="1EBEC10D" w14:textId="77777777" w:rsidR="00B50935" w:rsidRPr="009017BC" w:rsidRDefault="00B50935" w:rsidP="00B50935">
      <w:pPr>
        <w:pStyle w:val="Point1"/>
      </w:pPr>
      <w:r w:rsidRPr="009017BC">
        <w:t>3.</w:t>
      </w:r>
      <w:r w:rsidRPr="009017BC">
        <w:tab/>
        <w:t>A los efectos del apartado 1, el Centro coordinará la preparación de evaluaciones rápidas de riesgos obteniendo la participación de expertos de los Estados miembros y de las agencias pertinentes, en caso necesario.</w:t>
      </w:r>
    </w:p>
    <w:p w14:paraId="1700D33C" w14:textId="39DDC9EA" w:rsidR="00B50935" w:rsidRPr="009017BC" w:rsidRDefault="00B50935" w:rsidP="00B50935">
      <w:pPr>
        <w:pStyle w:val="Point1"/>
      </w:pPr>
      <w:r w:rsidRPr="009017BC">
        <w:t>4.</w:t>
      </w:r>
      <w:r w:rsidRPr="009017BC">
        <w:tab/>
        <w:t>Cuando la evaluación de riesgos no forme parte del mandato del Centro, a petición de la agencia o del organismo que lleve a cabo la evaluación de riesgos en el marco de su propio mandato, el Centro le facilitará, sin demora injustificada, toda la información y los datos pertinentes de que disponga.».</w:t>
      </w:r>
    </w:p>
    <w:p w14:paraId="15B47187" w14:textId="77777777" w:rsidR="00B50935" w:rsidRPr="009017BC" w:rsidRDefault="00B50935" w:rsidP="00B50935">
      <w:pPr>
        <w:pStyle w:val="Point0"/>
      </w:pPr>
      <w:r w:rsidRPr="009017BC">
        <w:t>11.</w:t>
      </w:r>
      <w:r w:rsidRPr="009017BC">
        <w:tab/>
        <w:t>Se inserta el artículo 8 </w:t>
      </w:r>
      <w:r w:rsidRPr="009017BC">
        <w:rPr>
          <w:i/>
          <w:iCs/>
        </w:rPr>
        <w:t>ter</w:t>
      </w:r>
      <w:r w:rsidRPr="009017BC">
        <w:t xml:space="preserve"> siguiente:</w:t>
      </w:r>
    </w:p>
    <w:p w14:paraId="4673FB85" w14:textId="77777777" w:rsidR="00B50935" w:rsidRPr="009017BC" w:rsidRDefault="00B50935" w:rsidP="00B50935">
      <w:pPr>
        <w:pStyle w:val="Titrearticle"/>
      </w:pPr>
      <w:r w:rsidRPr="009017BC">
        <w:t>«Artículo 8 </w:t>
      </w:r>
      <w:r w:rsidRPr="009017BC">
        <w:rPr>
          <w:i w:val="0"/>
        </w:rPr>
        <w:t>ter</w:t>
      </w:r>
    </w:p>
    <w:p w14:paraId="6A84EEFC" w14:textId="77777777" w:rsidR="00B50935" w:rsidRPr="009017BC" w:rsidRDefault="00B50935" w:rsidP="00B50935">
      <w:pPr>
        <w:jc w:val="center"/>
        <w:rPr>
          <w:b/>
        </w:rPr>
      </w:pPr>
      <w:r w:rsidRPr="009017BC">
        <w:rPr>
          <w:b/>
        </w:rPr>
        <w:t>Coordinación de la respuesta</w:t>
      </w:r>
    </w:p>
    <w:p w14:paraId="08D1394E" w14:textId="2732F6A1" w:rsidR="00B50935" w:rsidRPr="009017BC" w:rsidRDefault="00B50935" w:rsidP="00B50935">
      <w:pPr>
        <w:pStyle w:val="Point1"/>
      </w:pPr>
      <w:r w:rsidRPr="009017BC">
        <w:t>1.</w:t>
      </w:r>
      <w:r w:rsidRPr="009017BC">
        <w:tab/>
        <w:t xml:space="preserve">El Centro apoyará la coordinación de la respuesta en el Comité de Seguridad Sanitaria como se contempla en el artículo 21 del </w:t>
      </w:r>
      <w:r w:rsidRPr="009017BC">
        <w:rPr>
          <w:color w:val="FF0000"/>
        </w:rPr>
        <w:t>Reglamento (UE).../...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en particular formulando recomendaciones de medidas de respuesta para: </w:t>
      </w:r>
    </w:p>
    <w:p w14:paraId="5D900D32" w14:textId="77777777" w:rsidR="00B50935" w:rsidRPr="009017BC" w:rsidRDefault="00B50935" w:rsidP="00B50935">
      <w:pPr>
        <w:pStyle w:val="Point2"/>
      </w:pPr>
      <w:r w:rsidRPr="009017BC">
        <w:t>a)</w:t>
      </w:r>
      <w:r w:rsidRPr="009017BC">
        <w:tab/>
        <w:t>las respuestas nacionales a la amenaza transfronteriza grave para la salud;</w:t>
      </w:r>
    </w:p>
    <w:p w14:paraId="7A572947" w14:textId="77777777" w:rsidR="00B50935" w:rsidRPr="009017BC" w:rsidRDefault="00B50935" w:rsidP="00B50935">
      <w:pPr>
        <w:pStyle w:val="Point2"/>
      </w:pPr>
      <w:r w:rsidRPr="009017BC">
        <w:t>b)</w:t>
      </w:r>
      <w:r w:rsidRPr="009017BC">
        <w:tab/>
        <w:t>la adopción de orientaciones destinadas a los Estados miembros para la prevención y el control de una amenaza transfronteriza grave para la salud.</w:t>
      </w:r>
    </w:p>
    <w:p w14:paraId="7CD77B21" w14:textId="0C97E9C8" w:rsidR="00B50935" w:rsidRPr="009017BC" w:rsidRDefault="00B50935" w:rsidP="00B50935">
      <w:pPr>
        <w:pStyle w:val="Point1"/>
      </w:pPr>
      <w:r w:rsidRPr="009017BC">
        <w:t>2.</w:t>
      </w:r>
      <w:r w:rsidRPr="009017BC">
        <w:tab/>
        <w:t xml:space="preserve">El Centro apoyará una respuesta coordinada de la Unión a petición de un Estado miembro, del Consejo, de la Comisión o de organismos o agencias de la Unión.». </w:t>
      </w:r>
    </w:p>
    <w:p w14:paraId="719BA862" w14:textId="77777777" w:rsidR="00B50935" w:rsidRPr="009017BC" w:rsidRDefault="00B50935" w:rsidP="00B50935">
      <w:pPr>
        <w:pStyle w:val="Point0"/>
      </w:pPr>
      <w:r w:rsidRPr="009017BC">
        <w:t>12.</w:t>
      </w:r>
      <w:r w:rsidRPr="009017BC">
        <w:tab/>
        <w:t>El artículo 9 se modifica como sigue:</w:t>
      </w:r>
    </w:p>
    <w:p w14:paraId="7B979A21" w14:textId="77777777" w:rsidR="00B50935" w:rsidRPr="009017BC" w:rsidRDefault="00B50935" w:rsidP="00B50935">
      <w:pPr>
        <w:pStyle w:val="Point1"/>
      </w:pPr>
      <w:r w:rsidRPr="009017BC">
        <w:t>a)</w:t>
      </w:r>
      <w:r w:rsidRPr="009017BC">
        <w:tab/>
        <w:t>los apartados 1, 2 y 3 se sustituyen por el texto siguiente:</w:t>
      </w:r>
    </w:p>
    <w:p w14:paraId="0200DECD" w14:textId="30D2921C" w:rsidR="00B50935" w:rsidRPr="009017BC" w:rsidRDefault="00B50935" w:rsidP="00B50935">
      <w:pPr>
        <w:pStyle w:val="Point2"/>
      </w:pPr>
      <w:r w:rsidRPr="009017BC">
        <w:t>«1.</w:t>
      </w:r>
      <w:r w:rsidRPr="009017BC">
        <w:tab/>
        <w:t>El Centro facilitará a los Estados miembros, a la Comisión y a otros organismos o agencias de la Unión sus conocimientos científicos y técnicos de cara a la elaboración y revisión y puesta al día regulares de planes de preparación, así como en la elaboración de estrategias de intervención en el ámbito de su misión.</w:t>
      </w:r>
    </w:p>
    <w:p w14:paraId="767006DB" w14:textId="77777777" w:rsidR="00B50935" w:rsidRPr="009017BC" w:rsidRDefault="00B50935" w:rsidP="00B50935">
      <w:pPr>
        <w:pStyle w:val="Point2"/>
      </w:pPr>
      <w:r w:rsidRPr="009017BC">
        <w:t>2.</w:t>
      </w:r>
      <w:r w:rsidRPr="009017BC">
        <w:tab/>
        <w:t>La Comisión, los Estados miembros, terceros países, en particular países socios de la UE, y organizaciones internacionales (en especial, la OMS) podrán solicitar al Centro asistencia científica o técnica en cualquier aspecto en el ámbito de su misión. Dicha asistencia podrá consistir en ayudar a la Comisión y a los Estados miembros a elaborar directrices técnicas sobre ejemplos de buenas prácticas y sobre las medidas de protección que deberán adoptarse como respuesta a las amenazas para la salud, en facilitar asistencia especializada y en movilizar y coordinar equipos de investigación. El Centro proporcionará asistencia y conocimientos científicos y técnicos dentro de los límites de su capacidad financiera y de su mandato, y de conformidad con los acuerdos de trabajo adecuados establecidos con la Comisión.</w:t>
      </w:r>
    </w:p>
    <w:p w14:paraId="42C3FC18" w14:textId="77777777" w:rsidR="00B50935" w:rsidRPr="009017BC" w:rsidRDefault="00B50935" w:rsidP="00B50935">
      <w:pPr>
        <w:pStyle w:val="Point2"/>
      </w:pPr>
      <w:r w:rsidRPr="009017BC">
        <w:t>3.</w:t>
      </w:r>
      <w:r w:rsidRPr="009017BC">
        <w:tab/>
        <w:t>Las solicitudes de asistencia científica o técnica al Centro irán acompañadas de un plazo que se establecerá de común acuerdo con el Centro.»;</w:t>
      </w:r>
    </w:p>
    <w:p w14:paraId="73AAEAEC" w14:textId="77777777" w:rsidR="00B50935" w:rsidRPr="009017BC" w:rsidRDefault="00B50935" w:rsidP="00B50935">
      <w:pPr>
        <w:pStyle w:val="Point1"/>
      </w:pPr>
      <w:r w:rsidRPr="009017BC">
        <w:t>b)</w:t>
      </w:r>
      <w:r w:rsidRPr="009017BC">
        <w:tab/>
        <w:t xml:space="preserve">se suprime el apartado 5; </w:t>
      </w:r>
    </w:p>
    <w:p w14:paraId="7F036780" w14:textId="77777777" w:rsidR="00B50935" w:rsidRPr="009017BC" w:rsidRDefault="00B50935" w:rsidP="00B50935">
      <w:pPr>
        <w:pStyle w:val="Point1"/>
      </w:pPr>
      <w:r w:rsidRPr="009017BC">
        <w:t>c)</w:t>
      </w:r>
      <w:r w:rsidRPr="009017BC">
        <w:tab/>
        <w:t>el apartado 6 se sustituye por el texto siguiente:</w:t>
      </w:r>
    </w:p>
    <w:p w14:paraId="40A69ECC" w14:textId="77777777" w:rsidR="00B50935" w:rsidRPr="009017BC" w:rsidRDefault="00B50935" w:rsidP="00B50935">
      <w:pPr>
        <w:pStyle w:val="Point2"/>
      </w:pPr>
      <w:r w:rsidRPr="009017BC">
        <w:t>«6.</w:t>
      </w:r>
      <w:r w:rsidRPr="009017BC">
        <w:tab/>
        <w:t>Cuando proceda, el Centro respaldará y coordinará programas de formación, en particular en materia de vigilancia epidemiológica, investigación de campo, preparación y prevención, e investigación sobre salud pública.».</w:t>
      </w:r>
    </w:p>
    <w:p w14:paraId="5326D758" w14:textId="77777777" w:rsidR="00B50935" w:rsidRPr="009017BC" w:rsidRDefault="00B50935" w:rsidP="00B50935">
      <w:pPr>
        <w:pStyle w:val="Point0"/>
      </w:pPr>
      <w:r w:rsidRPr="009017BC">
        <w:t>13.</w:t>
      </w:r>
      <w:r w:rsidRPr="009017BC">
        <w:tab/>
        <w:t>El artículo 11 se modifica como sigue:</w:t>
      </w:r>
    </w:p>
    <w:p w14:paraId="14201FA4" w14:textId="77777777" w:rsidR="00B50935" w:rsidRPr="009017BC" w:rsidRDefault="00B50935" w:rsidP="00B50935">
      <w:pPr>
        <w:pStyle w:val="Point1"/>
      </w:pPr>
      <w:r w:rsidRPr="009017BC">
        <w:t>a)</w:t>
      </w:r>
      <w:r w:rsidRPr="009017BC">
        <w:tab/>
        <w:t>el apartado 1 se sustituye por el texto siguiente:</w:t>
      </w:r>
    </w:p>
    <w:p w14:paraId="2F6A93CC" w14:textId="77777777" w:rsidR="00B50935" w:rsidRPr="009017BC" w:rsidRDefault="00B50935" w:rsidP="00B50935">
      <w:pPr>
        <w:pStyle w:val="Point2"/>
      </w:pPr>
      <w:r w:rsidRPr="009017BC">
        <w:t>«1.</w:t>
      </w:r>
      <w:r w:rsidRPr="009017BC">
        <w:tab/>
        <w:t xml:space="preserve">El Centro se encargará de la coordinación de las actividades de recopilación, validación, análisis y difusión de datos a escala de la Unión.»; </w:t>
      </w:r>
    </w:p>
    <w:p w14:paraId="26B4BBF3" w14:textId="77777777" w:rsidR="00B50935" w:rsidRPr="009017BC" w:rsidRDefault="00B50935" w:rsidP="00B50935">
      <w:pPr>
        <w:pStyle w:val="Point1"/>
      </w:pPr>
      <w:r w:rsidRPr="009017BC">
        <w:t>b)</w:t>
      </w:r>
      <w:r w:rsidRPr="009017BC">
        <w:tab/>
        <w:t>se inserta el apartado 1 </w:t>
      </w:r>
      <w:r w:rsidRPr="009017BC">
        <w:rPr>
          <w:i/>
          <w:iCs/>
        </w:rPr>
        <w:t>bis</w:t>
      </w:r>
      <w:r w:rsidRPr="009017BC">
        <w:t xml:space="preserve"> siguiente:</w:t>
      </w:r>
    </w:p>
    <w:p w14:paraId="7E9B0DA6" w14:textId="77777777" w:rsidR="00B50935" w:rsidRPr="009017BC" w:rsidRDefault="00B50935" w:rsidP="00B50935">
      <w:pPr>
        <w:pStyle w:val="Point2"/>
      </w:pPr>
      <w:r w:rsidRPr="009017BC">
        <w:t>«1 </w:t>
      </w:r>
      <w:r w:rsidRPr="009017BC">
        <w:rPr>
          <w:i/>
          <w:iCs/>
        </w:rPr>
        <w:t>bis</w:t>
      </w:r>
      <w:r w:rsidRPr="009017BC">
        <w:t>.</w:t>
      </w:r>
      <w:r w:rsidRPr="009017BC">
        <w:tab/>
        <w:t>El Centro recopilará datos e información y garantizará vínculos con los datos y resultados de la investigación pertinentes sobre:</w:t>
      </w:r>
    </w:p>
    <w:p w14:paraId="1D67983C" w14:textId="77777777" w:rsidR="00B50935" w:rsidRPr="009017BC" w:rsidRDefault="00B50935" w:rsidP="00B50935">
      <w:pPr>
        <w:pStyle w:val="Point3"/>
      </w:pPr>
      <w:r w:rsidRPr="009017BC">
        <w:t>a)</w:t>
      </w:r>
      <w:r w:rsidRPr="009017BC">
        <w:tab/>
        <w:t xml:space="preserve">la vigilancia epidemiológica de las enfermedades transmisibles y de los problemas sanitarios especiales relacionados contemplados en el artículo 2, apartado 1, letra a), incisos i) y ii), del </w:t>
      </w:r>
      <w:r w:rsidRPr="009017BC">
        <w:rPr>
          <w:color w:val="FF0000"/>
        </w:rPr>
        <w:t>Reglamento (UE).../ ... [DO:</w:t>
      </w:r>
      <w:r w:rsidRPr="009017BC">
        <w:rPr>
          <w:i/>
          <w:color w:val="FF0000"/>
        </w:rPr>
        <w:t xml:space="preserve"> </w:t>
      </w:r>
      <w:r w:rsidRPr="009017BC">
        <w:rPr>
          <w:color w:val="FF0000"/>
        </w:rPr>
        <w:t>insértese la referencia del Reglamento sobre las amenazas transfronterizas graves para la salud (ISC/2020/12524)]</w:t>
      </w:r>
      <w:r w:rsidRPr="009017BC">
        <w:t>;</w:t>
      </w:r>
    </w:p>
    <w:p w14:paraId="2A480440" w14:textId="77777777" w:rsidR="00B50935" w:rsidRPr="009017BC" w:rsidRDefault="00B50935" w:rsidP="00B50935">
      <w:pPr>
        <w:pStyle w:val="Point3"/>
      </w:pPr>
      <w:r w:rsidRPr="009017BC">
        <w:t>b)</w:t>
      </w:r>
      <w:r w:rsidRPr="009017BC">
        <w:tab/>
        <w:t>la evolución de las situaciones epidémicas, incluso para la modelización, la anticipación y la elaboración de hipótesis;</w:t>
      </w:r>
    </w:p>
    <w:p w14:paraId="27D7C58C" w14:textId="77777777" w:rsidR="00B50935" w:rsidRPr="009017BC" w:rsidRDefault="00B50935" w:rsidP="00B50935">
      <w:pPr>
        <w:pStyle w:val="Point3"/>
      </w:pPr>
      <w:r w:rsidRPr="009017BC">
        <w:t>c)</w:t>
      </w:r>
      <w:r w:rsidRPr="009017BC">
        <w:tab/>
        <w:t>los fenómenos epidémicos inusuales o las nuevas enfermedades transmisibles de origen desconocido, incluso en terceros países;</w:t>
      </w:r>
    </w:p>
    <w:p w14:paraId="1BC24B7A" w14:textId="77777777" w:rsidR="00B50935" w:rsidRPr="009017BC" w:rsidRDefault="00B50935" w:rsidP="00B50935">
      <w:pPr>
        <w:pStyle w:val="Point3"/>
      </w:pPr>
      <w:r w:rsidRPr="009017BC">
        <w:t>d)</w:t>
      </w:r>
      <w:r w:rsidRPr="009017BC">
        <w:tab/>
        <w:t>datos sobre patógenos moleculares, si fuera necesario para detectar o investigar amenazas transfronterizas para la salud; y</w:t>
      </w:r>
    </w:p>
    <w:p w14:paraId="07D642F8" w14:textId="77777777" w:rsidR="00B50935" w:rsidRPr="009017BC" w:rsidRDefault="00B50935" w:rsidP="00B50935">
      <w:pPr>
        <w:pStyle w:val="Point3"/>
      </w:pPr>
      <w:r w:rsidRPr="009017BC">
        <w:t>e)</w:t>
      </w:r>
      <w:r w:rsidRPr="009017BC">
        <w:tab/>
        <w:t>datos sobre sistemas sanitarios necesarios para gestionar las amenazas transfronterizas para la salud.»;</w:t>
      </w:r>
    </w:p>
    <w:p w14:paraId="41D3C7AF" w14:textId="77777777" w:rsidR="00B50935" w:rsidRPr="009017BC" w:rsidRDefault="00B50935" w:rsidP="00B50935">
      <w:pPr>
        <w:pStyle w:val="Point1"/>
      </w:pPr>
      <w:r w:rsidRPr="009017BC">
        <w:t>c)</w:t>
      </w:r>
      <w:r w:rsidRPr="009017BC">
        <w:tab/>
        <w:t xml:space="preserve">el apartado 2 se sustituye por el texto siguiente: </w:t>
      </w:r>
    </w:p>
    <w:p w14:paraId="74A06920" w14:textId="77777777" w:rsidR="00B50935" w:rsidRPr="009017BC" w:rsidRDefault="00B50935" w:rsidP="00B50935">
      <w:pPr>
        <w:pStyle w:val="Point2"/>
      </w:pPr>
      <w:r w:rsidRPr="009017BC">
        <w:t>«2.</w:t>
      </w:r>
      <w:r w:rsidRPr="009017BC">
        <w:tab/>
        <w:t>A efectos del apartado 1, el Centro:</w:t>
      </w:r>
    </w:p>
    <w:p w14:paraId="48EDE7B0" w14:textId="22355D6D" w:rsidR="00B50935" w:rsidRPr="009017BC" w:rsidRDefault="00B50935" w:rsidP="00B50935">
      <w:pPr>
        <w:pStyle w:val="Point3"/>
      </w:pPr>
      <w:r w:rsidRPr="009017BC">
        <w:t>a)</w:t>
      </w:r>
      <w:r w:rsidRPr="009017BC">
        <w:tab/>
        <w:t>desarrollará, junto con los organismos competentes de los Estados miembros y con la Comisión, procedimientos apropiados para facilitar la consulta, la transmisión y el acceso a los datos,</w:t>
      </w:r>
    </w:p>
    <w:p w14:paraId="69DE168A" w14:textId="77777777" w:rsidR="00B50935" w:rsidRPr="009017BC" w:rsidRDefault="00B50935" w:rsidP="00B50935">
      <w:pPr>
        <w:pStyle w:val="Point3"/>
      </w:pPr>
      <w:r w:rsidRPr="009017BC">
        <w:t>b)</w:t>
      </w:r>
      <w:r w:rsidRPr="009017BC">
        <w:tab/>
        <w:t>llevará a cabo una evaluación técnica y científica de las medidas de prevención y control a nivel de la Unión,</w:t>
      </w:r>
    </w:p>
    <w:p w14:paraId="0813908A" w14:textId="77777777" w:rsidR="00B50935" w:rsidRPr="009017BC" w:rsidRDefault="00B50935" w:rsidP="00B50935">
      <w:pPr>
        <w:pStyle w:val="Point3"/>
      </w:pPr>
      <w:r w:rsidRPr="009017BC">
        <w:t>c)</w:t>
      </w:r>
      <w:r w:rsidRPr="009017BC">
        <w:tab/>
        <w:t>trabajará en estrecha cooperación con los organismos competentes de las organizaciones que trabajan en la recopilación de datos en la Unión, los terceros países, la OMS y otras organizaciones internacionales, y</w:t>
      </w:r>
    </w:p>
    <w:p w14:paraId="719CC0E4" w14:textId="193C126B" w:rsidR="00B50935" w:rsidRPr="009017BC" w:rsidRDefault="00B50935" w:rsidP="00B50935">
      <w:pPr>
        <w:pStyle w:val="Point3"/>
      </w:pPr>
      <w:r w:rsidRPr="009017BC">
        <w:t>d)</w:t>
      </w:r>
      <w:r w:rsidRPr="009017BC">
        <w:tab/>
        <w:t>desarrollará soluciones para acceder a los datos sanitarios pertinentes que se faciliten o se intercambien mediante infraestructuras digitales, de conformidad con las normas de protección de datos, lo que permitirá que esos datos sobre salud se utilicen con fines de asistencia sanitaria, investigación, elaboración de políticas y reglamentación, y proporcionará y facilitará acceso controlado a los datos sanitarios para apoyar la investigación en materia de salud pública.»;</w:t>
      </w:r>
    </w:p>
    <w:p w14:paraId="25A0E4F7" w14:textId="77777777" w:rsidR="00B50935" w:rsidRPr="009017BC" w:rsidRDefault="00B50935" w:rsidP="00B50935">
      <w:pPr>
        <w:pStyle w:val="Point1"/>
      </w:pPr>
      <w:r w:rsidRPr="009017BC">
        <w:t>d)</w:t>
      </w:r>
      <w:r w:rsidRPr="009017BC">
        <w:tab/>
        <w:t>se añaden los apartados 4 y 5 siguientes:</w:t>
      </w:r>
    </w:p>
    <w:p w14:paraId="287C8E35" w14:textId="77777777" w:rsidR="00B50935" w:rsidRPr="009017BC" w:rsidRDefault="00B50935" w:rsidP="00B50935">
      <w:pPr>
        <w:pStyle w:val="Point2"/>
      </w:pPr>
      <w:r w:rsidRPr="009017BC">
        <w:t>«4.</w:t>
      </w:r>
      <w:r w:rsidRPr="009017BC">
        <w:tab/>
        <w:t>En situaciones de urgencia relacionadas con la gravedad o la novedad de una amenaza transfronteriza grave para la salud o con la rapidez de su propagación entre los Estados miembros, el Centro facilitará las previsiones epidemiológicas contempladas en el artículo 5, apartado 4, letra g), a petición de la Agencia Europea de Medicamentos, de forma objetiva, fiable y de fácil acceso, sobre la base de la mejor información disponible.</w:t>
      </w:r>
    </w:p>
    <w:p w14:paraId="4D683CC1" w14:textId="77777777" w:rsidR="00B50935" w:rsidRPr="009017BC" w:rsidRDefault="00B50935" w:rsidP="00B50935">
      <w:pPr>
        <w:pStyle w:val="Point2"/>
      </w:pPr>
      <w:r w:rsidRPr="009017BC">
        <w:t>5.</w:t>
      </w:r>
      <w:r w:rsidRPr="009017BC">
        <w:tab/>
        <w:t>En situaciones de urgencia relacionadas con la gravedad o la novedad de una amenaza transfronteriza grave para la salud o con la rapidez de su propagación entre los Estados miembros, el Centro facilitará datos y los análisis pertinentes, sobre la base de la mejor información disponible.».</w:t>
      </w:r>
    </w:p>
    <w:p w14:paraId="32EF861D" w14:textId="0896A6C1" w:rsidR="00B50935" w:rsidRPr="009017BC" w:rsidRDefault="00B50935" w:rsidP="00B50935">
      <w:pPr>
        <w:pStyle w:val="Point0"/>
      </w:pPr>
      <w:r w:rsidRPr="009017BC">
        <w:t>14.</w:t>
      </w:r>
      <w:r w:rsidRPr="009017BC">
        <w:tab/>
        <w:t>Se inserta el artículo 11 </w:t>
      </w:r>
      <w:r w:rsidRPr="009017BC">
        <w:rPr>
          <w:i/>
          <w:iCs/>
        </w:rPr>
        <w:t>bis</w:t>
      </w:r>
      <w:r w:rsidRPr="009017BC">
        <w:t xml:space="preserve"> siguiente:</w:t>
      </w:r>
    </w:p>
    <w:p w14:paraId="29F8E3BF" w14:textId="77777777" w:rsidR="00B50935" w:rsidRPr="009017BC" w:rsidRDefault="00B50935" w:rsidP="00B50935">
      <w:pPr>
        <w:pStyle w:val="Titrearticle"/>
      </w:pPr>
      <w:r w:rsidRPr="009017BC">
        <w:t>«Artículo 11 </w:t>
      </w:r>
      <w:r w:rsidRPr="009017BC">
        <w:rPr>
          <w:i w:val="0"/>
        </w:rPr>
        <w:t>bis</w:t>
      </w:r>
    </w:p>
    <w:p w14:paraId="4C45EEBA" w14:textId="77777777" w:rsidR="00B50935" w:rsidRPr="009017BC" w:rsidRDefault="00B50935" w:rsidP="00B50935">
      <w:pPr>
        <w:jc w:val="center"/>
        <w:rPr>
          <w:b/>
        </w:rPr>
      </w:pPr>
      <w:r w:rsidRPr="009017BC">
        <w:rPr>
          <w:b/>
        </w:rPr>
        <w:t>Apoyo a la respuesta internacional y sobre el terreno</w:t>
      </w:r>
    </w:p>
    <w:p w14:paraId="31E43554" w14:textId="309B48F8" w:rsidR="00B50935" w:rsidRPr="009017BC" w:rsidRDefault="00B50935" w:rsidP="00B50935">
      <w:pPr>
        <w:pStyle w:val="Point1"/>
      </w:pPr>
      <w:r w:rsidRPr="009017BC">
        <w:t>1.</w:t>
      </w:r>
      <w:r w:rsidRPr="009017BC">
        <w:tab/>
        <w:t xml:space="preserve">El Centro establecerá capacidad para movilizar y desplegar el Grupo de Trabajo sobre Salud de la UE, compuesto por personal del Centro y expertos de los Estados miembros y de programas de becas, para contribuir a la respuesta local a los brotes de enfermedades transmisibles en los Estados miembros </w:t>
      </w:r>
      <w:r w:rsidRPr="009017BC">
        <w:rPr>
          <w:color w:val="FF0000"/>
        </w:rPr>
        <w:t>y en terceros países</w:t>
      </w:r>
      <w:r w:rsidRPr="009017BC">
        <w:t xml:space="preserve">. </w:t>
      </w:r>
    </w:p>
    <w:p w14:paraId="1ADEB69A" w14:textId="257B0285" w:rsidR="00B50935" w:rsidRPr="009017BC" w:rsidRDefault="00B50935" w:rsidP="00B50935">
      <w:pPr>
        <w:pStyle w:val="Point1"/>
      </w:pPr>
      <w:r w:rsidRPr="009017BC">
        <w:t>2.</w:t>
      </w:r>
      <w:r w:rsidRPr="009017BC">
        <w:tab/>
        <w:t xml:space="preserve">El Centro desarrollará un marco y establecerá procedimientos con la Comisión para movilizar al Grupo de Trabajo sobre Salud de la UE. </w:t>
      </w:r>
    </w:p>
    <w:p w14:paraId="6D0FF8AD" w14:textId="22C97BDE" w:rsidR="00B50935" w:rsidRPr="009017BC" w:rsidRDefault="00B50935" w:rsidP="00B50935">
      <w:pPr>
        <w:pStyle w:val="Point1"/>
      </w:pPr>
      <w:r w:rsidRPr="009017BC">
        <w:t>3.</w:t>
      </w:r>
      <w:r w:rsidRPr="009017BC">
        <w:tab/>
        <w:t xml:space="preserve">El Centro velará por que el Grupo de Trabajo sobre Salud de la UE esté coordinado y sea complementario con las capacidades que integran el Cuerpo Médico Europeo y otras capacidades pertinentes del Mecanismo de Protección Civil de la Unión. </w:t>
      </w:r>
    </w:p>
    <w:p w14:paraId="18C3F0AC" w14:textId="380CABEE" w:rsidR="00B50935" w:rsidRPr="009017BC" w:rsidRDefault="00B50935" w:rsidP="00B50935">
      <w:pPr>
        <w:pStyle w:val="Point1"/>
      </w:pPr>
      <w:r w:rsidRPr="009017BC">
        <w:t>4.</w:t>
      </w:r>
      <w:r w:rsidRPr="009017BC">
        <w:tab/>
        <w:t xml:space="preserve">El Centro desarrollará con la Comisión un marco para la movilización del Grupo de Trabajo sobre Salud de la UE, con miras a las acciones previstas en la Decisión 1313/2013/UE*. </w:t>
      </w:r>
    </w:p>
    <w:p w14:paraId="2FF4B8A6" w14:textId="14F37BB0" w:rsidR="00B50935" w:rsidRPr="009017BC" w:rsidRDefault="00B50935" w:rsidP="00B50935">
      <w:pPr>
        <w:pStyle w:val="Text2"/>
      </w:pPr>
      <w:r w:rsidRPr="009017BC">
        <w:t xml:space="preserve">El Centro aportará contribuciones de expertos de la Unión en respuesta sobre el terreno integrados en los equipos internacionales de respuesta movilizados por el mecanismo del Programa de Emergencias Sanitarias y la Red Mundial de Alerta y Respuesta ante Brotes Epidémicos (GOARN) de la OMS y de conformidad con los acuerdos de trabajo adecuados establecidos con la Comisión. </w:t>
      </w:r>
    </w:p>
    <w:p w14:paraId="5A5C7AB1" w14:textId="77777777" w:rsidR="00B50935" w:rsidRPr="009017BC" w:rsidRDefault="00B50935" w:rsidP="00B50935">
      <w:pPr>
        <w:pStyle w:val="Point1"/>
      </w:pPr>
      <w:r w:rsidRPr="009017BC">
        <w:t>5.</w:t>
      </w:r>
      <w:r w:rsidRPr="009017BC">
        <w:tab/>
        <w:t>El Centro facilitará el desarrollo de capacidades de respuesta sobre el terreno y conocimientos especializados en gestión de crisis entre el personal del Centro y expertos de países de la Unión y del EEE, de países candidatos y candidatos potenciales, así como de países de la Política Europea de Vecindad y de los países socios de la UE, a petición de la Comisión.</w:t>
      </w:r>
    </w:p>
    <w:p w14:paraId="28DBAF98" w14:textId="77777777" w:rsidR="00B50935" w:rsidRPr="009017BC" w:rsidRDefault="00B50935" w:rsidP="00B50935">
      <w:pPr>
        <w:pStyle w:val="Point1"/>
      </w:pPr>
      <w:r w:rsidRPr="009017BC">
        <w:t>6.</w:t>
      </w:r>
      <w:r w:rsidRPr="009017BC">
        <w:tab/>
        <w:t>El Centro mantendrá capacidad a fin de llevar a cabo misiones en los Estados miembros, a petición de la Comisión y de los Estados miembros, para formular recomendaciones sobre la respuesta a las amenazas para la salud en el marco de su mandato.</w:t>
      </w:r>
    </w:p>
    <w:p w14:paraId="0EEC2526" w14:textId="6FB5F7EC" w:rsidR="00B50935" w:rsidRPr="009017BC" w:rsidRDefault="00B50935" w:rsidP="00B50935">
      <w:pPr>
        <w:pStyle w:val="Point1"/>
      </w:pPr>
      <w:r w:rsidRPr="009017BC">
        <w:t>7.</w:t>
      </w:r>
      <w:r w:rsidRPr="009017BC">
        <w:tab/>
        <w:t>A petición de la Comisión y de los Estados miembros, el Centro participará en proyectos de desarrollo de capacidades a largo plazo destinados a reforzar las capacidades de preparación en el marco del Reglamento Sanitario Internacional en terceros países no europeos, en particular en los países socios.</w:t>
      </w:r>
    </w:p>
    <w:p w14:paraId="1459EEDC" w14:textId="77777777" w:rsidR="00B50935" w:rsidRPr="009017BC" w:rsidDel="00906570" w:rsidRDefault="00B50935" w:rsidP="00B50935">
      <w:pPr>
        <w:pStyle w:val="Text1"/>
      </w:pPr>
      <w:r w:rsidRPr="009017BC">
        <w:t>_______________</w:t>
      </w:r>
    </w:p>
    <w:p w14:paraId="592D2F68" w14:textId="77777777" w:rsidR="00B50935" w:rsidRPr="009017BC" w:rsidRDefault="00B50935" w:rsidP="00B50935">
      <w:pPr>
        <w:pStyle w:val="Point1"/>
      </w:pPr>
      <w:r w:rsidRPr="009017BC">
        <w:t>*</w:t>
      </w:r>
      <w:r w:rsidRPr="009017BC">
        <w:tab/>
        <w:t>Decisión n.º 1313/2013/UE del Parlamento Europeo y del Consejo, de 17 de diciembre de 2013, relativa a un Mecanismo de Protección Civil de la Unión (DO L 347 de 20.12.2013, p. 924).».</w:t>
      </w:r>
    </w:p>
    <w:p w14:paraId="35809F8B" w14:textId="77777777" w:rsidR="00B50935" w:rsidRPr="009017BC" w:rsidRDefault="00B50935" w:rsidP="00B50935">
      <w:pPr>
        <w:pStyle w:val="Point0"/>
      </w:pPr>
      <w:r w:rsidRPr="009017BC">
        <w:t>15.</w:t>
      </w:r>
      <w:r w:rsidRPr="009017BC">
        <w:tab/>
        <w:t>El artículo 12 se modifica como sigue:</w:t>
      </w:r>
    </w:p>
    <w:p w14:paraId="22756D84" w14:textId="77777777" w:rsidR="00B50935" w:rsidRPr="009017BC" w:rsidRDefault="00B50935" w:rsidP="00B50935">
      <w:pPr>
        <w:pStyle w:val="Point1"/>
      </w:pPr>
      <w:r w:rsidRPr="009017BC">
        <w:t>a)</w:t>
      </w:r>
      <w:r w:rsidRPr="009017BC">
        <w:tab/>
        <w:t>el apartado 1 se sustituye por el texto siguiente:</w:t>
      </w:r>
    </w:p>
    <w:p w14:paraId="0DF72883" w14:textId="77777777" w:rsidR="00B50935" w:rsidRPr="009017BC" w:rsidRDefault="00B50935" w:rsidP="00B50935">
      <w:pPr>
        <w:pStyle w:val="Point2"/>
      </w:pPr>
      <w:r w:rsidRPr="009017BC">
        <w:t>«1.</w:t>
      </w:r>
      <w:r w:rsidRPr="009017BC">
        <w:tab/>
        <w:t xml:space="preserve">El Centro, tras aportar información a los Estados miembros y a la Comisión, comunicará por iniciativa propia lo que considere oportuno en el ámbito de su misión. </w:t>
      </w:r>
    </w:p>
    <w:p w14:paraId="5DD9EEF9" w14:textId="77777777" w:rsidR="00B50935" w:rsidRPr="009017BC" w:rsidRDefault="00B50935" w:rsidP="00B50935">
      <w:pPr>
        <w:pStyle w:val="Text3"/>
      </w:pPr>
      <w:r w:rsidRPr="009017BC">
        <w:t>El Centro velará por que el público o cualquier parte interesada reciba rápidamente información objetiva, fiable, basada en datos contrastados y fácilmente accesible, en lo que respecta a los resultados de sus trabajos. El Centro pondrá la información a disposición del público en general, incluso a través de una página web específica. Asimismo, publicará sus dictámenes elaborados de conformidad con el artículo 6.»;</w:t>
      </w:r>
    </w:p>
    <w:p w14:paraId="0CB1A7F1" w14:textId="77777777" w:rsidR="00B50935" w:rsidRPr="009017BC" w:rsidRDefault="00B50935" w:rsidP="00B50935">
      <w:pPr>
        <w:pStyle w:val="Point1"/>
      </w:pPr>
      <w:r w:rsidRPr="009017BC">
        <w:t>b)</w:t>
      </w:r>
      <w:r w:rsidRPr="009017BC">
        <w:tab/>
        <w:t>se suprime el apartado 2;</w:t>
      </w:r>
    </w:p>
    <w:p w14:paraId="16848818" w14:textId="77777777" w:rsidR="00B50935" w:rsidRPr="009017BC" w:rsidRDefault="00B50935" w:rsidP="00B50935">
      <w:pPr>
        <w:pStyle w:val="Point1"/>
      </w:pPr>
      <w:r w:rsidRPr="009017BC">
        <w:t>c)</w:t>
      </w:r>
      <w:r w:rsidRPr="009017BC">
        <w:tab/>
        <w:t>el apartado 3 se sustituye por el texto siguiente:</w:t>
      </w:r>
    </w:p>
    <w:p w14:paraId="7565B564" w14:textId="77777777" w:rsidR="00B50935" w:rsidRPr="009017BC" w:rsidRDefault="00B50935" w:rsidP="00B50935">
      <w:pPr>
        <w:pStyle w:val="Point2"/>
      </w:pPr>
      <w:r w:rsidRPr="009017BC">
        <w:t>«3.</w:t>
      </w:r>
      <w:r w:rsidRPr="009017BC">
        <w:tab/>
        <w:t>El Centro cooperará adecuadamente con los organismos competentes de los Estados miembros y con otras partes interesadas en relación con las campañas de información al público.».</w:t>
      </w:r>
    </w:p>
    <w:p w14:paraId="59ECB1C4" w14:textId="77777777" w:rsidR="00B50935" w:rsidRPr="009017BC" w:rsidRDefault="00B50935" w:rsidP="00B50935">
      <w:pPr>
        <w:pStyle w:val="Point0"/>
      </w:pPr>
      <w:r w:rsidRPr="009017BC">
        <w:t>16.</w:t>
      </w:r>
      <w:r w:rsidRPr="009017BC">
        <w:tab/>
        <w:t xml:space="preserve">El artículo 14 se modifica como sigue: </w:t>
      </w:r>
    </w:p>
    <w:p w14:paraId="686C9088" w14:textId="77777777" w:rsidR="00B50935" w:rsidRPr="009017BC" w:rsidRDefault="00B50935" w:rsidP="00B50935">
      <w:pPr>
        <w:pStyle w:val="Point1"/>
      </w:pPr>
      <w:r w:rsidRPr="009017BC">
        <w:t>a)</w:t>
      </w:r>
      <w:r w:rsidRPr="009017BC">
        <w:tab/>
        <w:t xml:space="preserve">el párrafo tercero del apartado 2 se sustituye por el texto siguiente: </w:t>
      </w:r>
    </w:p>
    <w:p w14:paraId="27F19390" w14:textId="77777777" w:rsidR="00B50935" w:rsidRPr="009017BC" w:rsidRDefault="00B50935" w:rsidP="00B50935">
      <w:pPr>
        <w:pStyle w:val="Text2"/>
      </w:pPr>
      <w:r w:rsidRPr="009017BC">
        <w:t>«La duración del mandato de los miembros de la Junta directiva será de tres años, prorrogable.»;</w:t>
      </w:r>
    </w:p>
    <w:p w14:paraId="79B6D333" w14:textId="77777777" w:rsidR="00B50935" w:rsidRPr="009017BC" w:rsidRDefault="00B50935" w:rsidP="00B50935">
      <w:pPr>
        <w:pStyle w:val="Point1"/>
      </w:pPr>
      <w:r w:rsidRPr="009017BC">
        <w:t>b)</w:t>
      </w:r>
      <w:r w:rsidRPr="009017BC">
        <w:tab/>
        <w:t xml:space="preserve">en el apartado 5, las letras d), e) y f) se sustituyen por el texto siguiente: </w:t>
      </w:r>
    </w:p>
    <w:p w14:paraId="75D14E33" w14:textId="77777777" w:rsidR="00B50935" w:rsidRPr="009017BC" w:rsidRDefault="00B50935" w:rsidP="00B50935">
      <w:pPr>
        <w:pStyle w:val="Point2"/>
      </w:pPr>
      <w:r w:rsidRPr="009017BC">
        <w:t>«d)</w:t>
      </w:r>
      <w:r w:rsidRPr="009017BC">
        <w:tab/>
        <w:t xml:space="preserve">aprobará, antes del 31 de enero de cada año, el programa de trabajo del Centro para el año siguiente; </w:t>
      </w:r>
    </w:p>
    <w:p w14:paraId="79B1F256" w14:textId="0003FE5A" w:rsidR="00B50935" w:rsidRPr="009017BC" w:rsidRDefault="00B50935" w:rsidP="00B50935">
      <w:pPr>
        <w:pStyle w:val="Point2"/>
      </w:pPr>
      <w:r w:rsidRPr="009017BC">
        <w:t>e)</w:t>
      </w:r>
      <w:r w:rsidRPr="009017BC">
        <w:tab/>
        <w:t xml:space="preserve">aprobará un proyecto de documento único de programación de conformidad con el artículo 32 del Reglamento Delegado (UE) 2019/715 de la Comisión* y las directrices de la Comisión correspondientes para el documento único de programación**; </w:t>
      </w:r>
    </w:p>
    <w:p w14:paraId="3AAAB82A" w14:textId="77777777" w:rsidR="00B50935" w:rsidRPr="009017BC" w:rsidRDefault="00B50935" w:rsidP="00B50935">
      <w:pPr>
        <w:pStyle w:val="Point2"/>
      </w:pPr>
      <w:r w:rsidRPr="009017BC">
        <w:t>f)</w:t>
      </w:r>
      <w:r w:rsidRPr="009017BC">
        <w:tab/>
        <w:t xml:space="preserve">garantizará que el programa de trabajo del año siguiente y los programas plurianuales sean coherentes con las prioridades legislativas y políticas de la Unión en el ámbito de su misión y sus tareas, y sigan las recomendaciones adoptadas en el dictamen anual de la Comisión; </w:t>
      </w:r>
    </w:p>
    <w:p w14:paraId="426804E4" w14:textId="77777777" w:rsidR="00B50935" w:rsidRPr="009017BC" w:rsidRDefault="00B50935" w:rsidP="00B50935">
      <w:pPr>
        <w:pStyle w:val="Point2"/>
      </w:pPr>
      <w:r w:rsidRPr="009017BC">
        <w:t>g)</w:t>
      </w:r>
      <w:r w:rsidRPr="009017BC">
        <w:tab/>
        <w:t xml:space="preserve">antes del 30 de marzo de cada año, aprobará el informe general de actividad del Centro correspondiente al año anterior; </w:t>
      </w:r>
    </w:p>
    <w:p w14:paraId="2B906C4E" w14:textId="77777777" w:rsidR="00B50935" w:rsidRPr="009017BC" w:rsidRDefault="00B50935" w:rsidP="00B50935">
      <w:pPr>
        <w:pStyle w:val="Point2"/>
        <w:rPr>
          <w:sz w:val="22"/>
        </w:rPr>
      </w:pPr>
      <w:r w:rsidRPr="009017BC">
        <w:t>h)</w:t>
      </w:r>
      <w:r w:rsidRPr="009017BC">
        <w:tab/>
        <w:t xml:space="preserve">aprobará, previa consulta a la Comisión, la normativa financiera aplicable al Centro; </w:t>
      </w:r>
    </w:p>
    <w:p w14:paraId="5E97BF21" w14:textId="77777777" w:rsidR="00B50935" w:rsidRPr="009017BC" w:rsidRDefault="00B50935" w:rsidP="00B50935">
      <w:pPr>
        <w:pStyle w:val="Point2"/>
      </w:pPr>
      <w:r w:rsidRPr="009017BC">
        <w:t>i)</w:t>
      </w:r>
      <w:r w:rsidRPr="009017BC">
        <w:tab/>
        <w:t>determinará las normas que rigen las lenguas del Centro, incluida la posibilidad de realizar una distinción entre los trabajos internos del Centro y la comunicación exterior, teniendo en cuenta la necesidad de asegurar el acceso al trabajo del Centro por todas las partes interesadas en ambos casos y la participación en el mismo.</w:t>
      </w:r>
    </w:p>
    <w:p w14:paraId="7E8C4A2C" w14:textId="344176FF" w:rsidR="00B50935" w:rsidRPr="009017BC" w:rsidRDefault="00B50935" w:rsidP="00B50935">
      <w:pPr>
        <w:pStyle w:val="Text3"/>
      </w:pPr>
      <w:r w:rsidRPr="009017BC">
        <w:t>La normativa financiera aplicable al Centro contemplada en la letra h) del primer párrafo no podrá apartarse del Reglamento Delegado (UE) 2019/715 de la Comisión, a menos que así se exija específicamente para el funcionamiento del Centro y se cuente con el consentimiento previo de la Comisión.</w:t>
      </w:r>
    </w:p>
    <w:p w14:paraId="67067D7B" w14:textId="77777777" w:rsidR="00B50935" w:rsidRPr="009017BC" w:rsidRDefault="00B50935" w:rsidP="00B50935">
      <w:pPr>
        <w:pStyle w:val="Text3"/>
      </w:pPr>
      <w:r w:rsidRPr="009017BC">
        <w:t>________________</w:t>
      </w:r>
    </w:p>
    <w:p w14:paraId="7F08CF7E" w14:textId="77777777" w:rsidR="00B50935" w:rsidRPr="009017BC" w:rsidRDefault="00B50935" w:rsidP="00B50935">
      <w:pPr>
        <w:pStyle w:val="Point3"/>
        <w:rPr>
          <w:sz w:val="22"/>
        </w:rPr>
      </w:pPr>
      <w:r w:rsidRPr="009017BC">
        <w:t>*</w:t>
      </w:r>
      <w:r w:rsidRPr="009017BC">
        <w:tab/>
        <w:t>Reglamento Delegado (UE) 2019/715 de la Comisión, de 18 de diciembre de 2018, relativo al Reglamento Financiero marco de los organismos creados en virtud del TFUE y el Tratado Euratom y a los que se refiere el artículo 70 del Reglamento (UE, Euratom) 2018/1046 del Parlamento Europeo y del Consejo (DO L 122 de 10.5.2019, p. 1).».</w:t>
      </w:r>
    </w:p>
    <w:p w14:paraId="100CFFA0" w14:textId="77777777" w:rsidR="00B50935" w:rsidRPr="009017BC" w:rsidRDefault="00B50935" w:rsidP="00B50935">
      <w:pPr>
        <w:pStyle w:val="Point0"/>
      </w:pPr>
      <w:r w:rsidRPr="009017BC">
        <w:t>17.</w:t>
      </w:r>
      <w:r w:rsidRPr="009017BC">
        <w:tab/>
        <w:t>En el artículo 16, apartado 2, la letra b) se sustituye por el texto siguiente:</w:t>
      </w:r>
    </w:p>
    <w:p w14:paraId="5DB75180" w14:textId="77777777" w:rsidR="00B50935" w:rsidRPr="009017BC" w:rsidRDefault="00B50935" w:rsidP="00B50935">
      <w:pPr>
        <w:pStyle w:val="Point1"/>
      </w:pPr>
      <w:r w:rsidRPr="009017BC">
        <w:t>«b)</w:t>
      </w:r>
      <w:r w:rsidRPr="009017BC">
        <w:tab/>
        <w:t>la elaboración de los proyectos de programas de trabajo teniendo en cuenta las recomendaciones adoptadas en el dictamen anual de la Comisión sobre el documento único de programación;».</w:t>
      </w:r>
    </w:p>
    <w:p w14:paraId="5CBE7410" w14:textId="4E7EE63C" w:rsidR="00B50935" w:rsidRPr="009017BC" w:rsidRDefault="00B50935" w:rsidP="00B50935">
      <w:pPr>
        <w:pStyle w:val="Point0"/>
      </w:pPr>
      <w:r w:rsidRPr="009017BC">
        <w:t>18.</w:t>
      </w:r>
      <w:r w:rsidRPr="009017BC">
        <w:tab/>
        <w:t>El artículo 17 se sustituye por el texto siguiente:</w:t>
      </w:r>
    </w:p>
    <w:p w14:paraId="11777E7B" w14:textId="57499ECA" w:rsidR="00B50935" w:rsidRPr="009017BC" w:rsidRDefault="00C74CC6" w:rsidP="00C74CC6">
      <w:pPr>
        <w:pStyle w:val="Point1"/>
      </w:pPr>
      <w:r w:rsidRPr="009017BC">
        <w:t>«1.</w:t>
      </w:r>
      <w:r w:rsidRPr="009017BC">
        <w:tab/>
        <w:t xml:space="preserve">Sin perjuicio de lo dispuesto en el artículo 3, apartado 2, el Director será nombrado por la Junta directiva a partir de una lista de candidatos propuesta por la Comisión tras celebrarse un procedimiento competitivo abierto, previa publicación en el </w:t>
      </w:r>
      <w:r w:rsidRPr="009017BC">
        <w:rPr>
          <w:i/>
        </w:rPr>
        <w:t>Diario Oficial de la Unión Europea</w:t>
      </w:r>
      <w:r w:rsidRPr="009017BC">
        <w:t xml:space="preserve"> y en otros medios de comunicación de una convocatoria de manifestaciones de interés, por un período de cinco años, que podrá prorrogarse por un solo período que no exceda de cinco años.». </w:t>
      </w:r>
    </w:p>
    <w:p w14:paraId="303BE10B" w14:textId="77777777" w:rsidR="00B50935" w:rsidRPr="009017BC" w:rsidRDefault="00B50935" w:rsidP="00B50935">
      <w:pPr>
        <w:pStyle w:val="Point0"/>
      </w:pPr>
      <w:r w:rsidRPr="009017BC">
        <w:t>19.</w:t>
      </w:r>
      <w:r w:rsidRPr="009017BC">
        <w:tab/>
        <w:t>El artículo 18 se modifica como sigue:</w:t>
      </w:r>
    </w:p>
    <w:p w14:paraId="04352ADB" w14:textId="77777777" w:rsidR="00B50935" w:rsidRPr="009017BC" w:rsidRDefault="00B50935" w:rsidP="00B50935">
      <w:pPr>
        <w:pStyle w:val="Point1"/>
      </w:pPr>
      <w:r w:rsidRPr="009017BC">
        <w:t>a)</w:t>
      </w:r>
      <w:r w:rsidRPr="009017BC">
        <w:tab/>
        <w:t>el apartado 2 se sustituye por el texto siguiente:</w:t>
      </w:r>
    </w:p>
    <w:p w14:paraId="06B9CE75" w14:textId="77777777" w:rsidR="00B50935" w:rsidRPr="009017BC" w:rsidRDefault="00B50935" w:rsidP="00B50935">
      <w:pPr>
        <w:pStyle w:val="Point2"/>
      </w:pPr>
      <w:r w:rsidRPr="009017BC">
        <w:t>«2.</w:t>
      </w:r>
      <w:r w:rsidRPr="009017BC">
        <w:tab/>
        <w:t>Los miembros del Foro consultivo no podrán ser miembros de la Junta directiva. La duración del mandato de los miembros del Foro consultivo será de tres años, prorrogable.»;</w:t>
      </w:r>
    </w:p>
    <w:p w14:paraId="21320924" w14:textId="77777777" w:rsidR="00B50935" w:rsidRPr="009017BC" w:rsidRDefault="00B50935" w:rsidP="00B50935">
      <w:pPr>
        <w:pStyle w:val="Point1"/>
      </w:pPr>
      <w:r w:rsidRPr="009017BC">
        <w:t>b)</w:t>
      </w:r>
      <w:r w:rsidRPr="009017BC">
        <w:tab/>
        <w:t>en el apartado 4, la letra f) se sustituye por el texto siguiente:</w:t>
      </w:r>
    </w:p>
    <w:p w14:paraId="17956B1E" w14:textId="77777777" w:rsidR="00B50935" w:rsidRPr="009017BC" w:rsidRDefault="00B50935" w:rsidP="00B50935">
      <w:pPr>
        <w:pStyle w:val="Point2"/>
      </w:pPr>
      <w:r w:rsidRPr="009017BC">
        <w:t>«f)</w:t>
      </w:r>
      <w:r w:rsidRPr="009017BC">
        <w:tab/>
        <w:t>en las prioridades científicas y en materia de salud pública que se abordarán en el programa de trabajo; y</w:t>
      </w:r>
    </w:p>
    <w:p w14:paraId="5A3B2AD9" w14:textId="77777777" w:rsidR="00B50935" w:rsidRPr="009017BC" w:rsidRDefault="00B50935" w:rsidP="00B50935">
      <w:pPr>
        <w:pStyle w:val="Point2"/>
      </w:pPr>
      <w:r w:rsidRPr="009017BC">
        <w:t>g)</w:t>
      </w:r>
      <w:r w:rsidRPr="009017BC">
        <w:tab/>
        <w:t>en las publicaciones clave en preparación por el Centro, como los estudios de previsión.»;</w:t>
      </w:r>
    </w:p>
    <w:p w14:paraId="2AE7B594" w14:textId="77777777" w:rsidR="00B50935" w:rsidRPr="009017BC" w:rsidRDefault="00B50935" w:rsidP="00B50935">
      <w:pPr>
        <w:pStyle w:val="Point1"/>
      </w:pPr>
      <w:r w:rsidRPr="009017BC">
        <w:t>c)</w:t>
      </w:r>
      <w:r w:rsidRPr="009017BC">
        <w:tab/>
        <w:t>el apartado 8 se sustituye por el texto siguiente:</w:t>
      </w:r>
    </w:p>
    <w:p w14:paraId="162DB414" w14:textId="77777777" w:rsidR="00B50935" w:rsidRPr="009017BC" w:rsidRDefault="00B50935" w:rsidP="00B50935">
      <w:pPr>
        <w:pStyle w:val="Point2"/>
      </w:pPr>
      <w:r w:rsidRPr="009017BC">
        <w:t>«8.</w:t>
      </w:r>
      <w:r w:rsidRPr="009017BC">
        <w:tab/>
        <w:t>El Director podrá invitar a expertos o representantes de organismos profesionales o científicos o de organizaciones no gubernamentales con una experiencia reconocida en disciplinas relacionadas con la labor del Centro a cooperar en tareas específicas y a participar en las actividades pertinentes del Foro consultivo. Además, en casos especiales, el Director podrá invitar a expertos o representantes de organismos profesionales o científicos, o a organizaciones no gubernamentales, a propuesta de la Comisión.».</w:t>
      </w:r>
    </w:p>
    <w:p w14:paraId="7262176A" w14:textId="77777777" w:rsidR="00B50935" w:rsidRPr="009017BC" w:rsidRDefault="00B50935" w:rsidP="00B50935">
      <w:pPr>
        <w:pStyle w:val="Point0"/>
      </w:pPr>
      <w:r w:rsidRPr="009017BC">
        <w:t>20.</w:t>
      </w:r>
      <w:r w:rsidRPr="009017BC">
        <w:tab/>
        <w:t xml:space="preserve">En el artículo 20, el apartado 3 se sustituye por el texto siguiente: </w:t>
      </w:r>
    </w:p>
    <w:p w14:paraId="38292788" w14:textId="77777777" w:rsidR="00B50935" w:rsidRPr="009017BC" w:rsidRDefault="00B50935" w:rsidP="00B50935">
      <w:pPr>
        <w:pStyle w:val="Point1"/>
      </w:pPr>
      <w:r w:rsidRPr="009017BC">
        <w:t>«3.</w:t>
      </w:r>
      <w:r w:rsidRPr="009017BC">
        <w:tab/>
        <w:t>Las decisiones adoptadas por el Centro en virtud del artículo 8 del Reglamento (CE) n.º 1049/2001 podrán dar lugar a la presentación de una reclamación al Defensor del Pueblo Europeo o a la interposición de un recurso ante el Tribunal de Justicia de la Unión Europea (“el Tribunal de Justicia”), en las condiciones establecidas en los artículos 228 y 230 del TFUE, respectivamente.».</w:t>
      </w:r>
    </w:p>
    <w:p w14:paraId="1DDE6726" w14:textId="77777777" w:rsidR="00B50935" w:rsidRPr="009017BC" w:rsidRDefault="00B50935" w:rsidP="00B50935">
      <w:pPr>
        <w:pStyle w:val="Point0"/>
        <w:rPr>
          <w:b/>
        </w:rPr>
      </w:pPr>
      <w:r w:rsidRPr="009017BC">
        <w:t>21.</w:t>
      </w:r>
      <w:r w:rsidRPr="009017BC">
        <w:tab/>
        <w:t>El artículo 21 se sustituye por el texto siguiente:</w:t>
      </w:r>
    </w:p>
    <w:p w14:paraId="7827CF01" w14:textId="77777777" w:rsidR="00B50935" w:rsidRPr="009017BC" w:rsidRDefault="00B50935" w:rsidP="00B50935">
      <w:pPr>
        <w:pStyle w:val="Titrearticle"/>
        <w:rPr>
          <w:iCs/>
        </w:rPr>
      </w:pPr>
      <w:r w:rsidRPr="009017BC">
        <w:t>«Artículo 21</w:t>
      </w:r>
    </w:p>
    <w:p w14:paraId="2A3D4E07" w14:textId="77777777" w:rsidR="00B50935" w:rsidRPr="009017BC" w:rsidRDefault="00B50935" w:rsidP="00B50935">
      <w:pPr>
        <w:jc w:val="center"/>
        <w:rPr>
          <w:b/>
        </w:rPr>
      </w:pPr>
      <w:r w:rsidRPr="009017BC">
        <w:rPr>
          <w:b/>
        </w:rPr>
        <w:t>Secreto profesional y confidencialidad</w:t>
      </w:r>
    </w:p>
    <w:p w14:paraId="0CE73558" w14:textId="77777777" w:rsidR="00B50935" w:rsidRPr="009017BC" w:rsidRDefault="00B50935" w:rsidP="00B50935">
      <w:pPr>
        <w:pStyle w:val="Point1"/>
      </w:pPr>
      <w:r w:rsidRPr="009017BC">
        <w:t>1.</w:t>
      </w:r>
      <w:r w:rsidRPr="009017BC">
        <w:tab/>
        <w:t>Sin perjuicio de lo dispuesto en el artículo 20, el Centro no revelará a terceras partes la información que reciba para la que se haya solicitado y justificado un tratamiento confidencial, salvo que las circunstancias exijan que deba hacerse pública para proteger la salud pública. Cuando la información confidencial haya sido presentada por un Estado miembro, dicha información no podrá ser revelada sin la autorización previa del mismo.</w:t>
      </w:r>
    </w:p>
    <w:p w14:paraId="1CF6196F" w14:textId="09AD8BAF" w:rsidR="00B50935" w:rsidRPr="009017BC" w:rsidRDefault="00B50935" w:rsidP="00B50935">
      <w:pPr>
        <w:pStyle w:val="Text2"/>
      </w:pPr>
      <w:r w:rsidRPr="009017BC">
        <w:t>Las normas de seguridad de la Comisión para la protección de la información clasificada de la Unión, establecidas en las Decisiones (UE, Euratom) 2015/443* y (UE, Euratom) 2015/444** de la Comisión, se aplicarán al trabajo del Centro y a su personal.</w:t>
      </w:r>
    </w:p>
    <w:p w14:paraId="283A6E19" w14:textId="77777777" w:rsidR="00B50935" w:rsidRPr="009017BC" w:rsidRDefault="00B50935" w:rsidP="00B50935">
      <w:pPr>
        <w:pStyle w:val="Point1"/>
      </w:pPr>
      <w:r w:rsidRPr="009017BC">
        <w:t>2.</w:t>
      </w:r>
      <w:r w:rsidRPr="009017BC">
        <w:tab/>
        <w:t xml:space="preserve">Los miembros de la Junta directiva, el Director, los miembros del Foro consultivo, así como los expertos externos que participen en las comisiones científicas y los miembros del personal del Centro, estarán sujetos, incluso después de haber cesado en sus funciones, a la obligación de secreto profesional establecida en el artículo 339 del TFUE. </w:t>
      </w:r>
    </w:p>
    <w:p w14:paraId="649E8674" w14:textId="77777777" w:rsidR="00B50935" w:rsidRPr="009017BC" w:rsidRDefault="00B50935" w:rsidP="00B50935">
      <w:pPr>
        <w:pStyle w:val="Point1"/>
      </w:pPr>
      <w:r w:rsidRPr="009017BC">
        <w:t>3.</w:t>
      </w:r>
      <w:r w:rsidRPr="009017BC">
        <w:tab/>
        <w:t>En ningún caso se mantendrán en secreto las conclusiones de los dictámenes científicos emitidos por el Centro en relación con efectos previsibles sobre la salud.</w:t>
      </w:r>
    </w:p>
    <w:p w14:paraId="3098F405" w14:textId="77777777" w:rsidR="00B50935" w:rsidRPr="009017BC" w:rsidRDefault="00B50935" w:rsidP="00B50935">
      <w:pPr>
        <w:pStyle w:val="Point1"/>
      </w:pPr>
      <w:r w:rsidRPr="009017BC">
        <w:t>4.</w:t>
      </w:r>
      <w:r w:rsidRPr="009017BC">
        <w:tab/>
        <w:t xml:space="preserve">El Centro establecerá en sus estatutos las disposiciones prácticas necesarias para la aplicación de las normas de confidencialidad contempladas en los apartados 1 y 2. </w:t>
      </w:r>
    </w:p>
    <w:p w14:paraId="76D64286" w14:textId="42B44DCF" w:rsidR="00B50935" w:rsidRPr="009017BC" w:rsidRDefault="00B50935" w:rsidP="00B50935">
      <w:pPr>
        <w:pStyle w:val="Point1"/>
      </w:pPr>
      <w:r w:rsidRPr="009017BC">
        <w:t>5.</w:t>
      </w:r>
      <w:r w:rsidRPr="009017BC">
        <w:tab/>
        <w:t xml:space="preserve">El Centro adoptará todas las medidas necesarias para facilitar el intercambio de información pertinente para sus tareas con la Comisión, los Estados miembros y, en su caso, otras instituciones de la Unión, y con los órganos y organismos de la Unión y las organizaciones internacionales y terceros países, de conformidad con los acuerdos de trabajo adecuados establecidos con la Comisión. </w:t>
      </w:r>
    </w:p>
    <w:p w14:paraId="14C2FF4D" w14:textId="77777777" w:rsidR="00B50935" w:rsidRPr="009017BC" w:rsidRDefault="00B50935" w:rsidP="00B50935">
      <w:pPr>
        <w:pStyle w:val="Point1"/>
      </w:pPr>
      <w:r w:rsidRPr="009017BC">
        <w:t>6.</w:t>
      </w:r>
      <w:r w:rsidRPr="009017BC">
        <w:tab/>
        <w:t xml:space="preserve">El Centro desarrollará, desplegará y gestionará un sistema de información capaz de intercambiar información clasificada e información sensible no clasificada como se especifica en el presente artículo. </w:t>
      </w:r>
    </w:p>
    <w:p w14:paraId="17C8E0C0" w14:textId="77777777" w:rsidR="00B50935" w:rsidRPr="009017BC" w:rsidRDefault="00B50935" w:rsidP="00B50935">
      <w:pPr>
        <w:pStyle w:val="Text1"/>
      </w:pPr>
      <w:r w:rsidRPr="009017BC">
        <w:t>__________________</w:t>
      </w:r>
    </w:p>
    <w:p w14:paraId="1062ECEF" w14:textId="77777777" w:rsidR="00B50935" w:rsidRPr="009017BC" w:rsidRDefault="00B50935" w:rsidP="00B50935">
      <w:pPr>
        <w:pStyle w:val="Point1"/>
      </w:pPr>
      <w:r w:rsidRPr="009017BC">
        <w:t>*</w:t>
      </w:r>
      <w:r w:rsidRPr="009017BC">
        <w:tab/>
        <w:t>Decisión (UE, Euratom) 2015/443 de la Comisión, de 13 de marzo de 2015, sobre la seguridad en la Comisión (DO L 72 de 17.3.2015, p. 41).</w:t>
      </w:r>
    </w:p>
    <w:p w14:paraId="3E2855BB" w14:textId="77777777" w:rsidR="00B50935" w:rsidRPr="009017BC" w:rsidRDefault="00B50935" w:rsidP="00B50935">
      <w:pPr>
        <w:pStyle w:val="Point1"/>
      </w:pPr>
      <w:r w:rsidRPr="009017BC">
        <w:t>**</w:t>
      </w:r>
      <w:r w:rsidRPr="009017BC">
        <w:tab/>
        <w:t>Decisión (UE, Euratom) 2015/444 de la Comisión, de 13 de marzo de 2015, sobre las normas de seguridad para la protección de la información clasificada de la UE (DO L 72 de 17.3.2015, p. 53).».</w:t>
      </w:r>
    </w:p>
    <w:p w14:paraId="2C6DB6A9" w14:textId="77777777" w:rsidR="00B50935" w:rsidRPr="009017BC" w:rsidRDefault="00B50935" w:rsidP="00B50935">
      <w:pPr>
        <w:pStyle w:val="Point0"/>
      </w:pPr>
      <w:r w:rsidRPr="009017BC">
        <w:t>22.</w:t>
      </w:r>
      <w:r w:rsidRPr="009017BC">
        <w:tab/>
        <w:t>El artículo 22 se modifica como sigue:</w:t>
      </w:r>
    </w:p>
    <w:p w14:paraId="08052F10" w14:textId="77777777" w:rsidR="00B50935" w:rsidRPr="009017BC" w:rsidRDefault="00B50935" w:rsidP="00B50935">
      <w:pPr>
        <w:pStyle w:val="Point1"/>
      </w:pPr>
      <w:r w:rsidRPr="009017BC">
        <w:t>a)</w:t>
      </w:r>
      <w:r w:rsidRPr="009017BC">
        <w:tab/>
        <w:t>en el apartado 3, la letra d) se sustituye por el texto siguiente:</w:t>
      </w:r>
    </w:p>
    <w:p w14:paraId="49EB3F18" w14:textId="77777777" w:rsidR="00B50935" w:rsidRPr="009017BC" w:rsidRDefault="00B50935" w:rsidP="00B50935">
      <w:pPr>
        <w:pStyle w:val="Point2"/>
      </w:pPr>
      <w:r w:rsidRPr="009017BC">
        <w:t>«d)</w:t>
      </w:r>
      <w:r w:rsidRPr="009017BC">
        <w:tab/>
        <w:t>cualquier contribución voluntaria de los Estados miembros; y</w:t>
      </w:r>
    </w:p>
    <w:p w14:paraId="60E06418" w14:textId="77777777" w:rsidR="00B50935" w:rsidRPr="009017BC" w:rsidRDefault="00B50935" w:rsidP="00B50935">
      <w:pPr>
        <w:pStyle w:val="Point2"/>
      </w:pPr>
      <w:r w:rsidRPr="009017BC">
        <w:t>e)</w:t>
      </w:r>
      <w:r w:rsidRPr="009017BC">
        <w:tab/>
        <w:t>los ingresos procedentes de convenios de contribución o convenios de subvención celebrados excepcionalmente entre la Comisión y el Centro.»;</w:t>
      </w:r>
    </w:p>
    <w:p w14:paraId="1B6CC789" w14:textId="77777777" w:rsidR="00B50935" w:rsidRPr="009017BC" w:rsidRDefault="00B50935" w:rsidP="00B50935">
      <w:pPr>
        <w:pStyle w:val="Point1"/>
      </w:pPr>
      <w:r w:rsidRPr="009017BC">
        <w:t>b)</w:t>
      </w:r>
      <w:r w:rsidRPr="009017BC">
        <w:tab/>
        <w:t>se inserta el apartado 3 </w:t>
      </w:r>
      <w:r w:rsidRPr="009017BC">
        <w:rPr>
          <w:i/>
          <w:iCs/>
        </w:rPr>
        <w:t>bis</w:t>
      </w:r>
      <w:r w:rsidRPr="009017BC">
        <w:t xml:space="preserve"> siguiente:</w:t>
      </w:r>
    </w:p>
    <w:p w14:paraId="372F8BF1" w14:textId="1A19C7B5" w:rsidR="00B50935" w:rsidRPr="009017BC" w:rsidRDefault="00B50935" w:rsidP="00B50935">
      <w:pPr>
        <w:pStyle w:val="Point2"/>
      </w:pPr>
      <w:r w:rsidRPr="009017BC">
        <w:t>«3 </w:t>
      </w:r>
      <w:r w:rsidRPr="009017BC">
        <w:rPr>
          <w:i/>
          <w:iCs/>
        </w:rPr>
        <w:t>bis</w:t>
      </w:r>
      <w:r w:rsidRPr="009017BC">
        <w:tab/>
        <w:t xml:space="preserve">Se podrá conceder al Centro financiación con cargo al presupuesto de la Unión para los costes en que incurra durante la ejecución de su programa de trabajo que se hayan establecido con arreglo a los objetivos y las prioridades de los programas de trabajo aprobados por la Comisión de conformidad con el </w:t>
      </w:r>
      <w:r w:rsidRPr="009017BC">
        <w:rPr>
          <w:color w:val="FF0000"/>
        </w:rPr>
        <w:t>Reglamento (UE).../... del Parlamento Europeo y del Consejo*</w:t>
      </w:r>
      <w:r w:rsidRPr="009017BC">
        <w:t>, y de los programas de investigación e innovación de la UE. Esta financiación no cubrirá los gastos ya cubiertos por el presupuesto general de la Unión Europea o por cualquier otro recurso del Centro definido en el apartado 3 del presente artículo.»;</w:t>
      </w:r>
    </w:p>
    <w:p w14:paraId="361866BB" w14:textId="77777777" w:rsidR="00B50935" w:rsidRPr="009017BC" w:rsidRDefault="00B50935" w:rsidP="00B50935">
      <w:pPr>
        <w:pStyle w:val="Point1"/>
      </w:pPr>
      <w:r w:rsidRPr="009017BC">
        <w:t>c)</w:t>
      </w:r>
      <w:r w:rsidRPr="009017BC">
        <w:tab/>
        <w:t>el apartado 5 se sustituye por el texto siguiente:</w:t>
      </w:r>
    </w:p>
    <w:p w14:paraId="6129E707" w14:textId="42B7F798" w:rsidR="00B50935" w:rsidRPr="009017BC" w:rsidRDefault="00B50935" w:rsidP="00B50935">
      <w:pPr>
        <w:pStyle w:val="Point2"/>
      </w:pPr>
      <w:r w:rsidRPr="009017BC">
        <w:t>«5.</w:t>
      </w:r>
      <w:r w:rsidRPr="009017BC">
        <w:tab/>
        <w:t>Cada año, sobre la base de un proyecto elaborado por el Director, la Junta directiva adoptará el estado de previsiones de los ingresos y gastos del Centro para el ejercicio presupuestario siguiente. Este estado de previsiones, en el que figurará un proyecto de plantilla de personal, se incluirá en el proyecto de documento único de programación. De conformidad con el artículo 40 del Reglamento (UE, Euratom) 2018/1046 del Parlamento Europeo y del Consejo**, a más tardar el 31 de enero de cada año el Centro enviará al Parlamento Europeo, al Consejo y a la Comisión su proyecto de documento único de programación, refrendado por la Junta directiva.»;</w:t>
      </w:r>
    </w:p>
    <w:p w14:paraId="1F90E23E" w14:textId="77777777" w:rsidR="00B50935" w:rsidRPr="009017BC" w:rsidRDefault="00B50935" w:rsidP="00B50935">
      <w:pPr>
        <w:pStyle w:val="Point1"/>
      </w:pPr>
      <w:r w:rsidRPr="009017BC">
        <w:t>d)</w:t>
      </w:r>
      <w:r w:rsidRPr="009017BC">
        <w:tab/>
        <w:t>el apartado 7 se sustituye por el texto siguiente:</w:t>
      </w:r>
    </w:p>
    <w:p w14:paraId="1444312E" w14:textId="77777777" w:rsidR="00B50935" w:rsidRPr="009017BC" w:rsidRDefault="00B50935" w:rsidP="00B50935">
      <w:pPr>
        <w:pStyle w:val="Point2"/>
      </w:pPr>
      <w:r w:rsidRPr="009017BC">
        <w:t>«7.</w:t>
      </w:r>
      <w:r w:rsidRPr="009017BC">
        <w:tab/>
        <w:t>Tomando como base este estado de previsiones, la Comisión consignará en el anteproyecto de presupuesto general de la Unión las estimaciones que considere necesarias para la plantilla de personal y el importe de la subvención imputable al presupuesto general, que presentará a la Autoridad Presupuestaria de conformidad con el artículo 314 del TFUE.</w:t>
      </w:r>
    </w:p>
    <w:p w14:paraId="171F5E39" w14:textId="77777777" w:rsidR="00B50935" w:rsidRPr="009017BC" w:rsidRDefault="00B50935" w:rsidP="00B50935">
      <w:pPr>
        <w:pStyle w:val="Text1"/>
      </w:pPr>
      <w:r w:rsidRPr="009017BC">
        <w:t>________________________</w:t>
      </w:r>
    </w:p>
    <w:p w14:paraId="296E6023" w14:textId="77777777" w:rsidR="00B50935" w:rsidRPr="009017BC" w:rsidRDefault="00B50935" w:rsidP="00B50935">
      <w:pPr>
        <w:pStyle w:val="Point1"/>
      </w:pPr>
      <w:r w:rsidRPr="009017BC">
        <w:t>*</w:t>
      </w:r>
      <w:r w:rsidRPr="009017BC">
        <w:tab/>
        <w:t>Reglamento (UE) …/… del Parlamento Europeo y del Consejo, de ..., relativo a la creación de un programa de acción de la Unión en el ámbito de la salud para el período 2021-2027 y por el que se deroga el Reglamento (UE) n.º 282/2014 (Programa “La UE por la Salud”) (DO ...).</w:t>
      </w:r>
    </w:p>
    <w:p w14:paraId="0A6AF7BC" w14:textId="7FF2BFD0" w:rsidR="00B50935" w:rsidRPr="009017BC" w:rsidRDefault="00B50935" w:rsidP="00B50935">
      <w:pPr>
        <w:pStyle w:val="Point1"/>
      </w:pPr>
      <w:r w:rsidRPr="009017BC">
        <w:t>**</w:t>
      </w:r>
      <w:r w:rsidRPr="009017BC">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(DO L 193 de 30.7.2018, p. 1).».</w:t>
      </w:r>
    </w:p>
    <w:p w14:paraId="44AE92AE" w14:textId="77777777" w:rsidR="00B50935" w:rsidRPr="009017BC" w:rsidRDefault="00B50935" w:rsidP="00B50935">
      <w:pPr>
        <w:pStyle w:val="Point0"/>
      </w:pPr>
      <w:r w:rsidRPr="009017BC">
        <w:t>23.</w:t>
      </w:r>
      <w:r w:rsidRPr="009017BC">
        <w:tab/>
        <w:t>El artículo 23 se modifica como sigue:</w:t>
      </w:r>
    </w:p>
    <w:p w14:paraId="783DFD91" w14:textId="77777777" w:rsidR="00B50935" w:rsidRPr="009017BC" w:rsidRDefault="00B50935" w:rsidP="00B50935">
      <w:pPr>
        <w:pStyle w:val="Point1"/>
      </w:pPr>
      <w:r w:rsidRPr="009017BC">
        <w:t>a)</w:t>
      </w:r>
      <w:r w:rsidRPr="009017BC">
        <w:tab/>
        <w:t>el apartado 2 se sustituye por el texto siguiente:</w:t>
      </w:r>
    </w:p>
    <w:p w14:paraId="7D359424" w14:textId="77777777" w:rsidR="00B50935" w:rsidRPr="009017BC" w:rsidRDefault="00B50935" w:rsidP="00B50935">
      <w:pPr>
        <w:pStyle w:val="Point2"/>
      </w:pPr>
      <w:r w:rsidRPr="009017BC">
        <w:t>«2.</w:t>
      </w:r>
      <w:r w:rsidRPr="009017BC">
        <w:tab/>
        <w:t>El contable del Centro remitirá al contable de la Comisión, a más tardar el 1 de marzo siguiente al cierre del ejercicio, las cuentas provisionales, junto con un informe sobre la gestión presupuestaria y financiera del ejercicio. El contable de la Comisión procederá a la consolidación de las cuentas provisionales de las instituciones y los organismos descentralizados de conformidad con el artículo 245 del Reglamento (UE, Euratom) 2018/1046.»;</w:t>
      </w:r>
    </w:p>
    <w:p w14:paraId="0B811BA6" w14:textId="77777777" w:rsidR="00B50935" w:rsidRPr="009017BC" w:rsidRDefault="00B50935" w:rsidP="00B50935">
      <w:pPr>
        <w:pStyle w:val="Point1"/>
      </w:pPr>
      <w:r w:rsidRPr="009017BC">
        <w:t>b)</w:t>
      </w:r>
      <w:r w:rsidRPr="009017BC">
        <w:tab/>
        <w:t>el apartado 4 se sustituye por el texto siguiente:</w:t>
      </w:r>
    </w:p>
    <w:p w14:paraId="730E5870" w14:textId="1A34F05E" w:rsidR="00B50935" w:rsidRPr="009017BC" w:rsidRDefault="00B50935" w:rsidP="00B50935">
      <w:pPr>
        <w:pStyle w:val="Point2"/>
      </w:pPr>
      <w:r w:rsidRPr="009017BC">
        <w:t>«4.</w:t>
      </w:r>
      <w:r w:rsidRPr="009017BC">
        <w:tab/>
        <w:t>Tras la recepción de las observaciones formuladas por el Tribunal de Cuentas sobre las cuentas provisionales del Centro, y conforme al artículo 246 del Reglamento (UE, Euratom) n.º 2018/1046, el Director elaborará las cuentas definitivas del Centro bajo su propia responsabilidad y las remitirá para dictamen a la Junta directiva.</w:t>
      </w:r>
    </w:p>
    <w:p w14:paraId="0863B62E" w14:textId="4CD2DADF" w:rsidR="00B50935" w:rsidRPr="009017BC" w:rsidRDefault="00B50935" w:rsidP="00B50935">
      <w:pPr>
        <w:pStyle w:val="Text3"/>
      </w:pPr>
      <w:r w:rsidRPr="009017BC">
        <w:t>El Centro informará sin demora a la Comisión de los casos de presunto fraude y otras irregularidades financieras, de cualquier investigación finalizada o en curso por parte de la Fiscalía Europea o de la Oficina Europea de Lucha contra el Fraude (OLAF), y de cualquier auditoría o control por parte del Tribunal de Cuentas o del Servicio de Auditoría Interna (SAI), sin poner en peligro la confidencialidad de las investigaciones.»;</w:t>
      </w:r>
    </w:p>
    <w:p w14:paraId="7450AEFE" w14:textId="77777777" w:rsidR="00B50935" w:rsidRPr="009017BC" w:rsidRDefault="00B50935" w:rsidP="00B50935">
      <w:pPr>
        <w:pStyle w:val="Point1"/>
      </w:pPr>
      <w:r w:rsidRPr="009017BC">
        <w:t>c)</w:t>
      </w:r>
      <w:r w:rsidRPr="009017BC">
        <w:tab/>
        <w:t>los apartados 8 y 9 se sustituyen por el texto siguiente:</w:t>
      </w:r>
    </w:p>
    <w:p w14:paraId="56562D86" w14:textId="77777777" w:rsidR="00B50935" w:rsidRPr="009017BC" w:rsidRDefault="00B50935" w:rsidP="00B50935">
      <w:pPr>
        <w:pStyle w:val="Point2"/>
      </w:pPr>
      <w:r w:rsidRPr="009017BC">
        <w:t>«8.</w:t>
      </w:r>
      <w:r w:rsidRPr="009017BC">
        <w:tab/>
        <w:t>A más tardar el 30 de septiembre, el Director remitirá al Tribunal de Cuentas una respuesta a sus observaciones. El Director enviará asimismo esta respuesta a la Junta directiva y a la Comisión.</w:t>
      </w:r>
    </w:p>
    <w:p w14:paraId="431D5335" w14:textId="77777777" w:rsidR="00B50935" w:rsidRPr="009017BC" w:rsidRDefault="00B50935" w:rsidP="00B50935">
      <w:pPr>
        <w:pStyle w:val="Point2"/>
      </w:pPr>
      <w:r w:rsidRPr="009017BC">
        <w:t>9.</w:t>
      </w:r>
      <w:r w:rsidRPr="009017BC">
        <w:tab/>
        <w:t>El Director presentará al Parlamento Europeo, a instancias de este, toda la información necesaria para el correcto desenvolvimiento del procedimiento de aprobación de la gestión presupuestaria del ejercicio de que se trate, tal como se prevé en el artículo 261, apartado 3, del Reglamento (UE, Euratom) 2018/1046.».</w:t>
      </w:r>
    </w:p>
    <w:p w14:paraId="570DF6D0" w14:textId="77777777" w:rsidR="00B50935" w:rsidRPr="009017BC" w:rsidRDefault="00B50935" w:rsidP="00B50935">
      <w:pPr>
        <w:pStyle w:val="Point0"/>
      </w:pPr>
      <w:r w:rsidRPr="009017BC">
        <w:t>24.</w:t>
      </w:r>
      <w:r w:rsidRPr="009017BC">
        <w:tab/>
        <w:t xml:space="preserve">El artículo 25 se modifica como sigue: </w:t>
      </w:r>
    </w:p>
    <w:p w14:paraId="4DC26C3E" w14:textId="77777777" w:rsidR="00B50935" w:rsidRPr="009017BC" w:rsidRDefault="00B50935" w:rsidP="00B50935">
      <w:pPr>
        <w:pStyle w:val="Point1"/>
      </w:pPr>
      <w:r w:rsidRPr="009017BC">
        <w:t>a)</w:t>
      </w:r>
      <w:r w:rsidRPr="009017BC">
        <w:tab/>
        <w:t>el apartado 1 se sustituye por el texto siguiente:</w:t>
      </w:r>
    </w:p>
    <w:p w14:paraId="36BF68D5" w14:textId="77777777" w:rsidR="00B50935" w:rsidRPr="009017BC" w:rsidRDefault="00B50935" w:rsidP="00B50935">
      <w:pPr>
        <w:pStyle w:val="Point2"/>
      </w:pPr>
      <w:r w:rsidRPr="009017BC">
        <w:t>«1.</w:t>
      </w:r>
      <w:r w:rsidRPr="009017BC">
        <w:tab/>
        <w:t>El Reglamento (UE, Euratom) n.º 883/2013 del Parlamento Europeo y del Consejo* se aplicará al Centro, sin restricciones.»;</w:t>
      </w:r>
    </w:p>
    <w:p w14:paraId="682572D7" w14:textId="77777777" w:rsidR="00B50935" w:rsidRPr="009017BC" w:rsidRDefault="00B50935" w:rsidP="00B50935">
      <w:pPr>
        <w:pStyle w:val="Point1"/>
      </w:pPr>
      <w:r w:rsidRPr="009017BC">
        <w:t>b)</w:t>
      </w:r>
      <w:r w:rsidRPr="009017BC">
        <w:tab/>
        <w:t>el apartado 3 se sustituye por el texto siguiente:</w:t>
      </w:r>
    </w:p>
    <w:p w14:paraId="7FB39C89" w14:textId="3BA754A9" w:rsidR="00B50935" w:rsidRPr="009017BC" w:rsidRDefault="00B50935" w:rsidP="00B50935">
      <w:pPr>
        <w:pStyle w:val="Point2"/>
      </w:pPr>
      <w:r w:rsidRPr="009017BC">
        <w:t>«3.</w:t>
      </w:r>
      <w:r w:rsidRPr="009017BC">
        <w:tab/>
        <w:t xml:space="preserve">En las decisiones en materia de financiación, así como en los acuerdos e instrumentos de ejecución derivados de las mismas, se establecerá de manera expresa que el Tribunal de Cuentas, la Fiscalía Europea y la OLAF podrán efectuar, en su caso, controles </w:t>
      </w:r>
      <w:r w:rsidRPr="009017BC">
        <w:rPr>
          <w:i/>
          <w:iCs/>
        </w:rPr>
        <w:t>in situ</w:t>
      </w:r>
      <w:r w:rsidRPr="009017BC">
        <w:t xml:space="preserve"> de los beneficiarios de fondos del Centro, así como de los agentes responsables de su asignación.»;</w:t>
      </w:r>
    </w:p>
    <w:p w14:paraId="28892C55" w14:textId="1D679F8E" w:rsidR="00B50935" w:rsidRPr="009017BC" w:rsidRDefault="00B50935" w:rsidP="00B50935">
      <w:pPr>
        <w:pStyle w:val="Point1"/>
      </w:pPr>
      <w:r w:rsidRPr="009017BC">
        <w:t>c)</w:t>
      </w:r>
      <w:r w:rsidRPr="009017BC">
        <w:tab/>
        <w:t>se añade el apartado 4 siguiente:</w:t>
      </w:r>
    </w:p>
    <w:p w14:paraId="31767665" w14:textId="45C4A1EB" w:rsidR="00B50935" w:rsidRPr="009017BC" w:rsidRDefault="00B50935" w:rsidP="00B50935">
      <w:pPr>
        <w:pStyle w:val="Point2"/>
      </w:pPr>
      <w:r w:rsidRPr="009017BC">
        <w:t>«4.</w:t>
      </w:r>
      <w:r w:rsidRPr="009017BC">
        <w:tab/>
        <w:t>Sin perjuicio de lo dispuesto en los apartados 1 a 3, los acuerdos de trabajo con terceros países y con organizaciones internacionales, los convenios de subvención, las decisiones de subvención y los contratos del Centro contendrán disposiciones que establezcan expresamente la potestad del Tribunal de Cuentas, de la OLAF y de la Fiscalía Europea de llevar a cabo las auditorías y las investigaciones mencionadas, de conformidad con sus respectivas competencias.</w:t>
      </w:r>
    </w:p>
    <w:p w14:paraId="28A8DF67" w14:textId="77777777" w:rsidR="00B50935" w:rsidRPr="009017BC" w:rsidRDefault="00B50935" w:rsidP="00B50935">
      <w:pPr>
        <w:pStyle w:val="Text1"/>
      </w:pPr>
      <w:r w:rsidRPr="009017BC">
        <w:t>_______________</w:t>
      </w:r>
    </w:p>
    <w:p w14:paraId="718F3CAB" w14:textId="77777777" w:rsidR="00B50935" w:rsidRPr="009017BC" w:rsidRDefault="00B50935" w:rsidP="00B50935">
      <w:pPr>
        <w:pStyle w:val="Point1"/>
      </w:pPr>
      <w:r w:rsidRPr="009017BC">
        <w:t>*</w:t>
      </w:r>
      <w:r w:rsidRPr="009017BC">
        <w:tab/>
        <w:t>Reglamento (UE, Euratom) n.º 883/2013 del Parlamento Europeo y del Consejo, de 11 de septiembre de 2013, relativo a las investigaciones efectuadas por la Oficina Europea de Lucha contra el Fraude (OLAF) y por el que se deroga el Reglamento (CE) n.º 1073/1999 del Parlamento Europeo y del Consejo y el Reglamento (Euratom) n.º 1074/1999 del Consejo (DO L 248 de 18.9.2013, p. 1).».</w:t>
      </w:r>
    </w:p>
    <w:p w14:paraId="1F176C8D" w14:textId="77777777" w:rsidR="00B50935" w:rsidRPr="009017BC" w:rsidRDefault="00B50935" w:rsidP="00B50935">
      <w:pPr>
        <w:pStyle w:val="Point0"/>
      </w:pPr>
      <w:r w:rsidRPr="009017BC">
        <w:t>25.</w:t>
      </w:r>
      <w:r w:rsidRPr="009017BC">
        <w:tab/>
        <w:t xml:space="preserve">El artículo 26 se modifica como sigue: </w:t>
      </w:r>
    </w:p>
    <w:p w14:paraId="60AC1D96" w14:textId="77777777" w:rsidR="00B50935" w:rsidRPr="009017BC" w:rsidRDefault="00B50935" w:rsidP="00B50935">
      <w:pPr>
        <w:pStyle w:val="Point1"/>
      </w:pPr>
      <w:r w:rsidRPr="009017BC">
        <w:t>a)</w:t>
      </w:r>
      <w:r w:rsidRPr="009017BC">
        <w:tab/>
        <w:t>el apartado 1 se sustituye por el texto siguiente:</w:t>
      </w:r>
    </w:p>
    <w:p w14:paraId="45F7DE75" w14:textId="77777777" w:rsidR="00B50935" w:rsidRPr="009017BC" w:rsidRDefault="00B50935" w:rsidP="00B50935">
      <w:pPr>
        <w:pStyle w:val="Point2"/>
      </w:pPr>
      <w:r w:rsidRPr="009017BC">
        <w:t>«1.</w:t>
      </w:r>
      <w:r w:rsidRPr="009017BC">
        <w:tab/>
        <w:t>El Centro será un organismo de la Unión. Tendrá personalidad jurídica.»;</w:t>
      </w:r>
    </w:p>
    <w:p w14:paraId="511DF59C" w14:textId="77777777" w:rsidR="00B50935" w:rsidRPr="009017BC" w:rsidRDefault="00B50935" w:rsidP="00B50935">
      <w:pPr>
        <w:pStyle w:val="Point1"/>
      </w:pPr>
      <w:r w:rsidRPr="009017BC">
        <w:t>b)</w:t>
      </w:r>
      <w:r w:rsidRPr="009017BC">
        <w:tab/>
        <w:t>se inserta el apartado 1 </w:t>
      </w:r>
      <w:r w:rsidRPr="009017BC">
        <w:rPr>
          <w:i/>
          <w:iCs/>
        </w:rPr>
        <w:t>bis</w:t>
      </w:r>
      <w:r w:rsidRPr="009017BC">
        <w:t xml:space="preserve"> siguiente:</w:t>
      </w:r>
    </w:p>
    <w:p w14:paraId="056449FA" w14:textId="77777777" w:rsidR="00B50935" w:rsidRPr="009017BC" w:rsidRDefault="00B50935" w:rsidP="00B50935">
      <w:pPr>
        <w:pStyle w:val="Point2"/>
      </w:pPr>
      <w:r w:rsidRPr="009017BC">
        <w:t>«1 </w:t>
      </w:r>
      <w:r w:rsidRPr="009017BC">
        <w:rPr>
          <w:i/>
          <w:iCs/>
        </w:rPr>
        <w:t>bis</w:t>
      </w:r>
      <w:r w:rsidRPr="009017BC">
        <w:t>.</w:t>
      </w:r>
      <w:r w:rsidRPr="009017BC">
        <w:tab/>
        <w:t>El Centro gozará en cada uno de los Estados miembros de la más amplia capacidad jurídica que las legislaciones nacionales reconocen a las personas jurídicas. En particular, podrá adquirir o vender propiedad mobiliaria e inmobiliaria y ser parte en actuaciones judiciales.»;</w:t>
      </w:r>
    </w:p>
    <w:p w14:paraId="7376A94D" w14:textId="77777777" w:rsidR="00B50935" w:rsidRPr="009017BC" w:rsidRDefault="00B50935" w:rsidP="00B50935">
      <w:pPr>
        <w:pStyle w:val="Point1"/>
      </w:pPr>
      <w:r w:rsidRPr="009017BC">
        <w:t>c)</w:t>
      </w:r>
      <w:r w:rsidRPr="009017BC">
        <w:tab/>
        <w:t>el apartado 2 se sustituye por el texto siguiente:</w:t>
      </w:r>
    </w:p>
    <w:p w14:paraId="2A49D2A1" w14:textId="77777777" w:rsidR="00B50935" w:rsidRPr="009017BC" w:rsidRDefault="00B50935" w:rsidP="00B50935">
      <w:pPr>
        <w:pStyle w:val="Point2"/>
      </w:pPr>
      <w:r w:rsidRPr="009017BC">
        <w:t>«2.</w:t>
      </w:r>
      <w:r w:rsidRPr="009017BC">
        <w:tab/>
        <w:t>El Protocolo n.º 7 sobre los privilegios y las inmunidades de la Unión Europea anejo a los Tratados será aplicable al Centro y a su personal estatutario.».</w:t>
      </w:r>
    </w:p>
    <w:p w14:paraId="6D223471" w14:textId="77777777" w:rsidR="00B50935" w:rsidRPr="009017BC" w:rsidRDefault="00B50935" w:rsidP="00B50935">
      <w:pPr>
        <w:pStyle w:val="Point0"/>
      </w:pPr>
      <w:r w:rsidRPr="009017BC">
        <w:t>26.</w:t>
      </w:r>
      <w:r w:rsidRPr="009017BC">
        <w:tab/>
        <w:t>En el artículo 27, el apartado 1 se modifica como sigue:</w:t>
      </w:r>
    </w:p>
    <w:p w14:paraId="5442B79B" w14:textId="77777777" w:rsidR="00B50935" w:rsidRPr="009017BC" w:rsidRDefault="00B50935" w:rsidP="00B50935">
      <w:pPr>
        <w:pStyle w:val="Point1"/>
      </w:pPr>
      <w:r w:rsidRPr="009017BC">
        <w:t>«1.</w:t>
      </w:r>
      <w:r w:rsidRPr="009017BC">
        <w:tab/>
        <w:t>La responsabilidad contractual del Centro se regirá por la legislación aplicable al contrato de que se trate. El Tribunal de Justicia será competente para juzgar en virtud de cualquier cláusula de arbitraje contenida en un contrato celebrado por el Centro.».</w:t>
      </w:r>
    </w:p>
    <w:p w14:paraId="1E8A8629" w14:textId="77777777" w:rsidR="00B50935" w:rsidRPr="009017BC" w:rsidRDefault="00B50935" w:rsidP="00B50935">
      <w:pPr>
        <w:pStyle w:val="Point0"/>
      </w:pPr>
      <w:r w:rsidRPr="009017BC">
        <w:t>27.</w:t>
      </w:r>
      <w:r w:rsidRPr="009017BC">
        <w:tab/>
        <w:t>El artículo 28 se sustituye por el texto siguiente:</w:t>
      </w:r>
    </w:p>
    <w:p w14:paraId="434985FF" w14:textId="77777777" w:rsidR="00B50935" w:rsidRPr="009017BC" w:rsidRDefault="00B50935" w:rsidP="00B50935">
      <w:pPr>
        <w:pStyle w:val="Titrearticle"/>
        <w:rPr>
          <w:iCs/>
        </w:rPr>
      </w:pPr>
      <w:r w:rsidRPr="009017BC">
        <w:t>«Artículo 28</w:t>
      </w:r>
    </w:p>
    <w:p w14:paraId="76A65CD4" w14:textId="77777777" w:rsidR="00B50935" w:rsidRPr="009017BC" w:rsidRDefault="00B50935" w:rsidP="00B50935">
      <w:pPr>
        <w:jc w:val="center"/>
        <w:rPr>
          <w:b/>
        </w:rPr>
      </w:pPr>
      <w:r w:rsidRPr="009017BC">
        <w:rPr>
          <w:b/>
        </w:rPr>
        <w:t>Control de la legalidad</w:t>
      </w:r>
    </w:p>
    <w:p w14:paraId="67441F02" w14:textId="1EE0D351" w:rsidR="00B50935" w:rsidRPr="009017BC" w:rsidRDefault="00B50935" w:rsidP="00B50935">
      <w:pPr>
        <w:pStyle w:val="Point1"/>
      </w:pPr>
      <w:r w:rsidRPr="009017BC">
        <w:t>1.</w:t>
      </w:r>
      <w:r w:rsidRPr="009017BC">
        <w:tab/>
        <w:t>Los Estados miembros, los miembros de la Junta directiva y los terceros directa e individualmente afectados podrán someter a la Comisión cualquier acto del Centro, explícito o implícito, con miras a controlar su legalidad (“recurso administrativo”).</w:t>
      </w:r>
    </w:p>
    <w:p w14:paraId="3B668271" w14:textId="77777777" w:rsidR="00B50935" w:rsidRPr="009017BC" w:rsidRDefault="00B50935" w:rsidP="00B50935">
      <w:pPr>
        <w:pStyle w:val="Point1"/>
      </w:pPr>
      <w:r w:rsidRPr="009017BC">
        <w:t>2.</w:t>
      </w:r>
      <w:r w:rsidRPr="009017BC">
        <w:tab/>
        <w:t>El recurso administrativo deberá someterse a la Comisión en un plazo de quince días a partir de la fecha en que la parte interesada haya tenido conocimiento por primera vez del acto de que se trate.</w:t>
      </w:r>
    </w:p>
    <w:p w14:paraId="66A70669" w14:textId="77777777" w:rsidR="00B50935" w:rsidRPr="009017BC" w:rsidRDefault="00B50935" w:rsidP="00B50935">
      <w:pPr>
        <w:pStyle w:val="Point1"/>
      </w:pPr>
      <w:r w:rsidRPr="009017BC">
        <w:t>3.</w:t>
      </w:r>
      <w:r w:rsidRPr="009017BC">
        <w:tab/>
        <w:t>La Comisión adoptará una decisión al respecto en el plazo de un mes. Si, transcurrido dicho plazo, no hubiera adoptado ninguna decisión, se considerará que el recurso administrativo ha sido desestimado.</w:t>
      </w:r>
    </w:p>
    <w:p w14:paraId="30ADD06C" w14:textId="26B55765" w:rsidR="00B50935" w:rsidRPr="009017BC" w:rsidRDefault="00B50935" w:rsidP="00B50935">
      <w:pPr>
        <w:pStyle w:val="Point1"/>
      </w:pPr>
      <w:r w:rsidRPr="009017BC">
        <w:t>4.</w:t>
      </w:r>
      <w:r w:rsidRPr="009017BC">
        <w:tab/>
        <w:t>De conformidad con el artículo 263 del TFUE, podrá interponerse ante el Tribunal de Justicia un recurso de anulación de la decisión explícita o implícita de la Comisión a que se hace referencia en el apartado 3 de desestimar el recurso administrativo.».</w:t>
      </w:r>
    </w:p>
    <w:p w14:paraId="172196C1" w14:textId="77777777" w:rsidR="00B50935" w:rsidRPr="009017BC" w:rsidRDefault="00B50935" w:rsidP="00B50935">
      <w:pPr>
        <w:pStyle w:val="Point0"/>
      </w:pPr>
      <w:r w:rsidRPr="009017BC">
        <w:t>28.</w:t>
      </w:r>
      <w:r w:rsidRPr="009017BC">
        <w:tab/>
        <w:t>El artículo 31 se sustituye por el texto siguiente:</w:t>
      </w:r>
    </w:p>
    <w:p w14:paraId="7EA12394" w14:textId="77777777" w:rsidR="00B50935" w:rsidRPr="009017BC" w:rsidRDefault="00B50935" w:rsidP="00B50935">
      <w:pPr>
        <w:pStyle w:val="Titrearticle"/>
        <w:rPr>
          <w:iCs/>
        </w:rPr>
      </w:pPr>
      <w:r w:rsidRPr="009017BC">
        <w:t>«Artículo 31</w:t>
      </w:r>
    </w:p>
    <w:p w14:paraId="06DEF12F" w14:textId="77777777" w:rsidR="00B50935" w:rsidRPr="009017BC" w:rsidRDefault="00B50935" w:rsidP="00B50935">
      <w:pPr>
        <w:jc w:val="center"/>
        <w:rPr>
          <w:b/>
        </w:rPr>
      </w:pPr>
      <w:r w:rsidRPr="009017BC">
        <w:rPr>
          <w:b/>
        </w:rPr>
        <w:t>Cláusula de revisión</w:t>
      </w:r>
    </w:p>
    <w:p w14:paraId="31D75AD6" w14:textId="2384999A" w:rsidR="00B50935" w:rsidRPr="009017BC" w:rsidRDefault="00B50935" w:rsidP="00B50935">
      <w:pPr>
        <w:pStyle w:val="Point1"/>
      </w:pPr>
      <w:r w:rsidRPr="009017BC">
        <w:t>1.</w:t>
      </w:r>
      <w:r w:rsidRPr="009017BC">
        <w:tab/>
        <w:t xml:space="preserve">A más tardar el </w:t>
      </w:r>
      <w:r w:rsidRPr="009017BC">
        <w:rPr>
          <w:i/>
        </w:rPr>
        <w:t>[insértese la fecha correspondiente a tres años después de la fecha de entrada en vigor]</w:t>
      </w:r>
      <w:r w:rsidRPr="009017BC">
        <w:t xml:space="preserve"> de 2023, la Comisión presentará al Parlamento Europeo, al Consejo y a la Junta directiva un informe sobre las actividades del Centro que incluirá una evaluación de:</w:t>
      </w:r>
    </w:p>
    <w:p w14:paraId="2DC49783" w14:textId="77777777" w:rsidR="00B50935" w:rsidRPr="009017BC" w:rsidRDefault="00B50935" w:rsidP="00B50935">
      <w:pPr>
        <w:pStyle w:val="Point2"/>
      </w:pPr>
      <w:r w:rsidRPr="009017BC">
        <w:t>a)</w:t>
      </w:r>
      <w:r w:rsidRPr="009017BC">
        <w:tab/>
        <w:t>la manera en que el Centro ha avanzado en la ejecución del mandato modificado a la luz de la pandemia de COVID-19;</w:t>
      </w:r>
    </w:p>
    <w:p w14:paraId="69F55946" w14:textId="4AAFD17A" w:rsidR="00B50935" w:rsidRPr="009017BC" w:rsidRDefault="00B50935" w:rsidP="00B50935">
      <w:pPr>
        <w:pStyle w:val="Point2"/>
      </w:pPr>
      <w:r w:rsidRPr="009017BC">
        <w:t>b)</w:t>
      </w:r>
      <w:r w:rsidRPr="009017BC">
        <w:tab/>
        <w:t xml:space="preserve">la manera en que el Centro cumple las obligaciones establecidas en el </w:t>
      </w:r>
      <w:r w:rsidRPr="009017BC">
        <w:rPr>
          <w:color w:val="FF0000"/>
        </w:rPr>
        <w:t>Reglamento (UE).../... [ DO:</w:t>
      </w:r>
      <w:r w:rsidRPr="009017BC">
        <w:rPr>
          <w:i/>
          <w:color w:val="FF0000"/>
        </w:rPr>
        <w:t xml:space="preserve"> </w:t>
      </w:r>
      <w:r w:rsidRPr="009017BC">
        <w:rPr>
          <w:color w:val="FF0000"/>
        </w:rPr>
        <w:t>insértese la referencia del Reglamento sobre las amenazas transfronterizas graves para la salud (ISC/2020/12524)]</w:t>
      </w:r>
      <w:r w:rsidRPr="009017BC">
        <w:t xml:space="preserve"> y en otra legislación pertinente de la Unión;</w:t>
      </w:r>
    </w:p>
    <w:p w14:paraId="046EC6B9" w14:textId="77777777" w:rsidR="00B50935" w:rsidRPr="009017BC" w:rsidRDefault="00B50935" w:rsidP="00B50935">
      <w:pPr>
        <w:pStyle w:val="Point2"/>
      </w:pPr>
      <w:r w:rsidRPr="009017BC">
        <w:t>c)</w:t>
      </w:r>
      <w:r w:rsidRPr="009017BC">
        <w:tab/>
        <w:t xml:space="preserve">la eficacia con que las actividades del Centro abordan las prioridades sanitarias internacionales, de la Unión o nacionales; </w:t>
      </w:r>
    </w:p>
    <w:p w14:paraId="28CA5717" w14:textId="77777777" w:rsidR="00B50935" w:rsidRPr="009017BC" w:rsidRDefault="00B50935" w:rsidP="00B50935">
      <w:pPr>
        <w:pStyle w:val="Point2"/>
      </w:pPr>
      <w:r w:rsidRPr="009017BC">
        <w:t>d)</w:t>
      </w:r>
      <w:r w:rsidRPr="009017BC">
        <w:tab/>
        <w:t>la manera en que el trabajo del Centro está dirigido a las capacidades de los Estados miembros y las afecta.</w:t>
      </w:r>
    </w:p>
    <w:p w14:paraId="757BC373" w14:textId="77777777" w:rsidR="00B50935" w:rsidRPr="009017BC" w:rsidRDefault="00B50935" w:rsidP="00B50935">
      <w:pPr>
        <w:pStyle w:val="Text2"/>
      </w:pPr>
      <w:r w:rsidRPr="009017BC">
        <w:t>En el informe se reflejarán las opiniones de las partes interesadas, tanto a escala de la Unión como nacional.</w:t>
      </w:r>
    </w:p>
    <w:p w14:paraId="28061887" w14:textId="560402DF" w:rsidR="00B50935" w:rsidRPr="009017BC" w:rsidRDefault="00B50935" w:rsidP="00B50935">
      <w:pPr>
        <w:pStyle w:val="Text2"/>
      </w:pPr>
      <w:r w:rsidRPr="009017BC">
        <w:t>El informe irá acompañado de un estudio independiente encargado por la Comisión.</w:t>
      </w:r>
    </w:p>
    <w:p w14:paraId="0CE7AF5D" w14:textId="55B0E2FF" w:rsidR="00B50935" w:rsidRPr="009017BC" w:rsidRDefault="00B50935" w:rsidP="00B50935">
      <w:pPr>
        <w:pStyle w:val="Point1"/>
      </w:pPr>
      <w:r w:rsidRPr="009017BC">
        <w:t>2.</w:t>
      </w:r>
      <w:r w:rsidRPr="009017BC">
        <w:tab/>
        <w:t xml:space="preserve">A más tardar el </w:t>
      </w:r>
      <w:r w:rsidRPr="009017BC">
        <w:rPr>
          <w:i/>
        </w:rPr>
        <w:t>[insértese la fecha correspondiente a tres años después de la fecha de entrada en vigor]</w:t>
      </w:r>
      <w:r w:rsidRPr="009017BC">
        <w:t xml:space="preserve"> de 2028, y posteriormente cada cinco años, la Comisión evaluará el rendimiento del Centro en relación con sus objetivos, su mandato, sus tareas, sus procedimientos y su localización. La evaluación abordará, en particular, la posible necesidad de modificar el mandato del Centro y las repercusiones financieras de tal modificación.</w:t>
      </w:r>
    </w:p>
    <w:p w14:paraId="2F3F3EBB" w14:textId="77777777" w:rsidR="00B50935" w:rsidRPr="009017BC" w:rsidRDefault="00B50935" w:rsidP="00B50935">
      <w:pPr>
        <w:pStyle w:val="Point1"/>
      </w:pPr>
      <w:r w:rsidRPr="009017BC">
        <w:t>3.</w:t>
      </w:r>
      <w:r w:rsidRPr="009017BC">
        <w:tab/>
        <w:t xml:space="preserve">Si la Comisión considera que el funcionamiento continuo del Centro ha dejado de estar justificado con respecto a los objetivos, el mandato y las tareas que le fueron atribuidos, podrá proponer que se modifiquen en consecuencia o se deroguen las disposiciones pertinentes del presente Reglamento. </w:t>
      </w:r>
    </w:p>
    <w:p w14:paraId="28564B66" w14:textId="0E571587" w:rsidR="00B50935" w:rsidRPr="009017BC" w:rsidRDefault="00B50935" w:rsidP="00B50935">
      <w:pPr>
        <w:pStyle w:val="Point1"/>
      </w:pPr>
      <w:r w:rsidRPr="009017BC">
        <w:t>4.</w:t>
      </w:r>
      <w:r w:rsidRPr="009017BC">
        <w:tab/>
        <w:t xml:space="preserve">La Comisión comunicará al Parlamento Europeo, al Consejo y a la Junta directiva los resultados de sus revisiones y evaluaciones realizadas con arreglo al apartado 2. Dichos resultados se harán públicos.». </w:t>
      </w:r>
    </w:p>
    <w:p w14:paraId="11975C21" w14:textId="77777777" w:rsidR="00B50935" w:rsidRPr="009017BC" w:rsidRDefault="00B50935" w:rsidP="00B50935">
      <w:pPr>
        <w:pStyle w:val="Titrearticle"/>
      </w:pPr>
      <w:r w:rsidRPr="009017BC">
        <w:t>Artículo 2</w:t>
      </w:r>
    </w:p>
    <w:p w14:paraId="76B609D1" w14:textId="77777777" w:rsidR="00B50935" w:rsidRPr="009017BC" w:rsidRDefault="00B50935" w:rsidP="00B50935">
      <w:r w:rsidRPr="009017BC">
        <w:t xml:space="preserve">El presente Reglamento entrará en vigor a los veinte días de su publicación en el </w:t>
      </w:r>
      <w:r w:rsidRPr="009017BC">
        <w:rPr>
          <w:i/>
        </w:rPr>
        <w:t>Diario Oficial de la Unión Europea</w:t>
      </w:r>
      <w:r w:rsidRPr="009017BC">
        <w:t>.</w:t>
      </w:r>
    </w:p>
    <w:p w14:paraId="40A3A118" w14:textId="77777777" w:rsidR="00B50935" w:rsidRPr="009017BC" w:rsidRDefault="00B50935" w:rsidP="00B50935">
      <w:pPr>
        <w:pStyle w:val="Applicationdirecte"/>
      </w:pPr>
      <w:r w:rsidRPr="009017BC">
        <w:t>El presente Reglamento será obligatorio en todos sus elementos y directamente aplicable en cada Estado miembro.</w:t>
      </w:r>
    </w:p>
    <w:p w14:paraId="6067ED75" w14:textId="6DBF281F" w:rsidR="00B50935" w:rsidRPr="009017BC" w:rsidRDefault="009017BC" w:rsidP="009017BC">
      <w:pPr>
        <w:pStyle w:val="Fait"/>
      </w:pPr>
      <w:r w:rsidRPr="009017BC">
        <w:t>Hecho en Bruselas, el</w:t>
      </w:r>
    </w:p>
    <w:p w14:paraId="0E0D963F" w14:textId="77777777" w:rsidR="00B50935" w:rsidRPr="009017BC" w:rsidRDefault="00B50935" w:rsidP="00B50935">
      <w:pPr>
        <w:pStyle w:val="Institutionquisigne"/>
      </w:pPr>
      <w:r w:rsidRPr="009017BC">
        <w:t>Por el Parlamento Europeo</w:t>
      </w:r>
      <w:r w:rsidRPr="009017BC">
        <w:tab/>
        <w:t>Por el Consejo</w:t>
      </w:r>
    </w:p>
    <w:p w14:paraId="3A49A237" w14:textId="77777777" w:rsidR="00B50935" w:rsidRPr="009017BC" w:rsidRDefault="00B50935" w:rsidP="00B50935">
      <w:pPr>
        <w:pStyle w:val="Personnequisigne"/>
      </w:pPr>
      <w:r w:rsidRPr="009017BC">
        <w:t>El Presidente / La Presidenta</w:t>
      </w:r>
      <w:r w:rsidRPr="009017BC">
        <w:tab/>
        <w:t>El Presidente / La Presidenta</w:t>
      </w:r>
    </w:p>
    <w:p w14:paraId="35E0DBB7" w14:textId="77777777" w:rsidR="00B50935" w:rsidRPr="009017BC" w:rsidRDefault="00B50935" w:rsidP="00B50935">
      <w:pPr>
        <w:sectPr w:rsidR="00B50935" w:rsidRPr="009017BC" w:rsidSect="00DF5771">
          <w:pgSz w:w="11907" w:h="16839"/>
          <w:pgMar w:top="1134" w:right="1417" w:bottom="1134" w:left="1417" w:header="709" w:footer="709" w:gutter="0"/>
          <w:cols w:space="708"/>
          <w:docGrid w:linePitch="360"/>
        </w:sectPr>
      </w:pPr>
    </w:p>
    <w:p w14:paraId="0E59DD1E" w14:textId="77777777" w:rsidR="00B50935" w:rsidRPr="009017BC" w:rsidRDefault="00B50935" w:rsidP="00427764">
      <w:pPr>
        <w:pStyle w:val="Fichefinanciretitre"/>
        <w:rPr>
          <w:noProof/>
        </w:rPr>
      </w:pPr>
      <w:r w:rsidRPr="009017BC">
        <w:t>FICHA FINANCIERA LEGISLATIVA</w:t>
      </w:r>
    </w:p>
    <w:sdt>
      <w:sdtPr>
        <w:rPr>
          <w:b/>
        </w:rPr>
        <w:id w:val="1138923797"/>
        <w:docPartObj>
          <w:docPartGallery w:val="Table of Contents"/>
          <w:docPartUnique/>
        </w:docPartObj>
      </w:sdtPr>
      <w:sdtEndPr>
        <w:rPr>
          <w:b w:val="0"/>
          <w:bCs/>
          <w:noProof/>
        </w:rPr>
      </w:sdtEndPr>
      <w:sdtContent>
        <w:p w14:paraId="28846F03" w14:textId="77777777" w:rsidR="00B50935" w:rsidRPr="009017BC" w:rsidRDefault="00B50935" w:rsidP="00B50935">
          <w:pPr>
            <w:spacing w:before="0" w:after="200" w:line="276" w:lineRule="auto"/>
            <w:jc w:val="center"/>
            <w:rPr>
              <w:b/>
            </w:rPr>
          </w:pPr>
          <w:r w:rsidRPr="009017BC">
            <w:rPr>
              <w:b/>
            </w:rPr>
            <w:t>Índice</w:t>
          </w:r>
        </w:p>
        <w:p w14:paraId="1FA7E34D" w14:textId="4FC05991" w:rsidR="009017BC" w:rsidRDefault="00B50935">
          <w:pPr>
            <w:pStyle w:val="TOC1"/>
            <w:rPr>
              <w:rFonts w:asciiTheme="minorHAnsi" w:eastAsiaTheme="minorEastAsia" w:hAnsiTheme="minorHAnsi" w:cstheme="minorBidi"/>
              <w:noProof/>
              <w:sz w:val="22"/>
              <w:lang w:val="en-US"/>
            </w:rPr>
          </w:pPr>
          <w:r w:rsidRPr="009017BC">
            <w:rPr>
              <w:b/>
              <w:bCs/>
            </w:rPr>
            <w:fldChar w:fldCharType="begin"/>
          </w:r>
          <w:r w:rsidRPr="009017BC">
            <w:rPr>
              <w:b/>
              <w:bCs/>
            </w:rPr>
            <w:instrText xml:space="preserve"> TOC \o "1-3" \h \z \u </w:instrText>
          </w:r>
          <w:r w:rsidRPr="009017BC">
            <w:rPr>
              <w:b/>
              <w:bCs/>
            </w:rPr>
            <w:fldChar w:fldCharType="separate"/>
          </w:r>
          <w:hyperlink w:anchor="_Toc57975599" w:history="1">
            <w:r w:rsidR="009017BC" w:rsidRPr="00ED2F96">
              <w:rPr>
                <w:rStyle w:val="Hyperlink"/>
                <w:noProof/>
              </w:rPr>
              <w:t>1.</w:t>
            </w:r>
            <w:r w:rsidR="009017BC">
              <w:rPr>
                <w:rFonts w:asciiTheme="minorHAnsi" w:eastAsiaTheme="minorEastAsia" w:hAnsiTheme="minorHAnsi" w:cstheme="minorBidi"/>
                <w:noProof/>
                <w:sz w:val="22"/>
                <w:lang w:val="en-US"/>
              </w:rPr>
              <w:tab/>
            </w:r>
            <w:r w:rsidR="009017BC" w:rsidRPr="00ED2F96">
              <w:rPr>
                <w:rStyle w:val="Hyperlink"/>
                <w:noProof/>
              </w:rPr>
              <w:t>CONTEXTO DE LA PROPUESTA</w:t>
            </w:r>
            <w:r w:rsidR="009017BC">
              <w:rPr>
                <w:noProof/>
                <w:webHidden/>
              </w:rPr>
              <w:tab/>
            </w:r>
            <w:r w:rsidR="009017BC">
              <w:rPr>
                <w:noProof/>
                <w:webHidden/>
              </w:rPr>
              <w:fldChar w:fldCharType="begin"/>
            </w:r>
            <w:r w:rsidR="009017BC">
              <w:rPr>
                <w:noProof/>
                <w:webHidden/>
              </w:rPr>
              <w:instrText xml:space="preserve"> PAGEREF _Toc57975599 \h </w:instrText>
            </w:r>
            <w:r w:rsidR="009017BC">
              <w:rPr>
                <w:noProof/>
                <w:webHidden/>
              </w:rPr>
            </w:r>
            <w:r w:rsidR="009017BC">
              <w:rPr>
                <w:noProof/>
                <w:webHidden/>
              </w:rPr>
              <w:fldChar w:fldCharType="separate"/>
            </w:r>
            <w:r w:rsidR="009017BC">
              <w:rPr>
                <w:noProof/>
                <w:webHidden/>
              </w:rPr>
              <w:t>1</w:t>
            </w:r>
            <w:r w:rsidR="009017BC">
              <w:rPr>
                <w:noProof/>
                <w:webHidden/>
              </w:rPr>
              <w:fldChar w:fldCharType="end"/>
            </w:r>
          </w:hyperlink>
        </w:p>
        <w:p w14:paraId="06C7CB01" w14:textId="43A91FEA" w:rsidR="009017BC" w:rsidRDefault="00907235">
          <w:pPr>
            <w:pStyle w:val="TOC2"/>
            <w:rPr>
              <w:rFonts w:asciiTheme="minorHAnsi" w:eastAsiaTheme="minorEastAsia" w:hAnsiTheme="minorHAnsi" w:cstheme="minorBidi"/>
              <w:noProof/>
              <w:sz w:val="22"/>
              <w:lang w:val="en-US"/>
            </w:rPr>
          </w:pPr>
          <w:hyperlink w:anchor="_Toc57975600"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rPr>
              <w:t>Razones y objetivos de la propuesta</w:t>
            </w:r>
            <w:r w:rsidR="009017BC">
              <w:rPr>
                <w:noProof/>
                <w:webHidden/>
              </w:rPr>
              <w:tab/>
            </w:r>
            <w:r w:rsidR="009017BC">
              <w:rPr>
                <w:noProof/>
                <w:webHidden/>
              </w:rPr>
              <w:fldChar w:fldCharType="begin"/>
            </w:r>
            <w:r w:rsidR="009017BC">
              <w:rPr>
                <w:noProof/>
                <w:webHidden/>
              </w:rPr>
              <w:instrText xml:space="preserve"> PAGEREF _Toc57975600 \h </w:instrText>
            </w:r>
            <w:r w:rsidR="009017BC">
              <w:rPr>
                <w:noProof/>
                <w:webHidden/>
              </w:rPr>
            </w:r>
            <w:r w:rsidR="009017BC">
              <w:rPr>
                <w:noProof/>
                <w:webHidden/>
              </w:rPr>
              <w:fldChar w:fldCharType="separate"/>
            </w:r>
            <w:r w:rsidR="009017BC">
              <w:rPr>
                <w:noProof/>
                <w:webHidden/>
              </w:rPr>
              <w:t>1</w:t>
            </w:r>
            <w:r w:rsidR="009017BC">
              <w:rPr>
                <w:noProof/>
                <w:webHidden/>
              </w:rPr>
              <w:fldChar w:fldCharType="end"/>
            </w:r>
          </w:hyperlink>
        </w:p>
        <w:p w14:paraId="39C3AA86" w14:textId="4228A9E6" w:rsidR="009017BC" w:rsidRDefault="00907235">
          <w:pPr>
            <w:pStyle w:val="TOC2"/>
            <w:rPr>
              <w:rFonts w:asciiTheme="minorHAnsi" w:eastAsiaTheme="minorEastAsia" w:hAnsiTheme="minorHAnsi" w:cstheme="minorBidi"/>
              <w:noProof/>
              <w:sz w:val="22"/>
              <w:lang w:val="en-US"/>
            </w:rPr>
          </w:pPr>
          <w:hyperlink w:anchor="_Toc57975601"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rPr>
              <w:t>Coherencia con las medidas de la Unión existentes en este ámbito</w:t>
            </w:r>
            <w:r w:rsidR="009017BC">
              <w:rPr>
                <w:noProof/>
                <w:webHidden/>
              </w:rPr>
              <w:tab/>
            </w:r>
            <w:r w:rsidR="009017BC">
              <w:rPr>
                <w:noProof/>
                <w:webHidden/>
              </w:rPr>
              <w:fldChar w:fldCharType="begin"/>
            </w:r>
            <w:r w:rsidR="009017BC">
              <w:rPr>
                <w:noProof/>
                <w:webHidden/>
              </w:rPr>
              <w:instrText xml:space="preserve"> PAGEREF _Toc57975601 \h </w:instrText>
            </w:r>
            <w:r w:rsidR="009017BC">
              <w:rPr>
                <w:noProof/>
                <w:webHidden/>
              </w:rPr>
            </w:r>
            <w:r w:rsidR="009017BC">
              <w:rPr>
                <w:noProof/>
                <w:webHidden/>
              </w:rPr>
              <w:fldChar w:fldCharType="separate"/>
            </w:r>
            <w:r w:rsidR="009017BC">
              <w:rPr>
                <w:noProof/>
                <w:webHidden/>
              </w:rPr>
              <w:t>1</w:t>
            </w:r>
            <w:r w:rsidR="009017BC">
              <w:rPr>
                <w:noProof/>
                <w:webHidden/>
              </w:rPr>
              <w:fldChar w:fldCharType="end"/>
            </w:r>
          </w:hyperlink>
        </w:p>
        <w:p w14:paraId="2271A342" w14:textId="1784E6DD" w:rsidR="009017BC" w:rsidRDefault="00907235">
          <w:pPr>
            <w:pStyle w:val="TOC2"/>
            <w:rPr>
              <w:rFonts w:asciiTheme="minorHAnsi" w:eastAsiaTheme="minorEastAsia" w:hAnsiTheme="minorHAnsi" w:cstheme="minorBidi"/>
              <w:noProof/>
              <w:sz w:val="22"/>
              <w:lang w:val="en-US"/>
            </w:rPr>
          </w:pPr>
          <w:hyperlink w:anchor="_Toc57975602"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rPr>
              <w:t>Coherencia con otras políticas de la Unión</w:t>
            </w:r>
            <w:r w:rsidR="009017BC">
              <w:rPr>
                <w:noProof/>
                <w:webHidden/>
              </w:rPr>
              <w:tab/>
            </w:r>
            <w:r w:rsidR="009017BC">
              <w:rPr>
                <w:noProof/>
                <w:webHidden/>
              </w:rPr>
              <w:fldChar w:fldCharType="begin"/>
            </w:r>
            <w:r w:rsidR="009017BC">
              <w:rPr>
                <w:noProof/>
                <w:webHidden/>
              </w:rPr>
              <w:instrText xml:space="preserve"> PAGEREF _Toc57975602 \h </w:instrText>
            </w:r>
            <w:r w:rsidR="009017BC">
              <w:rPr>
                <w:noProof/>
                <w:webHidden/>
              </w:rPr>
            </w:r>
            <w:r w:rsidR="009017BC">
              <w:rPr>
                <w:noProof/>
                <w:webHidden/>
              </w:rPr>
              <w:fldChar w:fldCharType="separate"/>
            </w:r>
            <w:r w:rsidR="009017BC">
              <w:rPr>
                <w:noProof/>
                <w:webHidden/>
              </w:rPr>
              <w:t>1</w:t>
            </w:r>
            <w:r w:rsidR="009017BC">
              <w:rPr>
                <w:noProof/>
                <w:webHidden/>
              </w:rPr>
              <w:fldChar w:fldCharType="end"/>
            </w:r>
          </w:hyperlink>
        </w:p>
        <w:p w14:paraId="7C90E6E0" w14:textId="2511CAD3" w:rsidR="009017BC" w:rsidRDefault="00907235">
          <w:pPr>
            <w:pStyle w:val="TOC1"/>
            <w:rPr>
              <w:rFonts w:asciiTheme="minorHAnsi" w:eastAsiaTheme="minorEastAsia" w:hAnsiTheme="minorHAnsi" w:cstheme="minorBidi"/>
              <w:noProof/>
              <w:sz w:val="22"/>
              <w:lang w:val="en-US"/>
            </w:rPr>
          </w:pPr>
          <w:hyperlink w:anchor="_Toc57975603" w:history="1">
            <w:r w:rsidR="009017BC" w:rsidRPr="00ED2F96">
              <w:rPr>
                <w:rStyle w:val="Hyperlink"/>
                <w:noProof/>
              </w:rPr>
              <w:t>2.</w:t>
            </w:r>
            <w:r w:rsidR="009017BC">
              <w:rPr>
                <w:rFonts w:asciiTheme="minorHAnsi" w:eastAsiaTheme="minorEastAsia" w:hAnsiTheme="minorHAnsi" w:cstheme="minorBidi"/>
                <w:noProof/>
                <w:sz w:val="22"/>
                <w:lang w:val="en-US"/>
              </w:rPr>
              <w:tab/>
            </w:r>
            <w:r w:rsidR="009017BC" w:rsidRPr="00ED2F96">
              <w:rPr>
                <w:rStyle w:val="Hyperlink"/>
                <w:noProof/>
              </w:rPr>
              <w:t>BASE JURÍDICA, SUBSIDIARIEDAD Y PROPORCIONALIDAD</w:t>
            </w:r>
            <w:r w:rsidR="009017BC">
              <w:rPr>
                <w:noProof/>
                <w:webHidden/>
              </w:rPr>
              <w:tab/>
            </w:r>
            <w:r w:rsidR="009017BC">
              <w:rPr>
                <w:noProof/>
                <w:webHidden/>
              </w:rPr>
              <w:fldChar w:fldCharType="begin"/>
            </w:r>
            <w:r w:rsidR="009017BC">
              <w:rPr>
                <w:noProof/>
                <w:webHidden/>
              </w:rPr>
              <w:instrText xml:space="preserve"> PAGEREF _Toc57975603 \h </w:instrText>
            </w:r>
            <w:r w:rsidR="009017BC">
              <w:rPr>
                <w:noProof/>
                <w:webHidden/>
              </w:rPr>
            </w:r>
            <w:r w:rsidR="009017BC">
              <w:rPr>
                <w:noProof/>
                <w:webHidden/>
              </w:rPr>
              <w:fldChar w:fldCharType="separate"/>
            </w:r>
            <w:r w:rsidR="009017BC">
              <w:rPr>
                <w:noProof/>
                <w:webHidden/>
              </w:rPr>
              <w:t>2</w:t>
            </w:r>
            <w:r w:rsidR="009017BC">
              <w:rPr>
                <w:noProof/>
                <w:webHidden/>
              </w:rPr>
              <w:fldChar w:fldCharType="end"/>
            </w:r>
          </w:hyperlink>
        </w:p>
        <w:p w14:paraId="5DF61FA7" w14:textId="29EDC85A" w:rsidR="009017BC" w:rsidRDefault="00907235">
          <w:pPr>
            <w:pStyle w:val="TOC2"/>
            <w:rPr>
              <w:rFonts w:asciiTheme="minorHAnsi" w:eastAsiaTheme="minorEastAsia" w:hAnsiTheme="minorHAnsi" w:cstheme="minorBidi"/>
              <w:noProof/>
              <w:sz w:val="22"/>
              <w:lang w:val="en-US"/>
            </w:rPr>
          </w:pPr>
          <w:hyperlink w:anchor="_Toc57975604"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Base jurídica</w:t>
            </w:r>
            <w:r w:rsidR="009017BC">
              <w:rPr>
                <w:noProof/>
                <w:webHidden/>
              </w:rPr>
              <w:tab/>
            </w:r>
            <w:r w:rsidR="009017BC">
              <w:rPr>
                <w:noProof/>
                <w:webHidden/>
              </w:rPr>
              <w:fldChar w:fldCharType="begin"/>
            </w:r>
            <w:r w:rsidR="009017BC">
              <w:rPr>
                <w:noProof/>
                <w:webHidden/>
              </w:rPr>
              <w:instrText xml:space="preserve"> PAGEREF _Toc57975604 \h </w:instrText>
            </w:r>
            <w:r w:rsidR="009017BC">
              <w:rPr>
                <w:noProof/>
                <w:webHidden/>
              </w:rPr>
            </w:r>
            <w:r w:rsidR="009017BC">
              <w:rPr>
                <w:noProof/>
                <w:webHidden/>
              </w:rPr>
              <w:fldChar w:fldCharType="separate"/>
            </w:r>
            <w:r w:rsidR="009017BC">
              <w:rPr>
                <w:noProof/>
                <w:webHidden/>
              </w:rPr>
              <w:t>2</w:t>
            </w:r>
            <w:r w:rsidR="009017BC">
              <w:rPr>
                <w:noProof/>
                <w:webHidden/>
              </w:rPr>
              <w:fldChar w:fldCharType="end"/>
            </w:r>
          </w:hyperlink>
        </w:p>
        <w:p w14:paraId="4629224F" w14:textId="13B28BD3" w:rsidR="009017BC" w:rsidRDefault="00907235">
          <w:pPr>
            <w:pStyle w:val="TOC2"/>
            <w:rPr>
              <w:rFonts w:asciiTheme="minorHAnsi" w:eastAsiaTheme="minorEastAsia" w:hAnsiTheme="minorHAnsi" w:cstheme="minorBidi"/>
              <w:noProof/>
              <w:sz w:val="22"/>
              <w:lang w:val="en-US"/>
            </w:rPr>
          </w:pPr>
          <w:hyperlink w:anchor="_Toc57975605"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Subsidiariedad (en el caso de competencia no exclusiva)</w:t>
            </w:r>
            <w:r w:rsidR="009017BC">
              <w:rPr>
                <w:noProof/>
                <w:webHidden/>
              </w:rPr>
              <w:tab/>
            </w:r>
            <w:r w:rsidR="009017BC">
              <w:rPr>
                <w:noProof/>
                <w:webHidden/>
              </w:rPr>
              <w:fldChar w:fldCharType="begin"/>
            </w:r>
            <w:r w:rsidR="009017BC">
              <w:rPr>
                <w:noProof/>
                <w:webHidden/>
              </w:rPr>
              <w:instrText xml:space="preserve"> PAGEREF _Toc57975605 \h </w:instrText>
            </w:r>
            <w:r w:rsidR="009017BC">
              <w:rPr>
                <w:noProof/>
                <w:webHidden/>
              </w:rPr>
            </w:r>
            <w:r w:rsidR="009017BC">
              <w:rPr>
                <w:noProof/>
                <w:webHidden/>
              </w:rPr>
              <w:fldChar w:fldCharType="separate"/>
            </w:r>
            <w:r w:rsidR="009017BC">
              <w:rPr>
                <w:noProof/>
                <w:webHidden/>
              </w:rPr>
              <w:t>2</w:t>
            </w:r>
            <w:r w:rsidR="009017BC">
              <w:rPr>
                <w:noProof/>
                <w:webHidden/>
              </w:rPr>
              <w:fldChar w:fldCharType="end"/>
            </w:r>
          </w:hyperlink>
        </w:p>
        <w:p w14:paraId="331605F8" w14:textId="404914E4" w:rsidR="009017BC" w:rsidRDefault="00907235">
          <w:pPr>
            <w:pStyle w:val="TOC2"/>
            <w:rPr>
              <w:rFonts w:asciiTheme="minorHAnsi" w:eastAsiaTheme="minorEastAsia" w:hAnsiTheme="minorHAnsi" w:cstheme="minorBidi"/>
              <w:noProof/>
              <w:sz w:val="22"/>
              <w:lang w:val="en-US"/>
            </w:rPr>
          </w:pPr>
          <w:hyperlink w:anchor="_Toc57975606"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Proporcionalidad</w:t>
            </w:r>
            <w:r w:rsidR="009017BC">
              <w:rPr>
                <w:noProof/>
                <w:webHidden/>
              </w:rPr>
              <w:tab/>
            </w:r>
            <w:r w:rsidR="009017BC">
              <w:rPr>
                <w:noProof/>
                <w:webHidden/>
              </w:rPr>
              <w:fldChar w:fldCharType="begin"/>
            </w:r>
            <w:r w:rsidR="009017BC">
              <w:rPr>
                <w:noProof/>
                <w:webHidden/>
              </w:rPr>
              <w:instrText xml:space="preserve"> PAGEREF _Toc57975606 \h </w:instrText>
            </w:r>
            <w:r w:rsidR="009017BC">
              <w:rPr>
                <w:noProof/>
                <w:webHidden/>
              </w:rPr>
            </w:r>
            <w:r w:rsidR="009017BC">
              <w:rPr>
                <w:noProof/>
                <w:webHidden/>
              </w:rPr>
              <w:fldChar w:fldCharType="separate"/>
            </w:r>
            <w:r w:rsidR="009017BC">
              <w:rPr>
                <w:noProof/>
                <w:webHidden/>
              </w:rPr>
              <w:t>2</w:t>
            </w:r>
            <w:r w:rsidR="009017BC">
              <w:rPr>
                <w:noProof/>
                <w:webHidden/>
              </w:rPr>
              <w:fldChar w:fldCharType="end"/>
            </w:r>
          </w:hyperlink>
        </w:p>
        <w:p w14:paraId="6EEFC9B1" w14:textId="41397FC1" w:rsidR="009017BC" w:rsidRDefault="00907235">
          <w:pPr>
            <w:pStyle w:val="TOC2"/>
            <w:rPr>
              <w:rFonts w:asciiTheme="minorHAnsi" w:eastAsiaTheme="minorEastAsia" w:hAnsiTheme="minorHAnsi" w:cstheme="minorBidi"/>
              <w:noProof/>
              <w:sz w:val="22"/>
              <w:lang w:val="en-US"/>
            </w:rPr>
          </w:pPr>
          <w:hyperlink w:anchor="_Toc57975607"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Elección del instrumento</w:t>
            </w:r>
            <w:r w:rsidR="009017BC">
              <w:rPr>
                <w:noProof/>
                <w:webHidden/>
              </w:rPr>
              <w:tab/>
            </w:r>
            <w:r w:rsidR="009017BC">
              <w:rPr>
                <w:noProof/>
                <w:webHidden/>
              </w:rPr>
              <w:fldChar w:fldCharType="begin"/>
            </w:r>
            <w:r w:rsidR="009017BC">
              <w:rPr>
                <w:noProof/>
                <w:webHidden/>
              </w:rPr>
              <w:instrText xml:space="preserve"> PAGEREF _Toc57975607 \h </w:instrText>
            </w:r>
            <w:r w:rsidR="009017BC">
              <w:rPr>
                <w:noProof/>
                <w:webHidden/>
              </w:rPr>
            </w:r>
            <w:r w:rsidR="009017BC">
              <w:rPr>
                <w:noProof/>
                <w:webHidden/>
              </w:rPr>
              <w:fldChar w:fldCharType="separate"/>
            </w:r>
            <w:r w:rsidR="009017BC">
              <w:rPr>
                <w:noProof/>
                <w:webHidden/>
              </w:rPr>
              <w:t>2</w:t>
            </w:r>
            <w:r w:rsidR="009017BC">
              <w:rPr>
                <w:noProof/>
                <w:webHidden/>
              </w:rPr>
              <w:fldChar w:fldCharType="end"/>
            </w:r>
          </w:hyperlink>
        </w:p>
        <w:p w14:paraId="001979E6" w14:textId="48F61F76" w:rsidR="009017BC" w:rsidRDefault="00907235">
          <w:pPr>
            <w:pStyle w:val="TOC1"/>
            <w:rPr>
              <w:rFonts w:asciiTheme="minorHAnsi" w:eastAsiaTheme="minorEastAsia" w:hAnsiTheme="minorHAnsi" w:cstheme="minorBidi"/>
              <w:noProof/>
              <w:sz w:val="22"/>
              <w:lang w:val="en-US"/>
            </w:rPr>
          </w:pPr>
          <w:hyperlink w:anchor="_Toc57975608" w:history="1">
            <w:r w:rsidR="009017BC" w:rsidRPr="00ED2F96">
              <w:rPr>
                <w:rStyle w:val="Hyperlink"/>
                <w:noProof/>
              </w:rPr>
              <w:t>3.</w:t>
            </w:r>
            <w:r w:rsidR="009017BC">
              <w:rPr>
                <w:rFonts w:asciiTheme="minorHAnsi" w:eastAsiaTheme="minorEastAsia" w:hAnsiTheme="minorHAnsi" w:cstheme="minorBidi"/>
                <w:noProof/>
                <w:sz w:val="22"/>
                <w:lang w:val="en-US"/>
              </w:rPr>
              <w:tab/>
            </w:r>
            <w:r w:rsidR="009017BC" w:rsidRPr="00ED2F96">
              <w:rPr>
                <w:rStyle w:val="Hyperlink"/>
                <w:noProof/>
              </w:rPr>
              <w:t xml:space="preserve">RESULTADOS DE LAS EVALUACIONES </w:t>
            </w:r>
            <w:r w:rsidR="009017BC" w:rsidRPr="00ED2F96">
              <w:rPr>
                <w:rStyle w:val="Hyperlink"/>
                <w:i/>
                <w:noProof/>
              </w:rPr>
              <w:t>EX POST</w:t>
            </w:r>
            <w:r w:rsidR="009017BC" w:rsidRPr="00ED2F96">
              <w:rPr>
                <w:rStyle w:val="Hyperlink"/>
                <w:noProof/>
              </w:rPr>
              <w:t>, DE LAS CONSULTAS CON LAS PARTES INTERESADAS Y DE LAS EVALUACIONES DE IMPACTO</w:t>
            </w:r>
            <w:r w:rsidR="009017BC">
              <w:rPr>
                <w:noProof/>
                <w:webHidden/>
              </w:rPr>
              <w:tab/>
            </w:r>
            <w:r w:rsidR="009017BC">
              <w:rPr>
                <w:noProof/>
                <w:webHidden/>
              </w:rPr>
              <w:fldChar w:fldCharType="begin"/>
            </w:r>
            <w:r w:rsidR="009017BC">
              <w:rPr>
                <w:noProof/>
                <w:webHidden/>
              </w:rPr>
              <w:instrText xml:space="preserve"> PAGEREF _Toc57975608 \h </w:instrText>
            </w:r>
            <w:r w:rsidR="009017BC">
              <w:rPr>
                <w:noProof/>
                <w:webHidden/>
              </w:rPr>
            </w:r>
            <w:r w:rsidR="009017BC">
              <w:rPr>
                <w:noProof/>
                <w:webHidden/>
              </w:rPr>
              <w:fldChar w:fldCharType="separate"/>
            </w:r>
            <w:r w:rsidR="009017BC">
              <w:rPr>
                <w:noProof/>
                <w:webHidden/>
              </w:rPr>
              <w:t>3</w:t>
            </w:r>
            <w:r w:rsidR="009017BC">
              <w:rPr>
                <w:noProof/>
                <w:webHidden/>
              </w:rPr>
              <w:fldChar w:fldCharType="end"/>
            </w:r>
          </w:hyperlink>
        </w:p>
        <w:p w14:paraId="6C6623ED" w14:textId="76A674B3" w:rsidR="009017BC" w:rsidRDefault="00907235">
          <w:pPr>
            <w:pStyle w:val="TOC2"/>
            <w:rPr>
              <w:rFonts w:asciiTheme="minorHAnsi" w:eastAsiaTheme="minorEastAsia" w:hAnsiTheme="minorHAnsi" w:cstheme="minorBidi"/>
              <w:noProof/>
              <w:sz w:val="22"/>
              <w:lang w:val="en-US"/>
            </w:rPr>
          </w:pPr>
          <w:hyperlink w:anchor="_Toc57975609"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 xml:space="preserve">Evaluaciones </w:t>
            </w:r>
            <w:r w:rsidR="009017BC" w:rsidRPr="00ED2F96">
              <w:rPr>
                <w:rStyle w:val="Hyperlink"/>
                <w:i/>
                <w:noProof/>
                <w:u w:color="000000"/>
                <w:bdr w:val="nil"/>
              </w:rPr>
              <w:t>ex post</w:t>
            </w:r>
            <w:r w:rsidR="009017BC" w:rsidRPr="00ED2F96">
              <w:rPr>
                <w:rStyle w:val="Hyperlink"/>
                <w:noProof/>
                <w:u w:color="000000"/>
                <w:bdr w:val="nil"/>
              </w:rPr>
              <w:t xml:space="preserve"> / controles de la adecuación de la legislación existente</w:t>
            </w:r>
            <w:r w:rsidR="009017BC">
              <w:rPr>
                <w:noProof/>
                <w:webHidden/>
              </w:rPr>
              <w:tab/>
            </w:r>
            <w:r w:rsidR="009017BC">
              <w:rPr>
                <w:noProof/>
                <w:webHidden/>
              </w:rPr>
              <w:fldChar w:fldCharType="begin"/>
            </w:r>
            <w:r w:rsidR="009017BC">
              <w:rPr>
                <w:noProof/>
                <w:webHidden/>
              </w:rPr>
              <w:instrText xml:space="preserve"> PAGEREF _Toc57975609 \h </w:instrText>
            </w:r>
            <w:r w:rsidR="009017BC">
              <w:rPr>
                <w:noProof/>
                <w:webHidden/>
              </w:rPr>
            </w:r>
            <w:r w:rsidR="009017BC">
              <w:rPr>
                <w:noProof/>
                <w:webHidden/>
              </w:rPr>
              <w:fldChar w:fldCharType="separate"/>
            </w:r>
            <w:r w:rsidR="009017BC">
              <w:rPr>
                <w:noProof/>
                <w:webHidden/>
              </w:rPr>
              <w:t>3</w:t>
            </w:r>
            <w:r w:rsidR="009017BC">
              <w:rPr>
                <w:noProof/>
                <w:webHidden/>
              </w:rPr>
              <w:fldChar w:fldCharType="end"/>
            </w:r>
          </w:hyperlink>
        </w:p>
        <w:p w14:paraId="257D1DDB" w14:textId="54C25324" w:rsidR="009017BC" w:rsidRDefault="00907235">
          <w:pPr>
            <w:pStyle w:val="TOC2"/>
            <w:rPr>
              <w:rFonts w:asciiTheme="minorHAnsi" w:eastAsiaTheme="minorEastAsia" w:hAnsiTheme="minorHAnsi" w:cstheme="minorBidi"/>
              <w:noProof/>
              <w:sz w:val="22"/>
              <w:lang w:val="en-US"/>
            </w:rPr>
          </w:pPr>
          <w:hyperlink w:anchor="_Toc57975610"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Consultas con las partes interesadas</w:t>
            </w:r>
            <w:r w:rsidR="009017BC">
              <w:rPr>
                <w:noProof/>
                <w:webHidden/>
              </w:rPr>
              <w:tab/>
            </w:r>
            <w:r w:rsidR="009017BC">
              <w:rPr>
                <w:noProof/>
                <w:webHidden/>
              </w:rPr>
              <w:fldChar w:fldCharType="begin"/>
            </w:r>
            <w:r w:rsidR="009017BC">
              <w:rPr>
                <w:noProof/>
                <w:webHidden/>
              </w:rPr>
              <w:instrText xml:space="preserve"> PAGEREF _Toc57975610 \h </w:instrText>
            </w:r>
            <w:r w:rsidR="009017BC">
              <w:rPr>
                <w:noProof/>
                <w:webHidden/>
              </w:rPr>
            </w:r>
            <w:r w:rsidR="009017BC">
              <w:rPr>
                <w:noProof/>
                <w:webHidden/>
              </w:rPr>
              <w:fldChar w:fldCharType="separate"/>
            </w:r>
            <w:r w:rsidR="009017BC">
              <w:rPr>
                <w:noProof/>
                <w:webHidden/>
              </w:rPr>
              <w:t>3</w:t>
            </w:r>
            <w:r w:rsidR="009017BC">
              <w:rPr>
                <w:noProof/>
                <w:webHidden/>
              </w:rPr>
              <w:fldChar w:fldCharType="end"/>
            </w:r>
          </w:hyperlink>
        </w:p>
        <w:p w14:paraId="4BEF2B42" w14:textId="2597B2BC" w:rsidR="009017BC" w:rsidRDefault="00907235">
          <w:pPr>
            <w:pStyle w:val="TOC2"/>
            <w:rPr>
              <w:rFonts w:asciiTheme="minorHAnsi" w:eastAsiaTheme="minorEastAsia" w:hAnsiTheme="minorHAnsi" w:cstheme="minorBidi"/>
              <w:noProof/>
              <w:sz w:val="22"/>
              <w:lang w:val="en-US"/>
            </w:rPr>
          </w:pPr>
          <w:hyperlink w:anchor="_Toc57975611"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Evaluación de impacto</w:t>
            </w:r>
            <w:r w:rsidR="009017BC">
              <w:rPr>
                <w:noProof/>
                <w:webHidden/>
              </w:rPr>
              <w:tab/>
            </w:r>
            <w:r w:rsidR="009017BC">
              <w:rPr>
                <w:noProof/>
                <w:webHidden/>
              </w:rPr>
              <w:fldChar w:fldCharType="begin"/>
            </w:r>
            <w:r w:rsidR="009017BC">
              <w:rPr>
                <w:noProof/>
                <w:webHidden/>
              </w:rPr>
              <w:instrText xml:space="preserve"> PAGEREF _Toc57975611 \h </w:instrText>
            </w:r>
            <w:r w:rsidR="009017BC">
              <w:rPr>
                <w:noProof/>
                <w:webHidden/>
              </w:rPr>
            </w:r>
            <w:r w:rsidR="009017BC">
              <w:rPr>
                <w:noProof/>
                <w:webHidden/>
              </w:rPr>
              <w:fldChar w:fldCharType="separate"/>
            </w:r>
            <w:r w:rsidR="009017BC">
              <w:rPr>
                <w:noProof/>
                <w:webHidden/>
              </w:rPr>
              <w:t>4</w:t>
            </w:r>
            <w:r w:rsidR="009017BC">
              <w:rPr>
                <w:noProof/>
                <w:webHidden/>
              </w:rPr>
              <w:fldChar w:fldCharType="end"/>
            </w:r>
          </w:hyperlink>
        </w:p>
        <w:p w14:paraId="315B4E81" w14:textId="4E67506E" w:rsidR="009017BC" w:rsidRDefault="00907235">
          <w:pPr>
            <w:pStyle w:val="TOC2"/>
            <w:rPr>
              <w:rFonts w:asciiTheme="minorHAnsi" w:eastAsiaTheme="minorEastAsia" w:hAnsiTheme="minorHAnsi" w:cstheme="minorBidi"/>
              <w:noProof/>
              <w:sz w:val="22"/>
              <w:lang w:val="en-US"/>
            </w:rPr>
          </w:pPr>
          <w:hyperlink w:anchor="_Toc57975612"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Derechos fundamentales</w:t>
            </w:r>
            <w:r w:rsidR="009017BC">
              <w:rPr>
                <w:noProof/>
                <w:webHidden/>
              </w:rPr>
              <w:tab/>
            </w:r>
            <w:r w:rsidR="009017BC">
              <w:rPr>
                <w:noProof/>
                <w:webHidden/>
              </w:rPr>
              <w:fldChar w:fldCharType="begin"/>
            </w:r>
            <w:r w:rsidR="009017BC">
              <w:rPr>
                <w:noProof/>
                <w:webHidden/>
              </w:rPr>
              <w:instrText xml:space="preserve"> PAGEREF _Toc57975612 \h </w:instrText>
            </w:r>
            <w:r w:rsidR="009017BC">
              <w:rPr>
                <w:noProof/>
                <w:webHidden/>
              </w:rPr>
            </w:r>
            <w:r w:rsidR="009017BC">
              <w:rPr>
                <w:noProof/>
                <w:webHidden/>
              </w:rPr>
              <w:fldChar w:fldCharType="separate"/>
            </w:r>
            <w:r w:rsidR="009017BC">
              <w:rPr>
                <w:noProof/>
                <w:webHidden/>
              </w:rPr>
              <w:t>4</w:t>
            </w:r>
            <w:r w:rsidR="009017BC">
              <w:rPr>
                <w:noProof/>
                <w:webHidden/>
              </w:rPr>
              <w:fldChar w:fldCharType="end"/>
            </w:r>
          </w:hyperlink>
        </w:p>
        <w:p w14:paraId="16DF884D" w14:textId="011E89FA" w:rsidR="009017BC" w:rsidRDefault="00907235">
          <w:pPr>
            <w:pStyle w:val="TOC1"/>
            <w:rPr>
              <w:rFonts w:asciiTheme="minorHAnsi" w:eastAsiaTheme="minorEastAsia" w:hAnsiTheme="minorHAnsi" w:cstheme="minorBidi"/>
              <w:noProof/>
              <w:sz w:val="22"/>
              <w:lang w:val="en-US"/>
            </w:rPr>
          </w:pPr>
          <w:hyperlink w:anchor="_Toc57975613" w:history="1">
            <w:r w:rsidR="009017BC" w:rsidRPr="00ED2F96">
              <w:rPr>
                <w:rStyle w:val="Hyperlink"/>
                <w:noProof/>
              </w:rPr>
              <w:t>4.</w:t>
            </w:r>
            <w:r w:rsidR="009017BC">
              <w:rPr>
                <w:rFonts w:asciiTheme="minorHAnsi" w:eastAsiaTheme="minorEastAsia" w:hAnsiTheme="minorHAnsi" w:cstheme="minorBidi"/>
                <w:noProof/>
                <w:sz w:val="22"/>
                <w:lang w:val="en-US"/>
              </w:rPr>
              <w:tab/>
            </w:r>
            <w:r w:rsidR="009017BC" w:rsidRPr="00ED2F96">
              <w:rPr>
                <w:rStyle w:val="Hyperlink"/>
                <w:noProof/>
              </w:rPr>
              <w:t>REPERCUSIONES PRESUPUESTARIAS</w:t>
            </w:r>
            <w:r w:rsidR="009017BC">
              <w:rPr>
                <w:noProof/>
                <w:webHidden/>
              </w:rPr>
              <w:tab/>
            </w:r>
            <w:r w:rsidR="009017BC">
              <w:rPr>
                <w:noProof/>
                <w:webHidden/>
              </w:rPr>
              <w:fldChar w:fldCharType="begin"/>
            </w:r>
            <w:r w:rsidR="009017BC">
              <w:rPr>
                <w:noProof/>
                <w:webHidden/>
              </w:rPr>
              <w:instrText xml:space="preserve"> PAGEREF _Toc57975613 \h </w:instrText>
            </w:r>
            <w:r w:rsidR="009017BC">
              <w:rPr>
                <w:noProof/>
                <w:webHidden/>
              </w:rPr>
            </w:r>
            <w:r w:rsidR="009017BC">
              <w:rPr>
                <w:noProof/>
                <w:webHidden/>
              </w:rPr>
              <w:fldChar w:fldCharType="separate"/>
            </w:r>
            <w:r w:rsidR="009017BC">
              <w:rPr>
                <w:noProof/>
                <w:webHidden/>
              </w:rPr>
              <w:t>4</w:t>
            </w:r>
            <w:r w:rsidR="009017BC">
              <w:rPr>
                <w:noProof/>
                <w:webHidden/>
              </w:rPr>
              <w:fldChar w:fldCharType="end"/>
            </w:r>
          </w:hyperlink>
        </w:p>
        <w:p w14:paraId="187CB8DC" w14:textId="635BB63A" w:rsidR="009017BC" w:rsidRDefault="00907235">
          <w:pPr>
            <w:pStyle w:val="TOC1"/>
            <w:rPr>
              <w:rFonts w:asciiTheme="minorHAnsi" w:eastAsiaTheme="minorEastAsia" w:hAnsiTheme="minorHAnsi" w:cstheme="minorBidi"/>
              <w:noProof/>
              <w:sz w:val="22"/>
              <w:lang w:val="en-US"/>
            </w:rPr>
          </w:pPr>
          <w:hyperlink w:anchor="_Toc57975614" w:history="1">
            <w:r w:rsidR="009017BC" w:rsidRPr="00ED2F96">
              <w:rPr>
                <w:rStyle w:val="Hyperlink"/>
                <w:noProof/>
              </w:rPr>
              <w:t>5.</w:t>
            </w:r>
            <w:r w:rsidR="009017BC">
              <w:rPr>
                <w:rFonts w:asciiTheme="minorHAnsi" w:eastAsiaTheme="minorEastAsia" w:hAnsiTheme="minorHAnsi" w:cstheme="minorBidi"/>
                <w:noProof/>
                <w:sz w:val="22"/>
                <w:lang w:val="en-US"/>
              </w:rPr>
              <w:tab/>
            </w:r>
            <w:r w:rsidR="009017BC" w:rsidRPr="00ED2F96">
              <w:rPr>
                <w:rStyle w:val="Hyperlink"/>
                <w:noProof/>
              </w:rPr>
              <w:t>OTROS ELEMENTOS</w:t>
            </w:r>
            <w:r w:rsidR="009017BC">
              <w:rPr>
                <w:noProof/>
                <w:webHidden/>
              </w:rPr>
              <w:tab/>
            </w:r>
            <w:r w:rsidR="009017BC">
              <w:rPr>
                <w:noProof/>
                <w:webHidden/>
              </w:rPr>
              <w:fldChar w:fldCharType="begin"/>
            </w:r>
            <w:r w:rsidR="009017BC">
              <w:rPr>
                <w:noProof/>
                <w:webHidden/>
              </w:rPr>
              <w:instrText xml:space="preserve"> PAGEREF _Toc57975614 \h </w:instrText>
            </w:r>
            <w:r w:rsidR="009017BC">
              <w:rPr>
                <w:noProof/>
                <w:webHidden/>
              </w:rPr>
            </w:r>
            <w:r w:rsidR="009017BC">
              <w:rPr>
                <w:noProof/>
                <w:webHidden/>
              </w:rPr>
              <w:fldChar w:fldCharType="separate"/>
            </w:r>
            <w:r w:rsidR="009017BC">
              <w:rPr>
                <w:noProof/>
                <w:webHidden/>
              </w:rPr>
              <w:t>5</w:t>
            </w:r>
            <w:r w:rsidR="009017BC">
              <w:rPr>
                <w:noProof/>
                <w:webHidden/>
              </w:rPr>
              <w:fldChar w:fldCharType="end"/>
            </w:r>
          </w:hyperlink>
        </w:p>
        <w:p w14:paraId="03CC7CF5" w14:textId="27D3509A" w:rsidR="009017BC" w:rsidRDefault="00907235">
          <w:pPr>
            <w:pStyle w:val="TOC2"/>
            <w:rPr>
              <w:rFonts w:asciiTheme="minorHAnsi" w:eastAsiaTheme="minorEastAsia" w:hAnsiTheme="minorHAnsi" w:cstheme="minorBidi"/>
              <w:noProof/>
              <w:sz w:val="22"/>
              <w:lang w:val="en-US"/>
            </w:rPr>
          </w:pPr>
          <w:hyperlink w:anchor="_Toc57975615" w:history="1">
            <w:r w:rsidR="009017BC" w:rsidRPr="00ED2F96">
              <w:rPr>
                <w:rStyle w:val="Hyperlink"/>
                <w:noProof/>
                <w:u w:color="000000"/>
                <w:bdr w:val="nil"/>
              </w:rPr>
              <w:t>•</w:t>
            </w:r>
            <w:r w:rsidR="009017BC">
              <w:rPr>
                <w:rFonts w:asciiTheme="minorHAnsi" w:eastAsiaTheme="minorEastAsia" w:hAnsiTheme="minorHAnsi" w:cstheme="minorBidi"/>
                <w:noProof/>
                <w:sz w:val="22"/>
                <w:lang w:val="en-US"/>
              </w:rPr>
              <w:tab/>
            </w:r>
            <w:r w:rsidR="009017BC" w:rsidRPr="00ED2F96">
              <w:rPr>
                <w:rStyle w:val="Hyperlink"/>
                <w:noProof/>
                <w:u w:color="000000"/>
                <w:bdr w:val="nil"/>
              </w:rPr>
              <w:t>Explicación detallada de las disposiciones específicas de la propuesta</w:t>
            </w:r>
            <w:r w:rsidR="009017BC">
              <w:rPr>
                <w:noProof/>
                <w:webHidden/>
              </w:rPr>
              <w:tab/>
            </w:r>
            <w:r w:rsidR="009017BC">
              <w:rPr>
                <w:noProof/>
                <w:webHidden/>
              </w:rPr>
              <w:fldChar w:fldCharType="begin"/>
            </w:r>
            <w:r w:rsidR="009017BC">
              <w:rPr>
                <w:noProof/>
                <w:webHidden/>
              </w:rPr>
              <w:instrText xml:space="preserve"> PAGEREF _Toc57975615 \h </w:instrText>
            </w:r>
            <w:r w:rsidR="009017BC">
              <w:rPr>
                <w:noProof/>
                <w:webHidden/>
              </w:rPr>
            </w:r>
            <w:r w:rsidR="009017BC">
              <w:rPr>
                <w:noProof/>
                <w:webHidden/>
              </w:rPr>
              <w:fldChar w:fldCharType="separate"/>
            </w:r>
            <w:r w:rsidR="009017BC">
              <w:rPr>
                <w:noProof/>
                <w:webHidden/>
              </w:rPr>
              <w:t>5</w:t>
            </w:r>
            <w:r w:rsidR="009017BC">
              <w:rPr>
                <w:noProof/>
                <w:webHidden/>
              </w:rPr>
              <w:fldChar w:fldCharType="end"/>
            </w:r>
          </w:hyperlink>
        </w:p>
        <w:p w14:paraId="56E27CD9" w14:textId="2825A35A" w:rsidR="009017BC" w:rsidRDefault="00907235">
          <w:pPr>
            <w:pStyle w:val="TOC1"/>
            <w:rPr>
              <w:rFonts w:asciiTheme="minorHAnsi" w:eastAsiaTheme="minorEastAsia" w:hAnsiTheme="minorHAnsi" w:cstheme="minorBidi"/>
              <w:noProof/>
              <w:sz w:val="22"/>
              <w:lang w:val="en-US"/>
            </w:rPr>
          </w:pPr>
          <w:hyperlink w:anchor="_Toc57975616" w:history="1">
            <w:r w:rsidR="009017BC" w:rsidRPr="00ED2F96">
              <w:rPr>
                <w:rStyle w:val="Hyperlink"/>
                <w:noProof/>
              </w:rPr>
              <w:t>1.</w:t>
            </w:r>
            <w:r w:rsidR="009017BC">
              <w:rPr>
                <w:rFonts w:asciiTheme="minorHAnsi" w:eastAsiaTheme="minorEastAsia" w:hAnsiTheme="minorHAnsi" w:cstheme="minorBidi"/>
                <w:noProof/>
                <w:sz w:val="22"/>
                <w:lang w:val="en-US"/>
              </w:rPr>
              <w:tab/>
            </w:r>
            <w:r w:rsidR="009017BC" w:rsidRPr="00ED2F96">
              <w:rPr>
                <w:rStyle w:val="Hyperlink"/>
                <w:noProof/>
              </w:rPr>
              <w:t>MARCO DE LA PROPUESTA/INICIATIVA</w:t>
            </w:r>
            <w:r w:rsidR="009017BC">
              <w:rPr>
                <w:noProof/>
                <w:webHidden/>
              </w:rPr>
              <w:tab/>
            </w:r>
            <w:r w:rsidR="009017BC">
              <w:rPr>
                <w:noProof/>
                <w:webHidden/>
              </w:rPr>
              <w:fldChar w:fldCharType="begin"/>
            </w:r>
            <w:r w:rsidR="009017BC">
              <w:rPr>
                <w:noProof/>
                <w:webHidden/>
              </w:rPr>
              <w:instrText xml:space="preserve"> PAGEREF _Toc57975616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49DC735D" w14:textId="38CA901E" w:rsidR="009017BC" w:rsidRDefault="00907235">
          <w:pPr>
            <w:pStyle w:val="TOC2"/>
            <w:rPr>
              <w:rFonts w:asciiTheme="minorHAnsi" w:eastAsiaTheme="minorEastAsia" w:hAnsiTheme="minorHAnsi" w:cstheme="minorBidi"/>
              <w:noProof/>
              <w:sz w:val="22"/>
              <w:lang w:val="en-US"/>
            </w:rPr>
          </w:pPr>
          <w:hyperlink w:anchor="_Toc57975617" w:history="1">
            <w:r w:rsidR="009017BC" w:rsidRPr="00ED2F96">
              <w:rPr>
                <w:rStyle w:val="Hyperlink"/>
                <w:noProof/>
              </w:rPr>
              <w:t>1.1.</w:t>
            </w:r>
            <w:r w:rsidR="009017BC">
              <w:rPr>
                <w:rFonts w:asciiTheme="minorHAnsi" w:eastAsiaTheme="minorEastAsia" w:hAnsiTheme="minorHAnsi" w:cstheme="minorBidi"/>
                <w:noProof/>
                <w:sz w:val="22"/>
                <w:lang w:val="en-US"/>
              </w:rPr>
              <w:tab/>
            </w:r>
            <w:r w:rsidR="009017BC" w:rsidRPr="00ED2F96">
              <w:rPr>
                <w:rStyle w:val="Hyperlink"/>
                <w:noProof/>
              </w:rPr>
              <w:t>Denominación de la propuesta/iniciativa</w:t>
            </w:r>
            <w:r w:rsidR="009017BC">
              <w:rPr>
                <w:noProof/>
                <w:webHidden/>
              </w:rPr>
              <w:tab/>
            </w:r>
            <w:r w:rsidR="009017BC">
              <w:rPr>
                <w:noProof/>
                <w:webHidden/>
              </w:rPr>
              <w:fldChar w:fldCharType="begin"/>
            </w:r>
            <w:r w:rsidR="009017BC">
              <w:rPr>
                <w:noProof/>
                <w:webHidden/>
              </w:rPr>
              <w:instrText xml:space="preserve"> PAGEREF _Toc57975617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29428B28" w14:textId="464BD5F7" w:rsidR="009017BC" w:rsidRDefault="00907235">
          <w:pPr>
            <w:pStyle w:val="TOC2"/>
            <w:rPr>
              <w:rFonts w:asciiTheme="minorHAnsi" w:eastAsiaTheme="minorEastAsia" w:hAnsiTheme="minorHAnsi" w:cstheme="minorBidi"/>
              <w:noProof/>
              <w:sz w:val="22"/>
              <w:lang w:val="en-US"/>
            </w:rPr>
          </w:pPr>
          <w:hyperlink w:anchor="_Toc57975618" w:history="1">
            <w:r w:rsidR="009017BC" w:rsidRPr="00ED2F96">
              <w:rPr>
                <w:rStyle w:val="Hyperlink"/>
                <w:noProof/>
              </w:rPr>
              <w:t>1.2.</w:t>
            </w:r>
            <w:r w:rsidR="009017BC">
              <w:rPr>
                <w:rFonts w:asciiTheme="minorHAnsi" w:eastAsiaTheme="minorEastAsia" w:hAnsiTheme="minorHAnsi" w:cstheme="minorBidi"/>
                <w:noProof/>
                <w:sz w:val="22"/>
                <w:lang w:val="en-US"/>
              </w:rPr>
              <w:tab/>
            </w:r>
            <w:r w:rsidR="009017BC" w:rsidRPr="00ED2F96">
              <w:rPr>
                <w:rStyle w:val="Hyperlink"/>
                <w:noProof/>
              </w:rPr>
              <w:t>Ámbito(s) político(s) afectado(s)</w:t>
            </w:r>
            <w:r w:rsidR="009017BC">
              <w:rPr>
                <w:noProof/>
                <w:webHidden/>
              </w:rPr>
              <w:tab/>
            </w:r>
            <w:r w:rsidR="009017BC">
              <w:rPr>
                <w:noProof/>
                <w:webHidden/>
              </w:rPr>
              <w:fldChar w:fldCharType="begin"/>
            </w:r>
            <w:r w:rsidR="009017BC">
              <w:rPr>
                <w:noProof/>
                <w:webHidden/>
              </w:rPr>
              <w:instrText xml:space="preserve"> PAGEREF _Toc57975618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78E1453C" w14:textId="096C0CF7" w:rsidR="009017BC" w:rsidRDefault="00907235">
          <w:pPr>
            <w:pStyle w:val="TOC2"/>
            <w:rPr>
              <w:rFonts w:asciiTheme="minorHAnsi" w:eastAsiaTheme="minorEastAsia" w:hAnsiTheme="minorHAnsi" w:cstheme="minorBidi"/>
              <w:noProof/>
              <w:sz w:val="22"/>
              <w:lang w:val="en-US"/>
            </w:rPr>
          </w:pPr>
          <w:hyperlink w:anchor="_Toc57975619" w:history="1">
            <w:r w:rsidR="009017BC" w:rsidRPr="00ED2F96">
              <w:rPr>
                <w:rStyle w:val="Hyperlink"/>
                <w:noProof/>
              </w:rPr>
              <w:t>1.3.</w:t>
            </w:r>
            <w:r w:rsidR="009017BC">
              <w:rPr>
                <w:rFonts w:asciiTheme="minorHAnsi" w:eastAsiaTheme="minorEastAsia" w:hAnsiTheme="minorHAnsi" w:cstheme="minorBidi"/>
                <w:noProof/>
                <w:sz w:val="22"/>
                <w:lang w:val="en-US"/>
              </w:rPr>
              <w:tab/>
            </w:r>
            <w:r w:rsidR="009017BC" w:rsidRPr="00ED2F96">
              <w:rPr>
                <w:rStyle w:val="Hyperlink"/>
                <w:noProof/>
              </w:rPr>
              <w:t>La propuesta se refiere a</w:t>
            </w:r>
            <w:r w:rsidR="009017BC">
              <w:rPr>
                <w:noProof/>
                <w:webHidden/>
              </w:rPr>
              <w:tab/>
            </w:r>
            <w:r w:rsidR="009017BC">
              <w:rPr>
                <w:noProof/>
                <w:webHidden/>
              </w:rPr>
              <w:fldChar w:fldCharType="begin"/>
            </w:r>
            <w:r w:rsidR="009017BC">
              <w:rPr>
                <w:noProof/>
                <w:webHidden/>
              </w:rPr>
              <w:instrText xml:space="preserve"> PAGEREF _Toc57975619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752A087A" w14:textId="104C0B33" w:rsidR="009017BC" w:rsidRDefault="00907235">
          <w:pPr>
            <w:pStyle w:val="TOC2"/>
            <w:rPr>
              <w:rFonts w:asciiTheme="minorHAnsi" w:eastAsiaTheme="minorEastAsia" w:hAnsiTheme="minorHAnsi" w:cstheme="minorBidi"/>
              <w:noProof/>
              <w:sz w:val="22"/>
              <w:lang w:val="en-US"/>
            </w:rPr>
          </w:pPr>
          <w:hyperlink w:anchor="_Toc57975620" w:history="1">
            <w:r w:rsidR="009017BC" w:rsidRPr="00ED2F96">
              <w:rPr>
                <w:rStyle w:val="Hyperlink"/>
                <w:noProof/>
              </w:rPr>
              <w:t>1.4.</w:t>
            </w:r>
            <w:r w:rsidR="009017BC">
              <w:rPr>
                <w:rFonts w:asciiTheme="minorHAnsi" w:eastAsiaTheme="minorEastAsia" w:hAnsiTheme="minorHAnsi" w:cstheme="minorBidi"/>
                <w:noProof/>
                <w:sz w:val="22"/>
                <w:lang w:val="en-US"/>
              </w:rPr>
              <w:tab/>
            </w:r>
            <w:r w:rsidR="009017BC" w:rsidRPr="00ED2F96">
              <w:rPr>
                <w:rStyle w:val="Hyperlink"/>
                <w:noProof/>
              </w:rPr>
              <w:t>Objetivo(s)</w:t>
            </w:r>
            <w:r w:rsidR="009017BC">
              <w:rPr>
                <w:noProof/>
                <w:webHidden/>
              </w:rPr>
              <w:tab/>
            </w:r>
            <w:r w:rsidR="009017BC">
              <w:rPr>
                <w:noProof/>
                <w:webHidden/>
              </w:rPr>
              <w:fldChar w:fldCharType="begin"/>
            </w:r>
            <w:r w:rsidR="009017BC">
              <w:rPr>
                <w:noProof/>
                <w:webHidden/>
              </w:rPr>
              <w:instrText xml:space="preserve"> PAGEREF _Toc57975620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68942FEC" w14:textId="10888D28" w:rsidR="009017BC" w:rsidRDefault="00907235">
          <w:pPr>
            <w:pStyle w:val="TOC3"/>
            <w:rPr>
              <w:rFonts w:asciiTheme="minorHAnsi" w:eastAsiaTheme="minorEastAsia" w:hAnsiTheme="minorHAnsi" w:cstheme="minorBidi"/>
              <w:noProof/>
              <w:sz w:val="22"/>
              <w:lang w:val="en-US"/>
            </w:rPr>
          </w:pPr>
          <w:hyperlink w:anchor="_Toc57975621" w:history="1">
            <w:r w:rsidR="009017BC" w:rsidRPr="00ED2F96">
              <w:rPr>
                <w:rStyle w:val="Hyperlink"/>
                <w:noProof/>
              </w:rPr>
              <w:t>1.4.1.</w:t>
            </w:r>
            <w:r w:rsidR="009017BC">
              <w:rPr>
                <w:rFonts w:asciiTheme="minorHAnsi" w:eastAsiaTheme="minorEastAsia" w:hAnsiTheme="minorHAnsi" w:cstheme="minorBidi"/>
                <w:noProof/>
                <w:sz w:val="22"/>
                <w:lang w:val="en-US"/>
              </w:rPr>
              <w:tab/>
            </w:r>
            <w:r w:rsidR="009017BC" w:rsidRPr="00ED2F96">
              <w:rPr>
                <w:rStyle w:val="Hyperlink"/>
                <w:noProof/>
              </w:rPr>
              <w:t>Objetivo(s) general(es)</w:t>
            </w:r>
            <w:r w:rsidR="009017BC">
              <w:rPr>
                <w:noProof/>
                <w:webHidden/>
              </w:rPr>
              <w:tab/>
            </w:r>
            <w:r w:rsidR="009017BC">
              <w:rPr>
                <w:noProof/>
                <w:webHidden/>
              </w:rPr>
              <w:fldChar w:fldCharType="begin"/>
            </w:r>
            <w:r w:rsidR="009017BC">
              <w:rPr>
                <w:noProof/>
                <w:webHidden/>
              </w:rPr>
              <w:instrText xml:space="preserve"> PAGEREF _Toc57975621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17FF5777" w14:textId="32EEB807" w:rsidR="009017BC" w:rsidRDefault="00907235">
          <w:pPr>
            <w:pStyle w:val="TOC3"/>
            <w:rPr>
              <w:rFonts w:asciiTheme="minorHAnsi" w:eastAsiaTheme="minorEastAsia" w:hAnsiTheme="minorHAnsi" w:cstheme="minorBidi"/>
              <w:noProof/>
              <w:sz w:val="22"/>
              <w:lang w:val="en-US"/>
            </w:rPr>
          </w:pPr>
          <w:hyperlink w:anchor="_Toc57975622" w:history="1">
            <w:r w:rsidR="009017BC" w:rsidRPr="00ED2F96">
              <w:rPr>
                <w:rStyle w:val="Hyperlink"/>
                <w:noProof/>
              </w:rPr>
              <w:t>1.4.2.</w:t>
            </w:r>
            <w:r w:rsidR="009017BC">
              <w:rPr>
                <w:rFonts w:asciiTheme="minorHAnsi" w:eastAsiaTheme="minorEastAsia" w:hAnsiTheme="minorHAnsi" w:cstheme="minorBidi"/>
                <w:noProof/>
                <w:sz w:val="22"/>
                <w:lang w:val="en-US"/>
              </w:rPr>
              <w:tab/>
            </w:r>
            <w:r w:rsidR="009017BC" w:rsidRPr="00ED2F96">
              <w:rPr>
                <w:rStyle w:val="Hyperlink"/>
                <w:noProof/>
              </w:rPr>
              <w:t>Objetivo(s) específico(s)</w:t>
            </w:r>
            <w:r w:rsidR="009017BC">
              <w:rPr>
                <w:noProof/>
                <w:webHidden/>
              </w:rPr>
              <w:tab/>
            </w:r>
            <w:r w:rsidR="009017BC">
              <w:rPr>
                <w:noProof/>
                <w:webHidden/>
              </w:rPr>
              <w:fldChar w:fldCharType="begin"/>
            </w:r>
            <w:r w:rsidR="009017BC">
              <w:rPr>
                <w:noProof/>
                <w:webHidden/>
              </w:rPr>
              <w:instrText xml:space="preserve"> PAGEREF _Toc57975622 \h </w:instrText>
            </w:r>
            <w:r w:rsidR="009017BC">
              <w:rPr>
                <w:noProof/>
                <w:webHidden/>
              </w:rPr>
            </w:r>
            <w:r w:rsidR="009017BC">
              <w:rPr>
                <w:noProof/>
                <w:webHidden/>
              </w:rPr>
              <w:fldChar w:fldCharType="separate"/>
            </w:r>
            <w:r w:rsidR="009017BC">
              <w:rPr>
                <w:noProof/>
                <w:webHidden/>
              </w:rPr>
              <w:t>35</w:t>
            </w:r>
            <w:r w:rsidR="009017BC">
              <w:rPr>
                <w:noProof/>
                <w:webHidden/>
              </w:rPr>
              <w:fldChar w:fldCharType="end"/>
            </w:r>
          </w:hyperlink>
        </w:p>
        <w:p w14:paraId="39CB24D5" w14:textId="59DBE936" w:rsidR="009017BC" w:rsidRDefault="00907235">
          <w:pPr>
            <w:pStyle w:val="TOC3"/>
            <w:rPr>
              <w:rFonts w:asciiTheme="minorHAnsi" w:eastAsiaTheme="minorEastAsia" w:hAnsiTheme="minorHAnsi" w:cstheme="minorBidi"/>
              <w:noProof/>
              <w:sz w:val="22"/>
              <w:lang w:val="en-US"/>
            </w:rPr>
          </w:pPr>
          <w:hyperlink w:anchor="_Toc57975623" w:history="1">
            <w:r w:rsidR="009017BC" w:rsidRPr="00ED2F96">
              <w:rPr>
                <w:rStyle w:val="Hyperlink"/>
                <w:noProof/>
              </w:rPr>
              <w:t>1.4.3.</w:t>
            </w:r>
            <w:r w:rsidR="009017BC">
              <w:rPr>
                <w:rFonts w:asciiTheme="minorHAnsi" w:eastAsiaTheme="minorEastAsia" w:hAnsiTheme="minorHAnsi" w:cstheme="minorBidi"/>
                <w:noProof/>
                <w:sz w:val="22"/>
                <w:lang w:val="en-US"/>
              </w:rPr>
              <w:tab/>
            </w:r>
            <w:r w:rsidR="009017BC" w:rsidRPr="00ED2F96">
              <w:rPr>
                <w:rStyle w:val="Hyperlink"/>
                <w:noProof/>
              </w:rPr>
              <w:t>Resultado(s) e incidencia esperados</w:t>
            </w:r>
            <w:r w:rsidR="009017BC">
              <w:rPr>
                <w:noProof/>
                <w:webHidden/>
              </w:rPr>
              <w:tab/>
            </w:r>
            <w:r w:rsidR="009017BC">
              <w:rPr>
                <w:noProof/>
                <w:webHidden/>
              </w:rPr>
              <w:fldChar w:fldCharType="begin"/>
            </w:r>
            <w:r w:rsidR="009017BC">
              <w:rPr>
                <w:noProof/>
                <w:webHidden/>
              </w:rPr>
              <w:instrText xml:space="preserve"> PAGEREF _Toc57975623 \h </w:instrText>
            </w:r>
            <w:r w:rsidR="009017BC">
              <w:rPr>
                <w:noProof/>
                <w:webHidden/>
              </w:rPr>
            </w:r>
            <w:r w:rsidR="009017BC">
              <w:rPr>
                <w:noProof/>
                <w:webHidden/>
              </w:rPr>
              <w:fldChar w:fldCharType="separate"/>
            </w:r>
            <w:r w:rsidR="009017BC">
              <w:rPr>
                <w:noProof/>
                <w:webHidden/>
              </w:rPr>
              <w:t>36</w:t>
            </w:r>
            <w:r w:rsidR="009017BC">
              <w:rPr>
                <w:noProof/>
                <w:webHidden/>
              </w:rPr>
              <w:fldChar w:fldCharType="end"/>
            </w:r>
          </w:hyperlink>
        </w:p>
        <w:p w14:paraId="4150C67C" w14:textId="39AE6115" w:rsidR="009017BC" w:rsidRDefault="00907235">
          <w:pPr>
            <w:pStyle w:val="TOC3"/>
            <w:rPr>
              <w:rFonts w:asciiTheme="minorHAnsi" w:eastAsiaTheme="minorEastAsia" w:hAnsiTheme="minorHAnsi" w:cstheme="minorBidi"/>
              <w:noProof/>
              <w:sz w:val="22"/>
              <w:lang w:val="en-US"/>
            </w:rPr>
          </w:pPr>
          <w:hyperlink w:anchor="_Toc57975624" w:history="1">
            <w:r w:rsidR="009017BC" w:rsidRPr="00ED2F96">
              <w:rPr>
                <w:rStyle w:val="Hyperlink"/>
                <w:noProof/>
              </w:rPr>
              <w:t>1.4.4.</w:t>
            </w:r>
            <w:r w:rsidR="009017BC">
              <w:rPr>
                <w:rFonts w:asciiTheme="minorHAnsi" w:eastAsiaTheme="minorEastAsia" w:hAnsiTheme="minorHAnsi" w:cstheme="minorBidi"/>
                <w:noProof/>
                <w:sz w:val="22"/>
                <w:lang w:val="en-US"/>
              </w:rPr>
              <w:tab/>
            </w:r>
            <w:r w:rsidR="009017BC" w:rsidRPr="00ED2F96">
              <w:rPr>
                <w:rStyle w:val="Hyperlink"/>
                <w:noProof/>
              </w:rPr>
              <w:t>Indicadores de rendimiento</w:t>
            </w:r>
            <w:r w:rsidR="009017BC">
              <w:rPr>
                <w:noProof/>
                <w:webHidden/>
              </w:rPr>
              <w:tab/>
            </w:r>
            <w:r w:rsidR="009017BC">
              <w:rPr>
                <w:noProof/>
                <w:webHidden/>
              </w:rPr>
              <w:fldChar w:fldCharType="begin"/>
            </w:r>
            <w:r w:rsidR="009017BC">
              <w:rPr>
                <w:noProof/>
                <w:webHidden/>
              </w:rPr>
              <w:instrText xml:space="preserve"> PAGEREF _Toc57975624 \h </w:instrText>
            </w:r>
            <w:r w:rsidR="009017BC">
              <w:rPr>
                <w:noProof/>
                <w:webHidden/>
              </w:rPr>
            </w:r>
            <w:r w:rsidR="009017BC">
              <w:rPr>
                <w:noProof/>
                <w:webHidden/>
              </w:rPr>
              <w:fldChar w:fldCharType="separate"/>
            </w:r>
            <w:r w:rsidR="009017BC">
              <w:rPr>
                <w:noProof/>
                <w:webHidden/>
              </w:rPr>
              <w:t>36</w:t>
            </w:r>
            <w:r w:rsidR="009017BC">
              <w:rPr>
                <w:noProof/>
                <w:webHidden/>
              </w:rPr>
              <w:fldChar w:fldCharType="end"/>
            </w:r>
          </w:hyperlink>
        </w:p>
        <w:p w14:paraId="52DB6B59" w14:textId="36B97AFA" w:rsidR="009017BC" w:rsidRDefault="00907235">
          <w:pPr>
            <w:pStyle w:val="TOC2"/>
            <w:rPr>
              <w:rFonts w:asciiTheme="minorHAnsi" w:eastAsiaTheme="minorEastAsia" w:hAnsiTheme="minorHAnsi" w:cstheme="minorBidi"/>
              <w:noProof/>
              <w:sz w:val="22"/>
              <w:lang w:val="en-US"/>
            </w:rPr>
          </w:pPr>
          <w:hyperlink w:anchor="_Toc57975625" w:history="1">
            <w:r w:rsidR="009017BC" w:rsidRPr="00ED2F96">
              <w:rPr>
                <w:rStyle w:val="Hyperlink"/>
                <w:noProof/>
              </w:rPr>
              <w:t>1.5.</w:t>
            </w:r>
            <w:r w:rsidR="009017BC">
              <w:rPr>
                <w:rFonts w:asciiTheme="minorHAnsi" w:eastAsiaTheme="minorEastAsia" w:hAnsiTheme="minorHAnsi" w:cstheme="minorBidi"/>
                <w:noProof/>
                <w:sz w:val="22"/>
                <w:lang w:val="en-US"/>
              </w:rPr>
              <w:tab/>
            </w:r>
            <w:r w:rsidR="009017BC" w:rsidRPr="00ED2F96">
              <w:rPr>
                <w:rStyle w:val="Hyperlink"/>
                <w:noProof/>
              </w:rPr>
              <w:t>Justificación de la propuesta/iniciativa</w:t>
            </w:r>
            <w:r w:rsidR="009017BC">
              <w:rPr>
                <w:noProof/>
                <w:webHidden/>
              </w:rPr>
              <w:tab/>
            </w:r>
            <w:r w:rsidR="009017BC">
              <w:rPr>
                <w:noProof/>
                <w:webHidden/>
              </w:rPr>
              <w:fldChar w:fldCharType="begin"/>
            </w:r>
            <w:r w:rsidR="009017BC">
              <w:rPr>
                <w:noProof/>
                <w:webHidden/>
              </w:rPr>
              <w:instrText xml:space="preserve"> PAGEREF _Toc57975625 \h </w:instrText>
            </w:r>
            <w:r w:rsidR="009017BC">
              <w:rPr>
                <w:noProof/>
                <w:webHidden/>
              </w:rPr>
            </w:r>
            <w:r w:rsidR="009017BC">
              <w:rPr>
                <w:noProof/>
                <w:webHidden/>
              </w:rPr>
              <w:fldChar w:fldCharType="separate"/>
            </w:r>
            <w:r w:rsidR="009017BC">
              <w:rPr>
                <w:noProof/>
                <w:webHidden/>
              </w:rPr>
              <w:t>36</w:t>
            </w:r>
            <w:r w:rsidR="009017BC">
              <w:rPr>
                <w:noProof/>
                <w:webHidden/>
              </w:rPr>
              <w:fldChar w:fldCharType="end"/>
            </w:r>
          </w:hyperlink>
        </w:p>
        <w:p w14:paraId="46B2092D" w14:textId="476B30DD" w:rsidR="009017BC" w:rsidRDefault="00907235">
          <w:pPr>
            <w:pStyle w:val="TOC3"/>
            <w:rPr>
              <w:rFonts w:asciiTheme="minorHAnsi" w:eastAsiaTheme="minorEastAsia" w:hAnsiTheme="minorHAnsi" w:cstheme="minorBidi"/>
              <w:noProof/>
              <w:sz w:val="22"/>
              <w:lang w:val="en-US"/>
            </w:rPr>
          </w:pPr>
          <w:hyperlink w:anchor="_Toc57975626" w:history="1">
            <w:r w:rsidR="009017BC" w:rsidRPr="00ED2F96">
              <w:rPr>
                <w:rStyle w:val="Hyperlink"/>
                <w:noProof/>
              </w:rPr>
              <w:t>1.5.1.</w:t>
            </w:r>
            <w:r w:rsidR="009017BC">
              <w:rPr>
                <w:rFonts w:asciiTheme="minorHAnsi" w:eastAsiaTheme="minorEastAsia" w:hAnsiTheme="minorHAnsi" w:cstheme="minorBidi"/>
                <w:noProof/>
                <w:sz w:val="22"/>
                <w:lang w:val="en-US"/>
              </w:rPr>
              <w:tab/>
            </w:r>
            <w:r w:rsidR="009017BC" w:rsidRPr="00ED2F96">
              <w:rPr>
                <w:rStyle w:val="Hyperlink"/>
                <w:noProof/>
              </w:rPr>
              <w:t>Necesidad(es) que debe(n) satisfacerse a corto o largo plazo, incluido un calendario detallado del despliegue de la aplicación de la iniciativa</w:t>
            </w:r>
            <w:r w:rsidR="009017BC">
              <w:rPr>
                <w:noProof/>
                <w:webHidden/>
              </w:rPr>
              <w:tab/>
            </w:r>
            <w:r w:rsidR="009017BC">
              <w:rPr>
                <w:noProof/>
                <w:webHidden/>
              </w:rPr>
              <w:fldChar w:fldCharType="begin"/>
            </w:r>
            <w:r w:rsidR="009017BC">
              <w:rPr>
                <w:noProof/>
                <w:webHidden/>
              </w:rPr>
              <w:instrText xml:space="preserve"> PAGEREF _Toc57975626 \h </w:instrText>
            </w:r>
            <w:r w:rsidR="009017BC">
              <w:rPr>
                <w:noProof/>
                <w:webHidden/>
              </w:rPr>
            </w:r>
            <w:r w:rsidR="009017BC">
              <w:rPr>
                <w:noProof/>
                <w:webHidden/>
              </w:rPr>
              <w:fldChar w:fldCharType="separate"/>
            </w:r>
            <w:r w:rsidR="009017BC">
              <w:rPr>
                <w:noProof/>
                <w:webHidden/>
              </w:rPr>
              <w:t>36</w:t>
            </w:r>
            <w:r w:rsidR="009017BC">
              <w:rPr>
                <w:noProof/>
                <w:webHidden/>
              </w:rPr>
              <w:fldChar w:fldCharType="end"/>
            </w:r>
          </w:hyperlink>
        </w:p>
        <w:p w14:paraId="3716E701" w14:textId="48DDE914" w:rsidR="009017BC" w:rsidRDefault="00907235">
          <w:pPr>
            <w:pStyle w:val="TOC3"/>
            <w:rPr>
              <w:rFonts w:asciiTheme="minorHAnsi" w:eastAsiaTheme="minorEastAsia" w:hAnsiTheme="minorHAnsi" w:cstheme="minorBidi"/>
              <w:noProof/>
              <w:sz w:val="22"/>
              <w:lang w:val="en-US"/>
            </w:rPr>
          </w:pPr>
          <w:hyperlink w:anchor="_Toc57975627" w:history="1">
            <w:r w:rsidR="009017BC" w:rsidRPr="00ED2F96">
              <w:rPr>
                <w:rStyle w:val="Hyperlink"/>
                <w:noProof/>
              </w:rPr>
              <w:t>1.5.2.</w:t>
            </w:r>
            <w:r w:rsidR="009017BC">
              <w:rPr>
                <w:rFonts w:asciiTheme="minorHAnsi" w:eastAsiaTheme="minorEastAsia" w:hAnsiTheme="minorHAnsi" w:cstheme="minorBidi"/>
                <w:noProof/>
                <w:sz w:val="22"/>
                <w:lang w:val="en-US"/>
              </w:rPr>
              <w:tab/>
            </w:r>
            <w:r w:rsidR="009017BC" w:rsidRPr="00ED2F96">
              <w:rPr>
                <w:rStyle w:val="Hyperlink"/>
                <w:noProof/>
              </w:rPr>
              <w:t>Valor añadido de la intervención de la Unión (puede derivarse de distintos factores, como mejor coordinación, seguridad jurídica, mejora de la eficacia o complementariedades). A efectos del presente punto, se entenderá por «valor añadido de la intervencin de la Unión» el valor resultante de una intervención de la Unión que viene a sumarse al valor que se habría generado de haber actuado los Estados miembros de forma aislada.</w:t>
            </w:r>
            <w:r w:rsidR="009017BC">
              <w:rPr>
                <w:noProof/>
                <w:webHidden/>
              </w:rPr>
              <w:tab/>
            </w:r>
            <w:r w:rsidR="009017BC">
              <w:rPr>
                <w:noProof/>
                <w:webHidden/>
              </w:rPr>
              <w:fldChar w:fldCharType="begin"/>
            </w:r>
            <w:r w:rsidR="009017BC">
              <w:rPr>
                <w:noProof/>
                <w:webHidden/>
              </w:rPr>
              <w:instrText xml:space="preserve"> PAGEREF _Toc57975627 \h </w:instrText>
            </w:r>
            <w:r w:rsidR="009017BC">
              <w:rPr>
                <w:noProof/>
                <w:webHidden/>
              </w:rPr>
            </w:r>
            <w:r w:rsidR="009017BC">
              <w:rPr>
                <w:noProof/>
                <w:webHidden/>
              </w:rPr>
              <w:fldChar w:fldCharType="separate"/>
            </w:r>
            <w:r w:rsidR="009017BC">
              <w:rPr>
                <w:noProof/>
                <w:webHidden/>
              </w:rPr>
              <w:t>37</w:t>
            </w:r>
            <w:r w:rsidR="009017BC">
              <w:rPr>
                <w:noProof/>
                <w:webHidden/>
              </w:rPr>
              <w:fldChar w:fldCharType="end"/>
            </w:r>
          </w:hyperlink>
        </w:p>
        <w:p w14:paraId="04A8DB2C" w14:textId="44FE9924" w:rsidR="009017BC" w:rsidRDefault="00907235">
          <w:pPr>
            <w:pStyle w:val="TOC3"/>
            <w:rPr>
              <w:rFonts w:asciiTheme="minorHAnsi" w:eastAsiaTheme="minorEastAsia" w:hAnsiTheme="minorHAnsi" w:cstheme="minorBidi"/>
              <w:noProof/>
              <w:sz w:val="22"/>
              <w:lang w:val="en-US"/>
            </w:rPr>
          </w:pPr>
          <w:hyperlink w:anchor="_Toc57975628" w:history="1">
            <w:r w:rsidR="009017BC" w:rsidRPr="00ED2F96">
              <w:rPr>
                <w:rStyle w:val="Hyperlink"/>
                <w:noProof/>
              </w:rPr>
              <w:t>1.5.3.</w:t>
            </w:r>
            <w:r w:rsidR="009017BC">
              <w:rPr>
                <w:rFonts w:asciiTheme="minorHAnsi" w:eastAsiaTheme="minorEastAsia" w:hAnsiTheme="minorHAnsi" w:cstheme="minorBidi"/>
                <w:noProof/>
                <w:sz w:val="22"/>
                <w:lang w:val="en-US"/>
              </w:rPr>
              <w:tab/>
            </w:r>
            <w:r w:rsidR="009017BC" w:rsidRPr="00ED2F96">
              <w:rPr>
                <w:rStyle w:val="Hyperlink"/>
                <w:noProof/>
              </w:rPr>
              <w:t>Principales conclusiones extraídas de experiencias similares anteriores</w:t>
            </w:r>
            <w:r w:rsidR="009017BC">
              <w:rPr>
                <w:noProof/>
                <w:webHidden/>
              </w:rPr>
              <w:tab/>
            </w:r>
            <w:r w:rsidR="009017BC">
              <w:rPr>
                <w:noProof/>
                <w:webHidden/>
              </w:rPr>
              <w:fldChar w:fldCharType="begin"/>
            </w:r>
            <w:r w:rsidR="009017BC">
              <w:rPr>
                <w:noProof/>
                <w:webHidden/>
              </w:rPr>
              <w:instrText xml:space="preserve"> PAGEREF _Toc57975628 \h </w:instrText>
            </w:r>
            <w:r w:rsidR="009017BC">
              <w:rPr>
                <w:noProof/>
                <w:webHidden/>
              </w:rPr>
            </w:r>
            <w:r w:rsidR="009017BC">
              <w:rPr>
                <w:noProof/>
                <w:webHidden/>
              </w:rPr>
              <w:fldChar w:fldCharType="separate"/>
            </w:r>
            <w:r w:rsidR="009017BC">
              <w:rPr>
                <w:noProof/>
                <w:webHidden/>
              </w:rPr>
              <w:t>37</w:t>
            </w:r>
            <w:r w:rsidR="009017BC">
              <w:rPr>
                <w:noProof/>
                <w:webHidden/>
              </w:rPr>
              <w:fldChar w:fldCharType="end"/>
            </w:r>
          </w:hyperlink>
        </w:p>
        <w:p w14:paraId="5CECD73D" w14:textId="469CC667" w:rsidR="009017BC" w:rsidRDefault="00907235">
          <w:pPr>
            <w:pStyle w:val="TOC3"/>
            <w:rPr>
              <w:rFonts w:asciiTheme="minorHAnsi" w:eastAsiaTheme="minorEastAsia" w:hAnsiTheme="minorHAnsi" w:cstheme="minorBidi"/>
              <w:noProof/>
              <w:sz w:val="22"/>
              <w:lang w:val="en-US"/>
            </w:rPr>
          </w:pPr>
          <w:hyperlink w:anchor="_Toc57975629" w:history="1">
            <w:r w:rsidR="009017BC" w:rsidRPr="00ED2F96">
              <w:rPr>
                <w:rStyle w:val="Hyperlink"/>
                <w:noProof/>
              </w:rPr>
              <w:t>1.5.4.</w:t>
            </w:r>
            <w:r w:rsidR="009017BC">
              <w:rPr>
                <w:rFonts w:asciiTheme="minorHAnsi" w:eastAsiaTheme="minorEastAsia" w:hAnsiTheme="minorHAnsi" w:cstheme="minorBidi"/>
                <w:noProof/>
                <w:sz w:val="22"/>
                <w:lang w:val="en-US"/>
              </w:rPr>
              <w:tab/>
            </w:r>
            <w:r w:rsidR="009017BC" w:rsidRPr="00ED2F96">
              <w:rPr>
                <w:rStyle w:val="Hyperlink"/>
                <w:noProof/>
              </w:rPr>
              <w:t>Compatibilidad con el marco financiero plurianual y posibles sinergias con otros instrumentos adecuados</w:t>
            </w:r>
            <w:r w:rsidR="009017BC">
              <w:rPr>
                <w:noProof/>
                <w:webHidden/>
              </w:rPr>
              <w:tab/>
            </w:r>
            <w:r w:rsidR="009017BC">
              <w:rPr>
                <w:noProof/>
                <w:webHidden/>
              </w:rPr>
              <w:fldChar w:fldCharType="begin"/>
            </w:r>
            <w:r w:rsidR="009017BC">
              <w:rPr>
                <w:noProof/>
                <w:webHidden/>
              </w:rPr>
              <w:instrText xml:space="preserve"> PAGEREF _Toc57975629 \h </w:instrText>
            </w:r>
            <w:r w:rsidR="009017BC">
              <w:rPr>
                <w:noProof/>
                <w:webHidden/>
              </w:rPr>
            </w:r>
            <w:r w:rsidR="009017BC">
              <w:rPr>
                <w:noProof/>
                <w:webHidden/>
              </w:rPr>
              <w:fldChar w:fldCharType="separate"/>
            </w:r>
            <w:r w:rsidR="009017BC">
              <w:rPr>
                <w:noProof/>
                <w:webHidden/>
              </w:rPr>
              <w:t>37</w:t>
            </w:r>
            <w:r w:rsidR="009017BC">
              <w:rPr>
                <w:noProof/>
                <w:webHidden/>
              </w:rPr>
              <w:fldChar w:fldCharType="end"/>
            </w:r>
          </w:hyperlink>
        </w:p>
        <w:p w14:paraId="050A181B" w14:textId="6AD7BC82" w:rsidR="009017BC" w:rsidRDefault="00907235">
          <w:pPr>
            <w:pStyle w:val="TOC3"/>
            <w:rPr>
              <w:rFonts w:asciiTheme="minorHAnsi" w:eastAsiaTheme="minorEastAsia" w:hAnsiTheme="minorHAnsi" w:cstheme="minorBidi"/>
              <w:noProof/>
              <w:sz w:val="22"/>
              <w:lang w:val="en-US"/>
            </w:rPr>
          </w:pPr>
          <w:hyperlink w:anchor="_Toc57975630" w:history="1">
            <w:r w:rsidR="009017BC" w:rsidRPr="00ED2F96">
              <w:rPr>
                <w:rStyle w:val="Hyperlink"/>
                <w:noProof/>
              </w:rPr>
              <w:t>1.5.5.</w:t>
            </w:r>
            <w:r w:rsidR="009017BC">
              <w:rPr>
                <w:rFonts w:asciiTheme="minorHAnsi" w:eastAsiaTheme="minorEastAsia" w:hAnsiTheme="minorHAnsi" w:cstheme="minorBidi"/>
                <w:noProof/>
                <w:sz w:val="22"/>
                <w:lang w:val="en-US"/>
              </w:rPr>
              <w:tab/>
            </w:r>
            <w:r w:rsidR="009017BC" w:rsidRPr="00ED2F96">
              <w:rPr>
                <w:rStyle w:val="Hyperlink"/>
                <w:noProof/>
              </w:rPr>
              <w:t>Evaluación de las diferentes opciones de financiación disponibles, incluidas las posibilidades de reasignación</w:t>
            </w:r>
            <w:r w:rsidR="009017BC">
              <w:rPr>
                <w:noProof/>
                <w:webHidden/>
              </w:rPr>
              <w:tab/>
            </w:r>
            <w:r w:rsidR="009017BC">
              <w:rPr>
                <w:noProof/>
                <w:webHidden/>
              </w:rPr>
              <w:fldChar w:fldCharType="begin"/>
            </w:r>
            <w:r w:rsidR="009017BC">
              <w:rPr>
                <w:noProof/>
                <w:webHidden/>
              </w:rPr>
              <w:instrText xml:space="preserve"> PAGEREF _Toc57975630 \h </w:instrText>
            </w:r>
            <w:r w:rsidR="009017BC">
              <w:rPr>
                <w:noProof/>
                <w:webHidden/>
              </w:rPr>
            </w:r>
            <w:r w:rsidR="009017BC">
              <w:rPr>
                <w:noProof/>
                <w:webHidden/>
              </w:rPr>
              <w:fldChar w:fldCharType="separate"/>
            </w:r>
            <w:r w:rsidR="009017BC">
              <w:rPr>
                <w:noProof/>
                <w:webHidden/>
              </w:rPr>
              <w:t>37</w:t>
            </w:r>
            <w:r w:rsidR="009017BC">
              <w:rPr>
                <w:noProof/>
                <w:webHidden/>
              </w:rPr>
              <w:fldChar w:fldCharType="end"/>
            </w:r>
          </w:hyperlink>
        </w:p>
        <w:p w14:paraId="6F4B6839" w14:textId="1086F389" w:rsidR="009017BC" w:rsidRDefault="00907235">
          <w:pPr>
            <w:pStyle w:val="TOC2"/>
            <w:rPr>
              <w:rFonts w:asciiTheme="minorHAnsi" w:eastAsiaTheme="minorEastAsia" w:hAnsiTheme="minorHAnsi" w:cstheme="minorBidi"/>
              <w:noProof/>
              <w:sz w:val="22"/>
              <w:lang w:val="en-US"/>
            </w:rPr>
          </w:pPr>
          <w:hyperlink w:anchor="_Toc57975631" w:history="1">
            <w:r w:rsidR="009017BC" w:rsidRPr="00ED2F96">
              <w:rPr>
                <w:rStyle w:val="Hyperlink"/>
                <w:noProof/>
              </w:rPr>
              <w:t>1.6.</w:t>
            </w:r>
            <w:r w:rsidR="009017BC">
              <w:rPr>
                <w:rFonts w:asciiTheme="minorHAnsi" w:eastAsiaTheme="minorEastAsia" w:hAnsiTheme="minorHAnsi" w:cstheme="minorBidi"/>
                <w:noProof/>
                <w:sz w:val="22"/>
                <w:lang w:val="en-US"/>
              </w:rPr>
              <w:tab/>
            </w:r>
            <w:r w:rsidR="009017BC" w:rsidRPr="00ED2F96">
              <w:rPr>
                <w:rStyle w:val="Hyperlink"/>
                <w:noProof/>
              </w:rPr>
              <w:t>Duración e incidencia financiera de la propuesta/iniciativa</w:t>
            </w:r>
            <w:r w:rsidR="009017BC">
              <w:rPr>
                <w:noProof/>
                <w:webHidden/>
              </w:rPr>
              <w:tab/>
            </w:r>
            <w:r w:rsidR="009017BC">
              <w:rPr>
                <w:noProof/>
                <w:webHidden/>
              </w:rPr>
              <w:fldChar w:fldCharType="begin"/>
            </w:r>
            <w:r w:rsidR="009017BC">
              <w:rPr>
                <w:noProof/>
                <w:webHidden/>
              </w:rPr>
              <w:instrText xml:space="preserve"> PAGEREF _Toc57975631 \h </w:instrText>
            </w:r>
            <w:r w:rsidR="009017BC">
              <w:rPr>
                <w:noProof/>
                <w:webHidden/>
              </w:rPr>
            </w:r>
            <w:r w:rsidR="009017BC">
              <w:rPr>
                <w:noProof/>
                <w:webHidden/>
              </w:rPr>
              <w:fldChar w:fldCharType="separate"/>
            </w:r>
            <w:r w:rsidR="009017BC">
              <w:rPr>
                <w:noProof/>
                <w:webHidden/>
              </w:rPr>
              <w:t>38</w:t>
            </w:r>
            <w:r w:rsidR="009017BC">
              <w:rPr>
                <w:noProof/>
                <w:webHidden/>
              </w:rPr>
              <w:fldChar w:fldCharType="end"/>
            </w:r>
          </w:hyperlink>
        </w:p>
        <w:p w14:paraId="3AEA3730" w14:textId="4F7341EF" w:rsidR="009017BC" w:rsidRDefault="00907235">
          <w:pPr>
            <w:pStyle w:val="TOC2"/>
            <w:rPr>
              <w:rFonts w:asciiTheme="minorHAnsi" w:eastAsiaTheme="minorEastAsia" w:hAnsiTheme="minorHAnsi" w:cstheme="minorBidi"/>
              <w:noProof/>
              <w:sz w:val="22"/>
              <w:lang w:val="en-US"/>
            </w:rPr>
          </w:pPr>
          <w:hyperlink w:anchor="_Toc57975632" w:history="1">
            <w:r w:rsidR="009017BC" w:rsidRPr="00ED2F96">
              <w:rPr>
                <w:rStyle w:val="Hyperlink"/>
                <w:noProof/>
              </w:rPr>
              <w:t>1.7.</w:t>
            </w:r>
            <w:r w:rsidR="009017BC">
              <w:rPr>
                <w:rFonts w:asciiTheme="minorHAnsi" w:eastAsiaTheme="minorEastAsia" w:hAnsiTheme="minorHAnsi" w:cstheme="minorBidi"/>
                <w:noProof/>
                <w:sz w:val="22"/>
                <w:lang w:val="en-US"/>
              </w:rPr>
              <w:tab/>
            </w:r>
            <w:r w:rsidR="009017BC" w:rsidRPr="00ED2F96">
              <w:rPr>
                <w:rStyle w:val="Hyperlink"/>
                <w:noProof/>
              </w:rPr>
              <w:t>Modo(s) de gestión previsto(s)</w:t>
            </w:r>
            <w:r w:rsidR="009017BC">
              <w:rPr>
                <w:noProof/>
                <w:webHidden/>
              </w:rPr>
              <w:tab/>
            </w:r>
            <w:r w:rsidR="009017BC">
              <w:rPr>
                <w:noProof/>
                <w:webHidden/>
              </w:rPr>
              <w:fldChar w:fldCharType="begin"/>
            </w:r>
            <w:r w:rsidR="009017BC">
              <w:rPr>
                <w:noProof/>
                <w:webHidden/>
              </w:rPr>
              <w:instrText xml:space="preserve"> PAGEREF _Toc57975632 \h </w:instrText>
            </w:r>
            <w:r w:rsidR="009017BC">
              <w:rPr>
                <w:noProof/>
                <w:webHidden/>
              </w:rPr>
            </w:r>
            <w:r w:rsidR="009017BC">
              <w:rPr>
                <w:noProof/>
                <w:webHidden/>
              </w:rPr>
              <w:fldChar w:fldCharType="separate"/>
            </w:r>
            <w:r w:rsidR="009017BC">
              <w:rPr>
                <w:noProof/>
                <w:webHidden/>
              </w:rPr>
              <w:t>38</w:t>
            </w:r>
            <w:r w:rsidR="009017BC">
              <w:rPr>
                <w:noProof/>
                <w:webHidden/>
              </w:rPr>
              <w:fldChar w:fldCharType="end"/>
            </w:r>
          </w:hyperlink>
        </w:p>
        <w:p w14:paraId="4653F63E" w14:textId="60879FAF" w:rsidR="009017BC" w:rsidRDefault="00907235">
          <w:pPr>
            <w:pStyle w:val="TOC1"/>
            <w:rPr>
              <w:rFonts w:asciiTheme="minorHAnsi" w:eastAsiaTheme="minorEastAsia" w:hAnsiTheme="minorHAnsi" w:cstheme="minorBidi"/>
              <w:noProof/>
              <w:sz w:val="22"/>
              <w:lang w:val="en-US"/>
            </w:rPr>
          </w:pPr>
          <w:hyperlink w:anchor="_Toc57975633" w:history="1">
            <w:r w:rsidR="009017BC" w:rsidRPr="00ED2F96">
              <w:rPr>
                <w:rStyle w:val="Hyperlink"/>
                <w:noProof/>
              </w:rPr>
              <w:t>2.</w:t>
            </w:r>
            <w:r w:rsidR="009017BC">
              <w:rPr>
                <w:rFonts w:asciiTheme="minorHAnsi" w:eastAsiaTheme="minorEastAsia" w:hAnsiTheme="minorHAnsi" w:cstheme="minorBidi"/>
                <w:noProof/>
                <w:sz w:val="22"/>
                <w:lang w:val="en-US"/>
              </w:rPr>
              <w:tab/>
            </w:r>
            <w:r w:rsidR="009017BC" w:rsidRPr="00ED2F96">
              <w:rPr>
                <w:rStyle w:val="Hyperlink"/>
                <w:noProof/>
              </w:rPr>
              <w:t>MEDIDAS DE GESTIÓN</w:t>
            </w:r>
            <w:r w:rsidR="009017BC">
              <w:rPr>
                <w:noProof/>
                <w:webHidden/>
              </w:rPr>
              <w:tab/>
            </w:r>
            <w:r w:rsidR="009017BC">
              <w:rPr>
                <w:noProof/>
                <w:webHidden/>
              </w:rPr>
              <w:fldChar w:fldCharType="begin"/>
            </w:r>
            <w:r w:rsidR="009017BC">
              <w:rPr>
                <w:noProof/>
                <w:webHidden/>
              </w:rPr>
              <w:instrText xml:space="preserve"> PAGEREF _Toc57975633 \h </w:instrText>
            </w:r>
            <w:r w:rsidR="009017BC">
              <w:rPr>
                <w:noProof/>
                <w:webHidden/>
              </w:rPr>
            </w:r>
            <w:r w:rsidR="009017BC">
              <w:rPr>
                <w:noProof/>
                <w:webHidden/>
              </w:rPr>
              <w:fldChar w:fldCharType="separate"/>
            </w:r>
            <w:r w:rsidR="009017BC">
              <w:rPr>
                <w:noProof/>
                <w:webHidden/>
              </w:rPr>
              <w:t>39</w:t>
            </w:r>
            <w:r w:rsidR="009017BC">
              <w:rPr>
                <w:noProof/>
                <w:webHidden/>
              </w:rPr>
              <w:fldChar w:fldCharType="end"/>
            </w:r>
          </w:hyperlink>
        </w:p>
        <w:p w14:paraId="1E1A7F25" w14:textId="5E649B9C" w:rsidR="009017BC" w:rsidRDefault="00907235">
          <w:pPr>
            <w:pStyle w:val="TOC2"/>
            <w:rPr>
              <w:rFonts w:asciiTheme="minorHAnsi" w:eastAsiaTheme="minorEastAsia" w:hAnsiTheme="minorHAnsi" w:cstheme="minorBidi"/>
              <w:noProof/>
              <w:sz w:val="22"/>
              <w:lang w:val="en-US"/>
            </w:rPr>
          </w:pPr>
          <w:hyperlink w:anchor="_Toc57975634" w:history="1">
            <w:r w:rsidR="009017BC" w:rsidRPr="00ED2F96">
              <w:rPr>
                <w:rStyle w:val="Hyperlink"/>
                <w:noProof/>
              </w:rPr>
              <w:t>2.1.</w:t>
            </w:r>
            <w:r w:rsidR="009017BC">
              <w:rPr>
                <w:rFonts w:asciiTheme="minorHAnsi" w:eastAsiaTheme="minorEastAsia" w:hAnsiTheme="minorHAnsi" w:cstheme="minorBidi"/>
                <w:noProof/>
                <w:sz w:val="22"/>
                <w:lang w:val="en-US"/>
              </w:rPr>
              <w:tab/>
            </w:r>
            <w:r w:rsidR="009017BC" w:rsidRPr="00ED2F96">
              <w:rPr>
                <w:rStyle w:val="Hyperlink"/>
                <w:noProof/>
              </w:rPr>
              <w:t>Disposiciones en materia de seguimiento e informes</w:t>
            </w:r>
            <w:r w:rsidR="009017BC">
              <w:rPr>
                <w:noProof/>
                <w:webHidden/>
              </w:rPr>
              <w:tab/>
            </w:r>
            <w:r w:rsidR="009017BC">
              <w:rPr>
                <w:noProof/>
                <w:webHidden/>
              </w:rPr>
              <w:fldChar w:fldCharType="begin"/>
            </w:r>
            <w:r w:rsidR="009017BC">
              <w:rPr>
                <w:noProof/>
                <w:webHidden/>
              </w:rPr>
              <w:instrText xml:space="preserve"> PAGEREF _Toc57975634 \h </w:instrText>
            </w:r>
            <w:r w:rsidR="009017BC">
              <w:rPr>
                <w:noProof/>
                <w:webHidden/>
              </w:rPr>
            </w:r>
            <w:r w:rsidR="009017BC">
              <w:rPr>
                <w:noProof/>
                <w:webHidden/>
              </w:rPr>
              <w:fldChar w:fldCharType="separate"/>
            </w:r>
            <w:r w:rsidR="009017BC">
              <w:rPr>
                <w:noProof/>
                <w:webHidden/>
              </w:rPr>
              <w:t>39</w:t>
            </w:r>
            <w:r w:rsidR="009017BC">
              <w:rPr>
                <w:noProof/>
                <w:webHidden/>
              </w:rPr>
              <w:fldChar w:fldCharType="end"/>
            </w:r>
          </w:hyperlink>
        </w:p>
        <w:p w14:paraId="798C6104" w14:textId="16D50F8E" w:rsidR="009017BC" w:rsidRDefault="00907235">
          <w:pPr>
            <w:pStyle w:val="TOC2"/>
            <w:rPr>
              <w:rFonts w:asciiTheme="minorHAnsi" w:eastAsiaTheme="minorEastAsia" w:hAnsiTheme="minorHAnsi" w:cstheme="minorBidi"/>
              <w:noProof/>
              <w:sz w:val="22"/>
              <w:lang w:val="en-US"/>
            </w:rPr>
          </w:pPr>
          <w:hyperlink w:anchor="_Toc57975635" w:history="1">
            <w:r w:rsidR="009017BC" w:rsidRPr="00ED2F96">
              <w:rPr>
                <w:rStyle w:val="Hyperlink"/>
                <w:noProof/>
              </w:rPr>
              <w:t>2.2.</w:t>
            </w:r>
            <w:r w:rsidR="009017BC">
              <w:rPr>
                <w:rFonts w:asciiTheme="minorHAnsi" w:eastAsiaTheme="minorEastAsia" w:hAnsiTheme="minorHAnsi" w:cstheme="minorBidi"/>
                <w:noProof/>
                <w:sz w:val="22"/>
                <w:lang w:val="en-US"/>
              </w:rPr>
              <w:tab/>
            </w:r>
            <w:r w:rsidR="009017BC" w:rsidRPr="00ED2F96">
              <w:rPr>
                <w:rStyle w:val="Hyperlink"/>
                <w:noProof/>
              </w:rPr>
              <w:t>Sistema(s) de gestión y de control</w:t>
            </w:r>
            <w:r w:rsidR="009017BC">
              <w:rPr>
                <w:noProof/>
                <w:webHidden/>
              </w:rPr>
              <w:tab/>
            </w:r>
            <w:r w:rsidR="009017BC">
              <w:rPr>
                <w:noProof/>
                <w:webHidden/>
              </w:rPr>
              <w:fldChar w:fldCharType="begin"/>
            </w:r>
            <w:r w:rsidR="009017BC">
              <w:rPr>
                <w:noProof/>
                <w:webHidden/>
              </w:rPr>
              <w:instrText xml:space="preserve"> PAGEREF _Toc57975635 \h </w:instrText>
            </w:r>
            <w:r w:rsidR="009017BC">
              <w:rPr>
                <w:noProof/>
                <w:webHidden/>
              </w:rPr>
            </w:r>
            <w:r w:rsidR="009017BC">
              <w:rPr>
                <w:noProof/>
                <w:webHidden/>
              </w:rPr>
              <w:fldChar w:fldCharType="separate"/>
            </w:r>
            <w:r w:rsidR="009017BC">
              <w:rPr>
                <w:noProof/>
                <w:webHidden/>
              </w:rPr>
              <w:t>39</w:t>
            </w:r>
            <w:r w:rsidR="009017BC">
              <w:rPr>
                <w:noProof/>
                <w:webHidden/>
              </w:rPr>
              <w:fldChar w:fldCharType="end"/>
            </w:r>
          </w:hyperlink>
        </w:p>
        <w:p w14:paraId="1972C799" w14:textId="30204605" w:rsidR="009017BC" w:rsidRDefault="00907235">
          <w:pPr>
            <w:pStyle w:val="TOC3"/>
            <w:rPr>
              <w:rFonts w:asciiTheme="minorHAnsi" w:eastAsiaTheme="minorEastAsia" w:hAnsiTheme="minorHAnsi" w:cstheme="minorBidi"/>
              <w:noProof/>
              <w:sz w:val="22"/>
              <w:lang w:val="en-US"/>
            </w:rPr>
          </w:pPr>
          <w:hyperlink w:anchor="_Toc57975636" w:history="1">
            <w:r w:rsidR="009017BC" w:rsidRPr="00ED2F96">
              <w:rPr>
                <w:rStyle w:val="Hyperlink"/>
                <w:noProof/>
              </w:rPr>
              <w:t>2.2.1.</w:t>
            </w:r>
            <w:r w:rsidR="009017BC">
              <w:rPr>
                <w:rFonts w:asciiTheme="minorHAnsi" w:eastAsiaTheme="minorEastAsia" w:hAnsiTheme="minorHAnsi" w:cstheme="minorBidi"/>
                <w:noProof/>
                <w:sz w:val="22"/>
                <w:lang w:val="en-US"/>
              </w:rPr>
              <w:tab/>
            </w:r>
            <w:r w:rsidR="009017BC" w:rsidRPr="00ED2F96">
              <w:rPr>
                <w:rStyle w:val="Hyperlink"/>
                <w:noProof/>
              </w:rPr>
              <w:t>Justificación del modo o los modos de gestión, el mecanismo o los mecanismos de aplicación de la financiación, las modalidades de pago y la estrategia de control propuestos</w:t>
            </w:r>
            <w:r w:rsidR="009017BC">
              <w:rPr>
                <w:noProof/>
                <w:webHidden/>
              </w:rPr>
              <w:tab/>
            </w:r>
            <w:r w:rsidR="009017BC">
              <w:rPr>
                <w:noProof/>
                <w:webHidden/>
              </w:rPr>
              <w:fldChar w:fldCharType="begin"/>
            </w:r>
            <w:r w:rsidR="009017BC">
              <w:rPr>
                <w:noProof/>
                <w:webHidden/>
              </w:rPr>
              <w:instrText xml:space="preserve"> PAGEREF _Toc57975636 \h </w:instrText>
            </w:r>
            <w:r w:rsidR="009017BC">
              <w:rPr>
                <w:noProof/>
                <w:webHidden/>
              </w:rPr>
            </w:r>
            <w:r w:rsidR="009017BC">
              <w:rPr>
                <w:noProof/>
                <w:webHidden/>
              </w:rPr>
              <w:fldChar w:fldCharType="separate"/>
            </w:r>
            <w:r w:rsidR="009017BC">
              <w:rPr>
                <w:noProof/>
                <w:webHidden/>
              </w:rPr>
              <w:t>39</w:t>
            </w:r>
            <w:r w:rsidR="009017BC">
              <w:rPr>
                <w:noProof/>
                <w:webHidden/>
              </w:rPr>
              <w:fldChar w:fldCharType="end"/>
            </w:r>
          </w:hyperlink>
        </w:p>
        <w:p w14:paraId="635FF6D8" w14:textId="2A55EE2C" w:rsidR="009017BC" w:rsidRDefault="00907235">
          <w:pPr>
            <w:pStyle w:val="TOC3"/>
            <w:rPr>
              <w:rFonts w:asciiTheme="minorHAnsi" w:eastAsiaTheme="minorEastAsia" w:hAnsiTheme="minorHAnsi" w:cstheme="minorBidi"/>
              <w:noProof/>
              <w:sz w:val="22"/>
              <w:lang w:val="en-US"/>
            </w:rPr>
          </w:pPr>
          <w:hyperlink w:anchor="_Toc57975637" w:history="1">
            <w:r w:rsidR="009017BC" w:rsidRPr="00ED2F96">
              <w:rPr>
                <w:rStyle w:val="Hyperlink"/>
                <w:noProof/>
              </w:rPr>
              <w:t>2.2.2.</w:t>
            </w:r>
            <w:r w:rsidR="009017BC">
              <w:rPr>
                <w:rFonts w:asciiTheme="minorHAnsi" w:eastAsiaTheme="minorEastAsia" w:hAnsiTheme="minorHAnsi" w:cstheme="minorBidi"/>
                <w:noProof/>
                <w:sz w:val="22"/>
                <w:lang w:val="en-US"/>
              </w:rPr>
              <w:tab/>
            </w:r>
            <w:r w:rsidR="009017BC" w:rsidRPr="00ED2F96">
              <w:rPr>
                <w:rStyle w:val="Hyperlink"/>
                <w:noProof/>
              </w:rPr>
              <w:t>Información relativa a los riesgos identificados y al sistema o los sistemas de control interno establecidos para mitigarlos</w:t>
            </w:r>
            <w:r w:rsidR="009017BC">
              <w:rPr>
                <w:noProof/>
                <w:webHidden/>
              </w:rPr>
              <w:tab/>
            </w:r>
            <w:r w:rsidR="009017BC">
              <w:rPr>
                <w:noProof/>
                <w:webHidden/>
              </w:rPr>
              <w:fldChar w:fldCharType="begin"/>
            </w:r>
            <w:r w:rsidR="009017BC">
              <w:rPr>
                <w:noProof/>
                <w:webHidden/>
              </w:rPr>
              <w:instrText xml:space="preserve"> PAGEREF _Toc57975637 \h </w:instrText>
            </w:r>
            <w:r w:rsidR="009017BC">
              <w:rPr>
                <w:noProof/>
                <w:webHidden/>
              </w:rPr>
            </w:r>
            <w:r w:rsidR="009017BC">
              <w:rPr>
                <w:noProof/>
                <w:webHidden/>
              </w:rPr>
              <w:fldChar w:fldCharType="separate"/>
            </w:r>
            <w:r w:rsidR="009017BC">
              <w:rPr>
                <w:noProof/>
                <w:webHidden/>
              </w:rPr>
              <w:t>39</w:t>
            </w:r>
            <w:r w:rsidR="009017BC">
              <w:rPr>
                <w:noProof/>
                <w:webHidden/>
              </w:rPr>
              <w:fldChar w:fldCharType="end"/>
            </w:r>
          </w:hyperlink>
        </w:p>
        <w:p w14:paraId="738DBA7F" w14:textId="2DB68641" w:rsidR="009017BC" w:rsidRDefault="00907235">
          <w:pPr>
            <w:pStyle w:val="TOC2"/>
            <w:rPr>
              <w:rFonts w:asciiTheme="minorHAnsi" w:eastAsiaTheme="minorEastAsia" w:hAnsiTheme="minorHAnsi" w:cstheme="minorBidi"/>
              <w:noProof/>
              <w:sz w:val="22"/>
              <w:lang w:val="en-US"/>
            </w:rPr>
          </w:pPr>
          <w:hyperlink w:anchor="_Toc57975638" w:history="1">
            <w:r w:rsidR="009017BC" w:rsidRPr="00ED2F96">
              <w:rPr>
                <w:rStyle w:val="Hyperlink"/>
                <w:noProof/>
              </w:rPr>
              <w:t>2.3.</w:t>
            </w:r>
            <w:r w:rsidR="009017BC">
              <w:rPr>
                <w:rFonts w:asciiTheme="minorHAnsi" w:eastAsiaTheme="minorEastAsia" w:hAnsiTheme="minorHAnsi" w:cstheme="minorBidi"/>
                <w:noProof/>
                <w:sz w:val="22"/>
                <w:lang w:val="en-US"/>
              </w:rPr>
              <w:tab/>
            </w:r>
            <w:r w:rsidR="009017BC" w:rsidRPr="00ED2F96">
              <w:rPr>
                <w:rStyle w:val="Hyperlink"/>
                <w:noProof/>
              </w:rPr>
              <w:t>Medidas de prevención del fraude y de las irregularidades</w:t>
            </w:r>
            <w:r w:rsidR="009017BC">
              <w:rPr>
                <w:noProof/>
                <w:webHidden/>
              </w:rPr>
              <w:tab/>
            </w:r>
            <w:r w:rsidR="009017BC">
              <w:rPr>
                <w:noProof/>
                <w:webHidden/>
              </w:rPr>
              <w:fldChar w:fldCharType="begin"/>
            </w:r>
            <w:r w:rsidR="009017BC">
              <w:rPr>
                <w:noProof/>
                <w:webHidden/>
              </w:rPr>
              <w:instrText xml:space="preserve"> PAGEREF _Toc57975638 \h </w:instrText>
            </w:r>
            <w:r w:rsidR="009017BC">
              <w:rPr>
                <w:noProof/>
                <w:webHidden/>
              </w:rPr>
            </w:r>
            <w:r w:rsidR="009017BC">
              <w:rPr>
                <w:noProof/>
                <w:webHidden/>
              </w:rPr>
              <w:fldChar w:fldCharType="separate"/>
            </w:r>
            <w:r w:rsidR="009017BC">
              <w:rPr>
                <w:noProof/>
                <w:webHidden/>
              </w:rPr>
              <w:t>40</w:t>
            </w:r>
            <w:r w:rsidR="009017BC">
              <w:rPr>
                <w:noProof/>
                <w:webHidden/>
              </w:rPr>
              <w:fldChar w:fldCharType="end"/>
            </w:r>
          </w:hyperlink>
        </w:p>
        <w:p w14:paraId="1F3887E9" w14:textId="178B67B4" w:rsidR="009017BC" w:rsidRDefault="00907235">
          <w:pPr>
            <w:pStyle w:val="TOC1"/>
            <w:rPr>
              <w:rFonts w:asciiTheme="minorHAnsi" w:eastAsiaTheme="minorEastAsia" w:hAnsiTheme="minorHAnsi" w:cstheme="minorBidi"/>
              <w:noProof/>
              <w:sz w:val="22"/>
              <w:lang w:val="en-US"/>
            </w:rPr>
          </w:pPr>
          <w:hyperlink w:anchor="_Toc57975639" w:history="1">
            <w:r w:rsidR="009017BC" w:rsidRPr="00ED2F96">
              <w:rPr>
                <w:rStyle w:val="Hyperlink"/>
                <w:noProof/>
              </w:rPr>
              <w:t>3.</w:t>
            </w:r>
            <w:r w:rsidR="009017BC">
              <w:rPr>
                <w:rFonts w:asciiTheme="minorHAnsi" w:eastAsiaTheme="minorEastAsia" w:hAnsiTheme="minorHAnsi" w:cstheme="minorBidi"/>
                <w:noProof/>
                <w:sz w:val="22"/>
                <w:lang w:val="en-US"/>
              </w:rPr>
              <w:tab/>
            </w:r>
            <w:r w:rsidR="009017BC" w:rsidRPr="00ED2F96">
              <w:rPr>
                <w:rStyle w:val="Hyperlink"/>
                <w:noProof/>
              </w:rPr>
              <w:t>INCIDENCIA FINANCIERA ESTIMADA DE LA PROPUESTA/INICIATIVA</w:t>
            </w:r>
            <w:r w:rsidR="009017BC">
              <w:rPr>
                <w:noProof/>
                <w:webHidden/>
              </w:rPr>
              <w:tab/>
            </w:r>
            <w:r w:rsidR="009017BC">
              <w:rPr>
                <w:noProof/>
                <w:webHidden/>
              </w:rPr>
              <w:fldChar w:fldCharType="begin"/>
            </w:r>
            <w:r w:rsidR="009017BC">
              <w:rPr>
                <w:noProof/>
                <w:webHidden/>
              </w:rPr>
              <w:instrText xml:space="preserve"> PAGEREF _Toc57975639 \h </w:instrText>
            </w:r>
            <w:r w:rsidR="009017BC">
              <w:rPr>
                <w:noProof/>
                <w:webHidden/>
              </w:rPr>
            </w:r>
            <w:r w:rsidR="009017BC">
              <w:rPr>
                <w:noProof/>
                <w:webHidden/>
              </w:rPr>
              <w:fldChar w:fldCharType="separate"/>
            </w:r>
            <w:r w:rsidR="009017BC">
              <w:rPr>
                <w:noProof/>
                <w:webHidden/>
              </w:rPr>
              <w:t>40</w:t>
            </w:r>
            <w:r w:rsidR="009017BC">
              <w:rPr>
                <w:noProof/>
                <w:webHidden/>
              </w:rPr>
              <w:fldChar w:fldCharType="end"/>
            </w:r>
          </w:hyperlink>
        </w:p>
        <w:p w14:paraId="56C2AD2A" w14:textId="71BF875E" w:rsidR="009017BC" w:rsidRDefault="00907235">
          <w:pPr>
            <w:pStyle w:val="TOC2"/>
            <w:rPr>
              <w:rFonts w:asciiTheme="minorHAnsi" w:eastAsiaTheme="minorEastAsia" w:hAnsiTheme="minorHAnsi" w:cstheme="minorBidi"/>
              <w:noProof/>
              <w:sz w:val="22"/>
              <w:lang w:val="en-US"/>
            </w:rPr>
          </w:pPr>
          <w:hyperlink w:anchor="_Toc57975640" w:history="1">
            <w:r w:rsidR="009017BC" w:rsidRPr="00ED2F96">
              <w:rPr>
                <w:rStyle w:val="Hyperlink"/>
                <w:noProof/>
              </w:rPr>
              <w:t>3.1.</w:t>
            </w:r>
            <w:r w:rsidR="009017BC">
              <w:rPr>
                <w:rFonts w:asciiTheme="minorHAnsi" w:eastAsiaTheme="minorEastAsia" w:hAnsiTheme="minorHAnsi" w:cstheme="minorBidi"/>
                <w:noProof/>
                <w:sz w:val="22"/>
                <w:lang w:val="en-US"/>
              </w:rPr>
              <w:tab/>
            </w:r>
            <w:r w:rsidR="009017BC" w:rsidRPr="00ED2F96">
              <w:rPr>
                <w:rStyle w:val="Hyperlink"/>
                <w:noProof/>
              </w:rPr>
              <w:t>Rúbrica(s) del marco financiero plurianual y línea(s) presupuestaria(s) de gastos afectada(s)</w:t>
            </w:r>
            <w:r w:rsidR="009017BC">
              <w:rPr>
                <w:noProof/>
                <w:webHidden/>
              </w:rPr>
              <w:tab/>
            </w:r>
            <w:r w:rsidR="009017BC">
              <w:rPr>
                <w:noProof/>
                <w:webHidden/>
              </w:rPr>
              <w:fldChar w:fldCharType="begin"/>
            </w:r>
            <w:r w:rsidR="009017BC">
              <w:rPr>
                <w:noProof/>
                <w:webHidden/>
              </w:rPr>
              <w:instrText xml:space="preserve"> PAGEREF _Toc57975640 \h </w:instrText>
            </w:r>
            <w:r w:rsidR="009017BC">
              <w:rPr>
                <w:noProof/>
                <w:webHidden/>
              </w:rPr>
            </w:r>
            <w:r w:rsidR="009017BC">
              <w:rPr>
                <w:noProof/>
                <w:webHidden/>
              </w:rPr>
              <w:fldChar w:fldCharType="separate"/>
            </w:r>
            <w:r w:rsidR="009017BC">
              <w:rPr>
                <w:noProof/>
                <w:webHidden/>
              </w:rPr>
              <w:t>40</w:t>
            </w:r>
            <w:r w:rsidR="009017BC">
              <w:rPr>
                <w:noProof/>
                <w:webHidden/>
              </w:rPr>
              <w:fldChar w:fldCharType="end"/>
            </w:r>
          </w:hyperlink>
        </w:p>
        <w:p w14:paraId="057A14F4" w14:textId="1487BDA0" w:rsidR="009017BC" w:rsidRDefault="00907235">
          <w:pPr>
            <w:pStyle w:val="TOC2"/>
            <w:rPr>
              <w:rFonts w:asciiTheme="minorHAnsi" w:eastAsiaTheme="minorEastAsia" w:hAnsiTheme="minorHAnsi" w:cstheme="minorBidi"/>
              <w:noProof/>
              <w:sz w:val="22"/>
              <w:lang w:val="en-US"/>
            </w:rPr>
          </w:pPr>
          <w:hyperlink w:anchor="_Toc57975641" w:history="1">
            <w:r w:rsidR="009017BC" w:rsidRPr="00ED2F96">
              <w:rPr>
                <w:rStyle w:val="Hyperlink"/>
                <w:noProof/>
              </w:rPr>
              <w:t>3.2.</w:t>
            </w:r>
            <w:r w:rsidR="009017BC">
              <w:rPr>
                <w:rFonts w:asciiTheme="minorHAnsi" w:eastAsiaTheme="minorEastAsia" w:hAnsiTheme="minorHAnsi" w:cstheme="minorBidi"/>
                <w:noProof/>
                <w:sz w:val="22"/>
                <w:lang w:val="en-US"/>
              </w:rPr>
              <w:tab/>
            </w:r>
            <w:r w:rsidR="009017BC" w:rsidRPr="00ED2F96">
              <w:rPr>
                <w:rStyle w:val="Hyperlink"/>
                <w:noProof/>
              </w:rPr>
              <w:t>Incidencia estimada en los gastos</w:t>
            </w:r>
            <w:r w:rsidR="009017BC">
              <w:rPr>
                <w:noProof/>
                <w:webHidden/>
              </w:rPr>
              <w:tab/>
            </w:r>
            <w:r w:rsidR="009017BC">
              <w:rPr>
                <w:noProof/>
                <w:webHidden/>
              </w:rPr>
              <w:fldChar w:fldCharType="begin"/>
            </w:r>
            <w:r w:rsidR="009017BC">
              <w:rPr>
                <w:noProof/>
                <w:webHidden/>
              </w:rPr>
              <w:instrText xml:space="preserve"> PAGEREF _Toc57975641 \h </w:instrText>
            </w:r>
            <w:r w:rsidR="009017BC">
              <w:rPr>
                <w:noProof/>
                <w:webHidden/>
              </w:rPr>
            </w:r>
            <w:r w:rsidR="009017BC">
              <w:rPr>
                <w:noProof/>
                <w:webHidden/>
              </w:rPr>
              <w:fldChar w:fldCharType="separate"/>
            </w:r>
            <w:r w:rsidR="009017BC">
              <w:rPr>
                <w:noProof/>
                <w:webHidden/>
              </w:rPr>
              <w:t>42</w:t>
            </w:r>
            <w:r w:rsidR="009017BC">
              <w:rPr>
                <w:noProof/>
                <w:webHidden/>
              </w:rPr>
              <w:fldChar w:fldCharType="end"/>
            </w:r>
          </w:hyperlink>
        </w:p>
        <w:p w14:paraId="37828F4F" w14:textId="1994E879" w:rsidR="009017BC" w:rsidRDefault="00907235">
          <w:pPr>
            <w:pStyle w:val="TOC3"/>
            <w:rPr>
              <w:rFonts w:asciiTheme="minorHAnsi" w:eastAsiaTheme="minorEastAsia" w:hAnsiTheme="minorHAnsi" w:cstheme="minorBidi"/>
              <w:noProof/>
              <w:sz w:val="22"/>
              <w:lang w:val="en-US"/>
            </w:rPr>
          </w:pPr>
          <w:hyperlink w:anchor="_Toc57975642" w:history="1">
            <w:r w:rsidR="009017BC" w:rsidRPr="00ED2F96">
              <w:rPr>
                <w:rStyle w:val="Hyperlink"/>
                <w:noProof/>
              </w:rPr>
              <w:t>3.2.1.</w:t>
            </w:r>
            <w:r w:rsidR="009017BC">
              <w:rPr>
                <w:rFonts w:asciiTheme="minorHAnsi" w:eastAsiaTheme="minorEastAsia" w:hAnsiTheme="minorHAnsi" w:cstheme="minorBidi"/>
                <w:noProof/>
                <w:sz w:val="22"/>
                <w:lang w:val="en-US"/>
              </w:rPr>
              <w:tab/>
            </w:r>
            <w:r w:rsidR="009017BC" w:rsidRPr="00ED2F96">
              <w:rPr>
                <w:rStyle w:val="Hyperlink"/>
                <w:noProof/>
              </w:rPr>
              <w:t>Resumen de la incidencia estimada en los gastos</w:t>
            </w:r>
            <w:r w:rsidR="009017BC">
              <w:rPr>
                <w:noProof/>
                <w:webHidden/>
              </w:rPr>
              <w:tab/>
            </w:r>
            <w:r w:rsidR="009017BC">
              <w:rPr>
                <w:noProof/>
                <w:webHidden/>
              </w:rPr>
              <w:fldChar w:fldCharType="begin"/>
            </w:r>
            <w:r w:rsidR="009017BC">
              <w:rPr>
                <w:noProof/>
                <w:webHidden/>
              </w:rPr>
              <w:instrText xml:space="preserve"> PAGEREF _Toc57975642 \h </w:instrText>
            </w:r>
            <w:r w:rsidR="009017BC">
              <w:rPr>
                <w:noProof/>
                <w:webHidden/>
              </w:rPr>
            </w:r>
            <w:r w:rsidR="009017BC">
              <w:rPr>
                <w:noProof/>
                <w:webHidden/>
              </w:rPr>
              <w:fldChar w:fldCharType="separate"/>
            </w:r>
            <w:r w:rsidR="009017BC">
              <w:rPr>
                <w:noProof/>
                <w:webHidden/>
              </w:rPr>
              <w:t>42</w:t>
            </w:r>
            <w:r w:rsidR="009017BC">
              <w:rPr>
                <w:noProof/>
                <w:webHidden/>
              </w:rPr>
              <w:fldChar w:fldCharType="end"/>
            </w:r>
          </w:hyperlink>
        </w:p>
        <w:p w14:paraId="26C0AC28" w14:textId="4C45FE30" w:rsidR="009017BC" w:rsidRDefault="00907235">
          <w:pPr>
            <w:pStyle w:val="TOC3"/>
            <w:rPr>
              <w:rFonts w:asciiTheme="minorHAnsi" w:eastAsiaTheme="minorEastAsia" w:hAnsiTheme="minorHAnsi" w:cstheme="minorBidi"/>
              <w:noProof/>
              <w:sz w:val="22"/>
              <w:lang w:val="en-US"/>
            </w:rPr>
          </w:pPr>
          <w:hyperlink w:anchor="_Toc57975643" w:history="1">
            <w:r w:rsidR="009017BC" w:rsidRPr="00ED2F96">
              <w:rPr>
                <w:rStyle w:val="Hyperlink"/>
                <w:noProof/>
              </w:rPr>
              <w:t>3.2.2.</w:t>
            </w:r>
            <w:r w:rsidR="009017BC">
              <w:rPr>
                <w:rFonts w:asciiTheme="minorHAnsi" w:eastAsiaTheme="minorEastAsia" w:hAnsiTheme="minorHAnsi" w:cstheme="minorBidi"/>
                <w:noProof/>
                <w:sz w:val="22"/>
                <w:lang w:val="en-US"/>
              </w:rPr>
              <w:tab/>
            </w:r>
            <w:r w:rsidR="009017BC" w:rsidRPr="00ED2F96">
              <w:rPr>
                <w:rStyle w:val="Hyperlink"/>
                <w:noProof/>
              </w:rPr>
              <w:t>Incidencia estimada en los créditos del ECDC</w:t>
            </w:r>
            <w:r w:rsidR="009017BC">
              <w:rPr>
                <w:noProof/>
                <w:webHidden/>
              </w:rPr>
              <w:tab/>
            </w:r>
            <w:r w:rsidR="009017BC">
              <w:rPr>
                <w:noProof/>
                <w:webHidden/>
              </w:rPr>
              <w:fldChar w:fldCharType="begin"/>
            </w:r>
            <w:r w:rsidR="009017BC">
              <w:rPr>
                <w:noProof/>
                <w:webHidden/>
              </w:rPr>
              <w:instrText xml:space="preserve"> PAGEREF _Toc57975643 \h </w:instrText>
            </w:r>
            <w:r w:rsidR="009017BC">
              <w:rPr>
                <w:noProof/>
                <w:webHidden/>
              </w:rPr>
            </w:r>
            <w:r w:rsidR="009017BC">
              <w:rPr>
                <w:noProof/>
                <w:webHidden/>
              </w:rPr>
              <w:fldChar w:fldCharType="separate"/>
            </w:r>
            <w:r w:rsidR="009017BC">
              <w:rPr>
                <w:noProof/>
                <w:webHidden/>
              </w:rPr>
              <w:t>44</w:t>
            </w:r>
            <w:r w:rsidR="009017BC">
              <w:rPr>
                <w:noProof/>
                <w:webHidden/>
              </w:rPr>
              <w:fldChar w:fldCharType="end"/>
            </w:r>
          </w:hyperlink>
        </w:p>
        <w:p w14:paraId="489947EF" w14:textId="31848CC5" w:rsidR="009017BC" w:rsidRDefault="00907235">
          <w:pPr>
            <w:pStyle w:val="TOC3"/>
            <w:rPr>
              <w:rFonts w:asciiTheme="minorHAnsi" w:eastAsiaTheme="minorEastAsia" w:hAnsiTheme="minorHAnsi" w:cstheme="minorBidi"/>
              <w:noProof/>
              <w:sz w:val="22"/>
              <w:lang w:val="en-US"/>
            </w:rPr>
          </w:pPr>
          <w:hyperlink w:anchor="_Toc57975644" w:history="1">
            <w:r w:rsidR="009017BC" w:rsidRPr="00ED2F96">
              <w:rPr>
                <w:rStyle w:val="Hyperlink"/>
                <w:noProof/>
              </w:rPr>
              <w:t>3.2.3.</w:t>
            </w:r>
            <w:r w:rsidR="009017BC">
              <w:rPr>
                <w:rFonts w:asciiTheme="minorHAnsi" w:eastAsiaTheme="minorEastAsia" w:hAnsiTheme="minorHAnsi" w:cstheme="minorBidi"/>
                <w:noProof/>
                <w:sz w:val="22"/>
                <w:lang w:val="en-US"/>
              </w:rPr>
              <w:tab/>
            </w:r>
            <w:r w:rsidR="009017BC" w:rsidRPr="00ED2F96">
              <w:rPr>
                <w:rStyle w:val="Hyperlink"/>
                <w:noProof/>
              </w:rPr>
              <w:t>Incidencia estimada en los recursos humanos del [organismo]</w:t>
            </w:r>
            <w:r w:rsidR="009017BC">
              <w:rPr>
                <w:noProof/>
                <w:webHidden/>
              </w:rPr>
              <w:tab/>
            </w:r>
            <w:r w:rsidR="009017BC">
              <w:rPr>
                <w:noProof/>
                <w:webHidden/>
              </w:rPr>
              <w:fldChar w:fldCharType="begin"/>
            </w:r>
            <w:r w:rsidR="009017BC">
              <w:rPr>
                <w:noProof/>
                <w:webHidden/>
              </w:rPr>
              <w:instrText xml:space="preserve"> PAGEREF _Toc57975644 \h </w:instrText>
            </w:r>
            <w:r w:rsidR="009017BC">
              <w:rPr>
                <w:noProof/>
                <w:webHidden/>
              </w:rPr>
            </w:r>
            <w:r w:rsidR="009017BC">
              <w:rPr>
                <w:noProof/>
                <w:webHidden/>
              </w:rPr>
              <w:fldChar w:fldCharType="separate"/>
            </w:r>
            <w:r w:rsidR="009017BC">
              <w:rPr>
                <w:noProof/>
                <w:webHidden/>
              </w:rPr>
              <w:t>49</w:t>
            </w:r>
            <w:r w:rsidR="009017BC">
              <w:rPr>
                <w:noProof/>
                <w:webHidden/>
              </w:rPr>
              <w:fldChar w:fldCharType="end"/>
            </w:r>
          </w:hyperlink>
        </w:p>
        <w:p w14:paraId="3B6967A7" w14:textId="145575FF" w:rsidR="009017BC" w:rsidRDefault="00907235">
          <w:pPr>
            <w:pStyle w:val="TOC3"/>
            <w:rPr>
              <w:rFonts w:asciiTheme="minorHAnsi" w:eastAsiaTheme="minorEastAsia" w:hAnsiTheme="minorHAnsi" w:cstheme="minorBidi"/>
              <w:noProof/>
              <w:sz w:val="22"/>
              <w:lang w:val="en-US"/>
            </w:rPr>
          </w:pPr>
          <w:hyperlink w:anchor="_Toc57975645" w:history="1">
            <w:r w:rsidR="009017BC" w:rsidRPr="00ED2F96">
              <w:rPr>
                <w:rStyle w:val="Hyperlink"/>
                <w:noProof/>
              </w:rPr>
              <w:t>3.2.4.</w:t>
            </w:r>
            <w:r w:rsidR="009017BC">
              <w:rPr>
                <w:rFonts w:asciiTheme="minorHAnsi" w:eastAsiaTheme="minorEastAsia" w:hAnsiTheme="minorHAnsi" w:cstheme="minorBidi"/>
                <w:noProof/>
                <w:sz w:val="22"/>
                <w:lang w:val="en-US"/>
              </w:rPr>
              <w:tab/>
            </w:r>
            <w:r w:rsidR="009017BC" w:rsidRPr="00ED2F96">
              <w:rPr>
                <w:rStyle w:val="Hyperlink"/>
                <w:noProof/>
              </w:rPr>
              <w:t>Compatibilidad con el marco financiero plurianual vigente</w:t>
            </w:r>
            <w:r w:rsidR="009017BC">
              <w:rPr>
                <w:noProof/>
                <w:webHidden/>
              </w:rPr>
              <w:tab/>
            </w:r>
            <w:r w:rsidR="009017BC">
              <w:rPr>
                <w:noProof/>
                <w:webHidden/>
              </w:rPr>
              <w:fldChar w:fldCharType="begin"/>
            </w:r>
            <w:r w:rsidR="009017BC">
              <w:rPr>
                <w:noProof/>
                <w:webHidden/>
              </w:rPr>
              <w:instrText xml:space="preserve"> PAGEREF _Toc57975645 \h </w:instrText>
            </w:r>
            <w:r w:rsidR="009017BC">
              <w:rPr>
                <w:noProof/>
                <w:webHidden/>
              </w:rPr>
            </w:r>
            <w:r w:rsidR="009017BC">
              <w:rPr>
                <w:noProof/>
                <w:webHidden/>
              </w:rPr>
              <w:fldChar w:fldCharType="separate"/>
            </w:r>
            <w:r w:rsidR="009017BC">
              <w:rPr>
                <w:noProof/>
                <w:webHidden/>
              </w:rPr>
              <w:t>52</w:t>
            </w:r>
            <w:r w:rsidR="009017BC">
              <w:rPr>
                <w:noProof/>
                <w:webHidden/>
              </w:rPr>
              <w:fldChar w:fldCharType="end"/>
            </w:r>
          </w:hyperlink>
        </w:p>
        <w:p w14:paraId="55BA449D" w14:textId="20AA3D00" w:rsidR="009017BC" w:rsidRDefault="00907235">
          <w:pPr>
            <w:pStyle w:val="TOC3"/>
            <w:rPr>
              <w:rFonts w:asciiTheme="minorHAnsi" w:eastAsiaTheme="minorEastAsia" w:hAnsiTheme="minorHAnsi" w:cstheme="minorBidi"/>
              <w:noProof/>
              <w:sz w:val="22"/>
              <w:lang w:val="en-US"/>
            </w:rPr>
          </w:pPr>
          <w:hyperlink w:anchor="_Toc57975646" w:history="1">
            <w:r w:rsidR="009017BC" w:rsidRPr="00ED2F96">
              <w:rPr>
                <w:rStyle w:val="Hyperlink"/>
                <w:noProof/>
              </w:rPr>
              <w:t>3.2.5.</w:t>
            </w:r>
            <w:r w:rsidR="009017BC">
              <w:rPr>
                <w:rFonts w:asciiTheme="minorHAnsi" w:eastAsiaTheme="minorEastAsia" w:hAnsiTheme="minorHAnsi" w:cstheme="minorBidi"/>
                <w:noProof/>
                <w:sz w:val="22"/>
                <w:lang w:val="en-US"/>
              </w:rPr>
              <w:tab/>
            </w:r>
            <w:r w:rsidR="009017BC" w:rsidRPr="00ED2F96">
              <w:rPr>
                <w:rStyle w:val="Hyperlink"/>
                <w:noProof/>
              </w:rPr>
              <w:t>Contribución de terceros</w:t>
            </w:r>
            <w:r w:rsidR="009017BC">
              <w:rPr>
                <w:noProof/>
                <w:webHidden/>
              </w:rPr>
              <w:tab/>
            </w:r>
            <w:r w:rsidR="009017BC">
              <w:rPr>
                <w:noProof/>
                <w:webHidden/>
              </w:rPr>
              <w:fldChar w:fldCharType="begin"/>
            </w:r>
            <w:r w:rsidR="009017BC">
              <w:rPr>
                <w:noProof/>
                <w:webHidden/>
              </w:rPr>
              <w:instrText xml:space="preserve"> PAGEREF _Toc57975646 \h </w:instrText>
            </w:r>
            <w:r w:rsidR="009017BC">
              <w:rPr>
                <w:noProof/>
                <w:webHidden/>
              </w:rPr>
            </w:r>
            <w:r w:rsidR="009017BC">
              <w:rPr>
                <w:noProof/>
                <w:webHidden/>
              </w:rPr>
              <w:fldChar w:fldCharType="separate"/>
            </w:r>
            <w:r w:rsidR="009017BC">
              <w:rPr>
                <w:noProof/>
                <w:webHidden/>
              </w:rPr>
              <w:t>52</w:t>
            </w:r>
            <w:r w:rsidR="009017BC">
              <w:rPr>
                <w:noProof/>
                <w:webHidden/>
              </w:rPr>
              <w:fldChar w:fldCharType="end"/>
            </w:r>
          </w:hyperlink>
        </w:p>
        <w:p w14:paraId="65E717CB" w14:textId="4E079A21" w:rsidR="009017BC" w:rsidRDefault="00907235">
          <w:pPr>
            <w:pStyle w:val="TOC2"/>
            <w:rPr>
              <w:rFonts w:asciiTheme="minorHAnsi" w:eastAsiaTheme="minorEastAsia" w:hAnsiTheme="minorHAnsi" w:cstheme="minorBidi"/>
              <w:noProof/>
              <w:sz w:val="22"/>
              <w:lang w:val="en-US"/>
            </w:rPr>
          </w:pPr>
          <w:hyperlink w:anchor="_Toc57975647" w:history="1">
            <w:r w:rsidR="009017BC" w:rsidRPr="00ED2F96">
              <w:rPr>
                <w:rStyle w:val="Hyperlink"/>
                <w:noProof/>
              </w:rPr>
              <w:t>3.3.</w:t>
            </w:r>
            <w:r w:rsidR="009017BC">
              <w:rPr>
                <w:rFonts w:asciiTheme="minorHAnsi" w:eastAsiaTheme="minorEastAsia" w:hAnsiTheme="minorHAnsi" w:cstheme="minorBidi"/>
                <w:noProof/>
                <w:sz w:val="22"/>
                <w:lang w:val="en-US"/>
              </w:rPr>
              <w:tab/>
            </w:r>
            <w:r w:rsidR="009017BC" w:rsidRPr="00ED2F96">
              <w:rPr>
                <w:rStyle w:val="Hyperlink"/>
                <w:noProof/>
              </w:rPr>
              <w:t>Incidencia estimada en los ingresos</w:t>
            </w:r>
            <w:r w:rsidR="009017BC">
              <w:rPr>
                <w:noProof/>
                <w:webHidden/>
              </w:rPr>
              <w:tab/>
            </w:r>
            <w:r w:rsidR="009017BC">
              <w:rPr>
                <w:noProof/>
                <w:webHidden/>
              </w:rPr>
              <w:fldChar w:fldCharType="begin"/>
            </w:r>
            <w:r w:rsidR="009017BC">
              <w:rPr>
                <w:noProof/>
                <w:webHidden/>
              </w:rPr>
              <w:instrText xml:space="preserve"> PAGEREF _Toc57975647 \h </w:instrText>
            </w:r>
            <w:r w:rsidR="009017BC">
              <w:rPr>
                <w:noProof/>
                <w:webHidden/>
              </w:rPr>
            </w:r>
            <w:r w:rsidR="009017BC">
              <w:rPr>
                <w:noProof/>
                <w:webHidden/>
              </w:rPr>
              <w:fldChar w:fldCharType="separate"/>
            </w:r>
            <w:r w:rsidR="009017BC">
              <w:rPr>
                <w:noProof/>
                <w:webHidden/>
              </w:rPr>
              <w:t>53</w:t>
            </w:r>
            <w:r w:rsidR="009017BC">
              <w:rPr>
                <w:noProof/>
                <w:webHidden/>
              </w:rPr>
              <w:fldChar w:fldCharType="end"/>
            </w:r>
          </w:hyperlink>
        </w:p>
        <w:p w14:paraId="044BDD62" w14:textId="4F8AECB6" w:rsidR="00B50935" w:rsidRPr="009017BC" w:rsidRDefault="00B50935" w:rsidP="00B50935">
          <w:r w:rsidRPr="009017BC">
            <w:rPr>
              <w:b/>
              <w:bCs/>
            </w:rPr>
            <w:fldChar w:fldCharType="end"/>
          </w:r>
        </w:p>
      </w:sdtContent>
    </w:sdt>
    <w:p w14:paraId="6D78990B" w14:textId="77777777" w:rsidR="00B50935" w:rsidRPr="009017BC" w:rsidRDefault="00B50935" w:rsidP="00B50935">
      <w:pPr>
        <w:rPr>
          <w:noProof/>
        </w:rPr>
        <w:sectPr w:rsidR="00B50935" w:rsidRPr="009017BC" w:rsidSect="00DF5771">
          <w:pgSz w:w="12240" w:h="15840"/>
          <w:pgMar w:top="794" w:right="907" w:bottom="851" w:left="1361" w:header="510" w:footer="454" w:gutter="0"/>
          <w:cols w:space="720"/>
          <w:docGrid w:linePitch="326"/>
        </w:sectPr>
      </w:pPr>
    </w:p>
    <w:p w14:paraId="46942DC9" w14:textId="77777777" w:rsidR="00B50935" w:rsidRPr="009017BC" w:rsidRDefault="00B50935" w:rsidP="00B50935">
      <w:pPr>
        <w:jc w:val="center"/>
        <w:rPr>
          <w:b/>
          <w:noProof/>
          <w:u w:val="single"/>
        </w:rPr>
      </w:pPr>
      <w:r w:rsidRPr="009017BC">
        <w:rPr>
          <w:b/>
          <w:u w:val="single"/>
        </w:rPr>
        <w:t>FICHA FINANCIERA LEGISLATIVA «AGENCIAS»</w:t>
      </w:r>
    </w:p>
    <w:p w14:paraId="3DAD5C59" w14:textId="77777777" w:rsidR="00B50935" w:rsidRPr="009017BC" w:rsidRDefault="00B50935" w:rsidP="00FA14F0">
      <w:pPr>
        <w:pStyle w:val="Heading1"/>
        <w:numPr>
          <w:ilvl w:val="0"/>
          <w:numId w:val="16"/>
        </w:numPr>
        <w:rPr>
          <w:bCs w:val="0"/>
          <w:noProof/>
          <w:szCs w:val="24"/>
        </w:rPr>
      </w:pPr>
      <w:bookmarkStart w:id="18" w:name="_Toc514938659"/>
      <w:bookmarkStart w:id="19" w:name="_Toc57975616"/>
      <w:r w:rsidRPr="009017BC">
        <w:t>MARCO DE LA PROPUESTA/INICIATIVA</w:t>
      </w:r>
      <w:bookmarkEnd w:id="18"/>
      <w:bookmarkEnd w:id="19"/>
      <w:r w:rsidRPr="009017BC">
        <w:t xml:space="preserve"> </w:t>
      </w:r>
    </w:p>
    <w:p w14:paraId="3EBCA47D" w14:textId="77777777" w:rsidR="00B50935" w:rsidRPr="009017BC" w:rsidRDefault="00B50935" w:rsidP="00B50935">
      <w:pPr>
        <w:pStyle w:val="Heading2"/>
        <w:rPr>
          <w:bCs w:val="0"/>
          <w:noProof/>
          <w:szCs w:val="24"/>
        </w:rPr>
      </w:pPr>
      <w:bookmarkStart w:id="20" w:name="_Toc514938660"/>
      <w:bookmarkStart w:id="21" w:name="_Toc57975617"/>
      <w:r w:rsidRPr="009017BC">
        <w:t>Denominación de la propuesta/iniciativa</w:t>
      </w:r>
      <w:bookmarkEnd w:id="20"/>
      <w:bookmarkEnd w:id="21"/>
    </w:p>
    <w:p w14:paraId="65FF274D"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Proyecto de Reglamento (UE) XXX del Parlamento Europeo y del Consejo que modifica el Reglamento (CE) n.º 851/2004 por el que se crea un Centro Europeo para la Prevención y el Control de las Enfermedades</w:t>
      </w:r>
    </w:p>
    <w:p w14:paraId="0893914A" w14:textId="77777777" w:rsidR="00B50935" w:rsidRPr="009017BC" w:rsidRDefault="00B50935" w:rsidP="00B50935">
      <w:pPr>
        <w:pStyle w:val="Heading2"/>
        <w:rPr>
          <w:bCs w:val="0"/>
          <w:noProof/>
          <w:szCs w:val="24"/>
        </w:rPr>
      </w:pPr>
      <w:bookmarkStart w:id="22" w:name="_Toc514938661"/>
      <w:bookmarkStart w:id="23" w:name="_Toc57975618"/>
      <w:r w:rsidRPr="009017BC">
        <w:t>Ámbito(s) político(s) afectado(s)</w:t>
      </w:r>
      <w:bookmarkEnd w:id="22"/>
      <w:bookmarkEnd w:id="23"/>
    </w:p>
    <w:p w14:paraId="20396EF8"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Ámbito político: Recuperación y resiliencia</w:t>
      </w:r>
    </w:p>
    <w:p w14:paraId="5662E494"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 xml:space="preserve">Actividad: Salud </w:t>
      </w:r>
    </w:p>
    <w:p w14:paraId="2AE7DC5B" w14:textId="77777777" w:rsidR="00B50935" w:rsidRPr="009017BC" w:rsidRDefault="00B50935" w:rsidP="00B50935">
      <w:pPr>
        <w:pStyle w:val="Heading2"/>
        <w:rPr>
          <w:bCs w:val="0"/>
          <w:noProof/>
          <w:szCs w:val="24"/>
        </w:rPr>
      </w:pPr>
      <w:bookmarkStart w:id="24" w:name="_Toc514938662"/>
      <w:bookmarkStart w:id="25" w:name="_Toc57975619"/>
      <w:r w:rsidRPr="009017BC">
        <w:t>La propuesta se refiere a</w:t>
      </w:r>
      <w:bookmarkEnd w:id="24"/>
      <w:bookmarkEnd w:id="25"/>
      <w:r w:rsidRPr="009017BC">
        <w:t xml:space="preserve"> </w:t>
      </w:r>
    </w:p>
    <w:p w14:paraId="1BFD59B1" w14:textId="77777777" w:rsidR="00B50935" w:rsidRPr="009017BC" w:rsidRDefault="00B50935" w:rsidP="00B50935">
      <w:pPr>
        <w:pStyle w:val="Text1"/>
        <w:rPr>
          <w:b/>
          <w:noProof/>
        </w:rPr>
      </w:pPr>
      <w:r w:rsidRPr="009017BC">
        <w:t>X</w:t>
      </w:r>
      <w:r w:rsidRPr="009017BC">
        <w:rPr>
          <w:b/>
        </w:rPr>
        <w:t xml:space="preserve"> una acción nueva </w:t>
      </w:r>
    </w:p>
    <w:p w14:paraId="61668B7A" w14:textId="77777777" w:rsidR="00B50935" w:rsidRPr="009017BC" w:rsidRDefault="00B50935" w:rsidP="00B50935">
      <w:pPr>
        <w:pStyle w:val="Text1"/>
        <w:rPr>
          <w:noProof/>
          <w:sz w:val="22"/>
        </w:rPr>
      </w:pPr>
      <w:r w:rsidRPr="009017BC">
        <w:sym w:font="Wingdings" w:char="F0A8"/>
      </w:r>
      <w:r w:rsidRPr="009017BC">
        <w:rPr>
          <w:i/>
        </w:rPr>
        <w:t xml:space="preserve"> </w:t>
      </w:r>
      <w:r w:rsidRPr="009017BC">
        <w:rPr>
          <w:b/>
        </w:rPr>
        <w:t>una acción nueva a raíz de un proyecto piloto / una acción preparatoria</w:t>
      </w:r>
      <w:r w:rsidRPr="009017BC">
        <w:rPr>
          <w:rStyle w:val="FootnoteReference"/>
          <w:b/>
          <w:noProof/>
        </w:rPr>
        <w:footnoteReference w:id="14"/>
      </w:r>
      <w:r w:rsidRPr="009017BC">
        <w:rPr>
          <w:sz w:val="22"/>
        </w:rPr>
        <w:t xml:space="preserve"> </w:t>
      </w:r>
    </w:p>
    <w:p w14:paraId="3601BFA8" w14:textId="77777777" w:rsidR="00B50935" w:rsidRPr="009017BC" w:rsidRDefault="00B50935" w:rsidP="00B50935">
      <w:pPr>
        <w:pStyle w:val="Text1"/>
        <w:rPr>
          <w:noProof/>
        </w:rPr>
      </w:pPr>
      <w:r w:rsidRPr="009017BC">
        <w:t xml:space="preserve">X </w:t>
      </w:r>
      <w:r w:rsidRPr="009017BC">
        <w:rPr>
          <w:b/>
        </w:rPr>
        <w:t>la prolongación de una acción existente</w:t>
      </w:r>
      <w:r w:rsidRPr="009017BC">
        <w:t xml:space="preserve"> </w:t>
      </w:r>
    </w:p>
    <w:p w14:paraId="7C225EED" w14:textId="77777777" w:rsidR="00B50935" w:rsidRPr="009017BC" w:rsidRDefault="00B50935" w:rsidP="00B50935">
      <w:pPr>
        <w:pStyle w:val="Text1"/>
        <w:rPr>
          <w:noProof/>
        </w:rPr>
      </w:pPr>
      <w:r w:rsidRPr="009017BC">
        <w:sym w:font="Wingdings" w:char="F0A8"/>
      </w:r>
      <w:r w:rsidRPr="009017BC">
        <w:rPr>
          <w:i/>
        </w:rPr>
        <w:t xml:space="preserve"> </w:t>
      </w:r>
      <w:r w:rsidRPr="009017BC">
        <w:rPr>
          <w:b/>
        </w:rPr>
        <w:t>una fusión o reorientación de una o más acciones hacia una nueva acción</w:t>
      </w:r>
      <w:r w:rsidRPr="009017BC">
        <w:t xml:space="preserve"> </w:t>
      </w:r>
    </w:p>
    <w:p w14:paraId="293BEBEE" w14:textId="616C94DE" w:rsidR="00B50935" w:rsidRPr="009017BC" w:rsidRDefault="00B50935" w:rsidP="00B50935">
      <w:pPr>
        <w:pStyle w:val="Heading2"/>
        <w:rPr>
          <w:bCs w:val="0"/>
          <w:noProof/>
          <w:szCs w:val="24"/>
        </w:rPr>
      </w:pPr>
      <w:bookmarkStart w:id="26" w:name="_Toc514938663"/>
      <w:bookmarkStart w:id="27" w:name="_Toc57975620"/>
      <w:r w:rsidRPr="009017BC">
        <w:t>Objetivo(s)</w:t>
      </w:r>
      <w:bookmarkEnd w:id="26"/>
      <w:bookmarkEnd w:id="27"/>
    </w:p>
    <w:p w14:paraId="7AD6C759" w14:textId="77777777" w:rsidR="00B50935" w:rsidRPr="009017BC" w:rsidRDefault="00B50935" w:rsidP="00B50935">
      <w:pPr>
        <w:pStyle w:val="Heading3"/>
        <w:rPr>
          <w:bCs w:val="0"/>
          <w:noProof/>
          <w:szCs w:val="24"/>
        </w:rPr>
      </w:pPr>
      <w:bookmarkStart w:id="28" w:name="_Toc514938664"/>
      <w:bookmarkStart w:id="29" w:name="_Toc57975621"/>
      <w:r w:rsidRPr="009017BC">
        <w:t>Objetivo(s) general(es)</w:t>
      </w:r>
      <w:bookmarkEnd w:id="28"/>
      <w:bookmarkEnd w:id="29"/>
      <w:r w:rsidRPr="009017BC">
        <w:t xml:space="preserve"> </w:t>
      </w:r>
    </w:p>
    <w:p w14:paraId="1CAAA2E3"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bookmarkStart w:id="30" w:name="_Toc514938665"/>
      <w:r w:rsidRPr="009017BC">
        <w:t>El objetivo general del trabajo del Centro Europeo para la Prevención y el Control de las Enfermedades (ECDC) es determinar y comunicar las amenazas actuales y emergentes que representan para la salud humana las enfermedades transmisibles y formular recomendaciones de respuesta a escala de la Unión y nacional.</w:t>
      </w:r>
    </w:p>
    <w:p w14:paraId="59379430" w14:textId="77777777" w:rsidR="00B50935" w:rsidRPr="009017BC" w:rsidRDefault="00B50935" w:rsidP="00B50935">
      <w:pPr>
        <w:pStyle w:val="Heading3"/>
        <w:rPr>
          <w:bCs w:val="0"/>
          <w:noProof/>
          <w:szCs w:val="24"/>
        </w:rPr>
      </w:pPr>
      <w:bookmarkStart w:id="31" w:name="_Toc57975622"/>
      <w:r w:rsidRPr="009017BC">
        <w:t>Objetivo(s) específico(s)</w:t>
      </w:r>
      <w:bookmarkEnd w:id="30"/>
      <w:bookmarkEnd w:id="31"/>
      <w:r w:rsidRPr="009017BC">
        <w:t xml:space="preserve"> </w:t>
      </w:r>
    </w:p>
    <w:p w14:paraId="443CD858"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u w:val="single"/>
        </w:rPr>
      </w:pPr>
      <w:r w:rsidRPr="009017BC">
        <w:rPr>
          <w:u w:val="single"/>
        </w:rPr>
        <w:t xml:space="preserve">Objetivos específicos </w:t>
      </w:r>
    </w:p>
    <w:p w14:paraId="6D4478D0" w14:textId="364561C3" w:rsidR="00B50935" w:rsidRPr="009017BC" w:rsidRDefault="00C823D2" w:rsidP="00B50935">
      <w:pPr>
        <w:pStyle w:val="Text1"/>
        <w:pBdr>
          <w:top w:val="single" w:sz="4" w:space="1" w:color="auto"/>
          <w:left w:val="single" w:sz="4" w:space="4" w:color="auto"/>
          <w:bottom w:val="single" w:sz="4" w:space="1" w:color="auto"/>
          <w:right w:val="single" w:sz="4" w:space="4" w:color="auto"/>
        </w:pBdr>
      </w:pPr>
      <w:r w:rsidRPr="009017BC">
        <w:t>El ECDC facilitará puntualmente información a la Comisión, a los Estados miembros, a los organismos y las agencias de la UE y a las organizaciones internacionales activas en el ámbito de la salud pública, incluidas evaluaciones de riesgos.</w:t>
      </w:r>
    </w:p>
    <w:p w14:paraId="76DBC363" w14:textId="0B140374" w:rsidR="00B50935" w:rsidRPr="009017BC" w:rsidRDefault="00C823D2" w:rsidP="00B50935">
      <w:pPr>
        <w:pStyle w:val="Text1"/>
        <w:pBdr>
          <w:top w:val="single" w:sz="4" w:space="1" w:color="auto"/>
          <w:left w:val="single" w:sz="4" w:space="4" w:color="auto"/>
          <w:bottom w:val="single" w:sz="4" w:space="1" w:color="auto"/>
          <w:right w:val="single" w:sz="4" w:space="4" w:color="auto"/>
        </w:pBdr>
      </w:pPr>
      <w:r w:rsidRPr="009017BC">
        <w:t>El ECDC proporcionará conocimientos científicos y técnicos a los Estados miembros y a la Comisión en el ámbito de la planificación de la preparación y respuesta, incluida la formación.</w:t>
      </w:r>
    </w:p>
    <w:p w14:paraId="67E3A8AB" w14:textId="4662EDE1" w:rsidR="00B50935" w:rsidRPr="009017BC" w:rsidRDefault="00C823D2" w:rsidP="00B50935">
      <w:pPr>
        <w:pStyle w:val="Text1"/>
        <w:pBdr>
          <w:top w:val="single" w:sz="4" w:space="1" w:color="auto"/>
          <w:left w:val="single" w:sz="4" w:space="4" w:color="auto"/>
          <w:bottom w:val="single" w:sz="4" w:space="1" w:color="auto"/>
          <w:right w:val="single" w:sz="4" w:space="4" w:color="auto"/>
        </w:pBdr>
      </w:pPr>
      <w:r w:rsidRPr="009017BC">
        <w:t>El ECDC coordinará la recopilación, la validación, el análisis y la difusión de datos a escala de la UE y creará así un sólido sistema europeo de vigilancia de las enfermedades transmisibles en el marco del espacio europeo de datos sanitarios.</w:t>
      </w:r>
    </w:p>
    <w:p w14:paraId="23CAA421" w14:textId="46930E4A" w:rsidR="00B50935" w:rsidRPr="009017BC" w:rsidRDefault="00C823D2" w:rsidP="00B50935">
      <w:pPr>
        <w:pStyle w:val="Text1"/>
        <w:pBdr>
          <w:top w:val="single" w:sz="4" w:space="1" w:color="auto"/>
          <w:left w:val="single" w:sz="4" w:space="4" w:color="auto"/>
          <w:bottom w:val="single" w:sz="4" w:space="1" w:color="auto"/>
          <w:right w:val="single" w:sz="4" w:space="4" w:color="auto"/>
        </w:pBdr>
      </w:pPr>
      <w:r w:rsidRPr="009017BC">
        <w:t>El ECDC gestionará redes especializadas en el ámbito de las enfermedades transmisibles y las sustancias de origen humano.</w:t>
      </w:r>
    </w:p>
    <w:p w14:paraId="30075111" w14:textId="165E4BD6" w:rsidR="00B50935" w:rsidRPr="009017BC" w:rsidRDefault="00C823D2" w:rsidP="00B50935">
      <w:pPr>
        <w:pStyle w:val="Text1"/>
        <w:pBdr>
          <w:top w:val="single" w:sz="4" w:space="1" w:color="auto"/>
          <w:left w:val="single" w:sz="4" w:space="4" w:color="auto"/>
          <w:bottom w:val="single" w:sz="4" w:space="1" w:color="auto"/>
          <w:right w:val="single" w:sz="4" w:space="4" w:color="auto"/>
        </w:pBdr>
      </w:pPr>
      <w:r w:rsidRPr="009017BC">
        <w:t>El ECDC gestionará un Grupo de Trabajo sobre Salud de la UE para ayudar constantemente a los países a reforzar la preparación e intervenir rápidamente en caso de crisis sanitaria.</w:t>
      </w:r>
    </w:p>
    <w:p w14:paraId="23BDD32B"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El ECDC mejorará la colaboración internacional y recopilará inteligencia regional y nacional.</w:t>
      </w:r>
    </w:p>
    <w:p w14:paraId="445AD1DE" w14:textId="77777777" w:rsidR="00B50935" w:rsidRPr="009017BC" w:rsidRDefault="00B50935" w:rsidP="00B50935">
      <w:pPr>
        <w:pStyle w:val="Heading3"/>
        <w:rPr>
          <w:noProof/>
        </w:rPr>
      </w:pPr>
      <w:bookmarkStart w:id="32" w:name="_Toc514938666"/>
      <w:bookmarkStart w:id="33" w:name="_Toc57975623"/>
      <w:r w:rsidRPr="009017BC">
        <w:t>Resultado(s) e incidencia esperados</w:t>
      </w:r>
      <w:bookmarkEnd w:id="32"/>
      <w:bookmarkEnd w:id="33"/>
    </w:p>
    <w:p w14:paraId="6B3202CB" w14:textId="77777777" w:rsidR="00B50935" w:rsidRPr="009017BC" w:rsidRDefault="00B50935" w:rsidP="00B50935">
      <w:pPr>
        <w:pStyle w:val="Text1"/>
        <w:rPr>
          <w:i/>
          <w:noProof/>
          <w:sz w:val="20"/>
        </w:rPr>
      </w:pPr>
      <w:r w:rsidRPr="009017BC">
        <w:rPr>
          <w:i/>
          <w:sz w:val="20"/>
        </w:rPr>
        <w:t>Especifíquense los efectos que la propuesta/iniciativa debería tener sobre los beneficiarios / la población destinataria.</w:t>
      </w:r>
    </w:p>
    <w:p w14:paraId="78A21B15" w14:textId="77777777" w:rsidR="00B50935" w:rsidRPr="009017BC" w:rsidRDefault="00B50935" w:rsidP="00F36FFA">
      <w:pPr>
        <w:pStyle w:val="Tiret1"/>
        <w:numPr>
          <w:ilvl w:val="0"/>
          <w:numId w:val="19"/>
        </w:numPr>
        <w:pBdr>
          <w:top w:val="single" w:sz="4" w:space="1" w:color="auto"/>
          <w:left w:val="single" w:sz="4" w:space="4" w:color="auto"/>
          <w:bottom w:val="single" w:sz="4" w:space="1" w:color="auto"/>
          <w:right w:val="single" w:sz="4" w:space="4" w:color="auto"/>
        </w:pBdr>
      </w:pPr>
      <w:bookmarkStart w:id="34" w:name="_Toc514938667"/>
      <w:r w:rsidRPr="009017BC">
        <w:t>Planes de preparación actualizados en todos los Estados miembros de la UE, incluidas auditorías y medidas de corrección</w:t>
      </w:r>
    </w:p>
    <w:p w14:paraId="7DF5DFD9" w14:textId="3A901620" w:rsidR="00B50935" w:rsidRPr="009017BC" w:rsidRDefault="00447609" w:rsidP="00E215F2">
      <w:pPr>
        <w:pStyle w:val="Tiret1"/>
        <w:pBdr>
          <w:top w:val="single" w:sz="4" w:space="1" w:color="auto"/>
          <w:left w:val="single" w:sz="4" w:space="4" w:color="auto"/>
          <w:bottom w:val="single" w:sz="4" w:space="1" w:color="auto"/>
          <w:right w:val="single" w:sz="4" w:space="4" w:color="auto"/>
        </w:pBdr>
      </w:pPr>
      <w:r w:rsidRPr="009017BC">
        <w:t>Especialistas con formación periódica en todos los Estados miembros de la UE para gestionar crisis de salud pública</w:t>
      </w:r>
    </w:p>
    <w:p w14:paraId="5C998556" w14:textId="77777777" w:rsidR="00B50935" w:rsidRPr="009017BC" w:rsidRDefault="00B50935" w:rsidP="00E215F2">
      <w:pPr>
        <w:pStyle w:val="Tiret1"/>
        <w:pBdr>
          <w:top w:val="single" w:sz="4" w:space="1" w:color="auto"/>
          <w:left w:val="single" w:sz="4" w:space="4" w:color="auto"/>
          <w:bottom w:val="single" w:sz="4" w:space="1" w:color="auto"/>
          <w:right w:val="single" w:sz="4" w:space="4" w:color="auto"/>
        </w:pBdr>
      </w:pPr>
      <w:r w:rsidRPr="009017BC">
        <w:t>Redes europeas establecidas y en funcionamiento de especialistas en todas las enfermedades transmisibles clave, incluidas las enfermedades emergentes</w:t>
      </w:r>
    </w:p>
    <w:p w14:paraId="089D17AD" w14:textId="2CAFF128" w:rsidR="00B50935" w:rsidRPr="009017BC" w:rsidRDefault="00B50935" w:rsidP="00E215F2">
      <w:pPr>
        <w:pStyle w:val="Tiret1"/>
        <w:pBdr>
          <w:top w:val="single" w:sz="4" w:space="1" w:color="auto"/>
          <w:left w:val="single" w:sz="4" w:space="4" w:color="auto"/>
          <w:bottom w:val="single" w:sz="4" w:space="1" w:color="auto"/>
          <w:right w:val="single" w:sz="4" w:space="4" w:color="auto"/>
        </w:pBdr>
      </w:pPr>
      <w:r w:rsidRPr="009017BC">
        <w:t>Aportaciones y apoyo oportunos y proactivos del ECDC a todos los Estados miembros y a la Comisión Europea sobre las respuestas a crisis sanitarias</w:t>
      </w:r>
    </w:p>
    <w:p w14:paraId="0DA1FCC0" w14:textId="7EA96409" w:rsidR="00B50935" w:rsidRPr="009017BC" w:rsidRDefault="00B50935" w:rsidP="00E215F2">
      <w:pPr>
        <w:pStyle w:val="Tiret1"/>
        <w:pBdr>
          <w:top w:val="single" w:sz="4" w:space="1" w:color="auto"/>
          <w:left w:val="single" w:sz="4" w:space="4" w:color="auto"/>
          <w:bottom w:val="single" w:sz="4" w:space="1" w:color="auto"/>
          <w:right w:val="single" w:sz="4" w:space="4" w:color="auto"/>
        </w:pBdr>
      </w:pPr>
      <w:r w:rsidRPr="009017BC">
        <w:t>Apoyo oportuno y específico en caso de crisis sanitaria a través del Grupo de Trabajo sobre Salud de la UE</w:t>
      </w:r>
    </w:p>
    <w:p w14:paraId="1A6A0E5F" w14:textId="77777777" w:rsidR="00B50935" w:rsidRPr="009017BC" w:rsidRDefault="00B50935" w:rsidP="00E215F2">
      <w:pPr>
        <w:pStyle w:val="Tiret1"/>
        <w:pBdr>
          <w:top w:val="single" w:sz="4" w:space="1" w:color="auto"/>
          <w:left w:val="single" w:sz="4" w:space="4" w:color="auto"/>
          <w:bottom w:val="single" w:sz="4" w:space="1" w:color="auto"/>
          <w:right w:val="single" w:sz="4" w:space="4" w:color="auto"/>
        </w:pBdr>
      </w:pPr>
      <w:r w:rsidRPr="009017BC">
        <w:t>Información oportuna y actualizada y colaboración fluida con otros centros para el control de las enfermedades y organizaciones internacionales dedicadas a la salud.</w:t>
      </w:r>
    </w:p>
    <w:p w14:paraId="6EC2F012" w14:textId="1D97F512" w:rsidR="00B50935" w:rsidRPr="009017BC" w:rsidRDefault="00B50935" w:rsidP="00B50935">
      <w:pPr>
        <w:pStyle w:val="Heading3"/>
        <w:rPr>
          <w:bCs w:val="0"/>
          <w:noProof/>
          <w:szCs w:val="24"/>
        </w:rPr>
      </w:pPr>
      <w:bookmarkStart w:id="35" w:name="_Toc57975624"/>
      <w:r w:rsidRPr="009017BC">
        <w:t>Indicadores de rendimiento</w:t>
      </w:r>
      <w:bookmarkEnd w:id="34"/>
      <w:bookmarkEnd w:id="35"/>
      <w:r w:rsidRPr="009017BC">
        <w:t xml:space="preserve"> </w:t>
      </w:r>
    </w:p>
    <w:p w14:paraId="4780DE8C" w14:textId="77777777" w:rsidR="00B50935" w:rsidRPr="009017BC" w:rsidRDefault="00B50935" w:rsidP="00B50935">
      <w:pPr>
        <w:pStyle w:val="Text1"/>
        <w:rPr>
          <w:i/>
          <w:noProof/>
          <w:sz w:val="20"/>
        </w:rPr>
      </w:pPr>
      <w:r w:rsidRPr="009017BC">
        <w:rPr>
          <w:i/>
          <w:sz w:val="20"/>
        </w:rPr>
        <w:t>Especifíquense los indicadores que permiten realizar el seguimiento de los avances y logros.</w:t>
      </w:r>
    </w:p>
    <w:p w14:paraId="35E66C03" w14:textId="77777777" w:rsidR="00B50935" w:rsidRPr="009017BC" w:rsidRDefault="00B50935" w:rsidP="00B50935">
      <w:pPr>
        <w:pStyle w:val="Text1"/>
        <w:pBdr>
          <w:top w:val="single" w:sz="4" w:space="1" w:color="auto"/>
          <w:left w:val="single" w:sz="4" w:space="1" w:color="auto"/>
          <w:bottom w:val="single" w:sz="4" w:space="1" w:color="auto"/>
          <w:right w:val="single" w:sz="4" w:space="1" w:color="auto"/>
        </w:pBdr>
        <w:rPr>
          <w:sz w:val="23"/>
          <w:szCs w:val="23"/>
        </w:rPr>
      </w:pPr>
      <w:r w:rsidRPr="009017BC">
        <w:rPr>
          <w:sz w:val="23"/>
          <w:szCs w:val="23"/>
        </w:rPr>
        <w:t xml:space="preserve">Los objetivos detallados y los resultados esperados, incluidos los indicadores de rendimiento, se establecerán en el programa de trabajo anual, mientras que el programa de trabajo plurianual establecerá los objetivos estratégicos generales, los resultados esperados y los indicadores de rendimiento. </w:t>
      </w:r>
    </w:p>
    <w:p w14:paraId="63CA900C" w14:textId="4E469BF8" w:rsidR="00B50935" w:rsidRPr="009017BC" w:rsidRDefault="00B50935" w:rsidP="00B50935">
      <w:pPr>
        <w:pStyle w:val="Text1"/>
        <w:pBdr>
          <w:top w:val="single" w:sz="4" w:space="1" w:color="auto"/>
          <w:left w:val="single" w:sz="4" w:space="1" w:color="auto"/>
          <w:bottom w:val="single" w:sz="4" w:space="1" w:color="auto"/>
          <w:right w:val="single" w:sz="4" w:space="1" w:color="auto"/>
        </w:pBdr>
        <w:rPr>
          <w:sz w:val="23"/>
          <w:szCs w:val="23"/>
        </w:rPr>
      </w:pPr>
      <w:r w:rsidRPr="009017BC">
        <w:rPr>
          <w:sz w:val="23"/>
          <w:szCs w:val="23"/>
        </w:rPr>
        <w:t>Para las tareas y acciones específicas presentadas en la presente propuesta, se plantean los siguientes indicadores:</w:t>
      </w:r>
    </w:p>
    <w:p w14:paraId="6D04F7D8" w14:textId="3565FBAD" w:rsidR="00B50935" w:rsidRPr="009017BC" w:rsidRDefault="00B50935" w:rsidP="00B50935">
      <w:pPr>
        <w:pStyle w:val="Text1"/>
        <w:pBdr>
          <w:top w:val="single" w:sz="4" w:space="1" w:color="auto"/>
          <w:left w:val="single" w:sz="4" w:space="1" w:color="auto"/>
          <w:bottom w:val="single" w:sz="4" w:space="1" w:color="auto"/>
          <w:right w:val="single" w:sz="4" w:space="1" w:color="auto"/>
        </w:pBdr>
      </w:pPr>
      <w:r w:rsidRPr="009017BC">
        <w:t xml:space="preserve">- Número de evaluaciones de riesgos realizadas de manera proactiva, en caso necesario o a petición de la Comisión Europea o del Comité de Seguridad Sanitaria, en el plazo de uno a cinco días, en función de la magnitud del brote o incidente de seguridad sanitaria. </w:t>
      </w:r>
    </w:p>
    <w:p w14:paraId="72A5115A" w14:textId="77777777" w:rsidR="00B50935" w:rsidRPr="009017BC" w:rsidRDefault="00B50935" w:rsidP="00B50935">
      <w:pPr>
        <w:pStyle w:val="Text1"/>
        <w:pBdr>
          <w:top w:val="single" w:sz="4" w:space="1" w:color="auto"/>
          <w:left w:val="single" w:sz="4" w:space="1" w:color="auto"/>
          <w:bottom w:val="single" w:sz="4" w:space="1" w:color="auto"/>
          <w:right w:val="single" w:sz="4" w:space="1" w:color="auto"/>
        </w:pBdr>
      </w:pPr>
      <w:r w:rsidRPr="009017BC">
        <w:t>- Número de módulos de formación para la preparación que se estén elaborando.</w:t>
      </w:r>
    </w:p>
    <w:p w14:paraId="41979B83" w14:textId="77777777" w:rsidR="00B50935" w:rsidRPr="009017BC" w:rsidRDefault="00B50935" w:rsidP="00B50935">
      <w:pPr>
        <w:pStyle w:val="Text1"/>
        <w:pBdr>
          <w:top w:val="single" w:sz="4" w:space="1" w:color="auto"/>
          <w:left w:val="single" w:sz="4" w:space="1" w:color="auto"/>
          <w:bottom w:val="single" w:sz="4" w:space="1" w:color="auto"/>
          <w:right w:val="single" w:sz="4" w:space="1" w:color="auto"/>
        </w:pBdr>
      </w:pPr>
      <w:r w:rsidRPr="009017BC">
        <w:t>- Porcentaje de aumento de la capacidad TESSy e incremento de la escala del SAPR, preservando la rapidez del intercambio de información.</w:t>
      </w:r>
    </w:p>
    <w:p w14:paraId="7035C721" w14:textId="357728FE" w:rsidR="00B50935" w:rsidRPr="009017BC" w:rsidRDefault="00B50935" w:rsidP="00B50935">
      <w:pPr>
        <w:pStyle w:val="Text1"/>
        <w:pBdr>
          <w:top w:val="single" w:sz="4" w:space="1" w:color="auto"/>
          <w:left w:val="single" w:sz="4" w:space="1" w:color="auto"/>
          <w:bottom w:val="single" w:sz="4" w:space="1" w:color="auto"/>
          <w:right w:val="single" w:sz="4" w:space="1" w:color="auto"/>
        </w:pBdr>
      </w:pPr>
      <w:r w:rsidRPr="009017BC">
        <w:t>- Número de intervenciones rápidas y específicas del Grupo de Trabajo sobre Salud de la UE.</w:t>
      </w:r>
    </w:p>
    <w:p w14:paraId="5A253552" w14:textId="77777777" w:rsidR="00B50935" w:rsidRPr="009017BC" w:rsidRDefault="00B50935" w:rsidP="00B50935">
      <w:pPr>
        <w:pStyle w:val="Heading2"/>
        <w:rPr>
          <w:bCs w:val="0"/>
          <w:noProof/>
          <w:szCs w:val="24"/>
        </w:rPr>
      </w:pPr>
      <w:bookmarkStart w:id="36" w:name="_Toc514938668"/>
      <w:bookmarkStart w:id="37" w:name="_Toc57975625"/>
      <w:r w:rsidRPr="009017BC">
        <w:t>Justificación de la propuesta/iniciativa</w:t>
      </w:r>
      <w:bookmarkEnd w:id="36"/>
      <w:bookmarkEnd w:id="37"/>
      <w:r w:rsidRPr="009017BC">
        <w:t xml:space="preserve"> </w:t>
      </w:r>
    </w:p>
    <w:p w14:paraId="607B8033" w14:textId="77777777" w:rsidR="00B50935" w:rsidRPr="009017BC" w:rsidRDefault="00B50935" w:rsidP="00B50935">
      <w:pPr>
        <w:pStyle w:val="Heading3"/>
        <w:rPr>
          <w:noProof/>
        </w:rPr>
      </w:pPr>
      <w:bookmarkStart w:id="38" w:name="_Toc514938669"/>
      <w:bookmarkStart w:id="39" w:name="_Toc57975626"/>
      <w:r w:rsidRPr="009017BC">
        <w:t>Necesidad(es) que debe(n) satisfacerse a corto o largo plazo, incluido un calendario detallado del despliegue de la aplicación de la iniciativa</w:t>
      </w:r>
      <w:bookmarkEnd w:id="38"/>
      <w:bookmarkEnd w:id="39"/>
    </w:p>
    <w:p w14:paraId="7CF21691"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Una de las enseñanzas extraídas de la pandemia de COVID-19 es la necesidad de reforzar el marco de seguridad sanitaria de la UE para mejorar la coordinación de la Unión en materia de preparación y respuesta ante las amenazas transfronterizas graves para la salud. El ECDC es un agente clave en este marco y debe reforzarse de manera específica para llevar a cabo una mayor variedad de acciones.</w:t>
      </w:r>
    </w:p>
    <w:p w14:paraId="6E58A40C"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color w:val="0000FF"/>
        </w:rPr>
      </w:pPr>
      <w:r w:rsidRPr="009017BC">
        <w:t>La revisión del mandato debería tener lugar a principios de 2021 y aplicarse de inmediato.</w:t>
      </w:r>
    </w:p>
    <w:p w14:paraId="599A4570" w14:textId="77777777" w:rsidR="00B50935" w:rsidRPr="009017BC" w:rsidRDefault="00B50935" w:rsidP="00B50935">
      <w:pPr>
        <w:pStyle w:val="Heading3"/>
        <w:rPr>
          <w:bCs w:val="0"/>
          <w:noProof/>
          <w:szCs w:val="24"/>
        </w:rPr>
      </w:pPr>
      <w:bookmarkStart w:id="40" w:name="_Toc514938670"/>
      <w:bookmarkStart w:id="41" w:name="_Toc57975627"/>
      <w:r w:rsidRPr="009017BC">
        <w:t>Valor añadido de la intervención de la Unión (puede derivarse de distintos factores, como mejor coordinación, seguridad jurídica, mejora de la eficacia o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bookmarkEnd w:id="40"/>
      <w:bookmarkEnd w:id="41"/>
    </w:p>
    <w:p w14:paraId="0E66B4E1"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bookmarkStart w:id="42" w:name="_Toc514938671"/>
      <w:r w:rsidRPr="009017BC">
        <w:t>Motivos para actuar a nivel europeo (</w:t>
      </w:r>
      <w:r w:rsidRPr="009017BC">
        <w:rPr>
          <w:i/>
        </w:rPr>
        <w:t>ex ante</w:t>
      </w:r>
      <w:r w:rsidRPr="009017BC">
        <w:t xml:space="preserve">): el ECDC es una agencia descentralizada de la UE establecida y su apoyo a los Estados miembros y sus publicaciones científicas son elementos clave para la preparación y respuesta a las amenazas transfronterizas para la salud. Sobre la base de las enseñanzas extraídas de la pandemia de COVID-19, es oportuno efectuar una revisión del mandato para mejorar el trabajo de preparación en la Unión Europea. </w:t>
      </w:r>
    </w:p>
    <w:p w14:paraId="1535D164"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Valor añadido de la Unión que se prevé generar (</w:t>
      </w:r>
      <w:r w:rsidRPr="009017BC">
        <w:rPr>
          <w:i/>
          <w:iCs/>
        </w:rPr>
        <w:t>ex post</w:t>
      </w:r>
      <w:r w:rsidRPr="009017BC">
        <w:t>): los Estados miembros estarán mejor preparados para hacer frente a posibles pandemias futuras y a otras amenazas transfronterizas para la salud.</w:t>
      </w:r>
    </w:p>
    <w:p w14:paraId="4CAE9EE7" w14:textId="77777777" w:rsidR="00B50935" w:rsidRPr="009017BC" w:rsidRDefault="00B50935" w:rsidP="00B50935">
      <w:pPr>
        <w:pStyle w:val="Heading3"/>
        <w:rPr>
          <w:noProof/>
        </w:rPr>
      </w:pPr>
      <w:bookmarkStart w:id="43" w:name="_Toc57975628"/>
      <w:r w:rsidRPr="009017BC">
        <w:t>Principales conclusiones extraídas de experiencias similares anteriores</w:t>
      </w:r>
      <w:bookmarkEnd w:id="42"/>
      <w:bookmarkEnd w:id="43"/>
    </w:p>
    <w:p w14:paraId="6212D8E3"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bookmarkStart w:id="44" w:name="_Toc514938672"/>
      <w:r w:rsidRPr="009017BC">
        <w:t>Aunque la pandemia de COVID-19 aún está en curso, la presente propuesta se basa en las enseñanzas extraídas de los últimos meses de esta pandemia. En particular, es necesario mejorar la preparación y el seguimiento.</w:t>
      </w:r>
    </w:p>
    <w:p w14:paraId="0817558F"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Se tuvo en cuenta la experiencia adquirida con revisiones anteriores de los mandatos de otras agencias descentralizadas de la UE, por ejemplo, la EFSA.</w:t>
      </w:r>
    </w:p>
    <w:p w14:paraId="023A014E" w14:textId="77777777" w:rsidR="00B50935" w:rsidRPr="009017BC" w:rsidRDefault="00B50935" w:rsidP="00B50935">
      <w:pPr>
        <w:pStyle w:val="Heading3"/>
        <w:rPr>
          <w:noProof/>
        </w:rPr>
      </w:pPr>
      <w:bookmarkStart w:id="45" w:name="_Toc57975629"/>
      <w:r w:rsidRPr="009017BC">
        <w:t>Compatibilidad con el marco financiero plurianual y posibles sinergias con otros instrumentos adecuados</w:t>
      </w:r>
      <w:bookmarkEnd w:id="44"/>
      <w:bookmarkEnd w:id="45"/>
    </w:p>
    <w:p w14:paraId="0650C337" w14:textId="4994AD79"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La Agencia debe cooperar y promover sinergias con otros organismos y agencias de la Unión, como la Agencia Europea de Medicamentos (EMA), la Autoridad Europea de Seguridad Alimentaria (EFSA) y la Agencia Europea de Medio Ambiente (AEMA), y aprovechar al máximo y garantizar la coherencia con el programa «La UE por la Salud» y otros programas de la UE que financian acciones en el ámbito de la salud pública.</w:t>
      </w:r>
    </w:p>
    <w:p w14:paraId="635DB919" w14:textId="1971F574"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p>
    <w:p w14:paraId="1D92D3AF" w14:textId="77777777" w:rsidR="00B50935" w:rsidRPr="009017BC" w:rsidRDefault="00B50935" w:rsidP="00B50935">
      <w:pPr>
        <w:pStyle w:val="Heading3"/>
        <w:rPr>
          <w:noProof/>
        </w:rPr>
      </w:pPr>
      <w:bookmarkStart w:id="46" w:name="_Toc514938673"/>
      <w:bookmarkStart w:id="47" w:name="_Toc57975630"/>
      <w:r w:rsidRPr="009017BC">
        <w:t>Evaluación de las diferentes opciones de financiación disponibles, incluidas las posibilidades de reasignación</w:t>
      </w:r>
      <w:bookmarkEnd w:id="46"/>
      <w:bookmarkEnd w:id="47"/>
    </w:p>
    <w:p w14:paraId="24CFA270"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No aplicable</w:t>
      </w:r>
    </w:p>
    <w:p w14:paraId="4C976F90" w14:textId="24D3AC9E" w:rsidR="00B50935" w:rsidRPr="009017BC" w:rsidRDefault="00B50935" w:rsidP="00B50935">
      <w:pPr>
        <w:pStyle w:val="Text1"/>
        <w:pBdr>
          <w:top w:val="single" w:sz="4" w:space="1" w:color="auto"/>
          <w:left w:val="single" w:sz="4" w:space="4" w:color="auto"/>
          <w:bottom w:val="single" w:sz="4" w:space="1" w:color="auto"/>
          <w:right w:val="single" w:sz="4" w:space="4" w:color="auto"/>
        </w:pBdr>
      </w:pPr>
    </w:p>
    <w:p w14:paraId="689FCF16" w14:textId="7E2B30FC" w:rsidR="00B50935" w:rsidRPr="009017BC" w:rsidRDefault="00B50935" w:rsidP="00B50935">
      <w:pPr>
        <w:pStyle w:val="Text1"/>
      </w:pPr>
    </w:p>
    <w:p w14:paraId="55D86EC9" w14:textId="77777777" w:rsidR="00B50935" w:rsidRPr="009017BC" w:rsidRDefault="00B50935" w:rsidP="00B50935">
      <w:pPr>
        <w:pStyle w:val="Heading2"/>
        <w:rPr>
          <w:bCs w:val="0"/>
          <w:noProof/>
          <w:szCs w:val="24"/>
        </w:rPr>
      </w:pPr>
      <w:r w:rsidRPr="009017BC">
        <w:br w:type="page"/>
      </w:r>
      <w:bookmarkStart w:id="48" w:name="_Toc514938674"/>
      <w:bookmarkStart w:id="49" w:name="_Toc57975631"/>
      <w:r w:rsidRPr="009017BC">
        <w:t>Duración e incidencia financiera de la propuesta/iniciativa</w:t>
      </w:r>
      <w:bookmarkEnd w:id="48"/>
      <w:bookmarkEnd w:id="49"/>
    </w:p>
    <w:p w14:paraId="6B1EEF28" w14:textId="77777777" w:rsidR="00B50935" w:rsidRPr="009017BC" w:rsidRDefault="00B50935" w:rsidP="00B50935">
      <w:pPr>
        <w:pStyle w:val="Text1"/>
        <w:rPr>
          <w:noProof/>
        </w:rPr>
      </w:pPr>
      <w:r w:rsidRPr="009017BC">
        <w:sym w:font="Wingdings" w:char="F0A8"/>
      </w:r>
      <w:r w:rsidRPr="009017BC">
        <w:rPr>
          <w:b/>
          <w:i/>
        </w:rPr>
        <w:t xml:space="preserve"> </w:t>
      </w:r>
      <w:r w:rsidRPr="009017BC">
        <w:rPr>
          <w:b/>
        </w:rPr>
        <w:t xml:space="preserve">duración limitada </w:t>
      </w:r>
    </w:p>
    <w:p w14:paraId="1CC9BF14" w14:textId="77777777" w:rsidR="00B50935" w:rsidRPr="009017BC" w:rsidRDefault="00B50935" w:rsidP="006F7C3E">
      <w:pPr>
        <w:pStyle w:val="ListDash2"/>
        <w:rPr>
          <w:noProof/>
        </w:rPr>
      </w:pPr>
      <w:r w:rsidRPr="009017BC">
        <w:sym w:font="Wingdings" w:char="F0A8"/>
      </w:r>
      <w:r w:rsidRPr="009017BC">
        <w:tab/>
        <w:t xml:space="preserve">Propuesta/iniciativa en vigor desde [el] [DD.MM.]AAAA hasta [el] [DD.MM.]AAAA </w:t>
      </w:r>
    </w:p>
    <w:p w14:paraId="02B42B53" w14:textId="77777777" w:rsidR="00B50935" w:rsidRPr="009017BC" w:rsidRDefault="00B50935" w:rsidP="006F7C3E">
      <w:pPr>
        <w:pStyle w:val="ListDash2"/>
        <w:rPr>
          <w:noProof/>
        </w:rPr>
      </w:pPr>
      <w:r w:rsidRPr="009017BC">
        <w:sym w:font="Wingdings" w:char="F0A8"/>
      </w:r>
      <w:r w:rsidRPr="009017BC">
        <w:tab/>
        <w:t>Incidencia financiera desde AAAA hasta AAAA</w:t>
      </w:r>
    </w:p>
    <w:p w14:paraId="54EEC673" w14:textId="77777777" w:rsidR="00B50935" w:rsidRPr="009017BC" w:rsidRDefault="00B50935" w:rsidP="00B50935">
      <w:pPr>
        <w:pStyle w:val="Text1"/>
        <w:rPr>
          <w:noProof/>
        </w:rPr>
      </w:pPr>
      <w:r w:rsidRPr="009017BC">
        <w:t>X</w:t>
      </w:r>
      <w:r w:rsidRPr="009017BC">
        <w:rPr>
          <w:b/>
          <w:i/>
        </w:rPr>
        <w:t xml:space="preserve"> </w:t>
      </w:r>
      <w:r w:rsidRPr="009017BC">
        <w:rPr>
          <w:b/>
        </w:rPr>
        <w:t>duración ilimitada</w:t>
      </w:r>
    </w:p>
    <w:p w14:paraId="67400591" w14:textId="77777777" w:rsidR="00B50935" w:rsidRPr="009017BC" w:rsidRDefault="00B50935" w:rsidP="006F7C3E">
      <w:pPr>
        <w:pStyle w:val="ListDash1"/>
        <w:rPr>
          <w:noProof/>
        </w:rPr>
      </w:pPr>
      <w:r w:rsidRPr="009017BC">
        <w:t>Ejecución con una fase de puesta en marcha desde enero de 2021 hasta diciembre de 2023,</w:t>
      </w:r>
    </w:p>
    <w:p w14:paraId="1E2269B7" w14:textId="77777777" w:rsidR="00B50935" w:rsidRPr="009017BC" w:rsidRDefault="00B50935" w:rsidP="006F7C3E">
      <w:pPr>
        <w:pStyle w:val="ListDash1"/>
        <w:rPr>
          <w:noProof/>
        </w:rPr>
      </w:pPr>
      <w:r w:rsidRPr="009017BC">
        <w:t>y pleno funcionamiento a partir de la última fecha.</w:t>
      </w:r>
    </w:p>
    <w:p w14:paraId="293E4362" w14:textId="77777777" w:rsidR="00B50935" w:rsidRPr="009017BC" w:rsidRDefault="00B50935" w:rsidP="00B50935">
      <w:pPr>
        <w:pStyle w:val="Heading2"/>
        <w:rPr>
          <w:bCs w:val="0"/>
          <w:noProof/>
          <w:szCs w:val="24"/>
        </w:rPr>
      </w:pPr>
      <w:bookmarkStart w:id="50" w:name="_Toc57975632"/>
      <w:bookmarkStart w:id="51" w:name="_Toc514938675"/>
      <w:r w:rsidRPr="009017BC">
        <w:t>Modo(s) de gestión previsto(s)</w:t>
      </w:r>
      <w:r w:rsidRPr="009017BC">
        <w:rPr>
          <w:rStyle w:val="FootnoteReference"/>
          <w:bCs w:val="0"/>
          <w:noProof/>
        </w:rPr>
        <w:footnoteReference w:id="15"/>
      </w:r>
      <w:bookmarkEnd w:id="50"/>
      <w:r w:rsidRPr="009017BC">
        <w:rPr>
          <w:rStyle w:val="FootnoteReference"/>
          <w:noProof/>
        </w:rPr>
        <w:t xml:space="preserve"> </w:t>
      </w:r>
      <w:bookmarkEnd w:id="51"/>
      <w:r w:rsidRPr="009017BC">
        <w:rPr>
          <w:rStyle w:val="FootnoteReference"/>
        </w:rPr>
        <w:t xml:space="preserve"> </w:t>
      </w:r>
    </w:p>
    <w:p w14:paraId="54ABDF64" w14:textId="77777777" w:rsidR="00B50935" w:rsidRPr="009017BC" w:rsidRDefault="00B50935" w:rsidP="00B50935">
      <w:pPr>
        <w:pStyle w:val="Text1"/>
        <w:rPr>
          <w:noProof/>
        </w:rPr>
      </w:pPr>
      <w:r w:rsidRPr="009017BC">
        <w:sym w:font="Wingdings" w:char="F0A8"/>
      </w:r>
      <w:r w:rsidRPr="009017BC">
        <w:rPr>
          <w:i/>
        </w:rPr>
        <w:t xml:space="preserve"> </w:t>
      </w:r>
      <w:r w:rsidRPr="009017BC">
        <w:rPr>
          <w:b/>
        </w:rPr>
        <w:t>Gestión directa</w:t>
      </w:r>
      <w:r w:rsidRPr="009017BC">
        <w:t xml:space="preserve"> a cargo de la Comisión</w:t>
      </w:r>
    </w:p>
    <w:p w14:paraId="60A5E288" w14:textId="77777777" w:rsidR="00B50935" w:rsidRPr="009017BC" w:rsidRDefault="00B50935" w:rsidP="006F7C3E">
      <w:pPr>
        <w:pStyle w:val="ListDash2"/>
        <w:rPr>
          <w:noProof/>
        </w:rPr>
      </w:pPr>
      <w:r w:rsidRPr="009017BC">
        <w:sym w:font="Wingdings" w:char="F0A8"/>
      </w:r>
      <w:r w:rsidRPr="009017BC">
        <w:tab/>
        <w:t xml:space="preserve">por las agencias ejecutivas </w:t>
      </w:r>
    </w:p>
    <w:p w14:paraId="56F06820" w14:textId="77777777" w:rsidR="00B50935" w:rsidRPr="009017BC" w:rsidRDefault="00B50935" w:rsidP="00B50935">
      <w:pPr>
        <w:pStyle w:val="Text1"/>
        <w:rPr>
          <w:noProof/>
        </w:rPr>
      </w:pPr>
      <w:r w:rsidRPr="009017BC">
        <w:sym w:font="Wingdings" w:char="F0A8"/>
      </w:r>
      <w:r w:rsidRPr="009017BC">
        <w:rPr>
          <w:b/>
          <w:i/>
        </w:rPr>
        <w:t xml:space="preserve"> </w:t>
      </w:r>
      <w:r w:rsidRPr="009017BC">
        <w:rPr>
          <w:b/>
        </w:rPr>
        <w:t>Gestión compartida</w:t>
      </w:r>
      <w:r w:rsidRPr="009017BC">
        <w:t xml:space="preserve"> con los Estados miembros </w:t>
      </w:r>
    </w:p>
    <w:p w14:paraId="5FD782F8" w14:textId="77777777" w:rsidR="00B50935" w:rsidRPr="009017BC" w:rsidRDefault="00B50935" w:rsidP="00B50935">
      <w:pPr>
        <w:pStyle w:val="Text1"/>
        <w:rPr>
          <w:noProof/>
        </w:rPr>
      </w:pPr>
      <w:r w:rsidRPr="009017BC">
        <w:t xml:space="preserve">X </w:t>
      </w:r>
      <w:r w:rsidRPr="009017BC">
        <w:rPr>
          <w:b/>
        </w:rPr>
        <w:t>Gestión indirecta</w:t>
      </w:r>
      <w:r w:rsidRPr="009017BC">
        <w:t xml:space="preserve"> mediante delegación de tareas de ejecución presupuestaria en:</w:t>
      </w:r>
    </w:p>
    <w:p w14:paraId="69C83AC9" w14:textId="77777777" w:rsidR="00B50935" w:rsidRPr="009017BC" w:rsidRDefault="00B50935" w:rsidP="00B50935">
      <w:pPr>
        <w:pStyle w:val="Text1"/>
        <w:rPr>
          <w:noProof/>
        </w:rPr>
      </w:pPr>
      <w:r w:rsidRPr="009017BC">
        <w:sym w:font="Wingdings" w:char="F0A8"/>
      </w:r>
      <w:r w:rsidRPr="009017BC">
        <w:t xml:space="preserve"> organizaciones internacionales y sus agencias (especifíquense);</w:t>
      </w:r>
    </w:p>
    <w:p w14:paraId="418410EE" w14:textId="77777777" w:rsidR="00B50935" w:rsidRPr="009017BC" w:rsidRDefault="00B50935" w:rsidP="00B50935">
      <w:pPr>
        <w:pStyle w:val="Text1"/>
        <w:rPr>
          <w:noProof/>
        </w:rPr>
      </w:pPr>
      <w:r w:rsidRPr="009017BC">
        <w:sym w:font="Wingdings" w:char="F0A8"/>
      </w:r>
      <w:r w:rsidRPr="009017BC">
        <w:t xml:space="preserve"> el BEI y el Fondo Europeo de Inversiones;</w:t>
      </w:r>
    </w:p>
    <w:p w14:paraId="028A411F" w14:textId="77777777" w:rsidR="00B50935" w:rsidRPr="009017BC" w:rsidRDefault="00B50935" w:rsidP="00B50935">
      <w:pPr>
        <w:pStyle w:val="Text1"/>
        <w:rPr>
          <w:noProof/>
        </w:rPr>
      </w:pPr>
      <w:r w:rsidRPr="009017BC">
        <w:t>X los organismos a que se hace referencia en los artículos 70 y 71;</w:t>
      </w:r>
    </w:p>
    <w:p w14:paraId="0CF100C1" w14:textId="77777777" w:rsidR="00B50935" w:rsidRPr="009017BC" w:rsidRDefault="00B50935" w:rsidP="00B50935">
      <w:pPr>
        <w:pStyle w:val="Text1"/>
        <w:rPr>
          <w:noProof/>
        </w:rPr>
      </w:pPr>
      <w:r w:rsidRPr="009017BC">
        <w:sym w:font="Wingdings" w:char="F0A8"/>
      </w:r>
      <w:r w:rsidRPr="009017BC">
        <w:t xml:space="preserve"> organismos de Derecho público;</w:t>
      </w:r>
    </w:p>
    <w:p w14:paraId="14B6B254" w14:textId="77777777" w:rsidR="00B50935" w:rsidRPr="009017BC" w:rsidRDefault="00B50935" w:rsidP="00B50935">
      <w:pPr>
        <w:pStyle w:val="Text1"/>
        <w:rPr>
          <w:noProof/>
        </w:rPr>
      </w:pPr>
      <w:r w:rsidRPr="009017BC">
        <w:sym w:font="Wingdings" w:char="F0A8"/>
      </w:r>
      <w:r w:rsidRPr="009017BC">
        <w:t xml:space="preserve"> organismos de Derecho privado investidos de una misión de servicio público, en la medida en que presenten garantías financieras suficientes;</w:t>
      </w:r>
    </w:p>
    <w:p w14:paraId="3FE3EC31" w14:textId="77777777" w:rsidR="00B50935" w:rsidRPr="009017BC" w:rsidRDefault="00B50935" w:rsidP="00B50935">
      <w:pPr>
        <w:pStyle w:val="Text1"/>
        <w:rPr>
          <w:noProof/>
        </w:rPr>
      </w:pPr>
      <w:r w:rsidRPr="009017BC">
        <w:sym w:font="Wingdings" w:char="F0A8"/>
      </w:r>
      <w:r w:rsidRPr="009017BC">
        <w:t xml:space="preserve"> organismos de Derecho privado de un Estado miembro a los que se haya encomendado la ejecución de una colaboración público-privada y que presenten garantías financieras suficientes;</w:t>
      </w:r>
    </w:p>
    <w:p w14:paraId="25E8DA6C" w14:textId="77777777" w:rsidR="00B50935" w:rsidRPr="009017BC" w:rsidRDefault="00B50935" w:rsidP="00B50935">
      <w:pPr>
        <w:pStyle w:val="Text1"/>
        <w:rPr>
          <w:noProof/>
        </w:rPr>
      </w:pPr>
      <w:r w:rsidRPr="009017BC">
        <w:sym w:font="Wingdings" w:char="F0A8"/>
      </w:r>
      <w:r w:rsidRPr="009017BC">
        <w:t xml:space="preserve"> personas a quienes se haya encomendado la ejecución de acciones específicas en el marco de la PESC, de conformidad con el título V del Tratado de la Unión Europea, y que estén identificadas en el acto de base correspondiente.</w:t>
      </w:r>
    </w:p>
    <w:p w14:paraId="71102F75" w14:textId="77777777" w:rsidR="00B50935" w:rsidRPr="009017BC" w:rsidRDefault="00B50935" w:rsidP="00B50935">
      <w:pPr>
        <w:rPr>
          <w:noProof/>
        </w:rPr>
      </w:pPr>
      <w:r w:rsidRPr="009017BC">
        <w:t>Observaciones</w:t>
      </w:r>
    </w:p>
    <w:p w14:paraId="14F98D9F" w14:textId="12B315DA" w:rsidR="00B50935" w:rsidRPr="009017BC" w:rsidRDefault="00B50935" w:rsidP="00B50935">
      <w:pPr>
        <w:pBdr>
          <w:top w:val="single" w:sz="4" w:space="1" w:color="auto"/>
          <w:left w:val="single" w:sz="4" w:space="4" w:color="auto"/>
          <w:bottom w:val="single" w:sz="4" w:space="1" w:color="auto"/>
          <w:right w:val="single" w:sz="4" w:space="4" w:color="auto"/>
        </w:pBdr>
      </w:pPr>
    </w:p>
    <w:p w14:paraId="44BAD8D0" w14:textId="2CB5ACDD" w:rsidR="00B50935" w:rsidRPr="009017BC" w:rsidRDefault="00B50935" w:rsidP="00B50935">
      <w:pPr>
        <w:pBdr>
          <w:top w:val="single" w:sz="4" w:space="1" w:color="auto"/>
          <w:left w:val="single" w:sz="4" w:space="4" w:color="auto"/>
          <w:bottom w:val="single" w:sz="4" w:space="1" w:color="auto"/>
          <w:right w:val="single" w:sz="4" w:space="4" w:color="auto"/>
        </w:pBdr>
        <w:rPr>
          <w:noProof/>
          <w:color w:val="0000FF"/>
        </w:rPr>
      </w:pPr>
    </w:p>
    <w:p w14:paraId="4F1C8B6A" w14:textId="13967B45" w:rsidR="00B50935" w:rsidRPr="009017BC" w:rsidRDefault="00B50935" w:rsidP="00B50935">
      <w:pPr>
        <w:rPr>
          <w:noProof/>
        </w:rPr>
      </w:pPr>
    </w:p>
    <w:p w14:paraId="151D31E9" w14:textId="77777777" w:rsidR="00B50935" w:rsidRPr="009017BC" w:rsidRDefault="00B50935" w:rsidP="00B50935">
      <w:pPr>
        <w:rPr>
          <w:noProof/>
        </w:rPr>
        <w:sectPr w:rsidR="00B50935" w:rsidRPr="009017BC" w:rsidSect="00DF5771">
          <w:pgSz w:w="12240" w:h="15840"/>
          <w:pgMar w:top="794" w:right="907" w:bottom="851" w:left="1361" w:header="510" w:footer="454" w:gutter="0"/>
          <w:cols w:space="720"/>
          <w:docGrid w:linePitch="326"/>
        </w:sectPr>
      </w:pPr>
    </w:p>
    <w:p w14:paraId="1C10674D" w14:textId="77777777" w:rsidR="00B50935" w:rsidRPr="009017BC" w:rsidRDefault="00B50935" w:rsidP="00B50935">
      <w:pPr>
        <w:pStyle w:val="Heading1"/>
        <w:rPr>
          <w:bCs w:val="0"/>
          <w:noProof/>
          <w:szCs w:val="24"/>
        </w:rPr>
      </w:pPr>
      <w:bookmarkStart w:id="52" w:name="_Toc514938676"/>
      <w:bookmarkStart w:id="53" w:name="_Toc57975633"/>
      <w:r w:rsidRPr="009017BC">
        <w:t>MEDIDAS DE GESTIÓN</w:t>
      </w:r>
      <w:bookmarkEnd w:id="52"/>
      <w:bookmarkEnd w:id="53"/>
      <w:r w:rsidRPr="009017BC">
        <w:t xml:space="preserve"> </w:t>
      </w:r>
    </w:p>
    <w:p w14:paraId="3C57BC88" w14:textId="77777777" w:rsidR="00B50935" w:rsidRPr="009017BC" w:rsidRDefault="00B50935" w:rsidP="00B50935">
      <w:pPr>
        <w:pStyle w:val="Heading2"/>
        <w:rPr>
          <w:bCs w:val="0"/>
          <w:noProof/>
          <w:szCs w:val="24"/>
        </w:rPr>
      </w:pPr>
      <w:bookmarkStart w:id="54" w:name="_Toc514938677"/>
      <w:bookmarkStart w:id="55" w:name="_Toc57975634"/>
      <w:r w:rsidRPr="009017BC">
        <w:t>Disposiciones en materia de seguimiento e informes</w:t>
      </w:r>
      <w:bookmarkEnd w:id="54"/>
      <w:bookmarkEnd w:id="55"/>
      <w:r w:rsidRPr="009017BC">
        <w:t xml:space="preserve"> </w:t>
      </w:r>
    </w:p>
    <w:p w14:paraId="0CE872CB" w14:textId="77777777" w:rsidR="00B50935" w:rsidRPr="009017BC" w:rsidRDefault="00B50935" w:rsidP="00B50935">
      <w:pPr>
        <w:pStyle w:val="Text1"/>
        <w:rPr>
          <w:i/>
          <w:noProof/>
          <w:sz w:val="20"/>
        </w:rPr>
      </w:pPr>
      <w:r w:rsidRPr="009017BC">
        <w:rPr>
          <w:i/>
          <w:sz w:val="20"/>
        </w:rPr>
        <w:t>Especifíquense la frecuencia y las condiciones de dichas disposiciones.</w:t>
      </w:r>
    </w:p>
    <w:p w14:paraId="4C8890DD"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 xml:space="preserve">Todas las agencias de la Unión trabajan bajo un sistema de seguimiento estricto que incluye un coordinador de control interno, el Servicio de Auditoría Interna de la Comisión, la Junta directiva, la Comisión, el Tribunal de Cuentas y la Autoridad Presupuestaria. Este sistema queda reflejado y se establece en el Reglamento constitutivo del ECDC. </w:t>
      </w:r>
    </w:p>
    <w:p w14:paraId="2E2A5430" w14:textId="2474F517"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 xml:space="preserve">De conformidad con la Declaración Común para las agencias descentralizadas de la UE (el «planteamiento común») y con el Reglamento financiero marco (2019/715), el programa de trabajo anual de la Agencia incluirá objetivos detallados y resultados esperados, incluido el establecimiento de indicadores de rendimiento. La Agencia acompañará las actividades incluidas en su programa de trabajo con indicadores clave de rendimiento. A continuación, las actividades de la Agencia se medirán con arreglo a estos indicadores en el informe anual consolidado de actividades. El programa de trabajo anual será coherente con el programa de trabajo plurianual y ambos se incluirán en un documento único de programación anual que se presentará al Parlamento Europeo, al Consejo y a la Comisión. </w:t>
      </w:r>
    </w:p>
    <w:p w14:paraId="28EC907A" w14:textId="46E59EB5"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 xml:space="preserve">La Junta directiva de la Agencia será responsable de supervisar la eficiencia de la gestión administrativa, operativa y presupuestaria de la Agencia. </w:t>
      </w:r>
    </w:p>
    <w:p w14:paraId="166F6666"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Cada cinco años (la próxima evaluación abarcará el período 2018-2022), la Comisión evaluará el rendimiento de la Agencia en relación con sus objetivos, su mandato y sus tareas. La evaluación abordará, en particular, la posible necesidad de modificar el mandato de la Agencia y las repercusiones financieras de tal modificación. La Comisión comunicará al Parlamento Europeo, al Consejo y a la Junta directiva los resultados de la evaluación. Estos resultados se harán públicos.</w:t>
      </w:r>
    </w:p>
    <w:p w14:paraId="4AB814DF" w14:textId="201D6F4A" w:rsidR="00B50935" w:rsidRPr="009017BC" w:rsidRDefault="00B50935" w:rsidP="00B50935">
      <w:pPr>
        <w:pStyle w:val="Text1"/>
        <w:pBdr>
          <w:top w:val="single" w:sz="4" w:space="1" w:color="auto"/>
          <w:left w:val="single" w:sz="4" w:space="4" w:color="auto"/>
          <w:bottom w:val="single" w:sz="4" w:space="1" w:color="auto"/>
          <w:right w:val="single" w:sz="4" w:space="4" w:color="auto"/>
        </w:pBdr>
      </w:pPr>
    </w:p>
    <w:p w14:paraId="1305833C" w14:textId="77777777" w:rsidR="00B50935" w:rsidRPr="009017BC" w:rsidRDefault="00B50935" w:rsidP="00B50935">
      <w:pPr>
        <w:pStyle w:val="Heading2"/>
        <w:rPr>
          <w:bCs w:val="0"/>
          <w:noProof/>
          <w:szCs w:val="24"/>
        </w:rPr>
      </w:pPr>
      <w:bookmarkStart w:id="56" w:name="_Toc514938678"/>
      <w:bookmarkStart w:id="57" w:name="_Toc57975635"/>
      <w:r w:rsidRPr="009017BC">
        <w:t>Sistema(s) de gestión y de control</w:t>
      </w:r>
      <w:bookmarkEnd w:id="56"/>
      <w:bookmarkEnd w:id="57"/>
      <w:r w:rsidRPr="009017BC">
        <w:t xml:space="preserve"> </w:t>
      </w:r>
    </w:p>
    <w:p w14:paraId="55884E91" w14:textId="77777777" w:rsidR="00B50935" w:rsidRPr="009017BC" w:rsidRDefault="00B50935" w:rsidP="00B50935">
      <w:pPr>
        <w:pStyle w:val="Heading3"/>
        <w:rPr>
          <w:noProof/>
        </w:rPr>
      </w:pPr>
      <w:bookmarkStart w:id="58" w:name="_Toc514938679"/>
      <w:bookmarkStart w:id="59" w:name="_Toc57975636"/>
      <w:r w:rsidRPr="009017BC">
        <w:t>Justificación del modo o los modos de gestión, el mecanismo o los mecanismos de aplicación de la financiación, las modalidades de pago y la estrategia de control propuestos</w:t>
      </w:r>
      <w:bookmarkEnd w:id="58"/>
      <w:bookmarkEnd w:id="59"/>
    </w:p>
    <w:p w14:paraId="693AEC3C"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017BC">
        <w:rPr>
          <w:sz w:val="23"/>
          <w:szCs w:val="23"/>
        </w:rPr>
        <w:t xml:space="preserve">La subvención anual de la UE se transfiere a la Agencia de conformidad con sus necesidades de pago y previa solicitud de esta. </w:t>
      </w:r>
    </w:p>
    <w:p w14:paraId="1485B8A7"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rPr>
          <w:sz w:val="23"/>
          <w:szCs w:val="23"/>
        </w:rPr>
        <w:t>La Agencia estará sujeta a controles administrativos, lo que incluirá controles presupuestarios, auditorías internas, informes anuales del Tribunal de Cuentas Europeo, la aprobación anual de la ejecución del presupuesto de la UE y posibles investigaciones realizadas por la OLAF para garantizar, en particular, la utilización adecuada de los recursos asignados a las agencias. Las actividades de la Agencia también serán objeto de supervisión por parte del Defensor del Pueblo Europeo, de conformidad con el artículo 228 del Tratado. Estos controles administrativos ofrecen una serie de garantías procedimentales para asegurar que se tienen en cuenta los intereses de las partes interesadas.</w:t>
      </w:r>
    </w:p>
    <w:p w14:paraId="6909A5FF" w14:textId="4593D531" w:rsidR="00B50935" w:rsidRPr="009017BC" w:rsidRDefault="00B50935" w:rsidP="00B50935">
      <w:pPr>
        <w:pStyle w:val="Text1"/>
        <w:pBdr>
          <w:top w:val="single" w:sz="4" w:space="1" w:color="auto"/>
          <w:left w:val="single" w:sz="4" w:space="4" w:color="auto"/>
          <w:bottom w:val="single" w:sz="4" w:space="1" w:color="auto"/>
          <w:right w:val="single" w:sz="4" w:space="4" w:color="auto"/>
        </w:pBdr>
      </w:pPr>
    </w:p>
    <w:p w14:paraId="323224D8" w14:textId="77777777" w:rsidR="00B50935" w:rsidRPr="009017BC" w:rsidRDefault="00B50935" w:rsidP="00B50935">
      <w:pPr>
        <w:pStyle w:val="Heading3"/>
        <w:rPr>
          <w:noProof/>
        </w:rPr>
      </w:pPr>
      <w:bookmarkStart w:id="60" w:name="_Toc514938680"/>
      <w:bookmarkStart w:id="61" w:name="_Toc57975637"/>
      <w:r w:rsidRPr="009017BC">
        <w:t>Información relativa a los riesgos identificados y al sistema o los sistemas de control interno establecidos para mitigarlos</w:t>
      </w:r>
      <w:bookmarkEnd w:id="60"/>
      <w:bookmarkEnd w:id="61"/>
    </w:p>
    <w:p w14:paraId="48BC39F3"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rPr>
          <w:sz w:val="23"/>
          <w:szCs w:val="23"/>
        </w:rPr>
        <w:t>El principal riesgo se refiere a la ejecución parcial o la no ejecución de las tareas previstas. Para mitigarlo, deben ponerse a su disposición recursos suficientes, tanto financieros como de personal.</w:t>
      </w:r>
    </w:p>
    <w:p w14:paraId="7808040E" w14:textId="77777777" w:rsidR="00B50935" w:rsidRPr="009017BC" w:rsidRDefault="00B50935" w:rsidP="00B50935">
      <w:pPr>
        <w:pStyle w:val="Heading2"/>
        <w:rPr>
          <w:bCs w:val="0"/>
          <w:noProof/>
          <w:szCs w:val="24"/>
        </w:rPr>
      </w:pPr>
      <w:bookmarkStart w:id="62" w:name="_Toc514938682"/>
      <w:bookmarkStart w:id="63" w:name="_Toc57975638"/>
      <w:r w:rsidRPr="009017BC">
        <w:t>Medidas de prevención del fraude y de las irregularidades</w:t>
      </w:r>
      <w:bookmarkEnd w:id="62"/>
      <w:bookmarkEnd w:id="63"/>
      <w:r w:rsidRPr="009017BC">
        <w:t xml:space="preserve"> </w:t>
      </w:r>
    </w:p>
    <w:p w14:paraId="669072B0" w14:textId="77777777" w:rsidR="00B50935" w:rsidRPr="009017BC" w:rsidRDefault="00B50935" w:rsidP="00B50935">
      <w:pPr>
        <w:pStyle w:val="Text1"/>
        <w:rPr>
          <w:i/>
          <w:noProof/>
          <w:sz w:val="20"/>
        </w:rPr>
      </w:pPr>
      <w:r w:rsidRPr="009017BC">
        <w:rPr>
          <w:i/>
          <w:sz w:val="20"/>
        </w:rPr>
        <w:t>Especifíquense las medidas de prevención y protección existentes o previstas, por ejemplo, en la estrategia de lucha contra el fraude.</w:t>
      </w:r>
    </w:p>
    <w:p w14:paraId="4E8CAF77" w14:textId="35EB33A5"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rPr>
          <w:sz w:val="23"/>
          <w:szCs w:val="23"/>
        </w:rPr>
        <w:t>En el artículo 25 del Reglamento constitutivo del Centro Europeo para la Prevención y el Control de las Enfermedades se prevén medidas antifraude, y el Director y la Junta directiva tomarán las medidas apropiadas de conformidad con los principios de control interno aplicados en todas las instituciones de la UE. En consonancia con el planteamiento común, la Agencia ha desarrollado y aplica la estrategia de lucha contra el fraude.</w:t>
      </w:r>
    </w:p>
    <w:p w14:paraId="063446CB" w14:textId="15E68D0B"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El mandato del ECDC establece claramente que las disposiciones del Reglamento (UE, Euratom) n.º 883/2013 se aplicarán sin restricciones.</w:t>
      </w:r>
    </w:p>
    <w:p w14:paraId="1E8C9611" w14:textId="0904E69A" w:rsidR="00B50935" w:rsidRPr="009017BC" w:rsidRDefault="00447609" w:rsidP="00B50935">
      <w:pPr>
        <w:pStyle w:val="Text1"/>
        <w:pBdr>
          <w:top w:val="single" w:sz="4" w:space="1" w:color="auto"/>
          <w:left w:val="single" w:sz="4" w:space="4" w:color="auto"/>
          <w:bottom w:val="single" w:sz="4" w:space="1" w:color="auto"/>
          <w:right w:val="single" w:sz="4" w:space="4" w:color="auto"/>
        </w:pBdr>
      </w:pPr>
      <w:r w:rsidRPr="009017BC">
        <w:t>El ECDC se adhiere también al Acuerdo interinstitucional, de 25 de mayo de 1999, relativo a las investigaciones internas efectuadas por la Oficina Europea de Lucha contra el Fraude (OLAF) [10], y aprobará de inmediato las disposiciones correspondientes, que serán de aplicación para todo su personal.</w:t>
      </w:r>
    </w:p>
    <w:p w14:paraId="1265C61F" w14:textId="5F27BCC2" w:rsidR="00B50935" w:rsidRPr="009017BC" w:rsidRDefault="00447609" w:rsidP="00B50935">
      <w:pPr>
        <w:pStyle w:val="Text1"/>
        <w:pBdr>
          <w:top w:val="single" w:sz="4" w:space="1" w:color="auto"/>
          <w:left w:val="single" w:sz="4" w:space="4" w:color="auto"/>
          <w:bottom w:val="single" w:sz="4" w:space="1" w:color="auto"/>
          <w:right w:val="single" w:sz="4" w:space="4" w:color="auto"/>
        </w:pBdr>
      </w:pPr>
      <w:r w:rsidRPr="009017BC">
        <w:t xml:space="preserve">En las decisiones del ECDC en materia de financiación, así como en los acuerdos e instrumentos de ejecución derivados de las mismas, se establecerá de manera expresa que el Tribunal de Cuentas y la OLAF podrán efectuar, en su caso, controles </w:t>
      </w:r>
      <w:r w:rsidRPr="009017BC">
        <w:rPr>
          <w:i/>
          <w:iCs/>
        </w:rPr>
        <w:t>in situ</w:t>
      </w:r>
      <w:r w:rsidRPr="009017BC">
        <w:t xml:space="preserve"> de los beneficiarios de fondos del Centro, así como de los agentes responsables de su asignación.</w:t>
      </w:r>
    </w:p>
    <w:p w14:paraId="656E52B9"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pPr>
      <w:r w:rsidRPr="009017BC">
        <w:t>De conformidad con el Reglamento (UE) 2017/1939, la Fiscalía Europea puede investigar y perseguir el fraude y otras actividades ilegales que afecten a los intereses financieros de la Unión, tal como establece la Directiva (UE) 2017/1371.</w:t>
      </w:r>
    </w:p>
    <w:p w14:paraId="54687DA4" w14:textId="0A3D04B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rPr>
      </w:pPr>
      <w:r w:rsidRPr="009017BC">
        <w:t>Si el ECDC celebra acuerdos de trabajo con terceros países y con organizaciones internacionales, convenios de subvención, decisiones de subvención y contratos, estos contendrán disposiciones que establezcan expresamente la potestad del Tribunal de Cuentas, de la OLAF y de la Fiscalía Europea de llevar a cabo las auditorías y las investigaciones, de conformidad con sus respectivas competencias.</w:t>
      </w:r>
    </w:p>
    <w:p w14:paraId="47A8CEC6" w14:textId="77777777" w:rsidR="00B50935" w:rsidRPr="009017BC" w:rsidRDefault="00B50935" w:rsidP="00B50935">
      <w:pPr>
        <w:pStyle w:val="Heading1"/>
        <w:rPr>
          <w:noProof/>
        </w:rPr>
      </w:pPr>
      <w:bookmarkStart w:id="64" w:name="_Toc514938683"/>
      <w:bookmarkStart w:id="65" w:name="_Toc57975639"/>
      <w:r w:rsidRPr="009017BC">
        <w:t>INCIDENCIA FINANCIERA ESTIMADA DE LA PROPUESTA/INICIATIVA</w:t>
      </w:r>
      <w:bookmarkEnd w:id="64"/>
      <w:bookmarkEnd w:id="65"/>
      <w:r w:rsidRPr="009017BC">
        <w:t xml:space="preserve"> </w:t>
      </w:r>
    </w:p>
    <w:p w14:paraId="321165BC" w14:textId="77777777" w:rsidR="00B50935" w:rsidRPr="009017BC" w:rsidRDefault="00B50935" w:rsidP="00B50935">
      <w:pPr>
        <w:rPr>
          <w:bCs/>
        </w:rPr>
      </w:pPr>
      <w:r w:rsidRPr="009017BC">
        <w:t xml:space="preserve">Habida cuenta de la reflexión en curso sobre la creación de una agencia de investigación y desarrollo biomédico avanzado (a imagen de la BARDA) de la UE, la Comisión conserva el derecho de ajustar la asignación propuesta de los recursos y el personal cuando se presente una propuesta precisa de BARDA de la UE. </w:t>
      </w:r>
    </w:p>
    <w:p w14:paraId="6078B509" w14:textId="4661F9C8" w:rsidR="00B50935" w:rsidRPr="009017BC" w:rsidRDefault="00B50935" w:rsidP="00025545">
      <w:pPr>
        <w:pStyle w:val="Text1"/>
      </w:pPr>
    </w:p>
    <w:p w14:paraId="11C60F03" w14:textId="77777777" w:rsidR="00B50935" w:rsidRPr="009017BC" w:rsidRDefault="00B50935" w:rsidP="00B50935">
      <w:pPr>
        <w:pStyle w:val="Heading2"/>
        <w:rPr>
          <w:bCs w:val="0"/>
          <w:noProof/>
          <w:szCs w:val="24"/>
        </w:rPr>
      </w:pPr>
      <w:bookmarkStart w:id="66" w:name="_Toc514938684"/>
      <w:bookmarkStart w:id="67" w:name="_Toc57975640"/>
      <w:r w:rsidRPr="009017BC">
        <w:t>Rúbrica(s) del marco financiero plurianual y línea(s) presupuestaria(s) de gastos afectada(s)</w:t>
      </w:r>
      <w:bookmarkEnd w:id="66"/>
      <w:bookmarkEnd w:id="67"/>
      <w:r w:rsidRPr="009017BC">
        <w:t xml:space="preserve"> </w:t>
      </w:r>
    </w:p>
    <w:p w14:paraId="763A996A" w14:textId="77777777" w:rsidR="00B50935" w:rsidRPr="009017BC" w:rsidRDefault="00B50935" w:rsidP="006F7C3E">
      <w:pPr>
        <w:pStyle w:val="ListBullet1"/>
        <w:rPr>
          <w:noProof/>
        </w:rPr>
      </w:pPr>
      <w:r w:rsidRPr="009017BC">
        <w:t xml:space="preserve">Líneas presupuestarias existentes </w:t>
      </w:r>
    </w:p>
    <w:p w14:paraId="411C619B" w14:textId="77777777" w:rsidR="00B50935" w:rsidRPr="009017BC" w:rsidRDefault="00B50935" w:rsidP="00B50935">
      <w:pPr>
        <w:pStyle w:val="Text1"/>
        <w:rPr>
          <w:noProof/>
        </w:rPr>
      </w:pPr>
      <w:r w:rsidRPr="009017BC">
        <w:rPr>
          <w:u w:val="single"/>
        </w:rPr>
        <w:t>En el orden</w:t>
      </w:r>
      <w:r w:rsidRPr="009017BC">
        <w:t xml:space="preserve">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50935" w:rsidRPr="009017BC" w14:paraId="0F0A2AE2" w14:textId="77777777" w:rsidTr="00427764">
        <w:tc>
          <w:tcPr>
            <w:tcW w:w="1080" w:type="dxa"/>
            <w:vMerge w:val="restart"/>
            <w:vAlign w:val="center"/>
          </w:tcPr>
          <w:p w14:paraId="78D958F0" w14:textId="77777777" w:rsidR="00B50935" w:rsidRPr="009017BC" w:rsidRDefault="00B50935" w:rsidP="00427764">
            <w:pPr>
              <w:spacing w:before="60" w:after="60"/>
              <w:jc w:val="center"/>
              <w:rPr>
                <w:noProof/>
                <w:sz w:val="18"/>
              </w:rPr>
            </w:pPr>
            <w:r w:rsidRPr="009017BC">
              <w:rPr>
                <w:sz w:val="18"/>
              </w:rPr>
              <w:t>Rúbrica del marco financiero plurianual</w:t>
            </w:r>
          </w:p>
        </w:tc>
        <w:tc>
          <w:tcPr>
            <w:tcW w:w="3960" w:type="dxa"/>
            <w:vAlign w:val="center"/>
          </w:tcPr>
          <w:p w14:paraId="4535E307" w14:textId="77777777" w:rsidR="00B50935" w:rsidRPr="009017BC" w:rsidRDefault="00B50935" w:rsidP="00427764">
            <w:pPr>
              <w:spacing w:before="60" w:after="60"/>
              <w:jc w:val="center"/>
              <w:rPr>
                <w:noProof/>
              </w:rPr>
            </w:pPr>
            <w:r w:rsidRPr="009017BC">
              <w:rPr>
                <w:sz w:val="20"/>
              </w:rPr>
              <w:t>Línea presupuestaria</w:t>
            </w:r>
          </w:p>
        </w:tc>
        <w:tc>
          <w:tcPr>
            <w:tcW w:w="1080" w:type="dxa"/>
            <w:vAlign w:val="center"/>
          </w:tcPr>
          <w:p w14:paraId="3F53567D" w14:textId="77777777" w:rsidR="00B50935" w:rsidRPr="009017BC" w:rsidRDefault="00B50935" w:rsidP="00427764">
            <w:pPr>
              <w:spacing w:before="60" w:after="60"/>
              <w:jc w:val="center"/>
              <w:rPr>
                <w:noProof/>
              </w:rPr>
            </w:pPr>
            <w:r w:rsidRPr="009017BC">
              <w:rPr>
                <w:sz w:val="18"/>
              </w:rPr>
              <w:t>Tipo de gasto</w:t>
            </w:r>
          </w:p>
        </w:tc>
        <w:tc>
          <w:tcPr>
            <w:tcW w:w="4556" w:type="dxa"/>
            <w:gridSpan w:val="4"/>
            <w:vAlign w:val="center"/>
          </w:tcPr>
          <w:p w14:paraId="7B29D62B" w14:textId="77777777" w:rsidR="00B50935" w:rsidRPr="009017BC" w:rsidRDefault="00B50935" w:rsidP="00427764">
            <w:pPr>
              <w:spacing w:before="60" w:after="60"/>
              <w:jc w:val="center"/>
              <w:rPr>
                <w:noProof/>
              </w:rPr>
            </w:pPr>
            <w:r w:rsidRPr="009017BC">
              <w:rPr>
                <w:sz w:val="20"/>
              </w:rPr>
              <w:t xml:space="preserve">Contribución </w:t>
            </w:r>
          </w:p>
        </w:tc>
      </w:tr>
      <w:tr w:rsidR="00B50935" w:rsidRPr="009017BC" w14:paraId="212358D7" w14:textId="77777777" w:rsidTr="00427764">
        <w:tc>
          <w:tcPr>
            <w:tcW w:w="1080" w:type="dxa"/>
            <w:vMerge/>
            <w:vAlign w:val="center"/>
          </w:tcPr>
          <w:p w14:paraId="141BCBF0" w14:textId="77777777" w:rsidR="00B50935" w:rsidRPr="009017BC" w:rsidRDefault="00B50935" w:rsidP="00427764">
            <w:pPr>
              <w:rPr>
                <w:noProof/>
                <w:sz w:val="18"/>
              </w:rPr>
            </w:pPr>
          </w:p>
        </w:tc>
        <w:tc>
          <w:tcPr>
            <w:tcW w:w="3960" w:type="dxa"/>
            <w:vAlign w:val="center"/>
          </w:tcPr>
          <w:p w14:paraId="096B73A2" w14:textId="77777777" w:rsidR="00B50935" w:rsidRPr="009017BC" w:rsidRDefault="00B50935" w:rsidP="00427764">
            <w:pPr>
              <w:rPr>
                <w:noProof/>
              </w:rPr>
            </w:pPr>
            <w:r w:rsidRPr="009017BC">
              <w:rPr>
                <w:sz w:val="20"/>
              </w:rPr>
              <w:t xml:space="preserve">Número </w:t>
            </w:r>
            <w:r w:rsidRPr="009017BC">
              <w:t xml:space="preserve"> </w:t>
            </w:r>
            <w:r w:rsidRPr="009017BC">
              <w:br/>
            </w:r>
          </w:p>
        </w:tc>
        <w:tc>
          <w:tcPr>
            <w:tcW w:w="1080" w:type="dxa"/>
            <w:vAlign w:val="center"/>
          </w:tcPr>
          <w:p w14:paraId="7A3FBF3A" w14:textId="77777777" w:rsidR="00B50935" w:rsidRPr="009017BC" w:rsidRDefault="00B50935" w:rsidP="00427764">
            <w:pPr>
              <w:jc w:val="center"/>
              <w:rPr>
                <w:noProof/>
              </w:rPr>
            </w:pPr>
            <w:r w:rsidRPr="009017BC">
              <w:rPr>
                <w:sz w:val="18"/>
              </w:rPr>
              <w:t>CND</w:t>
            </w:r>
            <w:r w:rsidRPr="009017BC">
              <w:rPr>
                <w:rStyle w:val="FootnoteReference"/>
                <w:noProof/>
                <w:sz w:val="18"/>
              </w:rPr>
              <w:footnoteReference w:id="16"/>
            </w:r>
          </w:p>
        </w:tc>
        <w:tc>
          <w:tcPr>
            <w:tcW w:w="956" w:type="dxa"/>
            <w:vAlign w:val="center"/>
          </w:tcPr>
          <w:p w14:paraId="7A9808CE" w14:textId="77777777" w:rsidR="00B50935" w:rsidRPr="009017BC" w:rsidRDefault="00B50935" w:rsidP="00427764">
            <w:pPr>
              <w:jc w:val="center"/>
              <w:rPr>
                <w:noProof/>
              </w:rPr>
            </w:pPr>
            <w:r w:rsidRPr="009017BC">
              <w:rPr>
                <w:sz w:val="18"/>
              </w:rPr>
              <w:t>de países de la AELC</w:t>
            </w:r>
            <w:r w:rsidRPr="009017BC">
              <w:rPr>
                <w:rStyle w:val="FootnoteReference"/>
                <w:noProof/>
                <w:sz w:val="18"/>
              </w:rPr>
              <w:footnoteReference w:id="17"/>
            </w:r>
          </w:p>
        </w:tc>
        <w:tc>
          <w:tcPr>
            <w:tcW w:w="1080" w:type="dxa"/>
            <w:vAlign w:val="center"/>
          </w:tcPr>
          <w:p w14:paraId="3596C70A" w14:textId="77777777" w:rsidR="00B50935" w:rsidRPr="009017BC" w:rsidRDefault="00B50935" w:rsidP="00427764">
            <w:pPr>
              <w:jc w:val="center"/>
              <w:rPr>
                <w:noProof/>
                <w:sz w:val="18"/>
              </w:rPr>
            </w:pPr>
            <w:r w:rsidRPr="009017BC">
              <w:rPr>
                <w:sz w:val="18"/>
              </w:rPr>
              <w:t>de países candidatos</w:t>
            </w:r>
            <w:r w:rsidRPr="009017BC">
              <w:rPr>
                <w:rStyle w:val="FootnoteReference"/>
                <w:noProof/>
                <w:sz w:val="18"/>
              </w:rPr>
              <w:footnoteReference w:id="18"/>
            </w:r>
          </w:p>
        </w:tc>
        <w:tc>
          <w:tcPr>
            <w:tcW w:w="956" w:type="dxa"/>
            <w:vAlign w:val="center"/>
          </w:tcPr>
          <w:p w14:paraId="745E9C60" w14:textId="77777777" w:rsidR="00B50935" w:rsidRPr="009017BC" w:rsidRDefault="00B50935" w:rsidP="00427764">
            <w:pPr>
              <w:jc w:val="center"/>
              <w:rPr>
                <w:noProof/>
                <w:sz w:val="18"/>
              </w:rPr>
            </w:pPr>
            <w:r w:rsidRPr="009017BC">
              <w:rPr>
                <w:sz w:val="18"/>
              </w:rPr>
              <w:t>de terceros países</w:t>
            </w:r>
          </w:p>
        </w:tc>
        <w:tc>
          <w:tcPr>
            <w:tcW w:w="1564" w:type="dxa"/>
            <w:vAlign w:val="center"/>
          </w:tcPr>
          <w:p w14:paraId="6CA21598" w14:textId="77777777" w:rsidR="00B50935" w:rsidRPr="009017BC" w:rsidRDefault="00B50935" w:rsidP="00427764">
            <w:pPr>
              <w:jc w:val="center"/>
              <w:rPr>
                <w:noProof/>
                <w:sz w:val="16"/>
                <w:szCs w:val="16"/>
              </w:rPr>
            </w:pPr>
            <w:r w:rsidRPr="009017BC">
              <w:rPr>
                <w:sz w:val="16"/>
                <w:szCs w:val="16"/>
              </w:rPr>
              <w:t xml:space="preserve">a efectos de lo dispuesto en el artículo 21, apartado 2, letra b), del Reglamento Financiero </w:t>
            </w:r>
          </w:p>
        </w:tc>
      </w:tr>
      <w:tr w:rsidR="00B50935" w:rsidRPr="009017BC" w14:paraId="74D1F135" w14:textId="77777777" w:rsidTr="00427764">
        <w:tc>
          <w:tcPr>
            <w:tcW w:w="1080" w:type="dxa"/>
            <w:vAlign w:val="center"/>
          </w:tcPr>
          <w:p w14:paraId="6413E3E1" w14:textId="77777777" w:rsidR="00B50935" w:rsidRPr="009017BC" w:rsidRDefault="00B50935" w:rsidP="00427764">
            <w:pPr>
              <w:jc w:val="center"/>
              <w:rPr>
                <w:noProof/>
                <w:color w:val="0000FF"/>
              </w:rPr>
            </w:pPr>
            <w:r w:rsidRPr="009017BC">
              <w:t>2</w:t>
            </w:r>
          </w:p>
        </w:tc>
        <w:tc>
          <w:tcPr>
            <w:tcW w:w="3960" w:type="dxa"/>
            <w:vAlign w:val="center"/>
          </w:tcPr>
          <w:p w14:paraId="6A1A1C48" w14:textId="77777777" w:rsidR="00B50935" w:rsidRPr="009017BC" w:rsidRDefault="00B50935" w:rsidP="00427764">
            <w:pPr>
              <w:spacing w:after="60"/>
            </w:pPr>
            <w:r w:rsidRPr="009017BC">
              <w:t>06.1001</w:t>
            </w:r>
          </w:p>
        </w:tc>
        <w:tc>
          <w:tcPr>
            <w:tcW w:w="1080" w:type="dxa"/>
            <w:vAlign w:val="center"/>
          </w:tcPr>
          <w:p w14:paraId="06BBE56E" w14:textId="77777777" w:rsidR="00B50935" w:rsidRPr="009017BC" w:rsidRDefault="00B50935" w:rsidP="00427764">
            <w:pPr>
              <w:jc w:val="center"/>
              <w:rPr>
                <w:noProof/>
                <w:color w:val="0000FF"/>
              </w:rPr>
            </w:pPr>
            <w:r w:rsidRPr="009017BC">
              <w:rPr>
                <w:sz w:val="18"/>
              </w:rPr>
              <w:t>CD</w:t>
            </w:r>
          </w:p>
        </w:tc>
        <w:tc>
          <w:tcPr>
            <w:tcW w:w="956" w:type="dxa"/>
            <w:vAlign w:val="center"/>
          </w:tcPr>
          <w:p w14:paraId="715D5652" w14:textId="77777777" w:rsidR="00B50935" w:rsidRPr="009017BC" w:rsidRDefault="00B50935" w:rsidP="00427764">
            <w:pPr>
              <w:jc w:val="center"/>
              <w:rPr>
                <w:sz w:val="20"/>
              </w:rPr>
            </w:pPr>
            <w:r w:rsidRPr="009017BC">
              <w:rPr>
                <w:sz w:val="20"/>
              </w:rPr>
              <w:t>SÍ</w:t>
            </w:r>
          </w:p>
        </w:tc>
        <w:tc>
          <w:tcPr>
            <w:tcW w:w="1080" w:type="dxa"/>
            <w:vAlign w:val="center"/>
          </w:tcPr>
          <w:p w14:paraId="24C56BD2" w14:textId="77777777" w:rsidR="00B50935" w:rsidRPr="009017BC" w:rsidRDefault="00B50935" w:rsidP="00427764">
            <w:pPr>
              <w:jc w:val="center"/>
              <w:rPr>
                <w:sz w:val="20"/>
              </w:rPr>
            </w:pPr>
            <w:r w:rsidRPr="009017BC">
              <w:rPr>
                <w:sz w:val="20"/>
              </w:rPr>
              <w:t>NO</w:t>
            </w:r>
          </w:p>
        </w:tc>
        <w:tc>
          <w:tcPr>
            <w:tcW w:w="956" w:type="dxa"/>
            <w:vAlign w:val="center"/>
          </w:tcPr>
          <w:p w14:paraId="44C61DA6" w14:textId="77777777" w:rsidR="00B50935" w:rsidRPr="009017BC" w:rsidRDefault="00B50935" w:rsidP="00427764">
            <w:pPr>
              <w:jc w:val="center"/>
              <w:rPr>
                <w:sz w:val="20"/>
              </w:rPr>
            </w:pPr>
            <w:r w:rsidRPr="009017BC">
              <w:rPr>
                <w:sz w:val="20"/>
              </w:rPr>
              <w:t>NO</w:t>
            </w:r>
          </w:p>
        </w:tc>
        <w:tc>
          <w:tcPr>
            <w:tcW w:w="1564" w:type="dxa"/>
            <w:vAlign w:val="center"/>
          </w:tcPr>
          <w:p w14:paraId="7F6C3248" w14:textId="77777777" w:rsidR="00B50935" w:rsidRPr="009017BC" w:rsidRDefault="00B50935" w:rsidP="00427764">
            <w:pPr>
              <w:jc w:val="center"/>
              <w:rPr>
                <w:sz w:val="20"/>
              </w:rPr>
            </w:pPr>
            <w:r w:rsidRPr="009017BC">
              <w:rPr>
                <w:sz w:val="20"/>
              </w:rPr>
              <w:t>NO</w:t>
            </w:r>
          </w:p>
        </w:tc>
      </w:tr>
    </w:tbl>
    <w:p w14:paraId="351F849A" w14:textId="77777777" w:rsidR="00B50935" w:rsidRPr="009017BC" w:rsidRDefault="00B50935" w:rsidP="006F7C3E">
      <w:pPr>
        <w:pStyle w:val="ListBullet1"/>
        <w:rPr>
          <w:noProof/>
        </w:rPr>
      </w:pPr>
      <w:r w:rsidRPr="009017BC">
        <w:t xml:space="preserve">Nuevas líneas presupuestarias solicitadas </w:t>
      </w:r>
    </w:p>
    <w:p w14:paraId="152ED5A6" w14:textId="77777777" w:rsidR="00B50935" w:rsidRPr="009017BC" w:rsidRDefault="00B50935" w:rsidP="00B50935">
      <w:pPr>
        <w:pStyle w:val="Text1"/>
        <w:rPr>
          <w:i/>
          <w:noProof/>
          <w:sz w:val="20"/>
        </w:rPr>
      </w:pPr>
      <w:r w:rsidRPr="009017BC">
        <w:rPr>
          <w:u w:val="single"/>
        </w:rPr>
        <w:t>En el orden</w:t>
      </w:r>
      <w:r w:rsidRPr="009017BC">
        <w:t xml:space="preserve"> de las rúbricas del marco financiero plurianual y las líneas presupuestarias.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50935" w:rsidRPr="009017BC" w14:paraId="167A413F" w14:textId="77777777" w:rsidTr="00427764">
        <w:tc>
          <w:tcPr>
            <w:tcW w:w="1080" w:type="dxa"/>
            <w:vMerge w:val="restart"/>
            <w:vAlign w:val="center"/>
          </w:tcPr>
          <w:p w14:paraId="40C702A4" w14:textId="77777777" w:rsidR="00B50935" w:rsidRPr="009017BC" w:rsidRDefault="00B50935" w:rsidP="00427764">
            <w:pPr>
              <w:spacing w:before="60" w:after="60"/>
              <w:jc w:val="center"/>
              <w:rPr>
                <w:noProof/>
              </w:rPr>
            </w:pPr>
            <w:r w:rsidRPr="009017BC">
              <w:rPr>
                <w:sz w:val="18"/>
              </w:rPr>
              <w:t>Rúbrica del marco financiero plurianual</w:t>
            </w:r>
          </w:p>
        </w:tc>
        <w:tc>
          <w:tcPr>
            <w:tcW w:w="3960" w:type="dxa"/>
            <w:vAlign w:val="center"/>
          </w:tcPr>
          <w:p w14:paraId="2DBD3667" w14:textId="77777777" w:rsidR="00B50935" w:rsidRPr="009017BC" w:rsidRDefault="00B50935" w:rsidP="00427764">
            <w:pPr>
              <w:spacing w:before="60" w:after="60"/>
              <w:jc w:val="center"/>
              <w:rPr>
                <w:noProof/>
              </w:rPr>
            </w:pPr>
            <w:r w:rsidRPr="009017BC">
              <w:rPr>
                <w:sz w:val="20"/>
              </w:rPr>
              <w:t>Línea presupuestaria</w:t>
            </w:r>
          </w:p>
        </w:tc>
        <w:tc>
          <w:tcPr>
            <w:tcW w:w="1080" w:type="dxa"/>
            <w:vAlign w:val="center"/>
          </w:tcPr>
          <w:p w14:paraId="4EDCEBAD" w14:textId="77777777" w:rsidR="00B50935" w:rsidRPr="009017BC" w:rsidRDefault="00B50935" w:rsidP="00427764">
            <w:pPr>
              <w:spacing w:before="60" w:after="60"/>
              <w:jc w:val="center"/>
              <w:rPr>
                <w:noProof/>
              </w:rPr>
            </w:pPr>
            <w:r w:rsidRPr="009017BC">
              <w:rPr>
                <w:sz w:val="18"/>
              </w:rPr>
              <w:t>Tipo de</w:t>
            </w:r>
            <w:r w:rsidRPr="009017BC">
              <w:t xml:space="preserve"> </w:t>
            </w:r>
            <w:r w:rsidRPr="009017BC">
              <w:br/>
            </w:r>
            <w:r w:rsidRPr="009017BC">
              <w:rPr>
                <w:sz w:val="18"/>
              </w:rPr>
              <w:t>gasto</w:t>
            </w:r>
          </w:p>
        </w:tc>
        <w:tc>
          <w:tcPr>
            <w:tcW w:w="4556" w:type="dxa"/>
            <w:gridSpan w:val="4"/>
            <w:vAlign w:val="center"/>
          </w:tcPr>
          <w:p w14:paraId="0C4A3906" w14:textId="77777777" w:rsidR="00B50935" w:rsidRPr="009017BC" w:rsidRDefault="00B50935" w:rsidP="00427764">
            <w:pPr>
              <w:spacing w:before="60" w:after="60"/>
              <w:jc w:val="center"/>
              <w:rPr>
                <w:noProof/>
              </w:rPr>
            </w:pPr>
            <w:r w:rsidRPr="009017BC">
              <w:rPr>
                <w:sz w:val="20"/>
              </w:rPr>
              <w:t xml:space="preserve">Contribución </w:t>
            </w:r>
          </w:p>
        </w:tc>
      </w:tr>
      <w:tr w:rsidR="00B50935" w:rsidRPr="009017BC" w14:paraId="69DA3DF8" w14:textId="77777777" w:rsidTr="00427764">
        <w:tc>
          <w:tcPr>
            <w:tcW w:w="1080" w:type="dxa"/>
            <w:vMerge/>
            <w:vAlign w:val="center"/>
          </w:tcPr>
          <w:p w14:paraId="6B25CBDA" w14:textId="77777777" w:rsidR="00B50935" w:rsidRPr="009017BC" w:rsidRDefault="00B50935" w:rsidP="00427764">
            <w:pPr>
              <w:rPr>
                <w:noProof/>
              </w:rPr>
            </w:pPr>
          </w:p>
        </w:tc>
        <w:tc>
          <w:tcPr>
            <w:tcW w:w="3960" w:type="dxa"/>
            <w:vAlign w:val="center"/>
          </w:tcPr>
          <w:p w14:paraId="240A4C5A" w14:textId="77777777" w:rsidR="00B50935" w:rsidRPr="009017BC" w:rsidRDefault="00B50935" w:rsidP="00427764">
            <w:r w:rsidRPr="009017BC">
              <w:rPr>
                <w:sz w:val="20"/>
              </w:rPr>
              <w:t xml:space="preserve">Número </w:t>
            </w:r>
            <w:r w:rsidRPr="009017BC">
              <w:t xml:space="preserve"> </w:t>
            </w:r>
            <w:r w:rsidRPr="009017BC">
              <w:br/>
            </w:r>
          </w:p>
        </w:tc>
        <w:tc>
          <w:tcPr>
            <w:tcW w:w="1080" w:type="dxa"/>
            <w:vAlign w:val="center"/>
          </w:tcPr>
          <w:p w14:paraId="3A1FF0BD" w14:textId="77777777" w:rsidR="00B50935" w:rsidRPr="009017BC" w:rsidRDefault="00B50935" w:rsidP="00427764">
            <w:pPr>
              <w:jc w:val="center"/>
              <w:rPr>
                <w:noProof/>
              </w:rPr>
            </w:pPr>
            <w:r w:rsidRPr="009017BC">
              <w:rPr>
                <w:sz w:val="18"/>
              </w:rPr>
              <w:t>CD/CND</w:t>
            </w:r>
          </w:p>
        </w:tc>
        <w:tc>
          <w:tcPr>
            <w:tcW w:w="956" w:type="dxa"/>
            <w:vAlign w:val="center"/>
          </w:tcPr>
          <w:p w14:paraId="7663468B" w14:textId="77777777" w:rsidR="00B50935" w:rsidRPr="009017BC" w:rsidRDefault="00B50935" w:rsidP="00427764">
            <w:pPr>
              <w:jc w:val="center"/>
              <w:rPr>
                <w:noProof/>
                <w:sz w:val="18"/>
              </w:rPr>
            </w:pPr>
            <w:r w:rsidRPr="009017BC">
              <w:rPr>
                <w:sz w:val="18"/>
              </w:rPr>
              <w:t>de países de la AELC</w:t>
            </w:r>
          </w:p>
        </w:tc>
        <w:tc>
          <w:tcPr>
            <w:tcW w:w="1080" w:type="dxa"/>
            <w:vAlign w:val="center"/>
          </w:tcPr>
          <w:p w14:paraId="59963210" w14:textId="77777777" w:rsidR="00B50935" w:rsidRPr="009017BC" w:rsidRDefault="00B50935" w:rsidP="00427764">
            <w:pPr>
              <w:jc w:val="center"/>
              <w:rPr>
                <w:noProof/>
                <w:sz w:val="18"/>
              </w:rPr>
            </w:pPr>
            <w:r w:rsidRPr="009017BC">
              <w:rPr>
                <w:sz w:val="18"/>
              </w:rPr>
              <w:t>de países candidatos</w:t>
            </w:r>
          </w:p>
        </w:tc>
        <w:tc>
          <w:tcPr>
            <w:tcW w:w="956" w:type="dxa"/>
            <w:vAlign w:val="center"/>
          </w:tcPr>
          <w:p w14:paraId="720B7B7B" w14:textId="77777777" w:rsidR="00B50935" w:rsidRPr="009017BC" w:rsidRDefault="00B50935" w:rsidP="00427764">
            <w:pPr>
              <w:jc w:val="center"/>
              <w:rPr>
                <w:noProof/>
                <w:sz w:val="18"/>
              </w:rPr>
            </w:pPr>
            <w:r w:rsidRPr="009017BC">
              <w:rPr>
                <w:sz w:val="18"/>
              </w:rPr>
              <w:t>de terceros países</w:t>
            </w:r>
          </w:p>
        </w:tc>
        <w:tc>
          <w:tcPr>
            <w:tcW w:w="1564" w:type="dxa"/>
            <w:vAlign w:val="center"/>
          </w:tcPr>
          <w:p w14:paraId="3D8D1E90" w14:textId="77777777" w:rsidR="00B50935" w:rsidRPr="009017BC" w:rsidRDefault="00B50935" w:rsidP="00427764">
            <w:pPr>
              <w:jc w:val="center"/>
              <w:rPr>
                <w:noProof/>
              </w:rPr>
            </w:pPr>
            <w:r w:rsidRPr="009017BC">
              <w:rPr>
                <w:sz w:val="16"/>
              </w:rPr>
              <w:t xml:space="preserve">a efectos de lo dispuesto en el artículo 21, apartado 2, letra b), del Reglamento Financiero </w:t>
            </w:r>
          </w:p>
        </w:tc>
      </w:tr>
      <w:tr w:rsidR="00B50935" w:rsidRPr="009017BC" w14:paraId="71DA376D" w14:textId="77777777" w:rsidTr="00427764">
        <w:tc>
          <w:tcPr>
            <w:tcW w:w="1080" w:type="dxa"/>
            <w:vAlign w:val="center"/>
          </w:tcPr>
          <w:p w14:paraId="7488541E" w14:textId="77777777" w:rsidR="00B50935" w:rsidRPr="009017BC" w:rsidRDefault="00B50935" w:rsidP="00427764">
            <w:pPr>
              <w:jc w:val="center"/>
              <w:rPr>
                <w:noProof/>
                <w:color w:val="0000FF"/>
              </w:rPr>
            </w:pPr>
          </w:p>
        </w:tc>
        <w:tc>
          <w:tcPr>
            <w:tcW w:w="3960" w:type="dxa"/>
            <w:vAlign w:val="center"/>
          </w:tcPr>
          <w:p w14:paraId="2D0FFADC" w14:textId="77777777" w:rsidR="00B50935" w:rsidRPr="009017BC" w:rsidRDefault="00B50935" w:rsidP="00427764">
            <w:pPr>
              <w:spacing w:before="60"/>
            </w:pPr>
            <w:r w:rsidRPr="009017BC">
              <w:t>[XX.YY.YY.YY]</w:t>
            </w:r>
          </w:p>
          <w:p w14:paraId="59179C6B" w14:textId="77777777" w:rsidR="00B50935" w:rsidRPr="009017BC" w:rsidRDefault="00B50935" w:rsidP="00427764">
            <w:pPr>
              <w:spacing w:after="60"/>
              <w:rPr>
                <w:noProof/>
              </w:rPr>
            </w:pPr>
          </w:p>
        </w:tc>
        <w:tc>
          <w:tcPr>
            <w:tcW w:w="1080" w:type="dxa"/>
            <w:vAlign w:val="center"/>
          </w:tcPr>
          <w:p w14:paraId="79D88E2F" w14:textId="77777777" w:rsidR="00B50935" w:rsidRPr="009017BC" w:rsidRDefault="00B50935" w:rsidP="00427764">
            <w:pPr>
              <w:jc w:val="center"/>
              <w:rPr>
                <w:noProof/>
                <w:color w:val="0000FF"/>
              </w:rPr>
            </w:pPr>
          </w:p>
        </w:tc>
        <w:tc>
          <w:tcPr>
            <w:tcW w:w="956" w:type="dxa"/>
            <w:vAlign w:val="center"/>
          </w:tcPr>
          <w:p w14:paraId="03D38EB3" w14:textId="77777777" w:rsidR="00B50935" w:rsidRPr="009017BC" w:rsidRDefault="00B50935" w:rsidP="00427764">
            <w:pPr>
              <w:jc w:val="center"/>
              <w:rPr>
                <w:sz w:val="20"/>
              </w:rPr>
            </w:pPr>
            <w:r w:rsidRPr="009017BC">
              <w:rPr>
                <w:sz w:val="20"/>
              </w:rPr>
              <w:t>SÍ/NO</w:t>
            </w:r>
          </w:p>
        </w:tc>
        <w:tc>
          <w:tcPr>
            <w:tcW w:w="1080" w:type="dxa"/>
            <w:vAlign w:val="center"/>
          </w:tcPr>
          <w:p w14:paraId="6616129C" w14:textId="77777777" w:rsidR="00B50935" w:rsidRPr="009017BC" w:rsidRDefault="00B50935" w:rsidP="00427764">
            <w:pPr>
              <w:jc w:val="center"/>
              <w:rPr>
                <w:noProof/>
                <w:color w:val="0000FF"/>
                <w:sz w:val="20"/>
              </w:rPr>
            </w:pPr>
            <w:r w:rsidRPr="009017BC">
              <w:rPr>
                <w:sz w:val="20"/>
              </w:rPr>
              <w:t>SÍ/NO</w:t>
            </w:r>
          </w:p>
        </w:tc>
        <w:tc>
          <w:tcPr>
            <w:tcW w:w="956" w:type="dxa"/>
            <w:vAlign w:val="center"/>
          </w:tcPr>
          <w:p w14:paraId="77D4E39A" w14:textId="77777777" w:rsidR="00B50935" w:rsidRPr="009017BC" w:rsidRDefault="00B50935" w:rsidP="00427764">
            <w:pPr>
              <w:jc w:val="center"/>
              <w:rPr>
                <w:noProof/>
                <w:color w:val="0000FF"/>
                <w:sz w:val="20"/>
              </w:rPr>
            </w:pPr>
            <w:r w:rsidRPr="009017BC">
              <w:rPr>
                <w:sz w:val="20"/>
              </w:rPr>
              <w:t>SÍ/NO</w:t>
            </w:r>
          </w:p>
        </w:tc>
        <w:tc>
          <w:tcPr>
            <w:tcW w:w="1564" w:type="dxa"/>
            <w:vAlign w:val="center"/>
          </w:tcPr>
          <w:p w14:paraId="3D2C9198" w14:textId="77777777" w:rsidR="00B50935" w:rsidRPr="009017BC" w:rsidRDefault="00B50935" w:rsidP="00427764">
            <w:pPr>
              <w:jc w:val="center"/>
              <w:rPr>
                <w:sz w:val="20"/>
              </w:rPr>
            </w:pPr>
            <w:r w:rsidRPr="009017BC">
              <w:rPr>
                <w:sz w:val="20"/>
              </w:rPr>
              <w:t>SÍ/NO</w:t>
            </w:r>
          </w:p>
        </w:tc>
      </w:tr>
    </w:tbl>
    <w:p w14:paraId="5B8D4E2D" w14:textId="77777777" w:rsidR="00B50935" w:rsidRPr="009017BC" w:rsidRDefault="00B50935" w:rsidP="00B50935">
      <w:pPr>
        <w:rPr>
          <w:noProof/>
        </w:rPr>
        <w:sectPr w:rsidR="00B50935" w:rsidRPr="009017BC" w:rsidSect="00DF5771">
          <w:pgSz w:w="12240" w:h="15840"/>
          <w:pgMar w:top="794" w:right="907" w:bottom="851" w:left="1361" w:header="510" w:footer="454" w:gutter="0"/>
          <w:cols w:space="720"/>
          <w:docGrid w:linePitch="326"/>
        </w:sectPr>
      </w:pPr>
    </w:p>
    <w:p w14:paraId="56FCFEAB" w14:textId="77777777" w:rsidR="00B50935" w:rsidRPr="009017BC" w:rsidRDefault="00B50935" w:rsidP="00B50935">
      <w:pPr>
        <w:pStyle w:val="Heading2"/>
        <w:rPr>
          <w:bCs w:val="0"/>
          <w:noProof/>
          <w:szCs w:val="24"/>
        </w:rPr>
      </w:pPr>
      <w:bookmarkStart w:id="68" w:name="_Toc514938685"/>
      <w:bookmarkStart w:id="69" w:name="_Toc57975641"/>
      <w:r w:rsidRPr="009017BC">
        <w:t>Incidencia estimada en los gastos</w:t>
      </w:r>
      <w:bookmarkEnd w:id="68"/>
      <w:bookmarkEnd w:id="69"/>
      <w:r w:rsidRPr="009017BC">
        <w:t xml:space="preserve"> </w:t>
      </w:r>
    </w:p>
    <w:p w14:paraId="42C2DCA8" w14:textId="77777777" w:rsidR="00B50935" w:rsidRPr="009017BC" w:rsidRDefault="00B50935" w:rsidP="00B50935">
      <w:pPr>
        <w:pStyle w:val="Heading3"/>
        <w:rPr>
          <w:bCs w:val="0"/>
          <w:noProof/>
          <w:szCs w:val="24"/>
        </w:rPr>
      </w:pPr>
      <w:bookmarkStart w:id="70" w:name="_Toc514938686"/>
      <w:bookmarkStart w:id="71" w:name="_Toc57975642"/>
      <w:r w:rsidRPr="009017BC">
        <w:t>Resumen de la incidencia estimada en los gastos</w:t>
      </w:r>
      <w:bookmarkEnd w:id="70"/>
      <w:bookmarkEnd w:id="71"/>
      <w:r w:rsidRPr="009017BC">
        <w:t xml:space="preserve"> </w:t>
      </w:r>
    </w:p>
    <w:p w14:paraId="48980082" w14:textId="77777777" w:rsidR="00B50935" w:rsidRPr="009017BC" w:rsidRDefault="00B50935" w:rsidP="00B50935">
      <w:pPr>
        <w:jc w:val="right"/>
        <w:rPr>
          <w:noProof/>
          <w:sz w:val="20"/>
        </w:rPr>
      </w:pPr>
      <w:r w:rsidRPr="009017BC">
        <w:rPr>
          <w:sz w:val="20"/>
        </w:rPr>
        <w:t>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9017BC" w14:paraId="70D26D10" w14:textId="77777777" w:rsidTr="00427764">
        <w:trPr>
          <w:jc w:val="center"/>
        </w:trPr>
        <w:tc>
          <w:tcPr>
            <w:tcW w:w="4744" w:type="dxa"/>
            <w:shd w:val="thinDiagStripe" w:color="C0C0C0" w:fill="auto"/>
            <w:vAlign w:val="center"/>
          </w:tcPr>
          <w:p w14:paraId="0A584F26" w14:textId="77777777" w:rsidR="00B50935" w:rsidRPr="009017BC" w:rsidRDefault="00B50935" w:rsidP="00427764">
            <w:pPr>
              <w:spacing w:before="60" w:after="60"/>
              <w:jc w:val="center"/>
              <w:rPr>
                <w:b/>
                <w:noProof/>
              </w:rPr>
            </w:pPr>
            <w:r w:rsidRPr="009017BC">
              <w:rPr>
                <w:b/>
                <w:sz w:val="22"/>
              </w:rPr>
              <w:t xml:space="preserve">Rúbrica del marco financiero plurianual </w:t>
            </w:r>
          </w:p>
        </w:tc>
        <w:tc>
          <w:tcPr>
            <w:tcW w:w="1080" w:type="dxa"/>
            <w:vAlign w:val="center"/>
          </w:tcPr>
          <w:p w14:paraId="78E12910" w14:textId="77777777" w:rsidR="00B50935" w:rsidRPr="009017BC" w:rsidRDefault="00B50935" w:rsidP="00427764">
            <w:pPr>
              <w:spacing w:before="60" w:after="60"/>
              <w:jc w:val="center"/>
            </w:pPr>
            <w:r w:rsidRPr="009017BC">
              <w:rPr>
                <w:sz w:val="22"/>
              </w:rPr>
              <w:t>Número</w:t>
            </w:r>
          </w:p>
        </w:tc>
        <w:tc>
          <w:tcPr>
            <w:tcW w:w="7817" w:type="dxa"/>
            <w:vAlign w:val="center"/>
          </w:tcPr>
          <w:p w14:paraId="70F136DB" w14:textId="77777777" w:rsidR="00B50935" w:rsidRPr="009017BC" w:rsidRDefault="00B50935" w:rsidP="00427764">
            <w:pPr>
              <w:spacing w:before="60" w:after="60"/>
            </w:pPr>
            <w:r w:rsidRPr="009017BC">
              <w:t>Rúbrica 2: Cohesión, resiliencia y valores</w:t>
            </w:r>
          </w:p>
        </w:tc>
      </w:tr>
    </w:tbl>
    <w:p w14:paraId="53AEE23E" w14:textId="77777777" w:rsidR="00B50935" w:rsidRPr="009017BC" w:rsidRDefault="00B50935" w:rsidP="00B5093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B50935" w:rsidRPr="009017BC" w14:paraId="2B01E12A" w14:textId="77777777" w:rsidTr="00427764">
        <w:tc>
          <w:tcPr>
            <w:tcW w:w="3960" w:type="dxa"/>
            <w:vAlign w:val="center"/>
          </w:tcPr>
          <w:p w14:paraId="772A3FDC" w14:textId="77777777" w:rsidR="00B50935" w:rsidRPr="009017BC" w:rsidRDefault="00B50935" w:rsidP="00427764">
            <w:pPr>
              <w:jc w:val="center"/>
              <w:rPr>
                <w:noProof/>
              </w:rPr>
            </w:pPr>
            <w:r w:rsidRPr="009017BC">
              <w:rPr>
                <w:sz w:val="22"/>
              </w:rPr>
              <w:t xml:space="preserve">[Organismo]: </w:t>
            </w:r>
            <w:r w:rsidRPr="009017BC">
              <w:t>ECDC</w:t>
            </w:r>
          </w:p>
        </w:tc>
        <w:tc>
          <w:tcPr>
            <w:tcW w:w="1560" w:type="dxa"/>
            <w:gridSpan w:val="2"/>
          </w:tcPr>
          <w:p w14:paraId="2AE0C4DF" w14:textId="77777777" w:rsidR="00B50935" w:rsidRPr="009017BC" w:rsidRDefault="00B50935" w:rsidP="00427764">
            <w:pPr>
              <w:rPr>
                <w:noProof/>
                <w:sz w:val="20"/>
              </w:rPr>
            </w:pPr>
          </w:p>
        </w:tc>
        <w:tc>
          <w:tcPr>
            <w:tcW w:w="534" w:type="dxa"/>
          </w:tcPr>
          <w:p w14:paraId="0BED72DC" w14:textId="77777777" w:rsidR="00B50935" w:rsidRPr="009017BC" w:rsidRDefault="00B50935" w:rsidP="00427764">
            <w:pPr>
              <w:jc w:val="center"/>
              <w:rPr>
                <w:noProof/>
                <w:sz w:val="20"/>
              </w:rPr>
            </w:pPr>
          </w:p>
        </w:tc>
        <w:tc>
          <w:tcPr>
            <w:tcW w:w="868" w:type="dxa"/>
            <w:vAlign w:val="center"/>
          </w:tcPr>
          <w:p w14:paraId="2F5C1F37"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2021</w:t>
            </w:r>
          </w:p>
        </w:tc>
        <w:tc>
          <w:tcPr>
            <w:tcW w:w="868" w:type="dxa"/>
            <w:vAlign w:val="center"/>
          </w:tcPr>
          <w:p w14:paraId="7C264AC8"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2022</w:t>
            </w:r>
          </w:p>
        </w:tc>
        <w:tc>
          <w:tcPr>
            <w:tcW w:w="868" w:type="dxa"/>
            <w:vAlign w:val="center"/>
          </w:tcPr>
          <w:p w14:paraId="640FD7A2"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2023</w:t>
            </w:r>
          </w:p>
        </w:tc>
        <w:tc>
          <w:tcPr>
            <w:tcW w:w="868" w:type="dxa"/>
            <w:vAlign w:val="center"/>
          </w:tcPr>
          <w:p w14:paraId="4ED06127"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2024</w:t>
            </w:r>
          </w:p>
        </w:tc>
        <w:tc>
          <w:tcPr>
            <w:tcW w:w="868" w:type="dxa"/>
            <w:vAlign w:val="center"/>
          </w:tcPr>
          <w:p w14:paraId="2B2C0650"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2025</w:t>
            </w:r>
          </w:p>
        </w:tc>
        <w:tc>
          <w:tcPr>
            <w:tcW w:w="868" w:type="dxa"/>
            <w:vAlign w:val="center"/>
          </w:tcPr>
          <w:p w14:paraId="52FAE92D" w14:textId="77777777" w:rsidR="00B50935" w:rsidRPr="009017BC" w:rsidRDefault="00B50935" w:rsidP="00427764">
            <w:pPr>
              <w:rPr>
                <w:noProof/>
                <w:sz w:val="20"/>
              </w:rPr>
            </w:pPr>
            <w:r w:rsidRPr="009017BC">
              <w:rPr>
                <w:sz w:val="20"/>
              </w:rPr>
              <w:t>Año</w:t>
            </w:r>
            <w:r w:rsidRPr="009017BC">
              <w:t xml:space="preserve"> </w:t>
            </w:r>
            <w:r w:rsidRPr="009017BC">
              <w:br/>
            </w:r>
            <w:r w:rsidRPr="009017BC">
              <w:rPr>
                <w:b/>
                <w:sz w:val="20"/>
              </w:rPr>
              <w:t>2026</w:t>
            </w:r>
          </w:p>
        </w:tc>
        <w:tc>
          <w:tcPr>
            <w:tcW w:w="868" w:type="dxa"/>
            <w:vAlign w:val="center"/>
          </w:tcPr>
          <w:p w14:paraId="7ED05370"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777" w:type="dxa"/>
            <w:vAlign w:val="center"/>
          </w:tcPr>
          <w:p w14:paraId="191DE5B4" w14:textId="77777777" w:rsidR="00B50935" w:rsidRPr="009017BC" w:rsidRDefault="00B50935" w:rsidP="00427764">
            <w:pPr>
              <w:jc w:val="center"/>
              <w:rPr>
                <w:b/>
                <w:noProof/>
                <w:sz w:val="20"/>
              </w:rPr>
            </w:pPr>
            <w:r w:rsidRPr="009017BC">
              <w:rPr>
                <w:b/>
                <w:sz w:val="20"/>
              </w:rPr>
              <w:t>TOTAL</w:t>
            </w:r>
          </w:p>
        </w:tc>
      </w:tr>
      <w:tr w:rsidR="00B50935" w:rsidRPr="009017BC" w14:paraId="48A16C43" w14:textId="77777777" w:rsidTr="00427764">
        <w:trPr>
          <w:trHeight w:val="277"/>
        </w:trPr>
        <w:tc>
          <w:tcPr>
            <w:tcW w:w="3960" w:type="dxa"/>
            <w:vMerge w:val="restart"/>
            <w:vAlign w:val="center"/>
          </w:tcPr>
          <w:p w14:paraId="0227D9A2" w14:textId="77777777" w:rsidR="00B50935" w:rsidRPr="009017BC" w:rsidRDefault="00B50935" w:rsidP="00427764">
            <w:r w:rsidRPr="009017BC">
              <w:rPr>
                <w:sz w:val="20"/>
              </w:rPr>
              <w:t>Título 1:</w:t>
            </w:r>
          </w:p>
        </w:tc>
        <w:tc>
          <w:tcPr>
            <w:tcW w:w="1440" w:type="dxa"/>
            <w:vAlign w:val="center"/>
          </w:tcPr>
          <w:p w14:paraId="4DD4D95E" w14:textId="77777777" w:rsidR="00B50935" w:rsidRPr="009017BC" w:rsidRDefault="00B50935" w:rsidP="00427764">
            <w:pPr>
              <w:spacing w:before="20" w:after="20"/>
              <w:rPr>
                <w:noProof/>
              </w:rPr>
            </w:pPr>
            <w:r w:rsidRPr="009017BC">
              <w:rPr>
                <w:sz w:val="18"/>
              </w:rPr>
              <w:t>Compromisos</w:t>
            </w:r>
          </w:p>
        </w:tc>
        <w:tc>
          <w:tcPr>
            <w:tcW w:w="654" w:type="dxa"/>
            <w:gridSpan w:val="2"/>
            <w:vAlign w:val="center"/>
          </w:tcPr>
          <w:p w14:paraId="79A3C9DB" w14:textId="77777777" w:rsidR="00B50935" w:rsidRPr="009017BC" w:rsidRDefault="00B50935" w:rsidP="00427764">
            <w:pPr>
              <w:spacing w:before="20" w:after="20"/>
              <w:jc w:val="center"/>
              <w:rPr>
                <w:noProof/>
                <w:sz w:val="14"/>
              </w:rPr>
            </w:pPr>
            <w:r w:rsidRPr="009017BC">
              <w:rPr>
                <w:sz w:val="14"/>
              </w:rPr>
              <w:t>(1)</w:t>
            </w:r>
          </w:p>
        </w:tc>
        <w:tc>
          <w:tcPr>
            <w:tcW w:w="868" w:type="dxa"/>
          </w:tcPr>
          <w:p w14:paraId="1B83DE2E" w14:textId="77777777" w:rsidR="00B50935" w:rsidRPr="009017BC" w:rsidRDefault="00B50935" w:rsidP="00427764">
            <w:pPr>
              <w:spacing w:before="20" w:after="20"/>
              <w:jc w:val="right"/>
              <w:rPr>
                <w:noProof/>
                <w:sz w:val="20"/>
              </w:rPr>
            </w:pPr>
            <w:r w:rsidRPr="009017BC">
              <w:rPr>
                <w:sz w:val="20"/>
              </w:rPr>
              <w:t>2,965</w:t>
            </w:r>
          </w:p>
        </w:tc>
        <w:tc>
          <w:tcPr>
            <w:tcW w:w="868" w:type="dxa"/>
          </w:tcPr>
          <w:p w14:paraId="2CEF5BDC" w14:textId="77777777" w:rsidR="00B50935" w:rsidRPr="009017BC" w:rsidRDefault="00B50935" w:rsidP="00427764">
            <w:pPr>
              <w:spacing w:before="20" w:after="20"/>
              <w:jc w:val="right"/>
              <w:rPr>
                <w:noProof/>
                <w:sz w:val="20"/>
              </w:rPr>
            </w:pPr>
            <w:r w:rsidRPr="009017BC">
              <w:rPr>
                <w:sz w:val="20"/>
              </w:rPr>
              <w:t>5,475</w:t>
            </w:r>
          </w:p>
        </w:tc>
        <w:tc>
          <w:tcPr>
            <w:tcW w:w="868" w:type="dxa"/>
          </w:tcPr>
          <w:p w14:paraId="75A3D5E5" w14:textId="77777777" w:rsidR="00B50935" w:rsidRPr="009017BC" w:rsidRDefault="00B50935" w:rsidP="00427764">
            <w:pPr>
              <w:spacing w:before="20" w:after="20"/>
              <w:jc w:val="right"/>
              <w:rPr>
                <w:noProof/>
                <w:sz w:val="20"/>
              </w:rPr>
            </w:pPr>
            <w:r w:rsidRPr="009017BC">
              <w:rPr>
                <w:sz w:val="20"/>
              </w:rPr>
              <w:t>6,680</w:t>
            </w:r>
          </w:p>
        </w:tc>
        <w:tc>
          <w:tcPr>
            <w:tcW w:w="868" w:type="dxa"/>
          </w:tcPr>
          <w:p w14:paraId="29519D44" w14:textId="77777777" w:rsidR="00B50935" w:rsidRPr="009017BC" w:rsidRDefault="00B50935" w:rsidP="00427764">
            <w:pPr>
              <w:spacing w:before="20" w:after="20"/>
              <w:jc w:val="right"/>
              <w:rPr>
                <w:noProof/>
                <w:sz w:val="20"/>
              </w:rPr>
            </w:pPr>
            <w:r w:rsidRPr="009017BC">
              <w:rPr>
                <w:sz w:val="20"/>
              </w:rPr>
              <w:t>7,165</w:t>
            </w:r>
          </w:p>
        </w:tc>
        <w:tc>
          <w:tcPr>
            <w:tcW w:w="868" w:type="dxa"/>
          </w:tcPr>
          <w:p w14:paraId="3B0B02E9" w14:textId="77777777" w:rsidR="00B50935" w:rsidRPr="009017BC" w:rsidRDefault="00B50935" w:rsidP="00427764">
            <w:pPr>
              <w:spacing w:before="20" w:after="20"/>
              <w:jc w:val="right"/>
              <w:rPr>
                <w:noProof/>
                <w:sz w:val="20"/>
              </w:rPr>
            </w:pPr>
            <w:r w:rsidRPr="009017BC">
              <w:rPr>
                <w:sz w:val="20"/>
              </w:rPr>
              <w:t>7,165</w:t>
            </w:r>
          </w:p>
        </w:tc>
        <w:tc>
          <w:tcPr>
            <w:tcW w:w="868" w:type="dxa"/>
          </w:tcPr>
          <w:p w14:paraId="307B69E1" w14:textId="77777777" w:rsidR="00B50935" w:rsidRPr="009017BC" w:rsidRDefault="00B50935" w:rsidP="00427764">
            <w:pPr>
              <w:spacing w:before="20" w:after="20"/>
              <w:jc w:val="right"/>
              <w:rPr>
                <w:noProof/>
                <w:sz w:val="20"/>
              </w:rPr>
            </w:pPr>
            <w:r w:rsidRPr="009017BC">
              <w:rPr>
                <w:sz w:val="20"/>
              </w:rPr>
              <w:t>7,165</w:t>
            </w:r>
          </w:p>
        </w:tc>
        <w:tc>
          <w:tcPr>
            <w:tcW w:w="868" w:type="dxa"/>
          </w:tcPr>
          <w:p w14:paraId="0999B049" w14:textId="77777777" w:rsidR="00B50935" w:rsidRPr="009017BC" w:rsidRDefault="00B50935" w:rsidP="00427764">
            <w:pPr>
              <w:spacing w:before="20" w:after="20"/>
              <w:jc w:val="right"/>
              <w:rPr>
                <w:b/>
                <w:noProof/>
                <w:sz w:val="20"/>
              </w:rPr>
            </w:pPr>
            <w:r w:rsidRPr="009017BC">
              <w:rPr>
                <w:sz w:val="20"/>
              </w:rPr>
              <w:t>7,165</w:t>
            </w:r>
          </w:p>
        </w:tc>
        <w:tc>
          <w:tcPr>
            <w:tcW w:w="1777" w:type="dxa"/>
            <w:vAlign w:val="center"/>
          </w:tcPr>
          <w:p w14:paraId="680CA84C" w14:textId="77777777" w:rsidR="00B50935" w:rsidRPr="009017BC" w:rsidRDefault="00B50935" w:rsidP="00427764">
            <w:pPr>
              <w:spacing w:before="20" w:after="20"/>
              <w:jc w:val="right"/>
              <w:rPr>
                <w:b/>
                <w:noProof/>
                <w:sz w:val="20"/>
              </w:rPr>
            </w:pPr>
            <w:r w:rsidRPr="009017BC">
              <w:rPr>
                <w:b/>
                <w:sz w:val="20"/>
              </w:rPr>
              <w:t>43,780</w:t>
            </w:r>
          </w:p>
        </w:tc>
      </w:tr>
      <w:tr w:rsidR="00B50935" w:rsidRPr="009017BC" w14:paraId="01600D7E" w14:textId="77777777" w:rsidTr="00427764">
        <w:tc>
          <w:tcPr>
            <w:tcW w:w="3960" w:type="dxa"/>
            <w:vMerge/>
            <w:vAlign w:val="center"/>
          </w:tcPr>
          <w:p w14:paraId="73C31B75" w14:textId="77777777" w:rsidR="00B50935" w:rsidRPr="009017BC" w:rsidRDefault="00B50935" w:rsidP="00427764"/>
        </w:tc>
        <w:tc>
          <w:tcPr>
            <w:tcW w:w="1440" w:type="dxa"/>
            <w:vAlign w:val="center"/>
          </w:tcPr>
          <w:p w14:paraId="1F013E88" w14:textId="77777777" w:rsidR="00B50935" w:rsidRPr="009017BC" w:rsidRDefault="00B50935" w:rsidP="00427764">
            <w:pPr>
              <w:spacing w:before="20" w:after="20"/>
              <w:rPr>
                <w:noProof/>
                <w:sz w:val="18"/>
              </w:rPr>
            </w:pPr>
            <w:r w:rsidRPr="009017BC">
              <w:rPr>
                <w:sz w:val="18"/>
              </w:rPr>
              <w:t>Pagos</w:t>
            </w:r>
          </w:p>
        </w:tc>
        <w:tc>
          <w:tcPr>
            <w:tcW w:w="654" w:type="dxa"/>
            <w:gridSpan w:val="2"/>
            <w:vAlign w:val="center"/>
          </w:tcPr>
          <w:p w14:paraId="0DC8B7F5" w14:textId="77777777" w:rsidR="00B50935" w:rsidRPr="009017BC" w:rsidRDefault="00B50935" w:rsidP="00427764">
            <w:pPr>
              <w:spacing w:before="20" w:after="20"/>
              <w:jc w:val="center"/>
              <w:rPr>
                <w:noProof/>
                <w:sz w:val="14"/>
              </w:rPr>
            </w:pPr>
            <w:r w:rsidRPr="009017BC">
              <w:rPr>
                <w:sz w:val="14"/>
              </w:rPr>
              <w:t>(2)</w:t>
            </w:r>
          </w:p>
        </w:tc>
        <w:tc>
          <w:tcPr>
            <w:tcW w:w="868" w:type="dxa"/>
          </w:tcPr>
          <w:p w14:paraId="6845EF98" w14:textId="77777777" w:rsidR="00B50935" w:rsidRPr="009017BC" w:rsidRDefault="00B50935" w:rsidP="00427764">
            <w:pPr>
              <w:spacing w:before="20" w:after="20"/>
              <w:jc w:val="right"/>
              <w:rPr>
                <w:noProof/>
                <w:sz w:val="20"/>
              </w:rPr>
            </w:pPr>
            <w:r w:rsidRPr="009017BC">
              <w:rPr>
                <w:sz w:val="20"/>
              </w:rPr>
              <w:t>2,965</w:t>
            </w:r>
          </w:p>
        </w:tc>
        <w:tc>
          <w:tcPr>
            <w:tcW w:w="868" w:type="dxa"/>
          </w:tcPr>
          <w:p w14:paraId="5E057FE5" w14:textId="77777777" w:rsidR="00B50935" w:rsidRPr="009017BC" w:rsidRDefault="00B50935" w:rsidP="00427764">
            <w:pPr>
              <w:spacing w:before="20" w:after="20"/>
              <w:jc w:val="right"/>
              <w:rPr>
                <w:noProof/>
                <w:sz w:val="20"/>
              </w:rPr>
            </w:pPr>
            <w:r w:rsidRPr="009017BC">
              <w:rPr>
                <w:sz w:val="20"/>
              </w:rPr>
              <w:t>5,475</w:t>
            </w:r>
          </w:p>
        </w:tc>
        <w:tc>
          <w:tcPr>
            <w:tcW w:w="868" w:type="dxa"/>
          </w:tcPr>
          <w:p w14:paraId="140860B1" w14:textId="77777777" w:rsidR="00B50935" w:rsidRPr="009017BC" w:rsidRDefault="00B50935" w:rsidP="00427764">
            <w:pPr>
              <w:spacing w:before="20" w:after="20"/>
              <w:jc w:val="right"/>
              <w:rPr>
                <w:noProof/>
                <w:sz w:val="20"/>
              </w:rPr>
            </w:pPr>
            <w:r w:rsidRPr="009017BC">
              <w:rPr>
                <w:sz w:val="20"/>
              </w:rPr>
              <w:t>6,680</w:t>
            </w:r>
          </w:p>
        </w:tc>
        <w:tc>
          <w:tcPr>
            <w:tcW w:w="868" w:type="dxa"/>
          </w:tcPr>
          <w:p w14:paraId="20721A61" w14:textId="77777777" w:rsidR="00B50935" w:rsidRPr="009017BC" w:rsidRDefault="00B50935" w:rsidP="00427764">
            <w:pPr>
              <w:spacing w:before="20" w:after="20"/>
              <w:jc w:val="right"/>
              <w:rPr>
                <w:noProof/>
                <w:sz w:val="20"/>
              </w:rPr>
            </w:pPr>
            <w:r w:rsidRPr="009017BC">
              <w:rPr>
                <w:sz w:val="20"/>
              </w:rPr>
              <w:t>7,165</w:t>
            </w:r>
          </w:p>
        </w:tc>
        <w:tc>
          <w:tcPr>
            <w:tcW w:w="868" w:type="dxa"/>
          </w:tcPr>
          <w:p w14:paraId="546AB7EE" w14:textId="77777777" w:rsidR="00B50935" w:rsidRPr="009017BC" w:rsidRDefault="00B50935" w:rsidP="00427764">
            <w:pPr>
              <w:spacing w:before="20" w:after="20"/>
              <w:jc w:val="right"/>
              <w:rPr>
                <w:noProof/>
                <w:sz w:val="20"/>
              </w:rPr>
            </w:pPr>
            <w:r w:rsidRPr="009017BC">
              <w:rPr>
                <w:sz w:val="20"/>
              </w:rPr>
              <w:t>7,165</w:t>
            </w:r>
          </w:p>
        </w:tc>
        <w:tc>
          <w:tcPr>
            <w:tcW w:w="868" w:type="dxa"/>
          </w:tcPr>
          <w:p w14:paraId="1D1F043F" w14:textId="77777777" w:rsidR="00B50935" w:rsidRPr="009017BC" w:rsidRDefault="00B50935" w:rsidP="00427764">
            <w:pPr>
              <w:spacing w:before="20" w:after="20"/>
              <w:jc w:val="right"/>
              <w:rPr>
                <w:noProof/>
                <w:sz w:val="20"/>
              </w:rPr>
            </w:pPr>
            <w:r w:rsidRPr="009017BC">
              <w:rPr>
                <w:sz w:val="20"/>
              </w:rPr>
              <w:t>7,165</w:t>
            </w:r>
          </w:p>
        </w:tc>
        <w:tc>
          <w:tcPr>
            <w:tcW w:w="868" w:type="dxa"/>
          </w:tcPr>
          <w:p w14:paraId="49F2B61C" w14:textId="77777777" w:rsidR="00B50935" w:rsidRPr="009017BC" w:rsidRDefault="00B50935" w:rsidP="00427764">
            <w:pPr>
              <w:spacing w:before="20" w:after="20"/>
              <w:jc w:val="right"/>
              <w:rPr>
                <w:b/>
                <w:noProof/>
                <w:sz w:val="20"/>
              </w:rPr>
            </w:pPr>
            <w:r w:rsidRPr="009017BC">
              <w:rPr>
                <w:sz w:val="20"/>
              </w:rPr>
              <w:t>7,165</w:t>
            </w:r>
          </w:p>
        </w:tc>
        <w:tc>
          <w:tcPr>
            <w:tcW w:w="1777" w:type="dxa"/>
            <w:vAlign w:val="center"/>
          </w:tcPr>
          <w:p w14:paraId="7F41261C" w14:textId="77777777" w:rsidR="00B50935" w:rsidRPr="009017BC" w:rsidRDefault="00B50935" w:rsidP="00427764">
            <w:pPr>
              <w:spacing w:before="20" w:after="20"/>
              <w:jc w:val="right"/>
              <w:rPr>
                <w:b/>
                <w:noProof/>
                <w:sz w:val="20"/>
              </w:rPr>
            </w:pPr>
            <w:r w:rsidRPr="009017BC">
              <w:rPr>
                <w:b/>
                <w:sz w:val="20"/>
              </w:rPr>
              <w:t>43,780</w:t>
            </w:r>
          </w:p>
        </w:tc>
      </w:tr>
      <w:tr w:rsidR="00B50935" w:rsidRPr="009017BC" w14:paraId="41557ACF" w14:textId="77777777" w:rsidTr="00427764">
        <w:tc>
          <w:tcPr>
            <w:tcW w:w="3960" w:type="dxa"/>
            <w:vMerge w:val="restart"/>
            <w:vAlign w:val="center"/>
          </w:tcPr>
          <w:p w14:paraId="5CF23E10" w14:textId="77777777" w:rsidR="00B50935" w:rsidRPr="009017BC" w:rsidRDefault="00B50935" w:rsidP="00427764">
            <w:r w:rsidRPr="009017BC">
              <w:rPr>
                <w:sz w:val="20"/>
              </w:rPr>
              <w:t>Título 2:</w:t>
            </w:r>
          </w:p>
        </w:tc>
        <w:tc>
          <w:tcPr>
            <w:tcW w:w="1440" w:type="dxa"/>
            <w:vAlign w:val="center"/>
          </w:tcPr>
          <w:p w14:paraId="5443DADB" w14:textId="77777777" w:rsidR="00B50935" w:rsidRPr="009017BC" w:rsidRDefault="00B50935" w:rsidP="00427764">
            <w:pPr>
              <w:spacing w:before="20" w:after="20"/>
              <w:rPr>
                <w:noProof/>
                <w:sz w:val="18"/>
              </w:rPr>
            </w:pPr>
            <w:r w:rsidRPr="009017BC">
              <w:rPr>
                <w:sz w:val="18"/>
              </w:rPr>
              <w:t>Compromisos</w:t>
            </w:r>
          </w:p>
        </w:tc>
        <w:tc>
          <w:tcPr>
            <w:tcW w:w="654" w:type="dxa"/>
            <w:gridSpan w:val="2"/>
            <w:vAlign w:val="center"/>
          </w:tcPr>
          <w:p w14:paraId="4A2FF034" w14:textId="77777777" w:rsidR="00B50935" w:rsidRPr="009017BC" w:rsidRDefault="00B50935" w:rsidP="00427764">
            <w:pPr>
              <w:spacing w:before="20" w:after="20"/>
              <w:jc w:val="center"/>
              <w:rPr>
                <w:noProof/>
                <w:sz w:val="14"/>
              </w:rPr>
            </w:pPr>
            <w:r w:rsidRPr="009017BC">
              <w:rPr>
                <w:sz w:val="14"/>
              </w:rPr>
              <w:t>(1a)</w:t>
            </w:r>
          </w:p>
        </w:tc>
        <w:tc>
          <w:tcPr>
            <w:tcW w:w="868" w:type="dxa"/>
          </w:tcPr>
          <w:p w14:paraId="2C1EE344" w14:textId="77777777" w:rsidR="00B50935" w:rsidRPr="009017BC" w:rsidRDefault="00B50935" w:rsidP="00427764">
            <w:pPr>
              <w:spacing w:before="20" w:after="20"/>
              <w:jc w:val="right"/>
              <w:rPr>
                <w:noProof/>
                <w:sz w:val="20"/>
              </w:rPr>
            </w:pPr>
            <w:r w:rsidRPr="009017BC">
              <w:rPr>
                <w:sz w:val="20"/>
              </w:rPr>
              <w:t>0,775</w:t>
            </w:r>
          </w:p>
        </w:tc>
        <w:tc>
          <w:tcPr>
            <w:tcW w:w="868" w:type="dxa"/>
          </w:tcPr>
          <w:p w14:paraId="38018284" w14:textId="77777777" w:rsidR="00B50935" w:rsidRPr="009017BC" w:rsidRDefault="00B50935" w:rsidP="00427764">
            <w:pPr>
              <w:spacing w:before="20" w:after="20"/>
              <w:jc w:val="right"/>
              <w:rPr>
                <w:noProof/>
                <w:sz w:val="20"/>
              </w:rPr>
            </w:pPr>
            <w:r w:rsidRPr="009017BC">
              <w:rPr>
                <w:sz w:val="20"/>
              </w:rPr>
              <w:t>1,375</w:t>
            </w:r>
          </w:p>
        </w:tc>
        <w:tc>
          <w:tcPr>
            <w:tcW w:w="868" w:type="dxa"/>
          </w:tcPr>
          <w:p w14:paraId="2CF8E17D" w14:textId="77777777" w:rsidR="00B50935" w:rsidRPr="009017BC" w:rsidRDefault="00B50935" w:rsidP="00427764">
            <w:pPr>
              <w:spacing w:before="20" w:after="20"/>
              <w:jc w:val="right"/>
              <w:rPr>
                <w:noProof/>
                <w:sz w:val="20"/>
              </w:rPr>
            </w:pPr>
            <w:r w:rsidRPr="009017BC">
              <w:rPr>
                <w:sz w:val="20"/>
              </w:rPr>
              <w:t>1,700</w:t>
            </w:r>
          </w:p>
        </w:tc>
        <w:tc>
          <w:tcPr>
            <w:tcW w:w="868" w:type="dxa"/>
          </w:tcPr>
          <w:p w14:paraId="62EF4296" w14:textId="77777777" w:rsidR="00B50935" w:rsidRPr="009017BC" w:rsidRDefault="00B50935" w:rsidP="00427764">
            <w:pPr>
              <w:spacing w:before="20" w:after="20"/>
              <w:jc w:val="right"/>
              <w:rPr>
                <w:noProof/>
                <w:sz w:val="20"/>
              </w:rPr>
            </w:pPr>
            <w:r w:rsidRPr="009017BC">
              <w:rPr>
                <w:sz w:val="20"/>
              </w:rPr>
              <w:t>1,825</w:t>
            </w:r>
          </w:p>
        </w:tc>
        <w:tc>
          <w:tcPr>
            <w:tcW w:w="868" w:type="dxa"/>
          </w:tcPr>
          <w:p w14:paraId="0FDA6DF4" w14:textId="77777777" w:rsidR="00B50935" w:rsidRPr="009017BC" w:rsidRDefault="00B50935" w:rsidP="00427764">
            <w:pPr>
              <w:spacing w:before="20" w:after="20"/>
              <w:jc w:val="right"/>
              <w:rPr>
                <w:noProof/>
                <w:sz w:val="20"/>
              </w:rPr>
            </w:pPr>
            <w:r w:rsidRPr="009017BC">
              <w:rPr>
                <w:sz w:val="20"/>
              </w:rPr>
              <w:t>1,825</w:t>
            </w:r>
          </w:p>
        </w:tc>
        <w:tc>
          <w:tcPr>
            <w:tcW w:w="868" w:type="dxa"/>
          </w:tcPr>
          <w:p w14:paraId="49B8EDFA" w14:textId="77777777" w:rsidR="00B50935" w:rsidRPr="009017BC" w:rsidRDefault="00B50935" w:rsidP="00427764">
            <w:pPr>
              <w:spacing w:before="20" w:after="20"/>
              <w:jc w:val="right"/>
              <w:rPr>
                <w:noProof/>
                <w:sz w:val="20"/>
              </w:rPr>
            </w:pPr>
            <w:r w:rsidRPr="009017BC">
              <w:rPr>
                <w:sz w:val="20"/>
              </w:rPr>
              <w:t>1,825</w:t>
            </w:r>
          </w:p>
        </w:tc>
        <w:tc>
          <w:tcPr>
            <w:tcW w:w="868" w:type="dxa"/>
          </w:tcPr>
          <w:p w14:paraId="568E5C79" w14:textId="77777777" w:rsidR="00B50935" w:rsidRPr="009017BC" w:rsidRDefault="00B50935" w:rsidP="00427764">
            <w:pPr>
              <w:spacing w:before="20" w:after="20"/>
              <w:jc w:val="right"/>
              <w:rPr>
                <w:b/>
                <w:noProof/>
                <w:sz w:val="20"/>
              </w:rPr>
            </w:pPr>
            <w:r w:rsidRPr="009017BC">
              <w:rPr>
                <w:sz w:val="20"/>
              </w:rPr>
              <w:t>1,825</w:t>
            </w:r>
          </w:p>
        </w:tc>
        <w:tc>
          <w:tcPr>
            <w:tcW w:w="1777" w:type="dxa"/>
            <w:vAlign w:val="center"/>
          </w:tcPr>
          <w:p w14:paraId="2E7E60D4" w14:textId="77777777" w:rsidR="00B50935" w:rsidRPr="009017BC" w:rsidRDefault="00B50935" w:rsidP="00427764">
            <w:pPr>
              <w:spacing w:before="20" w:after="20"/>
              <w:jc w:val="right"/>
              <w:rPr>
                <w:b/>
                <w:noProof/>
                <w:sz w:val="20"/>
              </w:rPr>
            </w:pPr>
            <w:r w:rsidRPr="009017BC">
              <w:rPr>
                <w:b/>
                <w:sz w:val="20"/>
              </w:rPr>
              <w:t>11,150</w:t>
            </w:r>
          </w:p>
        </w:tc>
      </w:tr>
      <w:tr w:rsidR="00B50935" w:rsidRPr="009017BC" w14:paraId="330E780C" w14:textId="77777777" w:rsidTr="00427764">
        <w:tc>
          <w:tcPr>
            <w:tcW w:w="3960" w:type="dxa"/>
            <w:vMerge/>
            <w:vAlign w:val="center"/>
          </w:tcPr>
          <w:p w14:paraId="07553038" w14:textId="77777777" w:rsidR="00B50935" w:rsidRPr="009017BC" w:rsidRDefault="00B50935" w:rsidP="00427764"/>
        </w:tc>
        <w:tc>
          <w:tcPr>
            <w:tcW w:w="1440" w:type="dxa"/>
            <w:vAlign w:val="center"/>
          </w:tcPr>
          <w:p w14:paraId="6A277FBA" w14:textId="77777777" w:rsidR="00B50935" w:rsidRPr="009017BC" w:rsidRDefault="00B50935" w:rsidP="00427764">
            <w:pPr>
              <w:spacing w:before="20" w:after="20"/>
              <w:rPr>
                <w:noProof/>
                <w:sz w:val="18"/>
              </w:rPr>
            </w:pPr>
            <w:r w:rsidRPr="009017BC">
              <w:rPr>
                <w:sz w:val="18"/>
              </w:rPr>
              <w:t>Pagos</w:t>
            </w:r>
          </w:p>
        </w:tc>
        <w:tc>
          <w:tcPr>
            <w:tcW w:w="654" w:type="dxa"/>
            <w:gridSpan w:val="2"/>
            <w:vAlign w:val="center"/>
          </w:tcPr>
          <w:p w14:paraId="085BE2EF" w14:textId="77777777" w:rsidR="00B50935" w:rsidRPr="009017BC" w:rsidRDefault="00B50935" w:rsidP="00427764">
            <w:pPr>
              <w:spacing w:before="20" w:after="20"/>
              <w:jc w:val="center"/>
              <w:rPr>
                <w:noProof/>
                <w:sz w:val="14"/>
              </w:rPr>
            </w:pPr>
            <w:r w:rsidRPr="009017BC">
              <w:rPr>
                <w:sz w:val="14"/>
              </w:rPr>
              <w:t>(2a)</w:t>
            </w:r>
          </w:p>
        </w:tc>
        <w:tc>
          <w:tcPr>
            <w:tcW w:w="868" w:type="dxa"/>
          </w:tcPr>
          <w:p w14:paraId="481D8E91" w14:textId="77777777" w:rsidR="00B50935" w:rsidRPr="009017BC" w:rsidRDefault="00B50935" w:rsidP="00427764">
            <w:pPr>
              <w:spacing w:before="20" w:after="20"/>
              <w:jc w:val="right"/>
              <w:rPr>
                <w:sz w:val="20"/>
              </w:rPr>
            </w:pPr>
            <w:r w:rsidRPr="009017BC">
              <w:rPr>
                <w:sz w:val="20"/>
              </w:rPr>
              <w:t>0,775</w:t>
            </w:r>
          </w:p>
        </w:tc>
        <w:tc>
          <w:tcPr>
            <w:tcW w:w="868" w:type="dxa"/>
          </w:tcPr>
          <w:p w14:paraId="30F31CCE" w14:textId="77777777" w:rsidR="00B50935" w:rsidRPr="009017BC" w:rsidRDefault="00B50935" w:rsidP="00427764">
            <w:pPr>
              <w:spacing w:before="20" w:after="20"/>
              <w:jc w:val="right"/>
              <w:rPr>
                <w:noProof/>
                <w:sz w:val="20"/>
              </w:rPr>
            </w:pPr>
            <w:r w:rsidRPr="009017BC">
              <w:rPr>
                <w:sz w:val="20"/>
              </w:rPr>
              <w:t>1,375</w:t>
            </w:r>
          </w:p>
        </w:tc>
        <w:tc>
          <w:tcPr>
            <w:tcW w:w="868" w:type="dxa"/>
          </w:tcPr>
          <w:p w14:paraId="79A4D34A" w14:textId="77777777" w:rsidR="00B50935" w:rsidRPr="009017BC" w:rsidRDefault="00B50935" w:rsidP="00427764">
            <w:pPr>
              <w:spacing w:before="20" w:after="20"/>
              <w:jc w:val="right"/>
              <w:rPr>
                <w:noProof/>
                <w:sz w:val="20"/>
              </w:rPr>
            </w:pPr>
            <w:r w:rsidRPr="009017BC">
              <w:rPr>
                <w:sz w:val="20"/>
              </w:rPr>
              <w:t>1,700</w:t>
            </w:r>
          </w:p>
        </w:tc>
        <w:tc>
          <w:tcPr>
            <w:tcW w:w="868" w:type="dxa"/>
          </w:tcPr>
          <w:p w14:paraId="434AB086" w14:textId="77777777" w:rsidR="00B50935" w:rsidRPr="009017BC" w:rsidRDefault="00B50935" w:rsidP="00427764">
            <w:pPr>
              <w:spacing w:before="20" w:after="20"/>
              <w:jc w:val="right"/>
              <w:rPr>
                <w:noProof/>
                <w:sz w:val="20"/>
              </w:rPr>
            </w:pPr>
            <w:r w:rsidRPr="009017BC">
              <w:rPr>
                <w:sz w:val="20"/>
              </w:rPr>
              <w:t>1,825</w:t>
            </w:r>
          </w:p>
        </w:tc>
        <w:tc>
          <w:tcPr>
            <w:tcW w:w="868" w:type="dxa"/>
          </w:tcPr>
          <w:p w14:paraId="2362DB39" w14:textId="77777777" w:rsidR="00B50935" w:rsidRPr="009017BC" w:rsidRDefault="00B50935" w:rsidP="00427764">
            <w:pPr>
              <w:spacing w:before="20" w:after="20"/>
              <w:jc w:val="right"/>
              <w:rPr>
                <w:noProof/>
                <w:sz w:val="20"/>
              </w:rPr>
            </w:pPr>
            <w:r w:rsidRPr="009017BC">
              <w:rPr>
                <w:sz w:val="20"/>
              </w:rPr>
              <w:t>1,825</w:t>
            </w:r>
          </w:p>
        </w:tc>
        <w:tc>
          <w:tcPr>
            <w:tcW w:w="868" w:type="dxa"/>
          </w:tcPr>
          <w:p w14:paraId="2280EBAE" w14:textId="77777777" w:rsidR="00B50935" w:rsidRPr="009017BC" w:rsidRDefault="00B50935" w:rsidP="00427764">
            <w:pPr>
              <w:spacing w:before="20" w:after="20"/>
              <w:jc w:val="right"/>
              <w:rPr>
                <w:noProof/>
                <w:sz w:val="20"/>
              </w:rPr>
            </w:pPr>
            <w:r w:rsidRPr="009017BC">
              <w:rPr>
                <w:sz w:val="20"/>
              </w:rPr>
              <w:t>1,825</w:t>
            </w:r>
          </w:p>
        </w:tc>
        <w:tc>
          <w:tcPr>
            <w:tcW w:w="868" w:type="dxa"/>
          </w:tcPr>
          <w:p w14:paraId="46DE411C" w14:textId="77777777" w:rsidR="00B50935" w:rsidRPr="009017BC" w:rsidRDefault="00B50935" w:rsidP="00427764">
            <w:pPr>
              <w:spacing w:before="20" w:after="20"/>
              <w:jc w:val="right"/>
              <w:rPr>
                <w:b/>
                <w:noProof/>
                <w:sz w:val="20"/>
              </w:rPr>
            </w:pPr>
            <w:r w:rsidRPr="009017BC">
              <w:rPr>
                <w:sz w:val="20"/>
              </w:rPr>
              <w:t>1,825</w:t>
            </w:r>
          </w:p>
        </w:tc>
        <w:tc>
          <w:tcPr>
            <w:tcW w:w="1777" w:type="dxa"/>
            <w:vAlign w:val="center"/>
          </w:tcPr>
          <w:p w14:paraId="5774B346" w14:textId="77777777" w:rsidR="00B50935" w:rsidRPr="009017BC" w:rsidRDefault="00B50935" w:rsidP="00427764">
            <w:pPr>
              <w:spacing w:before="20" w:after="20"/>
              <w:jc w:val="right"/>
              <w:rPr>
                <w:b/>
                <w:noProof/>
                <w:sz w:val="20"/>
              </w:rPr>
            </w:pPr>
            <w:r w:rsidRPr="009017BC">
              <w:rPr>
                <w:b/>
                <w:sz w:val="20"/>
              </w:rPr>
              <w:t>11,150</w:t>
            </w:r>
          </w:p>
        </w:tc>
      </w:tr>
      <w:tr w:rsidR="00B50935" w:rsidRPr="009017BC" w14:paraId="13951B0C" w14:textId="77777777" w:rsidTr="00427764">
        <w:trPr>
          <w:trHeight w:val="319"/>
        </w:trPr>
        <w:tc>
          <w:tcPr>
            <w:tcW w:w="3960" w:type="dxa"/>
            <w:vAlign w:val="center"/>
          </w:tcPr>
          <w:p w14:paraId="4D202240" w14:textId="77777777" w:rsidR="00B50935" w:rsidRPr="009017BC" w:rsidRDefault="00B50935" w:rsidP="00427764">
            <w:pPr>
              <w:spacing w:before="60" w:after="60"/>
            </w:pPr>
            <w:r w:rsidRPr="009017BC">
              <w:rPr>
                <w:sz w:val="20"/>
              </w:rPr>
              <w:t>Título 3:</w:t>
            </w:r>
          </w:p>
        </w:tc>
        <w:tc>
          <w:tcPr>
            <w:tcW w:w="1440" w:type="dxa"/>
            <w:vAlign w:val="center"/>
          </w:tcPr>
          <w:p w14:paraId="64CECC70" w14:textId="77777777" w:rsidR="00B50935" w:rsidRPr="009017BC" w:rsidRDefault="00B50935" w:rsidP="00427764">
            <w:pPr>
              <w:spacing w:before="40" w:after="40"/>
              <w:rPr>
                <w:noProof/>
                <w:sz w:val="18"/>
              </w:rPr>
            </w:pPr>
            <w:r w:rsidRPr="009017BC">
              <w:rPr>
                <w:sz w:val="18"/>
              </w:rPr>
              <w:t>Compromisos</w:t>
            </w:r>
          </w:p>
        </w:tc>
        <w:tc>
          <w:tcPr>
            <w:tcW w:w="654" w:type="dxa"/>
            <w:gridSpan w:val="2"/>
            <w:vAlign w:val="center"/>
          </w:tcPr>
          <w:p w14:paraId="6C85C0B2" w14:textId="77777777" w:rsidR="00B50935" w:rsidRPr="009017BC" w:rsidRDefault="00B50935" w:rsidP="00427764">
            <w:pPr>
              <w:spacing w:before="40" w:after="40"/>
              <w:jc w:val="center"/>
              <w:rPr>
                <w:noProof/>
                <w:sz w:val="14"/>
              </w:rPr>
            </w:pPr>
            <w:r w:rsidRPr="009017BC">
              <w:rPr>
                <w:sz w:val="14"/>
              </w:rPr>
              <w:t>(3a)</w:t>
            </w:r>
          </w:p>
        </w:tc>
        <w:tc>
          <w:tcPr>
            <w:tcW w:w="868" w:type="dxa"/>
          </w:tcPr>
          <w:p w14:paraId="623E6EF6" w14:textId="77777777" w:rsidR="00B50935" w:rsidRPr="009017BC" w:rsidRDefault="00B50935" w:rsidP="00427764">
            <w:pPr>
              <w:spacing w:before="40" w:after="40"/>
              <w:jc w:val="right"/>
              <w:rPr>
                <w:noProof/>
                <w:sz w:val="20"/>
              </w:rPr>
            </w:pPr>
            <w:r w:rsidRPr="009017BC">
              <w:rPr>
                <w:sz w:val="20"/>
              </w:rPr>
              <w:t xml:space="preserve"> 12,300</w:t>
            </w:r>
          </w:p>
        </w:tc>
        <w:tc>
          <w:tcPr>
            <w:tcW w:w="868" w:type="dxa"/>
          </w:tcPr>
          <w:p w14:paraId="1033CEC7" w14:textId="77777777" w:rsidR="00B50935" w:rsidRPr="009017BC" w:rsidRDefault="00B50935" w:rsidP="00427764">
            <w:pPr>
              <w:spacing w:before="40" w:after="40"/>
              <w:jc w:val="right"/>
              <w:rPr>
                <w:noProof/>
                <w:sz w:val="20"/>
              </w:rPr>
            </w:pPr>
            <w:r w:rsidRPr="009017BC">
              <w:rPr>
                <w:sz w:val="20"/>
              </w:rPr>
              <w:t xml:space="preserve"> 16,500</w:t>
            </w:r>
          </w:p>
        </w:tc>
        <w:tc>
          <w:tcPr>
            <w:tcW w:w="868" w:type="dxa"/>
          </w:tcPr>
          <w:p w14:paraId="2E9061FD" w14:textId="77777777" w:rsidR="00B50935" w:rsidRPr="009017BC" w:rsidRDefault="00B50935" w:rsidP="00427764">
            <w:pPr>
              <w:spacing w:before="40" w:after="40"/>
              <w:jc w:val="right"/>
              <w:rPr>
                <w:noProof/>
                <w:sz w:val="20"/>
              </w:rPr>
            </w:pPr>
            <w:r w:rsidRPr="009017BC">
              <w:rPr>
                <w:sz w:val="20"/>
              </w:rPr>
              <w:t xml:space="preserve"> 16,700</w:t>
            </w:r>
          </w:p>
        </w:tc>
        <w:tc>
          <w:tcPr>
            <w:tcW w:w="868" w:type="dxa"/>
          </w:tcPr>
          <w:p w14:paraId="740BFB80" w14:textId="77777777" w:rsidR="00B50935" w:rsidRPr="009017BC" w:rsidRDefault="00B50935" w:rsidP="00427764">
            <w:pPr>
              <w:spacing w:before="40" w:after="40"/>
              <w:jc w:val="right"/>
              <w:rPr>
                <w:noProof/>
                <w:sz w:val="20"/>
              </w:rPr>
            </w:pPr>
            <w:r w:rsidRPr="009017BC">
              <w:rPr>
                <w:sz w:val="20"/>
              </w:rPr>
              <w:t xml:space="preserve"> 17,000</w:t>
            </w:r>
          </w:p>
        </w:tc>
        <w:tc>
          <w:tcPr>
            <w:tcW w:w="868" w:type="dxa"/>
          </w:tcPr>
          <w:p w14:paraId="0ABC607A" w14:textId="77777777" w:rsidR="00B50935" w:rsidRPr="009017BC" w:rsidRDefault="00B50935" w:rsidP="00427764">
            <w:pPr>
              <w:spacing w:before="40" w:after="40"/>
              <w:jc w:val="right"/>
              <w:rPr>
                <w:noProof/>
                <w:sz w:val="20"/>
              </w:rPr>
            </w:pPr>
            <w:r w:rsidRPr="009017BC">
              <w:rPr>
                <w:sz w:val="20"/>
              </w:rPr>
              <w:t xml:space="preserve"> 14,000</w:t>
            </w:r>
          </w:p>
        </w:tc>
        <w:tc>
          <w:tcPr>
            <w:tcW w:w="868" w:type="dxa"/>
          </w:tcPr>
          <w:p w14:paraId="77CDEF46" w14:textId="77777777" w:rsidR="00B50935" w:rsidRPr="009017BC" w:rsidRDefault="00B50935" w:rsidP="00427764">
            <w:pPr>
              <w:spacing w:before="40" w:after="40"/>
              <w:jc w:val="right"/>
              <w:rPr>
                <w:noProof/>
                <w:sz w:val="20"/>
              </w:rPr>
            </w:pPr>
            <w:r w:rsidRPr="009017BC">
              <w:rPr>
                <w:sz w:val="20"/>
              </w:rPr>
              <w:t xml:space="preserve"> 13,000</w:t>
            </w:r>
          </w:p>
        </w:tc>
        <w:tc>
          <w:tcPr>
            <w:tcW w:w="868" w:type="dxa"/>
          </w:tcPr>
          <w:p w14:paraId="32615128" w14:textId="77777777" w:rsidR="00B50935" w:rsidRPr="009017BC" w:rsidRDefault="00B50935" w:rsidP="00427764">
            <w:pPr>
              <w:spacing w:before="40" w:after="40"/>
              <w:jc w:val="right"/>
              <w:rPr>
                <w:noProof/>
                <w:sz w:val="20"/>
              </w:rPr>
            </w:pPr>
            <w:r w:rsidRPr="009017BC">
              <w:rPr>
                <w:sz w:val="20"/>
              </w:rPr>
              <w:t xml:space="preserve"> 13,000</w:t>
            </w:r>
          </w:p>
        </w:tc>
        <w:tc>
          <w:tcPr>
            <w:tcW w:w="1777" w:type="dxa"/>
            <w:vAlign w:val="center"/>
          </w:tcPr>
          <w:p w14:paraId="5A7347C4" w14:textId="77777777" w:rsidR="00B50935" w:rsidRPr="009017BC" w:rsidRDefault="00B50935" w:rsidP="00427764">
            <w:pPr>
              <w:spacing w:before="40" w:after="40"/>
              <w:jc w:val="right"/>
              <w:rPr>
                <w:b/>
                <w:noProof/>
                <w:sz w:val="20"/>
              </w:rPr>
            </w:pPr>
            <w:r w:rsidRPr="009017BC">
              <w:rPr>
                <w:b/>
                <w:sz w:val="20"/>
              </w:rPr>
              <w:t>102,500</w:t>
            </w:r>
          </w:p>
        </w:tc>
      </w:tr>
      <w:tr w:rsidR="00B50935" w:rsidRPr="009017BC" w14:paraId="2140715C" w14:textId="77777777" w:rsidTr="00427764">
        <w:trPr>
          <w:trHeight w:val="319"/>
        </w:trPr>
        <w:tc>
          <w:tcPr>
            <w:tcW w:w="3960" w:type="dxa"/>
            <w:vAlign w:val="center"/>
          </w:tcPr>
          <w:p w14:paraId="5A3B63F7" w14:textId="77777777" w:rsidR="00B50935" w:rsidRPr="009017BC" w:rsidRDefault="00B50935" w:rsidP="00427764">
            <w:pPr>
              <w:spacing w:before="60" w:after="60"/>
              <w:rPr>
                <w:b/>
                <w:noProof/>
                <w:sz w:val="20"/>
              </w:rPr>
            </w:pPr>
          </w:p>
        </w:tc>
        <w:tc>
          <w:tcPr>
            <w:tcW w:w="1440" w:type="dxa"/>
            <w:vAlign w:val="center"/>
          </w:tcPr>
          <w:p w14:paraId="3376D4F2" w14:textId="77777777" w:rsidR="00B50935" w:rsidRPr="009017BC" w:rsidRDefault="00B50935" w:rsidP="00427764">
            <w:pPr>
              <w:spacing w:before="40" w:after="40"/>
              <w:rPr>
                <w:noProof/>
                <w:sz w:val="18"/>
              </w:rPr>
            </w:pPr>
            <w:r w:rsidRPr="009017BC">
              <w:rPr>
                <w:sz w:val="18"/>
              </w:rPr>
              <w:t>Pagos</w:t>
            </w:r>
          </w:p>
        </w:tc>
        <w:tc>
          <w:tcPr>
            <w:tcW w:w="654" w:type="dxa"/>
            <w:gridSpan w:val="2"/>
            <w:vAlign w:val="center"/>
          </w:tcPr>
          <w:p w14:paraId="70D41610" w14:textId="77777777" w:rsidR="00B50935" w:rsidRPr="009017BC" w:rsidRDefault="00B50935" w:rsidP="00427764">
            <w:pPr>
              <w:spacing w:before="40" w:after="40"/>
              <w:jc w:val="center"/>
              <w:rPr>
                <w:noProof/>
                <w:sz w:val="14"/>
              </w:rPr>
            </w:pPr>
            <w:r w:rsidRPr="009017BC">
              <w:rPr>
                <w:sz w:val="14"/>
              </w:rPr>
              <w:t>(3b)</w:t>
            </w:r>
          </w:p>
        </w:tc>
        <w:tc>
          <w:tcPr>
            <w:tcW w:w="868" w:type="dxa"/>
          </w:tcPr>
          <w:p w14:paraId="135F4EF7" w14:textId="77777777" w:rsidR="00B50935" w:rsidRPr="009017BC" w:rsidRDefault="00B50935" w:rsidP="00427764">
            <w:pPr>
              <w:spacing w:before="40" w:after="40"/>
              <w:jc w:val="right"/>
              <w:rPr>
                <w:noProof/>
                <w:sz w:val="20"/>
              </w:rPr>
            </w:pPr>
            <w:r w:rsidRPr="009017BC">
              <w:rPr>
                <w:sz w:val="20"/>
              </w:rPr>
              <w:t xml:space="preserve"> 12,300</w:t>
            </w:r>
          </w:p>
        </w:tc>
        <w:tc>
          <w:tcPr>
            <w:tcW w:w="868" w:type="dxa"/>
          </w:tcPr>
          <w:p w14:paraId="4A65039D" w14:textId="77777777" w:rsidR="00B50935" w:rsidRPr="009017BC" w:rsidRDefault="00B50935" w:rsidP="00427764">
            <w:pPr>
              <w:spacing w:before="40" w:after="40"/>
              <w:jc w:val="right"/>
              <w:rPr>
                <w:noProof/>
                <w:sz w:val="20"/>
              </w:rPr>
            </w:pPr>
            <w:r w:rsidRPr="009017BC">
              <w:rPr>
                <w:sz w:val="20"/>
              </w:rPr>
              <w:t xml:space="preserve"> 16,500</w:t>
            </w:r>
          </w:p>
        </w:tc>
        <w:tc>
          <w:tcPr>
            <w:tcW w:w="868" w:type="dxa"/>
          </w:tcPr>
          <w:p w14:paraId="20488C7B" w14:textId="77777777" w:rsidR="00B50935" w:rsidRPr="009017BC" w:rsidRDefault="00B50935" w:rsidP="00427764">
            <w:pPr>
              <w:spacing w:before="40" w:after="40"/>
              <w:jc w:val="right"/>
              <w:rPr>
                <w:noProof/>
                <w:sz w:val="20"/>
              </w:rPr>
            </w:pPr>
            <w:r w:rsidRPr="009017BC">
              <w:rPr>
                <w:sz w:val="20"/>
              </w:rPr>
              <w:t xml:space="preserve"> 16,700</w:t>
            </w:r>
          </w:p>
        </w:tc>
        <w:tc>
          <w:tcPr>
            <w:tcW w:w="868" w:type="dxa"/>
          </w:tcPr>
          <w:p w14:paraId="1A421A7C" w14:textId="77777777" w:rsidR="00B50935" w:rsidRPr="009017BC" w:rsidRDefault="00B50935" w:rsidP="00427764">
            <w:pPr>
              <w:spacing w:before="40" w:after="40"/>
              <w:jc w:val="right"/>
              <w:rPr>
                <w:noProof/>
                <w:sz w:val="20"/>
              </w:rPr>
            </w:pPr>
            <w:r w:rsidRPr="009017BC">
              <w:rPr>
                <w:sz w:val="20"/>
              </w:rPr>
              <w:t xml:space="preserve"> 17,000</w:t>
            </w:r>
          </w:p>
        </w:tc>
        <w:tc>
          <w:tcPr>
            <w:tcW w:w="868" w:type="dxa"/>
          </w:tcPr>
          <w:p w14:paraId="74FECBAE" w14:textId="77777777" w:rsidR="00B50935" w:rsidRPr="009017BC" w:rsidRDefault="00B50935" w:rsidP="00427764">
            <w:pPr>
              <w:spacing w:before="40" w:after="40"/>
              <w:jc w:val="right"/>
              <w:rPr>
                <w:noProof/>
                <w:sz w:val="20"/>
              </w:rPr>
            </w:pPr>
            <w:r w:rsidRPr="009017BC">
              <w:rPr>
                <w:sz w:val="20"/>
              </w:rPr>
              <w:t xml:space="preserve"> 14,000</w:t>
            </w:r>
          </w:p>
        </w:tc>
        <w:tc>
          <w:tcPr>
            <w:tcW w:w="868" w:type="dxa"/>
          </w:tcPr>
          <w:p w14:paraId="6DD8BABC" w14:textId="77777777" w:rsidR="00B50935" w:rsidRPr="009017BC" w:rsidRDefault="00B50935" w:rsidP="00427764">
            <w:pPr>
              <w:spacing w:before="40" w:after="40"/>
              <w:jc w:val="right"/>
              <w:rPr>
                <w:noProof/>
                <w:sz w:val="20"/>
              </w:rPr>
            </w:pPr>
            <w:r w:rsidRPr="009017BC">
              <w:rPr>
                <w:sz w:val="20"/>
              </w:rPr>
              <w:t xml:space="preserve"> 13,000</w:t>
            </w:r>
          </w:p>
        </w:tc>
        <w:tc>
          <w:tcPr>
            <w:tcW w:w="868" w:type="dxa"/>
          </w:tcPr>
          <w:p w14:paraId="2E80A71F" w14:textId="77777777" w:rsidR="00B50935" w:rsidRPr="009017BC" w:rsidRDefault="00B50935" w:rsidP="00427764">
            <w:pPr>
              <w:spacing w:before="40" w:after="40"/>
              <w:jc w:val="right"/>
              <w:rPr>
                <w:noProof/>
                <w:sz w:val="20"/>
              </w:rPr>
            </w:pPr>
            <w:r w:rsidRPr="009017BC">
              <w:rPr>
                <w:sz w:val="20"/>
              </w:rPr>
              <w:t xml:space="preserve"> 13,000</w:t>
            </w:r>
          </w:p>
        </w:tc>
        <w:tc>
          <w:tcPr>
            <w:tcW w:w="1777" w:type="dxa"/>
            <w:vAlign w:val="center"/>
          </w:tcPr>
          <w:p w14:paraId="18982E99" w14:textId="77777777" w:rsidR="00B50935" w:rsidRPr="009017BC" w:rsidRDefault="00B50935" w:rsidP="00427764">
            <w:pPr>
              <w:spacing w:before="40" w:after="40"/>
              <w:jc w:val="right"/>
              <w:rPr>
                <w:b/>
                <w:noProof/>
                <w:sz w:val="20"/>
              </w:rPr>
            </w:pPr>
            <w:r w:rsidRPr="009017BC">
              <w:rPr>
                <w:b/>
                <w:sz w:val="20"/>
              </w:rPr>
              <w:t>102,500</w:t>
            </w:r>
          </w:p>
        </w:tc>
      </w:tr>
      <w:tr w:rsidR="00B50935" w:rsidRPr="009017BC" w14:paraId="054141CC" w14:textId="77777777" w:rsidTr="00427764">
        <w:trPr>
          <w:trHeight w:val="703"/>
        </w:trPr>
        <w:tc>
          <w:tcPr>
            <w:tcW w:w="3960" w:type="dxa"/>
            <w:vMerge w:val="restart"/>
            <w:vAlign w:val="center"/>
          </w:tcPr>
          <w:p w14:paraId="40499EBA" w14:textId="77777777" w:rsidR="00B50935" w:rsidRPr="009017BC" w:rsidRDefault="00B50935" w:rsidP="00427764">
            <w:pPr>
              <w:jc w:val="center"/>
              <w:rPr>
                <w:noProof/>
              </w:rPr>
            </w:pPr>
            <w:r w:rsidRPr="009017BC">
              <w:rPr>
                <w:b/>
                <w:sz w:val="22"/>
              </w:rPr>
              <w:t>TOTAL de los créditos</w:t>
            </w:r>
            <w:r w:rsidRPr="009017BC">
              <w:t xml:space="preserve"> </w:t>
            </w:r>
            <w:r w:rsidRPr="009017BC">
              <w:br/>
            </w:r>
            <w:r w:rsidRPr="009017BC">
              <w:rPr>
                <w:b/>
                <w:sz w:val="22"/>
              </w:rPr>
              <w:t xml:space="preserve">para </w:t>
            </w:r>
            <w:r w:rsidRPr="009017BC">
              <w:rPr>
                <w:b/>
              </w:rPr>
              <w:t xml:space="preserve"> el ECDC</w:t>
            </w:r>
          </w:p>
        </w:tc>
        <w:tc>
          <w:tcPr>
            <w:tcW w:w="1440" w:type="dxa"/>
            <w:vAlign w:val="center"/>
          </w:tcPr>
          <w:p w14:paraId="635B2A46" w14:textId="77777777" w:rsidR="00B50935" w:rsidRPr="009017BC" w:rsidRDefault="00B50935" w:rsidP="00427764">
            <w:pPr>
              <w:rPr>
                <w:noProof/>
                <w:sz w:val="18"/>
              </w:rPr>
            </w:pPr>
            <w:r w:rsidRPr="009017BC">
              <w:rPr>
                <w:sz w:val="18"/>
              </w:rPr>
              <w:t>Compromisos</w:t>
            </w:r>
          </w:p>
        </w:tc>
        <w:tc>
          <w:tcPr>
            <w:tcW w:w="654" w:type="dxa"/>
            <w:gridSpan w:val="2"/>
            <w:vAlign w:val="center"/>
          </w:tcPr>
          <w:p w14:paraId="3B719E11" w14:textId="77777777" w:rsidR="00B50935" w:rsidRPr="009017BC" w:rsidRDefault="00B50935" w:rsidP="00427764">
            <w:pPr>
              <w:jc w:val="center"/>
              <w:rPr>
                <w:noProof/>
                <w:sz w:val="14"/>
              </w:rPr>
            </w:pPr>
            <w:r w:rsidRPr="009017BC">
              <w:rPr>
                <w:sz w:val="14"/>
              </w:rPr>
              <w:t>=1+1a +3a</w:t>
            </w:r>
          </w:p>
        </w:tc>
        <w:tc>
          <w:tcPr>
            <w:tcW w:w="868" w:type="dxa"/>
            <w:vAlign w:val="center"/>
          </w:tcPr>
          <w:p w14:paraId="10C9B577" w14:textId="77777777" w:rsidR="00B50935" w:rsidRPr="009017BC" w:rsidRDefault="00B50935" w:rsidP="00427764">
            <w:pPr>
              <w:spacing w:before="20" w:after="20"/>
              <w:jc w:val="right"/>
              <w:rPr>
                <w:b/>
                <w:noProof/>
                <w:sz w:val="20"/>
              </w:rPr>
            </w:pPr>
            <w:r w:rsidRPr="009017BC">
              <w:rPr>
                <w:b/>
                <w:sz w:val="20"/>
              </w:rPr>
              <w:t xml:space="preserve"> 16,040 </w:t>
            </w:r>
          </w:p>
        </w:tc>
        <w:tc>
          <w:tcPr>
            <w:tcW w:w="868" w:type="dxa"/>
            <w:vAlign w:val="center"/>
          </w:tcPr>
          <w:p w14:paraId="25434E0E" w14:textId="77777777" w:rsidR="00B50935" w:rsidRPr="009017BC" w:rsidRDefault="00B50935" w:rsidP="00427764">
            <w:pPr>
              <w:spacing w:before="20" w:after="20"/>
              <w:jc w:val="right"/>
              <w:rPr>
                <w:b/>
                <w:noProof/>
                <w:sz w:val="20"/>
              </w:rPr>
            </w:pPr>
            <w:r w:rsidRPr="009017BC">
              <w:rPr>
                <w:b/>
                <w:sz w:val="20"/>
              </w:rPr>
              <w:t xml:space="preserve"> 23,350 </w:t>
            </w:r>
          </w:p>
        </w:tc>
        <w:tc>
          <w:tcPr>
            <w:tcW w:w="868" w:type="dxa"/>
            <w:vAlign w:val="center"/>
          </w:tcPr>
          <w:p w14:paraId="22162EED" w14:textId="77777777" w:rsidR="00B50935" w:rsidRPr="009017BC" w:rsidRDefault="00B50935" w:rsidP="00427764">
            <w:pPr>
              <w:spacing w:before="20" w:after="20"/>
              <w:jc w:val="right"/>
              <w:rPr>
                <w:b/>
                <w:noProof/>
                <w:sz w:val="20"/>
              </w:rPr>
            </w:pPr>
            <w:r w:rsidRPr="009017BC">
              <w:rPr>
                <w:b/>
                <w:sz w:val="20"/>
              </w:rPr>
              <w:t xml:space="preserve"> 25,080 </w:t>
            </w:r>
          </w:p>
        </w:tc>
        <w:tc>
          <w:tcPr>
            <w:tcW w:w="868" w:type="dxa"/>
            <w:vAlign w:val="center"/>
          </w:tcPr>
          <w:p w14:paraId="48130AA5" w14:textId="77777777" w:rsidR="00B50935" w:rsidRPr="009017BC" w:rsidRDefault="00B50935" w:rsidP="00427764">
            <w:pPr>
              <w:spacing w:before="20" w:after="20"/>
              <w:jc w:val="right"/>
              <w:rPr>
                <w:b/>
                <w:noProof/>
                <w:sz w:val="20"/>
              </w:rPr>
            </w:pPr>
            <w:r w:rsidRPr="009017BC">
              <w:rPr>
                <w:b/>
                <w:sz w:val="20"/>
              </w:rPr>
              <w:t xml:space="preserve"> 25,990 </w:t>
            </w:r>
          </w:p>
        </w:tc>
        <w:tc>
          <w:tcPr>
            <w:tcW w:w="868" w:type="dxa"/>
            <w:vAlign w:val="center"/>
          </w:tcPr>
          <w:p w14:paraId="1D8C3FE6" w14:textId="77777777" w:rsidR="00B50935" w:rsidRPr="009017BC" w:rsidRDefault="00B50935" w:rsidP="00427764">
            <w:pPr>
              <w:spacing w:before="20" w:after="20"/>
              <w:jc w:val="right"/>
              <w:rPr>
                <w:b/>
                <w:noProof/>
                <w:sz w:val="20"/>
              </w:rPr>
            </w:pPr>
            <w:r w:rsidRPr="009017BC">
              <w:rPr>
                <w:b/>
                <w:sz w:val="20"/>
              </w:rPr>
              <w:t xml:space="preserve"> 22,990 </w:t>
            </w:r>
          </w:p>
        </w:tc>
        <w:tc>
          <w:tcPr>
            <w:tcW w:w="868" w:type="dxa"/>
            <w:vAlign w:val="center"/>
          </w:tcPr>
          <w:p w14:paraId="287C19DF" w14:textId="77777777" w:rsidR="00B50935" w:rsidRPr="009017BC" w:rsidRDefault="00B50935" w:rsidP="00427764">
            <w:pPr>
              <w:spacing w:before="20" w:after="20"/>
              <w:jc w:val="right"/>
              <w:rPr>
                <w:b/>
                <w:noProof/>
                <w:sz w:val="20"/>
              </w:rPr>
            </w:pPr>
            <w:r w:rsidRPr="009017BC">
              <w:rPr>
                <w:b/>
                <w:sz w:val="20"/>
              </w:rPr>
              <w:t xml:space="preserve"> 21,990 </w:t>
            </w:r>
          </w:p>
        </w:tc>
        <w:tc>
          <w:tcPr>
            <w:tcW w:w="868" w:type="dxa"/>
            <w:vAlign w:val="center"/>
          </w:tcPr>
          <w:p w14:paraId="3BF94625" w14:textId="77777777" w:rsidR="00B50935" w:rsidRPr="009017BC" w:rsidRDefault="00B50935" w:rsidP="00427764">
            <w:pPr>
              <w:spacing w:before="20" w:after="20"/>
              <w:jc w:val="right"/>
              <w:rPr>
                <w:b/>
                <w:noProof/>
                <w:sz w:val="20"/>
              </w:rPr>
            </w:pPr>
            <w:r w:rsidRPr="009017BC">
              <w:rPr>
                <w:b/>
                <w:sz w:val="20"/>
              </w:rPr>
              <w:t xml:space="preserve"> 21,990 </w:t>
            </w:r>
          </w:p>
        </w:tc>
        <w:tc>
          <w:tcPr>
            <w:tcW w:w="1777" w:type="dxa"/>
            <w:vAlign w:val="center"/>
          </w:tcPr>
          <w:p w14:paraId="6504D3E1" w14:textId="77777777" w:rsidR="00B50935" w:rsidRPr="009017BC" w:rsidRDefault="00B50935" w:rsidP="00427764">
            <w:pPr>
              <w:spacing w:before="20" w:after="20"/>
              <w:jc w:val="right"/>
              <w:rPr>
                <w:b/>
                <w:noProof/>
                <w:sz w:val="20"/>
              </w:rPr>
            </w:pPr>
            <w:r w:rsidRPr="009017BC">
              <w:rPr>
                <w:b/>
                <w:sz w:val="20"/>
              </w:rPr>
              <w:t>157,430</w:t>
            </w:r>
          </w:p>
        </w:tc>
      </w:tr>
      <w:tr w:rsidR="00B50935" w:rsidRPr="009017BC" w14:paraId="18CA7EB6" w14:textId="77777777" w:rsidTr="00427764">
        <w:tc>
          <w:tcPr>
            <w:tcW w:w="3960" w:type="dxa"/>
            <w:vMerge/>
            <w:vAlign w:val="center"/>
          </w:tcPr>
          <w:p w14:paraId="3385E788" w14:textId="77777777" w:rsidR="00B50935" w:rsidRPr="009017BC" w:rsidRDefault="00B50935" w:rsidP="00427764">
            <w:pPr>
              <w:rPr>
                <w:b/>
                <w:noProof/>
              </w:rPr>
            </w:pPr>
          </w:p>
        </w:tc>
        <w:tc>
          <w:tcPr>
            <w:tcW w:w="1440" w:type="dxa"/>
            <w:vAlign w:val="center"/>
          </w:tcPr>
          <w:p w14:paraId="33101DA1" w14:textId="77777777" w:rsidR="00B50935" w:rsidRPr="009017BC" w:rsidRDefault="00B50935" w:rsidP="00427764">
            <w:pPr>
              <w:rPr>
                <w:noProof/>
                <w:sz w:val="18"/>
              </w:rPr>
            </w:pPr>
            <w:r w:rsidRPr="009017BC">
              <w:rPr>
                <w:sz w:val="18"/>
              </w:rPr>
              <w:t>Pagos</w:t>
            </w:r>
          </w:p>
        </w:tc>
        <w:tc>
          <w:tcPr>
            <w:tcW w:w="654" w:type="dxa"/>
            <w:gridSpan w:val="2"/>
            <w:vAlign w:val="center"/>
          </w:tcPr>
          <w:p w14:paraId="0C4D7F6F" w14:textId="77777777" w:rsidR="00B50935" w:rsidRPr="009017BC" w:rsidRDefault="00B50935" w:rsidP="00427764">
            <w:pPr>
              <w:jc w:val="center"/>
              <w:rPr>
                <w:noProof/>
                <w:sz w:val="14"/>
              </w:rPr>
            </w:pPr>
            <w:r w:rsidRPr="009017BC">
              <w:rPr>
                <w:sz w:val="14"/>
              </w:rPr>
              <w:t>=2+2a</w:t>
            </w:r>
          </w:p>
          <w:p w14:paraId="141E85EA" w14:textId="77777777" w:rsidR="00B50935" w:rsidRPr="009017BC" w:rsidRDefault="00B50935" w:rsidP="00427764">
            <w:pPr>
              <w:jc w:val="center"/>
              <w:rPr>
                <w:noProof/>
                <w:sz w:val="14"/>
              </w:rPr>
            </w:pPr>
            <w:r w:rsidRPr="009017BC">
              <w:rPr>
                <w:sz w:val="14"/>
              </w:rPr>
              <w:t>+3b</w:t>
            </w:r>
          </w:p>
        </w:tc>
        <w:tc>
          <w:tcPr>
            <w:tcW w:w="868" w:type="dxa"/>
            <w:vAlign w:val="center"/>
          </w:tcPr>
          <w:p w14:paraId="72042B82" w14:textId="77777777" w:rsidR="00B50935" w:rsidRPr="009017BC" w:rsidRDefault="00B50935" w:rsidP="00427764">
            <w:pPr>
              <w:spacing w:before="20" w:after="20"/>
              <w:jc w:val="right"/>
              <w:rPr>
                <w:b/>
                <w:noProof/>
                <w:sz w:val="20"/>
              </w:rPr>
            </w:pPr>
            <w:r w:rsidRPr="009017BC">
              <w:rPr>
                <w:b/>
                <w:sz w:val="20"/>
              </w:rPr>
              <w:t xml:space="preserve"> 16,040 </w:t>
            </w:r>
          </w:p>
        </w:tc>
        <w:tc>
          <w:tcPr>
            <w:tcW w:w="868" w:type="dxa"/>
            <w:vAlign w:val="center"/>
          </w:tcPr>
          <w:p w14:paraId="250621B3" w14:textId="77777777" w:rsidR="00B50935" w:rsidRPr="009017BC" w:rsidRDefault="00B50935" w:rsidP="00427764">
            <w:pPr>
              <w:spacing w:before="20" w:after="20"/>
              <w:jc w:val="right"/>
              <w:rPr>
                <w:b/>
                <w:noProof/>
                <w:sz w:val="20"/>
              </w:rPr>
            </w:pPr>
            <w:r w:rsidRPr="009017BC">
              <w:rPr>
                <w:b/>
                <w:sz w:val="20"/>
              </w:rPr>
              <w:t xml:space="preserve"> 23,350 </w:t>
            </w:r>
          </w:p>
        </w:tc>
        <w:tc>
          <w:tcPr>
            <w:tcW w:w="868" w:type="dxa"/>
            <w:vAlign w:val="center"/>
          </w:tcPr>
          <w:p w14:paraId="77479316" w14:textId="77777777" w:rsidR="00B50935" w:rsidRPr="009017BC" w:rsidRDefault="00B50935" w:rsidP="00427764">
            <w:pPr>
              <w:spacing w:before="20" w:after="20"/>
              <w:jc w:val="right"/>
              <w:rPr>
                <w:b/>
                <w:noProof/>
                <w:sz w:val="20"/>
              </w:rPr>
            </w:pPr>
            <w:r w:rsidRPr="009017BC">
              <w:rPr>
                <w:b/>
                <w:sz w:val="20"/>
              </w:rPr>
              <w:t xml:space="preserve"> 25,080 </w:t>
            </w:r>
          </w:p>
        </w:tc>
        <w:tc>
          <w:tcPr>
            <w:tcW w:w="868" w:type="dxa"/>
            <w:vAlign w:val="center"/>
          </w:tcPr>
          <w:p w14:paraId="0FE2A2A3" w14:textId="77777777" w:rsidR="00B50935" w:rsidRPr="009017BC" w:rsidRDefault="00B50935" w:rsidP="00427764">
            <w:pPr>
              <w:spacing w:before="20" w:after="20"/>
              <w:jc w:val="right"/>
              <w:rPr>
                <w:b/>
                <w:noProof/>
                <w:sz w:val="20"/>
              </w:rPr>
            </w:pPr>
            <w:r w:rsidRPr="009017BC">
              <w:rPr>
                <w:b/>
                <w:sz w:val="20"/>
              </w:rPr>
              <w:t xml:space="preserve"> 25,990 </w:t>
            </w:r>
          </w:p>
        </w:tc>
        <w:tc>
          <w:tcPr>
            <w:tcW w:w="868" w:type="dxa"/>
            <w:vAlign w:val="center"/>
          </w:tcPr>
          <w:p w14:paraId="04861392" w14:textId="77777777" w:rsidR="00B50935" w:rsidRPr="009017BC" w:rsidRDefault="00B50935" w:rsidP="00427764">
            <w:pPr>
              <w:spacing w:before="20" w:after="20"/>
              <w:jc w:val="right"/>
              <w:rPr>
                <w:b/>
                <w:noProof/>
                <w:sz w:val="20"/>
              </w:rPr>
            </w:pPr>
            <w:r w:rsidRPr="009017BC">
              <w:rPr>
                <w:b/>
                <w:sz w:val="20"/>
              </w:rPr>
              <w:t xml:space="preserve"> 22,990 </w:t>
            </w:r>
          </w:p>
        </w:tc>
        <w:tc>
          <w:tcPr>
            <w:tcW w:w="868" w:type="dxa"/>
            <w:vAlign w:val="center"/>
          </w:tcPr>
          <w:p w14:paraId="26A97F0A" w14:textId="77777777" w:rsidR="00B50935" w:rsidRPr="009017BC" w:rsidRDefault="00B50935" w:rsidP="00427764">
            <w:pPr>
              <w:spacing w:before="20" w:after="20"/>
              <w:jc w:val="right"/>
              <w:rPr>
                <w:b/>
                <w:noProof/>
                <w:sz w:val="20"/>
              </w:rPr>
            </w:pPr>
            <w:r w:rsidRPr="009017BC">
              <w:rPr>
                <w:b/>
                <w:sz w:val="20"/>
              </w:rPr>
              <w:t xml:space="preserve"> 21,990 </w:t>
            </w:r>
          </w:p>
        </w:tc>
        <w:tc>
          <w:tcPr>
            <w:tcW w:w="868" w:type="dxa"/>
            <w:vAlign w:val="center"/>
          </w:tcPr>
          <w:p w14:paraId="4F7B628C" w14:textId="77777777" w:rsidR="00B50935" w:rsidRPr="009017BC" w:rsidRDefault="00B50935" w:rsidP="00427764">
            <w:pPr>
              <w:spacing w:before="20" w:after="20"/>
              <w:jc w:val="right"/>
              <w:rPr>
                <w:b/>
                <w:noProof/>
                <w:sz w:val="20"/>
              </w:rPr>
            </w:pPr>
            <w:r w:rsidRPr="009017BC">
              <w:rPr>
                <w:b/>
                <w:sz w:val="20"/>
              </w:rPr>
              <w:t xml:space="preserve"> 21,990 </w:t>
            </w:r>
          </w:p>
        </w:tc>
        <w:tc>
          <w:tcPr>
            <w:tcW w:w="1777" w:type="dxa"/>
            <w:vAlign w:val="center"/>
          </w:tcPr>
          <w:p w14:paraId="4B806C60" w14:textId="77777777" w:rsidR="00B50935" w:rsidRPr="009017BC" w:rsidRDefault="00B50935" w:rsidP="00427764">
            <w:pPr>
              <w:spacing w:before="20" w:after="20"/>
              <w:jc w:val="right"/>
              <w:rPr>
                <w:b/>
                <w:noProof/>
                <w:sz w:val="20"/>
              </w:rPr>
            </w:pPr>
            <w:r w:rsidRPr="009017BC">
              <w:rPr>
                <w:b/>
                <w:sz w:val="20"/>
              </w:rPr>
              <w:t>157,430</w:t>
            </w:r>
          </w:p>
        </w:tc>
      </w:tr>
    </w:tbl>
    <w:p w14:paraId="2B6BCBCF" w14:textId="77777777" w:rsidR="00B50935" w:rsidRPr="009017BC" w:rsidRDefault="00B50935" w:rsidP="00B50935">
      <w:pPr>
        <w:rPr>
          <w:noProof/>
        </w:rPr>
      </w:pPr>
      <w:r w:rsidRPr="009017BC">
        <w:t xml:space="preserve"> </w:t>
      </w:r>
      <w:r w:rsidRPr="009017BC">
        <w:br/>
        <w:t xml:space="preserve"> </w:t>
      </w:r>
      <w:r w:rsidRPr="009017BC">
        <w:br/>
      </w:r>
    </w:p>
    <w:p w14:paraId="617686CF" w14:textId="77777777" w:rsidR="00B50935" w:rsidRPr="009017BC" w:rsidRDefault="00B50935" w:rsidP="00B50935">
      <w:pPr>
        <w:rPr>
          <w:noProof/>
        </w:rPr>
      </w:pPr>
      <w:r w:rsidRPr="009017BC">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9017BC" w14:paraId="1B3C8E7A" w14:textId="77777777" w:rsidTr="00427764">
        <w:trPr>
          <w:jc w:val="center"/>
        </w:trPr>
        <w:tc>
          <w:tcPr>
            <w:tcW w:w="4744" w:type="dxa"/>
            <w:shd w:val="thinDiagStripe" w:color="C0C0C0" w:fill="auto"/>
            <w:vAlign w:val="center"/>
          </w:tcPr>
          <w:p w14:paraId="1B1E9F66" w14:textId="77777777" w:rsidR="00B50935" w:rsidRPr="009017BC" w:rsidRDefault="00B50935" w:rsidP="00427764">
            <w:pPr>
              <w:spacing w:before="60" w:after="60"/>
              <w:jc w:val="center"/>
              <w:rPr>
                <w:b/>
                <w:noProof/>
              </w:rPr>
            </w:pPr>
            <w:r w:rsidRPr="009017BC">
              <w:br w:type="page"/>
            </w:r>
            <w:r w:rsidRPr="009017BC">
              <w:rPr>
                <w:b/>
                <w:sz w:val="22"/>
              </w:rPr>
              <w:t xml:space="preserve">Rúbrica del marco financiero plurianual </w:t>
            </w:r>
          </w:p>
        </w:tc>
        <w:tc>
          <w:tcPr>
            <w:tcW w:w="1080" w:type="dxa"/>
            <w:shd w:val="thinDiagStripe" w:color="C0C0C0" w:fill="auto"/>
            <w:vAlign w:val="center"/>
          </w:tcPr>
          <w:p w14:paraId="00D5CAA0" w14:textId="77777777" w:rsidR="00B50935" w:rsidRPr="009017BC" w:rsidRDefault="00B50935" w:rsidP="00427764">
            <w:pPr>
              <w:spacing w:before="60" w:after="60"/>
              <w:jc w:val="center"/>
            </w:pPr>
            <w:r w:rsidRPr="009017BC">
              <w:rPr>
                <w:b/>
                <w:sz w:val="22"/>
              </w:rPr>
              <w:t>7</w:t>
            </w:r>
          </w:p>
        </w:tc>
        <w:tc>
          <w:tcPr>
            <w:tcW w:w="7817" w:type="dxa"/>
            <w:vAlign w:val="center"/>
          </w:tcPr>
          <w:p w14:paraId="24CB02F1" w14:textId="77777777" w:rsidR="00B50935" w:rsidRPr="009017BC" w:rsidRDefault="00B50935" w:rsidP="00427764">
            <w:pPr>
              <w:spacing w:before="60" w:after="60"/>
              <w:rPr>
                <w:noProof/>
              </w:rPr>
            </w:pPr>
            <w:r w:rsidRPr="009017BC">
              <w:rPr>
                <w:sz w:val="22"/>
              </w:rPr>
              <w:t>«Gastos administrativos»</w:t>
            </w:r>
          </w:p>
        </w:tc>
      </w:tr>
    </w:tbl>
    <w:p w14:paraId="7D32A2C4" w14:textId="77777777" w:rsidR="00B50935" w:rsidRPr="009017BC" w:rsidRDefault="00B50935" w:rsidP="00B50935">
      <w:pPr>
        <w:jc w:val="right"/>
        <w:rPr>
          <w:noProof/>
          <w:sz w:val="20"/>
        </w:rPr>
      </w:pPr>
      <w:r w:rsidRPr="009017BC">
        <w:rPr>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rsidR="00B50935" w:rsidRPr="009017BC" w14:paraId="59B4540C" w14:textId="77777777" w:rsidTr="00427764">
        <w:tc>
          <w:tcPr>
            <w:tcW w:w="3960" w:type="dxa"/>
            <w:tcBorders>
              <w:top w:val="nil"/>
              <w:left w:val="nil"/>
              <w:right w:val="nil"/>
            </w:tcBorders>
            <w:vAlign w:val="center"/>
          </w:tcPr>
          <w:p w14:paraId="1A9B237E" w14:textId="77777777" w:rsidR="00B50935" w:rsidRPr="009017BC" w:rsidRDefault="00B50935" w:rsidP="00427764">
            <w:pPr>
              <w:jc w:val="center"/>
              <w:rPr>
                <w:noProof/>
              </w:rPr>
            </w:pPr>
          </w:p>
        </w:tc>
        <w:tc>
          <w:tcPr>
            <w:tcW w:w="1560" w:type="dxa"/>
            <w:tcBorders>
              <w:top w:val="nil"/>
              <w:left w:val="nil"/>
              <w:right w:val="nil"/>
            </w:tcBorders>
          </w:tcPr>
          <w:p w14:paraId="4CAD5265" w14:textId="77777777" w:rsidR="00B50935" w:rsidRPr="009017BC" w:rsidRDefault="00B50935" w:rsidP="00427764">
            <w:pPr>
              <w:rPr>
                <w:noProof/>
                <w:sz w:val="20"/>
              </w:rPr>
            </w:pPr>
          </w:p>
        </w:tc>
        <w:tc>
          <w:tcPr>
            <w:tcW w:w="534" w:type="dxa"/>
            <w:tcBorders>
              <w:top w:val="nil"/>
              <w:left w:val="nil"/>
            </w:tcBorders>
          </w:tcPr>
          <w:p w14:paraId="303EBA52" w14:textId="77777777" w:rsidR="00B50935" w:rsidRPr="009017BC" w:rsidRDefault="00B50935" w:rsidP="00427764">
            <w:pPr>
              <w:jc w:val="center"/>
              <w:rPr>
                <w:noProof/>
                <w:sz w:val="20"/>
              </w:rPr>
            </w:pPr>
          </w:p>
        </w:tc>
        <w:tc>
          <w:tcPr>
            <w:tcW w:w="868" w:type="dxa"/>
            <w:vAlign w:val="center"/>
          </w:tcPr>
          <w:p w14:paraId="717E9628"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2021</w:t>
            </w:r>
          </w:p>
        </w:tc>
        <w:tc>
          <w:tcPr>
            <w:tcW w:w="868" w:type="dxa"/>
            <w:vAlign w:val="center"/>
          </w:tcPr>
          <w:p w14:paraId="2053697B"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2022</w:t>
            </w:r>
          </w:p>
        </w:tc>
        <w:tc>
          <w:tcPr>
            <w:tcW w:w="868" w:type="dxa"/>
            <w:vAlign w:val="center"/>
          </w:tcPr>
          <w:p w14:paraId="3B024B5B"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2023</w:t>
            </w:r>
          </w:p>
        </w:tc>
        <w:tc>
          <w:tcPr>
            <w:tcW w:w="868" w:type="dxa"/>
            <w:vAlign w:val="center"/>
          </w:tcPr>
          <w:p w14:paraId="6211BA53"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2024</w:t>
            </w:r>
          </w:p>
        </w:tc>
        <w:tc>
          <w:tcPr>
            <w:tcW w:w="1040" w:type="dxa"/>
            <w:vAlign w:val="center"/>
          </w:tcPr>
          <w:p w14:paraId="5D25DAF1"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2025</w:t>
            </w:r>
          </w:p>
        </w:tc>
        <w:tc>
          <w:tcPr>
            <w:tcW w:w="696" w:type="dxa"/>
            <w:vAlign w:val="center"/>
          </w:tcPr>
          <w:p w14:paraId="104D32C2"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2026</w:t>
            </w:r>
          </w:p>
        </w:tc>
        <w:tc>
          <w:tcPr>
            <w:tcW w:w="868" w:type="dxa"/>
            <w:vAlign w:val="center"/>
          </w:tcPr>
          <w:p w14:paraId="7CA102D5"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777" w:type="dxa"/>
            <w:vAlign w:val="center"/>
          </w:tcPr>
          <w:p w14:paraId="47F694B9" w14:textId="77777777" w:rsidR="00B50935" w:rsidRPr="009017BC" w:rsidRDefault="00B50935" w:rsidP="00427764">
            <w:pPr>
              <w:jc w:val="center"/>
              <w:rPr>
                <w:b/>
                <w:noProof/>
                <w:sz w:val="20"/>
              </w:rPr>
            </w:pPr>
            <w:r w:rsidRPr="009017BC">
              <w:rPr>
                <w:b/>
                <w:sz w:val="20"/>
              </w:rPr>
              <w:t>TOTAL</w:t>
            </w:r>
          </w:p>
        </w:tc>
      </w:tr>
      <w:tr w:rsidR="00B50935" w:rsidRPr="009017BC" w14:paraId="5BA435AB" w14:textId="77777777" w:rsidTr="00427764">
        <w:trPr>
          <w:gridAfter w:val="10"/>
          <w:wAfter w:w="9947" w:type="dxa"/>
        </w:trPr>
        <w:tc>
          <w:tcPr>
            <w:tcW w:w="3960" w:type="dxa"/>
            <w:vAlign w:val="center"/>
          </w:tcPr>
          <w:p w14:paraId="76093E34" w14:textId="77777777" w:rsidR="00B50935" w:rsidRPr="009017BC" w:rsidRDefault="00B50935" w:rsidP="00427764">
            <w:pPr>
              <w:spacing w:before="60" w:after="60"/>
              <w:jc w:val="center"/>
              <w:rPr>
                <w:noProof/>
              </w:rPr>
            </w:pPr>
            <w:r w:rsidRPr="009017BC">
              <w:rPr>
                <w:sz w:val="22"/>
              </w:rPr>
              <w:t xml:space="preserve">DG: </w:t>
            </w:r>
            <w:r w:rsidRPr="009017BC">
              <w:t>&lt;…….&gt;</w:t>
            </w:r>
          </w:p>
        </w:tc>
      </w:tr>
      <w:tr w:rsidR="00B50935" w:rsidRPr="009017BC" w14:paraId="52B4E1E8" w14:textId="77777777" w:rsidTr="00427764">
        <w:trPr>
          <w:trHeight w:val="313"/>
        </w:trPr>
        <w:tc>
          <w:tcPr>
            <w:tcW w:w="6054" w:type="dxa"/>
            <w:gridSpan w:val="3"/>
            <w:vAlign w:val="center"/>
          </w:tcPr>
          <w:p w14:paraId="45ABC6CC" w14:textId="77777777" w:rsidR="00B50935" w:rsidRPr="009017BC" w:rsidRDefault="00B50935" w:rsidP="00427764">
            <w:pPr>
              <w:spacing w:before="20" w:after="20"/>
              <w:rPr>
                <w:noProof/>
              </w:rPr>
            </w:pPr>
            <w:r w:rsidRPr="009017BC">
              <w:rPr>
                <w:sz w:val="22"/>
              </w:rPr>
              <w:sym w:font="Wingdings" w:char="F09F"/>
            </w:r>
            <w:r w:rsidRPr="009017BC">
              <w:rPr>
                <w:sz w:val="22"/>
              </w:rPr>
              <w:t xml:space="preserve"> Recursos humanos </w:t>
            </w:r>
          </w:p>
        </w:tc>
        <w:tc>
          <w:tcPr>
            <w:tcW w:w="868" w:type="dxa"/>
            <w:vAlign w:val="center"/>
          </w:tcPr>
          <w:p w14:paraId="69F66C9A" w14:textId="77777777" w:rsidR="00B50935" w:rsidRPr="009017BC" w:rsidRDefault="00B50935" w:rsidP="00427764">
            <w:pPr>
              <w:spacing w:before="20" w:after="20"/>
              <w:jc w:val="right"/>
              <w:rPr>
                <w:noProof/>
                <w:sz w:val="20"/>
              </w:rPr>
            </w:pPr>
          </w:p>
        </w:tc>
        <w:tc>
          <w:tcPr>
            <w:tcW w:w="868" w:type="dxa"/>
            <w:vAlign w:val="center"/>
          </w:tcPr>
          <w:p w14:paraId="2DB150C0" w14:textId="77777777" w:rsidR="00B50935" w:rsidRPr="009017BC" w:rsidRDefault="00B50935" w:rsidP="00427764">
            <w:pPr>
              <w:spacing w:before="20" w:after="20"/>
              <w:jc w:val="right"/>
              <w:rPr>
                <w:noProof/>
                <w:sz w:val="20"/>
              </w:rPr>
            </w:pPr>
          </w:p>
        </w:tc>
        <w:tc>
          <w:tcPr>
            <w:tcW w:w="868" w:type="dxa"/>
            <w:vAlign w:val="center"/>
          </w:tcPr>
          <w:p w14:paraId="06739272" w14:textId="77777777" w:rsidR="00B50935" w:rsidRPr="009017BC" w:rsidRDefault="00B50935" w:rsidP="00427764">
            <w:pPr>
              <w:spacing w:before="20" w:after="20"/>
              <w:jc w:val="right"/>
              <w:rPr>
                <w:noProof/>
                <w:sz w:val="20"/>
              </w:rPr>
            </w:pPr>
          </w:p>
        </w:tc>
        <w:tc>
          <w:tcPr>
            <w:tcW w:w="868" w:type="dxa"/>
            <w:vAlign w:val="center"/>
          </w:tcPr>
          <w:p w14:paraId="1AC5D7D6" w14:textId="77777777" w:rsidR="00B50935" w:rsidRPr="009017BC" w:rsidRDefault="00B50935" w:rsidP="00427764">
            <w:pPr>
              <w:spacing w:before="20" w:after="20"/>
              <w:jc w:val="right"/>
              <w:rPr>
                <w:noProof/>
                <w:sz w:val="20"/>
              </w:rPr>
            </w:pPr>
          </w:p>
        </w:tc>
        <w:tc>
          <w:tcPr>
            <w:tcW w:w="1040" w:type="dxa"/>
            <w:vAlign w:val="center"/>
          </w:tcPr>
          <w:p w14:paraId="32F5FDF7" w14:textId="77777777" w:rsidR="00B50935" w:rsidRPr="009017BC" w:rsidRDefault="00B50935" w:rsidP="00427764">
            <w:pPr>
              <w:spacing w:before="20" w:after="20"/>
              <w:jc w:val="right"/>
              <w:rPr>
                <w:noProof/>
                <w:sz w:val="20"/>
              </w:rPr>
            </w:pPr>
          </w:p>
        </w:tc>
        <w:tc>
          <w:tcPr>
            <w:tcW w:w="696" w:type="dxa"/>
            <w:vAlign w:val="center"/>
          </w:tcPr>
          <w:p w14:paraId="221CC2AD" w14:textId="77777777" w:rsidR="00B50935" w:rsidRPr="009017BC" w:rsidRDefault="00B50935" w:rsidP="00427764">
            <w:pPr>
              <w:spacing w:before="20" w:after="20"/>
              <w:jc w:val="right"/>
              <w:rPr>
                <w:noProof/>
                <w:sz w:val="20"/>
              </w:rPr>
            </w:pPr>
          </w:p>
        </w:tc>
        <w:tc>
          <w:tcPr>
            <w:tcW w:w="868" w:type="dxa"/>
            <w:vAlign w:val="center"/>
          </w:tcPr>
          <w:p w14:paraId="44652770" w14:textId="77777777" w:rsidR="00B50935" w:rsidRPr="009017BC" w:rsidRDefault="00B50935" w:rsidP="00427764">
            <w:pPr>
              <w:spacing w:before="20" w:after="20"/>
              <w:jc w:val="right"/>
              <w:rPr>
                <w:b/>
                <w:noProof/>
                <w:sz w:val="20"/>
              </w:rPr>
            </w:pPr>
          </w:p>
        </w:tc>
        <w:tc>
          <w:tcPr>
            <w:tcW w:w="1777" w:type="dxa"/>
            <w:vAlign w:val="center"/>
          </w:tcPr>
          <w:p w14:paraId="77A6BD30" w14:textId="77777777" w:rsidR="00B50935" w:rsidRPr="009017BC" w:rsidRDefault="00B50935" w:rsidP="00427764">
            <w:pPr>
              <w:spacing w:before="20" w:after="20"/>
              <w:jc w:val="right"/>
              <w:rPr>
                <w:b/>
                <w:noProof/>
                <w:sz w:val="20"/>
              </w:rPr>
            </w:pPr>
          </w:p>
        </w:tc>
      </w:tr>
      <w:tr w:rsidR="00B50935" w:rsidRPr="009017BC" w14:paraId="35B262AB" w14:textId="77777777" w:rsidTr="00427764">
        <w:trPr>
          <w:trHeight w:val="351"/>
        </w:trPr>
        <w:tc>
          <w:tcPr>
            <w:tcW w:w="6054" w:type="dxa"/>
            <w:gridSpan w:val="3"/>
            <w:vAlign w:val="center"/>
          </w:tcPr>
          <w:p w14:paraId="004B6AB6" w14:textId="77777777" w:rsidR="00B50935" w:rsidRPr="009017BC" w:rsidRDefault="00B50935" w:rsidP="00427764">
            <w:pPr>
              <w:spacing w:before="20" w:after="20"/>
              <w:rPr>
                <w:noProof/>
              </w:rPr>
            </w:pPr>
            <w:r w:rsidRPr="009017BC">
              <w:rPr>
                <w:sz w:val="22"/>
              </w:rPr>
              <w:sym w:font="Wingdings" w:char="F09F"/>
            </w:r>
            <w:r w:rsidRPr="009017BC">
              <w:rPr>
                <w:sz w:val="22"/>
              </w:rPr>
              <w:t xml:space="preserve"> Otros gastos administrativos </w:t>
            </w:r>
          </w:p>
        </w:tc>
        <w:tc>
          <w:tcPr>
            <w:tcW w:w="868" w:type="dxa"/>
            <w:vAlign w:val="center"/>
          </w:tcPr>
          <w:p w14:paraId="68496B08" w14:textId="77777777" w:rsidR="00B50935" w:rsidRPr="009017BC" w:rsidRDefault="00B50935" w:rsidP="00427764">
            <w:pPr>
              <w:spacing w:before="20" w:after="20"/>
              <w:jc w:val="right"/>
              <w:rPr>
                <w:b/>
                <w:noProof/>
                <w:sz w:val="20"/>
              </w:rPr>
            </w:pPr>
          </w:p>
        </w:tc>
        <w:tc>
          <w:tcPr>
            <w:tcW w:w="868" w:type="dxa"/>
            <w:vAlign w:val="center"/>
          </w:tcPr>
          <w:p w14:paraId="639C0479" w14:textId="77777777" w:rsidR="00B50935" w:rsidRPr="009017BC" w:rsidRDefault="00B50935" w:rsidP="00427764">
            <w:pPr>
              <w:spacing w:before="20" w:after="20"/>
              <w:jc w:val="right"/>
              <w:rPr>
                <w:b/>
                <w:noProof/>
                <w:sz w:val="20"/>
              </w:rPr>
            </w:pPr>
          </w:p>
        </w:tc>
        <w:tc>
          <w:tcPr>
            <w:tcW w:w="868" w:type="dxa"/>
            <w:vAlign w:val="center"/>
          </w:tcPr>
          <w:p w14:paraId="736473C4" w14:textId="77777777" w:rsidR="00B50935" w:rsidRPr="009017BC" w:rsidRDefault="00B50935" w:rsidP="00427764">
            <w:pPr>
              <w:spacing w:before="20" w:after="20"/>
              <w:jc w:val="right"/>
              <w:rPr>
                <w:b/>
                <w:noProof/>
                <w:sz w:val="20"/>
              </w:rPr>
            </w:pPr>
          </w:p>
        </w:tc>
        <w:tc>
          <w:tcPr>
            <w:tcW w:w="868" w:type="dxa"/>
            <w:vAlign w:val="center"/>
          </w:tcPr>
          <w:p w14:paraId="6FBA0FED" w14:textId="77777777" w:rsidR="00B50935" w:rsidRPr="009017BC" w:rsidRDefault="00B50935" w:rsidP="00427764">
            <w:pPr>
              <w:spacing w:before="20" w:after="20"/>
              <w:jc w:val="right"/>
              <w:rPr>
                <w:b/>
                <w:noProof/>
                <w:sz w:val="20"/>
              </w:rPr>
            </w:pPr>
          </w:p>
        </w:tc>
        <w:tc>
          <w:tcPr>
            <w:tcW w:w="1040" w:type="dxa"/>
            <w:vAlign w:val="center"/>
          </w:tcPr>
          <w:p w14:paraId="5001DC53" w14:textId="77777777" w:rsidR="00B50935" w:rsidRPr="009017BC" w:rsidRDefault="00B50935" w:rsidP="00427764">
            <w:pPr>
              <w:spacing w:before="20" w:after="20"/>
              <w:jc w:val="right"/>
              <w:rPr>
                <w:b/>
                <w:noProof/>
                <w:sz w:val="20"/>
              </w:rPr>
            </w:pPr>
          </w:p>
        </w:tc>
        <w:tc>
          <w:tcPr>
            <w:tcW w:w="696" w:type="dxa"/>
            <w:vAlign w:val="center"/>
          </w:tcPr>
          <w:p w14:paraId="726E4546" w14:textId="77777777" w:rsidR="00B50935" w:rsidRPr="009017BC" w:rsidRDefault="00B50935" w:rsidP="00427764">
            <w:pPr>
              <w:spacing w:before="20" w:after="20"/>
              <w:jc w:val="right"/>
              <w:rPr>
                <w:b/>
                <w:noProof/>
                <w:sz w:val="20"/>
              </w:rPr>
            </w:pPr>
          </w:p>
        </w:tc>
        <w:tc>
          <w:tcPr>
            <w:tcW w:w="868" w:type="dxa"/>
            <w:vAlign w:val="center"/>
          </w:tcPr>
          <w:p w14:paraId="0B648891" w14:textId="77777777" w:rsidR="00B50935" w:rsidRPr="009017BC" w:rsidRDefault="00B50935" w:rsidP="00427764">
            <w:pPr>
              <w:spacing w:before="20" w:after="20"/>
              <w:jc w:val="right"/>
              <w:rPr>
                <w:b/>
                <w:noProof/>
                <w:sz w:val="20"/>
              </w:rPr>
            </w:pPr>
          </w:p>
        </w:tc>
        <w:tc>
          <w:tcPr>
            <w:tcW w:w="1777" w:type="dxa"/>
            <w:vAlign w:val="center"/>
          </w:tcPr>
          <w:p w14:paraId="2AD7D926" w14:textId="77777777" w:rsidR="00B50935" w:rsidRPr="009017BC" w:rsidRDefault="00B50935" w:rsidP="00427764">
            <w:pPr>
              <w:spacing w:before="20" w:after="20"/>
              <w:jc w:val="right"/>
              <w:rPr>
                <w:b/>
                <w:noProof/>
                <w:sz w:val="20"/>
              </w:rPr>
            </w:pPr>
          </w:p>
        </w:tc>
      </w:tr>
      <w:tr w:rsidR="00B50935" w:rsidRPr="009017BC" w14:paraId="0BA68E14" w14:textId="77777777" w:rsidTr="00427764">
        <w:tc>
          <w:tcPr>
            <w:tcW w:w="3960" w:type="dxa"/>
            <w:vAlign w:val="center"/>
          </w:tcPr>
          <w:p w14:paraId="17800820" w14:textId="77777777" w:rsidR="00B50935" w:rsidRPr="009017BC" w:rsidRDefault="00B50935" w:rsidP="00427764">
            <w:pPr>
              <w:jc w:val="center"/>
              <w:rPr>
                <w:b/>
                <w:noProof/>
              </w:rPr>
            </w:pPr>
            <w:r w:rsidRPr="009017BC">
              <w:rPr>
                <w:b/>
                <w:sz w:val="22"/>
              </w:rPr>
              <w:t xml:space="preserve">TOTAL para la DG </w:t>
            </w:r>
            <w:r w:rsidRPr="009017BC">
              <w:t>&lt;….&gt;</w:t>
            </w:r>
          </w:p>
        </w:tc>
        <w:tc>
          <w:tcPr>
            <w:tcW w:w="2094" w:type="dxa"/>
            <w:gridSpan w:val="2"/>
            <w:vAlign w:val="center"/>
          </w:tcPr>
          <w:p w14:paraId="25C46A79" w14:textId="77777777" w:rsidR="00B50935" w:rsidRPr="009017BC" w:rsidRDefault="00B50935" w:rsidP="00427764">
            <w:pPr>
              <w:rPr>
                <w:noProof/>
                <w:sz w:val="14"/>
              </w:rPr>
            </w:pPr>
            <w:r w:rsidRPr="009017BC">
              <w:rPr>
                <w:sz w:val="18"/>
              </w:rPr>
              <w:t xml:space="preserve">Créditos </w:t>
            </w:r>
          </w:p>
        </w:tc>
        <w:tc>
          <w:tcPr>
            <w:tcW w:w="868" w:type="dxa"/>
            <w:vAlign w:val="center"/>
          </w:tcPr>
          <w:p w14:paraId="7B357C4B" w14:textId="77777777" w:rsidR="00B50935" w:rsidRPr="009017BC" w:rsidRDefault="00B50935" w:rsidP="00427764">
            <w:pPr>
              <w:spacing w:before="60" w:after="60"/>
              <w:jc w:val="right"/>
              <w:rPr>
                <w:noProof/>
                <w:sz w:val="20"/>
              </w:rPr>
            </w:pPr>
          </w:p>
        </w:tc>
        <w:tc>
          <w:tcPr>
            <w:tcW w:w="868" w:type="dxa"/>
            <w:vAlign w:val="center"/>
          </w:tcPr>
          <w:p w14:paraId="4DEE4F5E" w14:textId="77777777" w:rsidR="00B50935" w:rsidRPr="009017BC" w:rsidRDefault="00B50935" w:rsidP="00427764">
            <w:pPr>
              <w:spacing w:before="20" w:after="20"/>
              <w:jc w:val="right"/>
              <w:rPr>
                <w:noProof/>
                <w:sz w:val="20"/>
              </w:rPr>
            </w:pPr>
          </w:p>
        </w:tc>
        <w:tc>
          <w:tcPr>
            <w:tcW w:w="868" w:type="dxa"/>
            <w:vAlign w:val="center"/>
          </w:tcPr>
          <w:p w14:paraId="4A67A862" w14:textId="77777777" w:rsidR="00B50935" w:rsidRPr="009017BC" w:rsidRDefault="00B50935" w:rsidP="00427764">
            <w:pPr>
              <w:spacing w:before="20" w:after="20"/>
              <w:jc w:val="right"/>
              <w:rPr>
                <w:noProof/>
                <w:sz w:val="20"/>
              </w:rPr>
            </w:pPr>
          </w:p>
        </w:tc>
        <w:tc>
          <w:tcPr>
            <w:tcW w:w="868" w:type="dxa"/>
            <w:vAlign w:val="center"/>
          </w:tcPr>
          <w:p w14:paraId="05B38C46" w14:textId="77777777" w:rsidR="00B50935" w:rsidRPr="009017BC" w:rsidRDefault="00B50935" w:rsidP="00427764">
            <w:pPr>
              <w:spacing w:before="20" w:after="20"/>
              <w:jc w:val="right"/>
              <w:rPr>
                <w:noProof/>
                <w:sz w:val="20"/>
              </w:rPr>
            </w:pPr>
          </w:p>
        </w:tc>
        <w:tc>
          <w:tcPr>
            <w:tcW w:w="1040" w:type="dxa"/>
            <w:vAlign w:val="center"/>
          </w:tcPr>
          <w:p w14:paraId="541916A5" w14:textId="77777777" w:rsidR="00B50935" w:rsidRPr="009017BC" w:rsidRDefault="00B50935" w:rsidP="00427764">
            <w:pPr>
              <w:spacing w:before="20" w:after="20"/>
              <w:jc w:val="right"/>
              <w:rPr>
                <w:noProof/>
                <w:sz w:val="20"/>
              </w:rPr>
            </w:pPr>
          </w:p>
        </w:tc>
        <w:tc>
          <w:tcPr>
            <w:tcW w:w="696" w:type="dxa"/>
            <w:vAlign w:val="center"/>
          </w:tcPr>
          <w:p w14:paraId="6186A124" w14:textId="77777777" w:rsidR="00B50935" w:rsidRPr="009017BC" w:rsidRDefault="00B50935" w:rsidP="00427764">
            <w:pPr>
              <w:spacing w:before="20" w:after="20"/>
              <w:jc w:val="right"/>
              <w:rPr>
                <w:noProof/>
                <w:sz w:val="20"/>
              </w:rPr>
            </w:pPr>
          </w:p>
        </w:tc>
        <w:tc>
          <w:tcPr>
            <w:tcW w:w="868" w:type="dxa"/>
            <w:vAlign w:val="center"/>
          </w:tcPr>
          <w:p w14:paraId="04E0BCD2" w14:textId="77777777" w:rsidR="00B50935" w:rsidRPr="009017BC" w:rsidRDefault="00B50935" w:rsidP="00427764">
            <w:pPr>
              <w:spacing w:before="20" w:after="20"/>
              <w:jc w:val="right"/>
              <w:rPr>
                <w:b/>
                <w:noProof/>
                <w:sz w:val="20"/>
              </w:rPr>
            </w:pPr>
          </w:p>
        </w:tc>
        <w:tc>
          <w:tcPr>
            <w:tcW w:w="1777" w:type="dxa"/>
            <w:vAlign w:val="center"/>
          </w:tcPr>
          <w:p w14:paraId="3CB8767E" w14:textId="77777777" w:rsidR="00B50935" w:rsidRPr="009017BC" w:rsidRDefault="00B50935" w:rsidP="00427764">
            <w:pPr>
              <w:spacing w:before="20" w:after="20"/>
              <w:jc w:val="right"/>
              <w:rPr>
                <w:b/>
                <w:noProof/>
                <w:sz w:val="20"/>
              </w:rPr>
            </w:pPr>
          </w:p>
        </w:tc>
      </w:tr>
    </w:tbl>
    <w:p w14:paraId="0FA541A0" w14:textId="77777777" w:rsidR="00B50935" w:rsidRPr="009017BC" w:rsidRDefault="00B50935" w:rsidP="00B5093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50935" w:rsidRPr="009017BC" w14:paraId="041E838C" w14:textId="77777777" w:rsidTr="00427764">
        <w:tc>
          <w:tcPr>
            <w:tcW w:w="3960" w:type="dxa"/>
            <w:shd w:val="thinDiagStripe" w:color="C0C0C0" w:fill="auto"/>
            <w:vAlign w:val="center"/>
          </w:tcPr>
          <w:p w14:paraId="51D35EFB" w14:textId="77777777" w:rsidR="00B50935" w:rsidRPr="009017BC" w:rsidRDefault="00B50935" w:rsidP="00427764">
            <w:pPr>
              <w:jc w:val="center"/>
              <w:rPr>
                <w:b/>
                <w:noProof/>
              </w:rPr>
            </w:pPr>
            <w:r w:rsidRPr="009017BC">
              <w:rPr>
                <w:b/>
                <w:sz w:val="22"/>
              </w:rPr>
              <w:t>TOTAL de los créditos</w:t>
            </w:r>
            <w:r w:rsidRPr="009017BC">
              <w:t xml:space="preserve"> </w:t>
            </w:r>
            <w:r w:rsidRPr="009017BC">
              <w:br/>
            </w:r>
            <w:r w:rsidRPr="009017BC">
              <w:rPr>
                <w:b/>
                <w:sz w:val="22"/>
              </w:rPr>
              <w:t>para la RÚBRICA 7</w:t>
            </w:r>
            <w:r w:rsidRPr="009017BC">
              <w:t xml:space="preserve"> </w:t>
            </w:r>
            <w:r w:rsidRPr="009017BC">
              <w:br/>
            </w:r>
            <w:r w:rsidRPr="009017BC">
              <w:rPr>
                <w:sz w:val="22"/>
              </w:rPr>
              <w:t>del marco financiero plurianual</w:t>
            </w:r>
            <w:r w:rsidRPr="009017BC">
              <w:rPr>
                <w:b/>
                <w:sz w:val="22"/>
              </w:rPr>
              <w:t xml:space="preserve"> </w:t>
            </w:r>
          </w:p>
        </w:tc>
        <w:tc>
          <w:tcPr>
            <w:tcW w:w="2094" w:type="dxa"/>
            <w:vAlign w:val="center"/>
          </w:tcPr>
          <w:p w14:paraId="34EFA471" w14:textId="77777777" w:rsidR="00B50935" w:rsidRPr="009017BC" w:rsidRDefault="00B50935" w:rsidP="00427764">
            <w:pPr>
              <w:spacing w:before="40" w:after="40"/>
              <w:rPr>
                <w:noProof/>
              </w:rPr>
            </w:pPr>
            <w:r w:rsidRPr="009017BC">
              <w:rPr>
                <w:sz w:val="18"/>
              </w:rPr>
              <w:t>(Total de los compromisos = total de los pagos)</w:t>
            </w:r>
          </w:p>
        </w:tc>
        <w:tc>
          <w:tcPr>
            <w:tcW w:w="868" w:type="dxa"/>
            <w:vAlign w:val="center"/>
          </w:tcPr>
          <w:p w14:paraId="6884540C" w14:textId="77777777" w:rsidR="00B50935" w:rsidRPr="009017BC" w:rsidRDefault="00B50935" w:rsidP="00427764">
            <w:pPr>
              <w:spacing w:before="20" w:after="20"/>
              <w:jc w:val="right"/>
              <w:rPr>
                <w:noProof/>
                <w:sz w:val="20"/>
              </w:rPr>
            </w:pPr>
          </w:p>
        </w:tc>
        <w:tc>
          <w:tcPr>
            <w:tcW w:w="868" w:type="dxa"/>
            <w:vAlign w:val="center"/>
          </w:tcPr>
          <w:p w14:paraId="379937C3" w14:textId="77777777" w:rsidR="00B50935" w:rsidRPr="009017BC" w:rsidRDefault="00B50935" w:rsidP="00427764">
            <w:pPr>
              <w:spacing w:before="20" w:after="20"/>
              <w:jc w:val="right"/>
              <w:rPr>
                <w:noProof/>
                <w:sz w:val="20"/>
              </w:rPr>
            </w:pPr>
          </w:p>
        </w:tc>
        <w:tc>
          <w:tcPr>
            <w:tcW w:w="868" w:type="dxa"/>
            <w:vAlign w:val="center"/>
          </w:tcPr>
          <w:p w14:paraId="0BFD00CB" w14:textId="77777777" w:rsidR="00B50935" w:rsidRPr="009017BC" w:rsidRDefault="00B50935" w:rsidP="00427764">
            <w:pPr>
              <w:spacing w:before="20" w:after="20"/>
              <w:jc w:val="right"/>
              <w:rPr>
                <w:noProof/>
                <w:sz w:val="20"/>
              </w:rPr>
            </w:pPr>
          </w:p>
        </w:tc>
        <w:tc>
          <w:tcPr>
            <w:tcW w:w="868" w:type="dxa"/>
            <w:vAlign w:val="center"/>
          </w:tcPr>
          <w:p w14:paraId="04143421" w14:textId="77777777" w:rsidR="00B50935" w:rsidRPr="009017BC" w:rsidRDefault="00B50935" w:rsidP="00427764">
            <w:pPr>
              <w:spacing w:before="20" w:after="20"/>
              <w:jc w:val="right"/>
              <w:rPr>
                <w:noProof/>
                <w:sz w:val="20"/>
              </w:rPr>
            </w:pPr>
          </w:p>
        </w:tc>
        <w:tc>
          <w:tcPr>
            <w:tcW w:w="868" w:type="dxa"/>
            <w:vAlign w:val="center"/>
          </w:tcPr>
          <w:p w14:paraId="16209B4D" w14:textId="77777777" w:rsidR="00B50935" w:rsidRPr="009017BC" w:rsidRDefault="00B50935" w:rsidP="00427764">
            <w:pPr>
              <w:spacing w:before="20" w:after="20"/>
              <w:jc w:val="right"/>
              <w:rPr>
                <w:noProof/>
                <w:sz w:val="20"/>
              </w:rPr>
            </w:pPr>
          </w:p>
        </w:tc>
        <w:tc>
          <w:tcPr>
            <w:tcW w:w="868" w:type="dxa"/>
            <w:vAlign w:val="center"/>
          </w:tcPr>
          <w:p w14:paraId="7BF28D1F" w14:textId="77777777" w:rsidR="00B50935" w:rsidRPr="009017BC" w:rsidRDefault="00B50935" w:rsidP="00427764">
            <w:pPr>
              <w:spacing w:before="20" w:after="20"/>
              <w:jc w:val="right"/>
              <w:rPr>
                <w:noProof/>
                <w:sz w:val="20"/>
              </w:rPr>
            </w:pPr>
          </w:p>
        </w:tc>
        <w:tc>
          <w:tcPr>
            <w:tcW w:w="868" w:type="dxa"/>
            <w:vAlign w:val="center"/>
          </w:tcPr>
          <w:p w14:paraId="231CC84A" w14:textId="77777777" w:rsidR="00B50935" w:rsidRPr="009017BC" w:rsidRDefault="00B50935" w:rsidP="00427764">
            <w:pPr>
              <w:spacing w:before="20" w:after="20"/>
              <w:jc w:val="right"/>
              <w:rPr>
                <w:b/>
                <w:noProof/>
                <w:sz w:val="20"/>
              </w:rPr>
            </w:pPr>
          </w:p>
        </w:tc>
        <w:tc>
          <w:tcPr>
            <w:tcW w:w="1777" w:type="dxa"/>
            <w:vAlign w:val="center"/>
          </w:tcPr>
          <w:p w14:paraId="223C7343" w14:textId="77777777" w:rsidR="00B50935" w:rsidRPr="009017BC" w:rsidRDefault="00B50935" w:rsidP="00427764">
            <w:pPr>
              <w:spacing w:before="20" w:after="20"/>
              <w:jc w:val="right"/>
              <w:rPr>
                <w:b/>
                <w:noProof/>
                <w:sz w:val="20"/>
              </w:rPr>
            </w:pPr>
          </w:p>
        </w:tc>
      </w:tr>
    </w:tbl>
    <w:p w14:paraId="21A939CC" w14:textId="77777777" w:rsidR="00B50935" w:rsidRPr="009017BC" w:rsidRDefault="00B50935" w:rsidP="00B50935">
      <w:pPr>
        <w:jc w:val="right"/>
        <w:rPr>
          <w:noProof/>
          <w:sz w:val="20"/>
        </w:rPr>
      </w:pPr>
      <w:r w:rsidRPr="009017BC">
        <w:rPr>
          <w:sz w:val="20"/>
        </w:rPr>
        <w:t>En millones EUR (al tercer decimal)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0935" w:rsidRPr="009017BC" w14:paraId="1781A8A8" w14:textId="77777777" w:rsidTr="00427764">
        <w:tc>
          <w:tcPr>
            <w:tcW w:w="3960" w:type="dxa"/>
            <w:tcBorders>
              <w:top w:val="nil"/>
              <w:left w:val="nil"/>
              <w:right w:val="nil"/>
            </w:tcBorders>
            <w:vAlign w:val="center"/>
          </w:tcPr>
          <w:p w14:paraId="741B19D4" w14:textId="77777777" w:rsidR="00B50935" w:rsidRPr="009017BC" w:rsidRDefault="00B50935" w:rsidP="00427764">
            <w:pPr>
              <w:jc w:val="center"/>
              <w:rPr>
                <w:noProof/>
              </w:rPr>
            </w:pPr>
          </w:p>
        </w:tc>
        <w:tc>
          <w:tcPr>
            <w:tcW w:w="1560" w:type="dxa"/>
            <w:tcBorders>
              <w:top w:val="nil"/>
              <w:left w:val="nil"/>
              <w:right w:val="nil"/>
            </w:tcBorders>
          </w:tcPr>
          <w:p w14:paraId="4EBAC83C" w14:textId="77777777" w:rsidR="00B50935" w:rsidRPr="009017BC" w:rsidRDefault="00B50935" w:rsidP="00427764">
            <w:pPr>
              <w:rPr>
                <w:noProof/>
                <w:sz w:val="20"/>
              </w:rPr>
            </w:pPr>
          </w:p>
        </w:tc>
        <w:tc>
          <w:tcPr>
            <w:tcW w:w="534" w:type="dxa"/>
            <w:tcBorders>
              <w:top w:val="nil"/>
              <w:left w:val="nil"/>
            </w:tcBorders>
          </w:tcPr>
          <w:p w14:paraId="6EA08720" w14:textId="77777777" w:rsidR="00B50935" w:rsidRPr="009017BC" w:rsidRDefault="00B50935" w:rsidP="00427764">
            <w:pPr>
              <w:jc w:val="center"/>
              <w:rPr>
                <w:noProof/>
                <w:sz w:val="20"/>
              </w:rPr>
            </w:pPr>
          </w:p>
        </w:tc>
        <w:tc>
          <w:tcPr>
            <w:tcW w:w="868" w:type="dxa"/>
            <w:vAlign w:val="center"/>
          </w:tcPr>
          <w:p w14:paraId="1F6CD4F5"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2021</w:t>
            </w:r>
          </w:p>
        </w:tc>
        <w:tc>
          <w:tcPr>
            <w:tcW w:w="868" w:type="dxa"/>
            <w:vAlign w:val="center"/>
          </w:tcPr>
          <w:p w14:paraId="2D327812"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2022</w:t>
            </w:r>
          </w:p>
        </w:tc>
        <w:tc>
          <w:tcPr>
            <w:tcW w:w="868" w:type="dxa"/>
            <w:vAlign w:val="center"/>
          </w:tcPr>
          <w:p w14:paraId="043525CE"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2023</w:t>
            </w:r>
          </w:p>
        </w:tc>
        <w:tc>
          <w:tcPr>
            <w:tcW w:w="868" w:type="dxa"/>
            <w:vAlign w:val="center"/>
          </w:tcPr>
          <w:p w14:paraId="05F80C75"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2024</w:t>
            </w:r>
          </w:p>
        </w:tc>
        <w:tc>
          <w:tcPr>
            <w:tcW w:w="868" w:type="dxa"/>
            <w:vAlign w:val="center"/>
          </w:tcPr>
          <w:p w14:paraId="180295F6"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2025</w:t>
            </w:r>
          </w:p>
        </w:tc>
        <w:tc>
          <w:tcPr>
            <w:tcW w:w="868" w:type="dxa"/>
            <w:vAlign w:val="center"/>
          </w:tcPr>
          <w:p w14:paraId="363FAD59"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2026</w:t>
            </w:r>
          </w:p>
        </w:tc>
        <w:tc>
          <w:tcPr>
            <w:tcW w:w="868" w:type="dxa"/>
            <w:vAlign w:val="center"/>
          </w:tcPr>
          <w:p w14:paraId="43EA04E6"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777" w:type="dxa"/>
            <w:vAlign w:val="center"/>
          </w:tcPr>
          <w:p w14:paraId="03CAD608" w14:textId="77777777" w:rsidR="00B50935" w:rsidRPr="009017BC" w:rsidRDefault="00B50935" w:rsidP="00427764">
            <w:pPr>
              <w:jc w:val="center"/>
              <w:rPr>
                <w:b/>
                <w:noProof/>
                <w:sz w:val="20"/>
              </w:rPr>
            </w:pPr>
            <w:r w:rsidRPr="009017BC">
              <w:rPr>
                <w:b/>
                <w:sz w:val="20"/>
              </w:rPr>
              <w:t>TOTAL</w:t>
            </w:r>
          </w:p>
        </w:tc>
      </w:tr>
      <w:tr w:rsidR="00B50935" w:rsidRPr="009017BC" w14:paraId="6F9E1699" w14:textId="77777777" w:rsidTr="00427764">
        <w:tc>
          <w:tcPr>
            <w:tcW w:w="3960" w:type="dxa"/>
            <w:vMerge w:val="restart"/>
            <w:shd w:val="clear" w:color="auto" w:fill="C0C0C0"/>
            <w:vAlign w:val="center"/>
          </w:tcPr>
          <w:p w14:paraId="642FEDE6" w14:textId="77777777" w:rsidR="00B50935" w:rsidRPr="009017BC" w:rsidRDefault="00B50935" w:rsidP="00427764">
            <w:pPr>
              <w:jc w:val="center"/>
              <w:rPr>
                <w:b/>
                <w:noProof/>
              </w:rPr>
            </w:pPr>
            <w:r w:rsidRPr="009017BC">
              <w:rPr>
                <w:b/>
                <w:sz w:val="22"/>
              </w:rPr>
              <w:t>TOTAL de los créditos</w:t>
            </w:r>
            <w:r w:rsidRPr="009017BC">
              <w:t xml:space="preserve"> </w:t>
            </w:r>
            <w:r w:rsidRPr="009017BC">
              <w:br/>
            </w:r>
            <w:r w:rsidRPr="009017BC">
              <w:rPr>
                <w:b/>
                <w:sz w:val="22"/>
              </w:rPr>
              <w:t>para las RÚBRICAS 1 a 7</w:t>
            </w:r>
            <w:r w:rsidRPr="009017BC">
              <w:t xml:space="preserve"> </w:t>
            </w:r>
            <w:r w:rsidRPr="009017BC">
              <w:br/>
            </w:r>
            <w:r w:rsidRPr="009017BC">
              <w:rPr>
                <w:sz w:val="22"/>
              </w:rPr>
              <w:t>del marco financiero plurianual</w:t>
            </w:r>
            <w:r w:rsidRPr="009017BC">
              <w:rPr>
                <w:b/>
                <w:sz w:val="22"/>
              </w:rPr>
              <w:t xml:space="preserve"> </w:t>
            </w:r>
          </w:p>
        </w:tc>
        <w:tc>
          <w:tcPr>
            <w:tcW w:w="2094" w:type="dxa"/>
            <w:gridSpan w:val="2"/>
            <w:vAlign w:val="center"/>
          </w:tcPr>
          <w:p w14:paraId="1DC68B97" w14:textId="77777777" w:rsidR="00B50935" w:rsidRPr="009017BC" w:rsidRDefault="00B50935" w:rsidP="00427764">
            <w:pPr>
              <w:rPr>
                <w:noProof/>
                <w:sz w:val="14"/>
              </w:rPr>
            </w:pPr>
            <w:r w:rsidRPr="009017BC">
              <w:rPr>
                <w:sz w:val="18"/>
              </w:rPr>
              <w:t>Compromisos</w:t>
            </w:r>
          </w:p>
        </w:tc>
        <w:tc>
          <w:tcPr>
            <w:tcW w:w="868" w:type="dxa"/>
            <w:vAlign w:val="center"/>
          </w:tcPr>
          <w:p w14:paraId="64E5DD12" w14:textId="77777777" w:rsidR="00B50935" w:rsidRPr="009017BC" w:rsidRDefault="00B50935" w:rsidP="00427764">
            <w:pPr>
              <w:spacing w:before="60" w:after="60"/>
              <w:jc w:val="right"/>
              <w:rPr>
                <w:b/>
                <w:noProof/>
                <w:sz w:val="20"/>
              </w:rPr>
            </w:pPr>
            <w:r w:rsidRPr="009017BC">
              <w:rPr>
                <w:b/>
                <w:sz w:val="20"/>
              </w:rPr>
              <w:t xml:space="preserve"> 16,040 </w:t>
            </w:r>
          </w:p>
        </w:tc>
        <w:tc>
          <w:tcPr>
            <w:tcW w:w="868" w:type="dxa"/>
            <w:vAlign w:val="center"/>
          </w:tcPr>
          <w:p w14:paraId="615EE4BD" w14:textId="77777777" w:rsidR="00B50935" w:rsidRPr="009017BC" w:rsidRDefault="00B50935" w:rsidP="00427764">
            <w:pPr>
              <w:spacing w:before="60" w:after="60"/>
              <w:jc w:val="right"/>
              <w:rPr>
                <w:b/>
                <w:noProof/>
                <w:sz w:val="20"/>
              </w:rPr>
            </w:pPr>
            <w:r w:rsidRPr="009017BC">
              <w:rPr>
                <w:b/>
                <w:sz w:val="20"/>
              </w:rPr>
              <w:t xml:space="preserve"> 23,350 </w:t>
            </w:r>
          </w:p>
        </w:tc>
        <w:tc>
          <w:tcPr>
            <w:tcW w:w="868" w:type="dxa"/>
            <w:vAlign w:val="center"/>
          </w:tcPr>
          <w:p w14:paraId="107A0167" w14:textId="77777777" w:rsidR="00B50935" w:rsidRPr="009017BC" w:rsidRDefault="00B50935" w:rsidP="00427764">
            <w:pPr>
              <w:spacing w:before="60" w:after="60"/>
              <w:jc w:val="right"/>
              <w:rPr>
                <w:b/>
                <w:noProof/>
                <w:sz w:val="20"/>
              </w:rPr>
            </w:pPr>
            <w:r w:rsidRPr="009017BC">
              <w:rPr>
                <w:b/>
                <w:sz w:val="20"/>
              </w:rPr>
              <w:t xml:space="preserve"> 25,080 </w:t>
            </w:r>
          </w:p>
        </w:tc>
        <w:tc>
          <w:tcPr>
            <w:tcW w:w="868" w:type="dxa"/>
            <w:vAlign w:val="center"/>
          </w:tcPr>
          <w:p w14:paraId="33947E9F" w14:textId="77777777" w:rsidR="00B50935" w:rsidRPr="009017BC" w:rsidRDefault="00B50935" w:rsidP="00427764">
            <w:pPr>
              <w:spacing w:before="60" w:after="60"/>
              <w:jc w:val="right"/>
              <w:rPr>
                <w:b/>
                <w:noProof/>
                <w:sz w:val="20"/>
              </w:rPr>
            </w:pPr>
            <w:r w:rsidRPr="009017BC">
              <w:rPr>
                <w:b/>
                <w:sz w:val="20"/>
              </w:rPr>
              <w:t xml:space="preserve"> 25,990 </w:t>
            </w:r>
          </w:p>
        </w:tc>
        <w:tc>
          <w:tcPr>
            <w:tcW w:w="868" w:type="dxa"/>
            <w:vAlign w:val="center"/>
          </w:tcPr>
          <w:p w14:paraId="62CA680F" w14:textId="77777777" w:rsidR="00B50935" w:rsidRPr="009017BC" w:rsidRDefault="00B50935" w:rsidP="00427764">
            <w:pPr>
              <w:spacing w:before="60" w:after="60"/>
              <w:jc w:val="right"/>
              <w:rPr>
                <w:b/>
                <w:noProof/>
                <w:sz w:val="20"/>
              </w:rPr>
            </w:pPr>
            <w:r w:rsidRPr="009017BC">
              <w:rPr>
                <w:b/>
                <w:sz w:val="20"/>
              </w:rPr>
              <w:t xml:space="preserve"> 22,990 </w:t>
            </w:r>
          </w:p>
        </w:tc>
        <w:tc>
          <w:tcPr>
            <w:tcW w:w="868" w:type="dxa"/>
            <w:vAlign w:val="center"/>
          </w:tcPr>
          <w:p w14:paraId="0A070089" w14:textId="77777777" w:rsidR="00B50935" w:rsidRPr="009017BC" w:rsidRDefault="00B50935" w:rsidP="00427764">
            <w:pPr>
              <w:spacing w:before="60" w:after="60"/>
              <w:jc w:val="right"/>
              <w:rPr>
                <w:b/>
                <w:noProof/>
                <w:sz w:val="20"/>
              </w:rPr>
            </w:pPr>
            <w:r w:rsidRPr="009017BC">
              <w:rPr>
                <w:b/>
                <w:sz w:val="20"/>
              </w:rPr>
              <w:t xml:space="preserve"> 21,990 </w:t>
            </w:r>
          </w:p>
        </w:tc>
        <w:tc>
          <w:tcPr>
            <w:tcW w:w="868" w:type="dxa"/>
            <w:vAlign w:val="center"/>
          </w:tcPr>
          <w:p w14:paraId="49AC4FA0" w14:textId="77777777" w:rsidR="00B50935" w:rsidRPr="009017BC" w:rsidRDefault="00B50935" w:rsidP="00427764">
            <w:pPr>
              <w:spacing w:before="60" w:after="60"/>
              <w:jc w:val="right"/>
              <w:rPr>
                <w:b/>
                <w:noProof/>
                <w:sz w:val="20"/>
              </w:rPr>
            </w:pPr>
            <w:r w:rsidRPr="009017BC">
              <w:rPr>
                <w:b/>
                <w:sz w:val="20"/>
              </w:rPr>
              <w:t xml:space="preserve"> 21,990 </w:t>
            </w:r>
          </w:p>
        </w:tc>
        <w:tc>
          <w:tcPr>
            <w:tcW w:w="1777" w:type="dxa"/>
            <w:vAlign w:val="center"/>
          </w:tcPr>
          <w:p w14:paraId="72778E61" w14:textId="77777777" w:rsidR="00B50935" w:rsidRPr="009017BC" w:rsidRDefault="00B50935" w:rsidP="00427764">
            <w:pPr>
              <w:spacing w:before="60" w:after="60"/>
              <w:jc w:val="right"/>
              <w:rPr>
                <w:b/>
                <w:noProof/>
                <w:sz w:val="20"/>
              </w:rPr>
            </w:pPr>
            <w:r w:rsidRPr="009017BC">
              <w:rPr>
                <w:b/>
                <w:sz w:val="20"/>
              </w:rPr>
              <w:t>157,430</w:t>
            </w:r>
          </w:p>
        </w:tc>
      </w:tr>
      <w:tr w:rsidR="00B50935" w:rsidRPr="009017BC" w14:paraId="73DD7D15" w14:textId="77777777" w:rsidTr="00427764">
        <w:tc>
          <w:tcPr>
            <w:tcW w:w="3960" w:type="dxa"/>
            <w:vMerge/>
            <w:vAlign w:val="center"/>
          </w:tcPr>
          <w:p w14:paraId="1ED5D30F" w14:textId="77777777" w:rsidR="00B50935" w:rsidRPr="009017BC" w:rsidRDefault="00B50935" w:rsidP="00427764">
            <w:pPr>
              <w:rPr>
                <w:b/>
                <w:noProof/>
              </w:rPr>
            </w:pPr>
          </w:p>
        </w:tc>
        <w:tc>
          <w:tcPr>
            <w:tcW w:w="2094" w:type="dxa"/>
            <w:gridSpan w:val="2"/>
            <w:vAlign w:val="center"/>
          </w:tcPr>
          <w:p w14:paraId="0C0EBA73" w14:textId="77777777" w:rsidR="00B50935" w:rsidRPr="009017BC" w:rsidRDefault="00B50935" w:rsidP="00427764">
            <w:pPr>
              <w:rPr>
                <w:noProof/>
                <w:sz w:val="14"/>
              </w:rPr>
            </w:pPr>
            <w:r w:rsidRPr="009017BC">
              <w:rPr>
                <w:sz w:val="18"/>
              </w:rPr>
              <w:t>Pagos</w:t>
            </w:r>
          </w:p>
        </w:tc>
        <w:tc>
          <w:tcPr>
            <w:tcW w:w="868" w:type="dxa"/>
            <w:vAlign w:val="center"/>
          </w:tcPr>
          <w:p w14:paraId="2C1372A5" w14:textId="77777777" w:rsidR="00B50935" w:rsidRPr="009017BC" w:rsidRDefault="00B50935" w:rsidP="00427764">
            <w:pPr>
              <w:spacing w:before="60" w:after="60"/>
              <w:jc w:val="right"/>
              <w:rPr>
                <w:b/>
                <w:noProof/>
                <w:sz w:val="20"/>
              </w:rPr>
            </w:pPr>
            <w:r w:rsidRPr="009017BC">
              <w:rPr>
                <w:b/>
                <w:sz w:val="20"/>
              </w:rPr>
              <w:t xml:space="preserve"> 16,040 </w:t>
            </w:r>
          </w:p>
        </w:tc>
        <w:tc>
          <w:tcPr>
            <w:tcW w:w="868" w:type="dxa"/>
            <w:vAlign w:val="center"/>
          </w:tcPr>
          <w:p w14:paraId="0121E582" w14:textId="77777777" w:rsidR="00B50935" w:rsidRPr="009017BC" w:rsidRDefault="00B50935" w:rsidP="00427764">
            <w:pPr>
              <w:spacing w:before="60" w:after="60"/>
              <w:jc w:val="right"/>
              <w:rPr>
                <w:b/>
                <w:noProof/>
                <w:sz w:val="20"/>
              </w:rPr>
            </w:pPr>
            <w:r w:rsidRPr="009017BC">
              <w:rPr>
                <w:b/>
                <w:sz w:val="20"/>
              </w:rPr>
              <w:t xml:space="preserve"> 23,350 </w:t>
            </w:r>
          </w:p>
        </w:tc>
        <w:tc>
          <w:tcPr>
            <w:tcW w:w="868" w:type="dxa"/>
            <w:vAlign w:val="center"/>
          </w:tcPr>
          <w:p w14:paraId="0C6E5D3C" w14:textId="77777777" w:rsidR="00B50935" w:rsidRPr="009017BC" w:rsidRDefault="00B50935" w:rsidP="00427764">
            <w:pPr>
              <w:spacing w:before="60" w:after="60"/>
              <w:jc w:val="right"/>
              <w:rPr>
                <w:b/>
                <w:noProof/>
                <w:sz w:val="20"/>
              </w:rPr>
            </w:pPr>
            <w:r w:rsidRPr="009017BC">
              <w:rPr>
                <w:b/>
                <w:sz w:val="20"/>
              </w:rPr>
              <w:t xml:space="preserve"> 25,080 </w:t>
            </w:r>
          </w:p>
        </w:tc>
        <w:tc>
          <w:tcPr>
            <w:tcW w:w="868" w:type="dxa"/>
            <w:vAlign w:val="center"/>
          </w:tcPr>
          <w:p w14:paraId="00FB7256" w14:textId="77777777" w:rsidR="00B50935" w:rsidRPr="009017BC" w:rsidRDefault="00B50935" w:rsidP="00427764">
            <w:pPr>
              <w:spacing w:before="60" w:after="60"/>
              <w:jc w:val="right"/>
              <w:rPr>
                <w:b/>
                <w:noProof/>
                <w:sz w:val="20"/>
              </w:rPr>
            </w:pPr>
            <w:r w:rsidRPr="009017BC">
              <w:rPr>
                <w:b/>
                <w:sz w:val="20"/>
              </w:rPr>
              <w:t xml:space="preserve"> 25,990 </w:t>
            </w:r>
          </w:p>
        </w:tc>
        <w:tc>
          <w:tcPr>
            <w:tcW w:w="868" w:type="dxa"/>
            <w:vAlign w:val="center"/>
          </w:tcPr>
          <w:p w14:paraId="495DFA50" w14:textId="77777777" w:rsidR="00B50935" w:rsidRPr="009017BC" w:rsidRDefault="00B50935" w:rsidP="00427764">
            <w:pPr>
              <w:spacing w:before="60" w:after="60"/>
              <w:jc w:val="right"/>
              <w:rPr>
                <w:b/>
                <w:noProof/>
                <w:sz w:val="20"/>
              </w:rPr>
            </w:pPr>
            <w:r w:rsidRPr="009017BC">
              <w:rPr>
                <w:b/>
                <w:sz w:val="20"/>
              </w:rPr>
              <w:t xml:space="preserve"> 22,990 </w:t>
            </w:r>
          </w:p>
        </w:tc>
        <w:tc>
          <w:tcPr>
            <w:tcW w:w="868" w:type="dxa"/>
            <w:vAlign w:val="center"/>
          </w:tcPr>
          <w:p w14:paraId="35589F93" w14:textId="77777777" w:rsidR="00B50935" w:rsidRPr="009017BC" w:rsidRDefault="00B50935" w:rsidP="00427764">
            <w:pPr>
              <w:spacing w:before="60" w:after="60"/>
              <w:jc w:val="right"/>
              <w:rPr>
                <w:b/>
                <w:noProof/>
                <w:sz w:val="20"/>
              </w:rPr>
            </w:pPr>
            <w:r w:rsidRPr="009017BC">
              <w:rPr>
                <w:b/>
                <w:sz w:val="20"/>
              </w:rPr>
              <w:t xml:space="preserve"> 21,990 </w:t>
            </w:r>
          </w:p>
        </w:tc>
        <w:tc>
          <w:tcPr>
            <w:tcW w:w="868" w:type="dxa"/>
            <w:vAlign w:val="center"/>
          </w:tcPr>
          <w:p w14:paraId="23EEA332" w14:textId="77777777" w:rsidR="00B50935" w:rsidRPr="009017BC" w:rsidRDefault="00B50935" w:rsidP="00427764">
            <w:pPr>
              <w:spacing w:before="60" w:after="60"/>
              <w:jc w:val="right"/>
              <w:rPr>
                <w:b/>
                <w:noProof/>
                <w:sz w:val="20"/>
              </w:rPr>
            </w:pPr>
            <w:r w:rsidRPr="009017BC">
              <w:rPr>
                <w:b/>
                <w:sz w:val="20"/>
              </w:rPr>
              <w:t xml:space="preserve"> 21,990 </w:t>
            </w:r>
          </w:p>
        </w:tc>
        <w:tc>
          <w:tcPr>
            <w:tcW w:w="1777" w:type="dxa"/>
            <w:vAlign w:val="center"/>
          </w:tcPr>
          <w:p w14:paraId="14F77202" w14:textId="77777777" w:rsidR="00B50935" w:rsidRPr="009017BC" w:rsidRDefault="00B50935" w:rsidP="00427764">
            <w:pPr>
              <w:spacing w:before="60" w:after="60"/>
              <w:jc w:val="right"/>
              <w:rPr>
                <w:b/>
                <w:noProof/>
                <w:sz w:val="20"/>
              </w:rPr>
            </w:pPr>
            <w:r w:rsidRPr="009017BC">
              <w:rPr>
                <w:b/>
                <w:sz w:val="20"/>
              </w:rPr>
              <w:t>157,430</w:t>
            </w:r>
          </w:p>
        </w:tc>
      </w:tr>
    </w:tbl>
    <w:p w14:paraId="13147DFA" w14:textId="77777777" w:rsidR="00B50935" w:rsidRPr="009017BC" w:rsidRDefault="00B50935" w:rsidP="00B50935">
      <w:pPr>
        <w:rPr>
          <w:noProof/>
        </w:rPr>
        <w:sectPr w:rsidR="00B50935" w:rsidRPr="009017BC" w:rsidSect="00DF5771">
          <w:headerReference w:type="default" r:id="rId11"/>
          <w:footerReference w:type="default" r:id="rId12"/>
          <w:headerReference w:type="first" r:id="rId13"/>
          <w:footerReference w:type="first" r:id="rId14"/>
          <w:pgSz w:w="15840" w:h="12240" w:orient="landscape"/>
          <w:pgMar w:top="1134" w:right="1077" w:bottom="902" w:left="1247" w:header="709" w:footer="510" w:gutter="0"/>
          <w:cols w:space="720"/>
          <w:docGrid w:linePitch="326"/>
        </w:sectPr>
      </w:pPr>
    </w:p>
    <w:p w14:paraId="1431904D" w14:textId="77777777" w:rsidR="00B50935" w:rsidRPr="009017BC" w:rsidRDefault="00B50935" w:rsidP="00B50935">
      <w:pPr>
        <w:pStyle w:val="Heading3"/>
        <w:rPr>
          <w:bCs w:val="0"/>
          <w:noProof/>
          <w:szCs w:val="24"/>
        </w:rPr>
      </w:pPr>
      <w:bookmarkStart w:id="72" w:name="_Toc514938687"/>
      <w:bookmarkStart w:id="73" w:name="_Toc57975643"/>
      <w:r w:rsidRPr="009017BC">
        <w:t>Incidencia estimada en los créditos del ECDC</w:t>
      </w:r>
      <w:bookmarkEnd w:id="72"/>
      <w:bookmarkEnd w:id="73"/>
      <w:r w:rsidRPr="009017BC">
        <w:t xml:space="preserve"> </w:t>
      </w:r>
    </w:p>
    <w:p w14:paraId="4C79A174" w14:textId="77777777" w:rsidR="00B50935" w:rsidRPr="009017BC" w:rsidRDefault="00B50935" w:rsidP="006F7C3E">
      <w:pPr>
        <w:pStyle w:val="ListDash1"/>
        <w:rPr>
          <w:noProof/>
        </w:rPr>
      </w:pPr>
      <w:r w:rsidRPr="009017BC">
        <w:sym w:font="Wingdings" w:char="F0A8"/>
      </w:r>
      <w:r w:rsidRPr="009017BC">
        <w:tab/>
        <w:t xml:space="preserve">La propuesta/iniciativa no exige la utilización de créditos de operaciones. </w:t>
      </w:r>
    </w:p>
    <w:p w14:paraId="7133C3EB" w14:textId="77777777" w:rsidR="00B50935" w:rsidRPr="009017BC" w:rsidRDefault="00B50935" w:rsidP="006F7C3E">
      <w:pPr>
        <w:pStyle w:val="ListDash1"/>
        <w:rPr>
          <w:noProof/>
        </w:rPr>
      </w:pPr>
      <w:r w:rsidRPr="009017BC">
        <w:sym w:font="Webdings" w:char="F061"/>
      </w:r>
      <w:r w:rsidRPr="009017BC">
        <w:tab/>
        <w:t>La propuesta/iniciativa exige la utilización de créditos de operaciones, tal como se explica a continuación:</w:t>
      </w:r>
    </w:p>
    <w:p w14:paraId="69EFF3F9" w14:textId="77777777" w:rsidR="00B50935" w:rsidRPr="009017BC" w:rsidRDefault="00B50935" w:rsidP="00B50935">
      <w:pPr>
        <w:jc w:val="right"/>
        <w:rPr>
          <w:noProof/>
          <w:sz w:val="20"/>
        </w:rPr>
      </w:pPr>
      <w:r w:rsidRPr="009017BC">
        <w:rPr>
          <w:sz w:val="20"/>
        </w:rPr>
        <w:t>Créditos de compromiso en millones EUR (al tercer decimal)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rsidR="00B50935" w:rsidRPr="009017BC" w14:paraId="65453DFF" w14:textId="77777777" w:rsidTr="00427764">
        <w:trPr>
          <w:gridAfter w:val="1"/>
          <w:wAfter w:w="12" w:type="dxa"/>
          <w:jc w:val="center"/>
        </w:trPr>
        <w:tc>
          <w:tcPr>
            <w:tcW w:w="1696" w:type="dxa"/>
            <w:vMerge w:val="restart"/>
            <w:vAlign w:val="center"/>
          </w:tcPr>
          <w:p w14:paraId="356F7CFC" w14:textId="77777777" w:rsidR="00B50935" w:rsidRPr="009017BC" w:rsidRDefault="00B50935" w:rsidP="00427764">
            <w:pPr>
              <w:ind w:right="-29"/>
              <w:jc w:val="center"/>
              <w:rPr>
                <w:b/>
                <w:noProof/>
                <w:sz w:val="18"/>
              </w:rPr>
            </w:pPr>
            <w:r w:rsidRPr="009017BC">
              <w:rPr>
                <w:b/>
                <w:sz w:val="18"/>
              </w:rPr>
              <w:t xml:space="preserve">Indíquense los objetivos y los resultados </w:t>
            </w:r>
          </w:p>
          <w:p w14:paraId="111AAE1C" w14:textId="77777777" w:rsidR="00B50935" w:rsidRPr="009017BC" w:rsidRDefault="00B50935" w:rsidP="00427764">
            <w:pPr>
              <w:ind w:right="-29"/>
              <w:jc w:val="center"/>
              <w:rPr>
                <w:b/>
                <w:noProof/>
                <w:sz w:val="18"/>
              </w:rPr>
            </w:pPr>
          </w:p>
          <w:p w14:paraId="4796247D" w14:textId="77777777" w:rsidR="00B50935" w:rsidRPr="009017BC" w:rsidRDefault="00B50935" w:rsidP="00427764">
            <w:pPr>
              <w:ind w:right="-29"/>
              <w:jc w:val="center"/>
              <w:rPr>
                <w:noProof/>
                <w:sz w:val="18"/>
              </w:rPr>
            </w:pPr>
            <w:r w:rsidRPr="009017BC">
              <w:rPr>
                <w:sz w:val="18"/>
              </w:rPr>
              <w:sym w:font="Wingdings" w:char="F0F2"/>
            </w:r>
          </w:p>
        </w:tc>
        <w:tc>
          <w:tcPr>
            <w:tcW w:w="447" w:type="dxa"/>
            <w:vAlign w:val="center"/>
          </w:tcPr>
          <w:p w14:paraId="6602B1B7" w14:textId="77777777" w:rsidR="00B50935" w:rsidRPr="009017BC" w:rsidRDefault="00B50935" w:rsidP="00427764">
            <w:pPr>
              <w:ind w:right="-29"/>
              <w:jc w:val="center"/>
              <w:rPr>
                <w:noProof/>
                <w:sz w:val="18"/>
              </w:rPr>
            </w:pPr>
          </w:p>
        </w:tc>
        <w:tc>
          <w:tcPr>
            <w:tcW w:w="542" w:type="dxa"/>
            <w:vAlign w:val="center"/>
          </w:tcPr>
          <w:p w14:paraId="10689F50" w14:textId="77777777" w:rsidR="00B50935" w:rsidRPr="009017BC" w:rsidRDefault="00B50935" w:rsidP="00427764">
            <w:pPr>
              <w:ind w:right="-29"/>
              <w:jc w:val="center"/>
              <w:rPr>
                <w:noProof/>
                <w:sz w:val="18"/>
              </w:rPr>
            </w:pPr>
          </w:p>
        </w:tc>
        <w:tc>
          <w:tcPr>
            <w:tcW w:w="1383" w:type="dxa"/>
            <w:gridSpan w:val="4"/>
            <w:tcBorders>
              <w:left w:val="nil"/>
            </w:tcBorders>
            <w:vAlign w:val="center"/>
          </w:tcPr>
          <w:p w14:paraId="18B46DC6" w14:textId="77777777" w:rsidR="00B50935" w:rsidRPr="009017BC" w:rsidRDefault="00B50935" w:rsidP="00427764">
            <w:pPr>
              <w:ind w:right="-29"/>
              <w:jc w:val="center"/>
              <w:rPr>
                <w:noProof/>
                <w:sz w:val="18"/>
              </w:rPr>
            </w:pPr>
            <w:r w:rsidRPr="009017BC">
              <w:rPr>
                <w:sz w:val="20"/>
              </w:rPr>
              <w:t>Año</w:t>
            </w:r>
            <w:r w:rsidRPr="009017BC">
              <w:t xml:space="preserve"> </w:t>
            </w:r>
            <w:r w:rsidRPr="009017BC">
              <w:br/>
            </w:r>
            <w:r w:rsidRPr="009017BC">
              <w:rPr>
                <w:b/>
                <w:sz w:val="20"/>
              </w:rPr>
              <w:t>2021</w:t>
            </w:r>
          </w:p>
        </w:tc>
        <w:tc>
          <w:tcPr>
            <w:tcW w:w="1260" w:type="dxa"/>
            <w:gridSpan w:val="4"/>
            <w:vAlign w:val="center"/>
          </w:tcPr>
          <w:p w14:paraId="5CE3F0C3" w14:textId="77777777" w:rsidR="00B50935" w:rsidRPr="009017BC" w:rsidRDefault="00B50935" w:rsidP="00427764">
            <w:pPr>
              <w:ind w:right="-29"/>
              <w:jc w:val="center"/>
              <w:rPr>
                <w:noProof/>
                <w:sz w:val="18"/>
              </w:rPr>
            </w:pPr>
            <w:r w:rsidRPr="009017BC">
              <w:rPr>
                <w:sz w:val="20"/>
              </w:rPr>
              <w:t>Año</w:t>
            </w:r>
            <w:r w:rsidRPr="009017BC">
              <w:t xml:space="preserve"> </w:t>
            </w:r>
            <w:r w:rsidRPr="009017BC">
              <w:br/>
            </w:r>
            <w:r w:rsidRPr="009017BC">
              <w:rPr>
                <w:b/>
                <w:sz w:val="20"/>
              </w:rPr>
              <w:t>2022</w:t>
            </w:r>
          </w:p>
        </w:tc>
        <w:tc>
          <w:tcPr>
            <w:tcW w:w="1440" w:type="dxa"/>
            <w:gridSpan w:val="4"/>
            <w:vAlign w:val="center"/>
          </w:tcPr>
          <w:p w14:paraId="2F984CA5" w14:textId="77777777" w:rsidR="00B50935" w:rsidRPr="009017BC" w:rsidRDefault="00B50935" w:rsidP="00427764">
            <w:pPr>
              <w:ind w:right="-29"/>
              <w:jc w:val="center"/>
              <w:rPr>
                <w:noProof/>
                <w:sz w:val="18"/>
              </w:rPr>
            </w:pPr>
            <w:r w:rsidRPr="009017BC">
              <w:rPr>
                <w:sz w:val="20"/>
              </w:rPr>
              <w:t>Año</w:t>
            </w:r>
            <w:r w:rsidRPr="009017BC">
              <w:t xml:space="preserve"> </w:t>
            </w:r>
            <w:r w:rsidRPr="009017BC">
              <w:br/>
            </w:r>
            <w:r w:rsidRPr="009017BC">
              <w:rPr>
                <w:b/>
                <w:sz w:val="20"/>
              </w:rPr>
              <w:t>2023</w:t>
            </w:r>
          </w:p>
        </w:tc>
        <w:tc>
          <w:tcPr>
            <w:tcW w:w="1620" w:type="dxa"/>
            <w:gridSpan w:val="5"/>
            <w:vAlign w:val="center"/>
          </w:tcPr>
          <w:p w14:paraId="00C12DB0" w14:textId="77777777" w:rsidR="00B50935" w:rsidRPr="009017BC" w:rsidRDefault="00B50935" w:rsidP="00427764">
            <w:pPr>
              <w:ind w:right="-29"/>
              <w:jc w:val="center"/>
              <w:rPr>
                <w:noProof/>
                <w:sz w:val="18"/>
              </w:rPr>
            </w:pPr>
            <w:r w:rsidRPr="009017BC">
              <w:rPr>
                <w:sz w:val="20"/>
              </w:rPr>
              <w:t>Año</w:t>
            </w:r>
            <w:r w:rsidRPr="009017BC">
              <w:t xml:space="preserve"> </w:t>
            </w:r>
            <w:r w:rsidRPr="009017BC">
              <w:br/>
            </w:r>
            <w:r w:rsidRPr="009017BC">
              <w:rPr>
                <w:b/>
                <w:sz w:val="20"/>
              </w:rPr>
              <w:t>2024</w:t>
            </w:r>
          </w:p>
        </w:tc>
        <w:tc>
          <w:tcPr>
            <w:tcW w:w="1203" w:type="dxa"/>
            <w:gridSpan w:val="5"/>
            <w:vAlign w:val="center"/>
          </w:tcPr>
          <w:p w14:paraId="0E0260F4"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2025</w:t>
            </w:r>
          </w:p>
        </w:tc>
        <w:tc>
          <w:tcPr>
            <w:tcW w:w="1200" w:type="dxa"/>
            <w:gridSpan w:val="5"/>
            <w:vAlign w:val="center"/>
          </w:tcPr>
          <w:p w14:paraId="0C4E23F9"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2026</w:t>
            </w:r>
          </w:p>
        </w:tc>
        <w:tc>
          <w:tcPr>
            <w:tcW w:w="1200" w:type="dxa"/>
            <w:gridSpan w:val="3"/>
            <w:vAlign w:val="center"/>
          </w:tcPr>
          <w:p w14:paraId="2CC6B055"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620" w:type="dxa"/>
            <w:gridSpan w:val="4"/>
            <w:tcBorders>
              <w:left w:val="nil"/>
              <w:bottom w:val="nil"/>
            </w:tcBorders>
            <w:vAlign w:val="center"/>
          </w:tcPr>
          <w:p w14:paraId="5D6776CB" w14:textId="77777777" w:rsidR="00B50935" w:rsidRPr="009017BC" w:rsidRDefault="00B50935" w:rsidP="00427764">
            <w:pPr>
              <w:ind w:right="-29"/>
              <w:jc w:val="center"/>
              <w:rPr>
                <w:noProof/>
                <w:sz w:val="18"/>
              </w:rPr>
            </w:pPr>
            <w:r w:rsidRPr="009017BC">
              <w:rPr>
                <w:b/>
                <w:sz w:val="20"/>
              </w:rPr>
              <w:t>TOTAL</w:t>
            </w:r>
          </w:p>
        </w:tc>
      </w:tr>
      <w:tr w:rsidR="00B50935" w:rsidRPr="009017BC" w14:paraId="4467580F" w14:textId="77777777" w:rsidTr="00427764">
        <w:trPr>
          <w:gridAfter w:val="1"/>
          <w:wAfter w:w="12" w:type="dxa"/>
          <w:jc w:val="center"/>
        </w:trPr>
        <w:tc>
          <w:tcPr>
            <w:tcW w:w="1696" w:type="dxa"/>
            <w:vMerge/>
            <w:vAlign w:val="center"/>
          </w:tcPr>
          <w:p w14:paraId="2C68458A" w14:textId="77777777" w:rsidR="00B50935" w:rsidRPr="009017BC" w:rsidRDefault="00B50935" w:rsidP="00427764">
            <w:pPr>
              <w:rPr>
                <w:noProof/>
                <w:sz w:val="18"/>
              </w:rPr>
            </w:pPr>
          </w:p>
        </w:tc>
        <w:tc>
          <w:tcPr>
            <w:tcW w:w="11915" w:type="dxa"/>
            <w:gridSpan w:val="36"/>
            <w:vAlign w:val="center"/>
          </w:tcPr>
          <w:p w14:paraId="37409A2C" w14:textId="77777777" w:rsidR="00B50935" w:rsidRPr="009017BC" w:rsidRDefault="00B50935" w:rsidP="00427764">
            <w:pPr>
              <w:spacing w:before="60" w:after="60"/>
              <w:ind w:right="-29"/>
              <w:jc w:val="center"/>
              <w:rPr>
                <w:noProof/>
                <w:sz w:val="18"/>
              </w:rPr>
            </w:pPr>
            <w:r w:rsidRPr="009017BC">
              <w:rPr>
                <w:b/>
                <w:sz w:val="18"/>
              </w:rPr>
              <w:t>RESULTADOS</w:t>
            </w:r>
          </w:p>
        </w:tc>
      </w:tr>
      <w:tr w:rsidR="00B50935" w:rsidRPr="009017BC" w14:paraId="56A09EC3" w14:textId="77777777" w:rsidTr="00427764">
        <w:trPr>
          <w:gridAfter w:val="1"/>
          <w:wAfter w:w="12" w:type="dxa"/>
          <w:cantSplit/>
          <w:trHeight w:val="1134"/>
          <w:jc w:val="center"/>
        </w:trPr>
        <w:tc>
          <w:tcPr>
            <w:tcW w:w="1696" w:type="dxa"/>
            <w:vMerge/>
            <w:vAlign w:val="center"/>
          </w:tcPr>
          <w:p w14:paraId="4BAA1BA1" w14:textId="77777777" w:rsidR="00B50935" w:rsidRPr="009017BC" w:rsidRDefault="00B50935" w:rsidP="00427764">
            <w:pPr>
              <w:rPr>
                <w:noProof/>
                <w:sz w:val="18"/>
              </w:rPr>
            </w:pPr>
          </w:p>
        </w:tc>
        <w:tc>
          <w:tcPr>
            <w:tcW w:w="447" w:type="dxa"/>
            <w:vAlign w:val="center"/>
          </w:tcPr>
          <w:p w14:paraId="57F2C3B5" w14:textId="77777777" w:rsidR="00B50935" w:rsidRPr="009017BC" w:rsidRDefault="00B50935" w:rsidP="00427764">
            <w:pPr>
              <w:jc w:val="center"/>
              <w:rPr>
                <w:noProof/>
                <w:sz w:val="18"/>
              </w:rPr>
            </w:pPr>
            <w:r w:rsidRPr="009017BC">
              <w:rPr>
                <w:sz w:val="18"/>
              </w:rPr>
              <w:t>Tipo</w:t>
            </w:r>
            <w:r w:rsidRPr="009017BC">
              <w:rPr>
                <w:rStyle w:val="FootnoteReference"/>
                <w:noProof/>
                <w:sz w:val="18"/>
              </w:rPr>
              <w:footnoteReference w:id="19"/>
            </w:r>
          </w:p>
        </w:tc>
        <w:tc>
          <w:tcPr>
            <w:tcW w:w="542" w:type="dxa"/>
            <w:vAlign w:val="center"/>
          </w:tcPr>
          <w:p w14:paraId="174AD6E4" w14:textId="77777777" w:rsidR="00B50935" w:rsidRPr="009017BC" w:rsidRDefault="00B50935" w:rsidP="00427764">
            <w:pPr>
              <w:jc w:val="center"/>
              <w:rPr>
                <w:noProof/>
              </w:rPr>
            </w:pPr>
            <w:r w:rsidRPr="009017BC">
              <w:rPr>
                <w:sz w:val="18"/>
              </w:rPr>
              <w:t>Coste medio</w:t>
            </w:r>
          </w:p>
        </w:tc>
        <w:tc>
          <w:tcPr>
            <w:tcW w:w="663" w:type="dxa"/>
            <w:gridSpan w:val="2"/>
            <w:tcBorders>
              <w:left w:val="nil"/>
              <w:right w:val="dashSmallGap" w:sz="4" w:space="0" w:color="auto"/>
            </w:tcBorders>
            <w:shd w:val="pct10" w:color="auto" w:fill="auto"/>
            <w:textDirection w:val="btLr"/>
            <w:vAlign w:val="center"/>
          </w:tcPr>
          <w:p w14:paraId="2D229E07" w14:textId="77777777" w:rsidR="00B50935" w:rsidRPr="009017BC" w:rsidRDefault="00B50935" w:rsidP="00427764">
            <w:pPr>
              <w:ind w:left="113" w:right="113"/>
              <w:jc w:val="center"/>
              <w:rPr>
                <w:noProof/>
              </w:rPr>
            </w:pPr>
            <w:r w:rsidRPr="009017BC">
              <w:rPr>
                <w:sz w:val="18"/>
              </w:rPr>
              <w:t>Número</w:t>
            </w:r>
          </w:p>
        </w:tc>
        <w:tc>
          <w:tcPr>
            <w:tcW w:w="720" w:type="dxa"/>
            <w:gridSpan w:val="2"/>
            <w:tcBorders>
              <w:left w:val="dashSmallGap" w:sz="4" w:space="0" w:color="auto"/>
            </w:tcBorders>
            <w:shd w:val="pct10" w:color="auto" w:fill="auto"/>
            <w:vAlign w:val="center"/>
          </w:tcPr>
          <w:p w14:paraId="24154B09" w14:textId="77777777" w:rsidR="00B50935" w:rsidRPr="009017BC" w:rsidRDefault="00B50935" w:rsidP="00427764">
            <w:pPr>
              <w:jc w:val="center"/>
              <w:rPr>
                <w:noProof/>
                <w:sz w:val="18"/>
              </w:rPr>
            </w:pPr>
            <w:r w:rsidRPr="009017BC">
              <w:rPr>
                <w:sz w:val="18"/>
              </w:rPr>
              <w:t>Coste</w:t>
            </w:r>
          </w:p>
        </w:tc>
        <w:tc>
          <w:tcPr>
            <w:tcW w:w="540" w:type="dxa"/>
            <w:gridSpan w:val="2"/>
            <w:tcBorders>
              <w:right w:val="dashSmallGap" w:sz="4" w:space="0" w:color="auto"/>
            </w:tcBorders>
            <w:shd w:val="pct10" w:color="auto" w:fill="auto"/>
            <w:textDirection w:val="btLr"/>
            <w:vAlign w:val="center"/>
          </w:tcPr>
          <w:p w14:paraId="5FEC5F9A" w14:textId="77777777" w:rsidR="00B50935" w:rsidRPr="009017BC" w:rsidRDefault="00B50935" w:rsidP="00427764">
            <w:pPr>
              <w:ind w:left="113" w:right="113"/>
              <w:jc w:val="center"/>
              <w:rPr>
                <w:noProof/>
              </w:rPr>
            </w:pPr>
            <w:r w:rsidRPr="009017BC">
              <w:rPr>
                <w:sz w:val="18"/>
              </w:rPr>
              <w:t>Número</w:t>
            </w:r>
          </w:p>
        </w:tc>
        <w:tc>
          <w:tcPr>
            <w:tcW w:w="720" w:type="dxa"/>
            <w:gridSpan w:val="2"/>
            <w:tcBorders>
              <w:left w:val="dashSmallGap" w:sz="4" w:space="0" w:color="auto"/>
            </w:tcBorders>
            <w:shd w:val="pct10" w:color="auto" w:fill="auto"/>
            <w:vAlign w:val="center"/>
          </w:tcPr>
          <w:p w14:paraId="0A1C6DCA" w14:textId="77777777" w:rsidR="00B50935" w:rsidRPr="009017BC" w:rsidRDefault="00B50935" w:rsidP="00427764">
            <w:pPr>
              <w:jc w:val="center"/>
              <w:rPr>
                <w:noProof/>
                <w:sz w:val="18"/>
              </w:rPr>
            </w:pPr>
            <w:r w:rsidRPr="009017BC">
              <w:rPr>
                <w:sz w:val="18"/>
              </w:rPr>
              <w:t>Coste</w:t>
            </w:r>
          </w:p>
        </w:tc>
        <w:tc>
          <w:tcPr>
            <w:tcW w:w="720" w:type="dxa"/>
            <w:gridSpan w:val="2"/>
            <w:tcBorders>
              <w:right w:val="dashSmallGap" w:sz="4" w:space="0" w:color="auto"/>
            </w:tcBorders>
            <w:shd w:val="pct10" w:color="auto" w:fill="auto"/>
            <w:textDirection w:val="btLr"/>
            <w:vAlign w:val="center"/>
          </w:tcPr>
          <w:p w14:paraId="7FACA5DC" w14:textId="77777777" w:rsidR="00B50935" w:rsidRPr="009017BC" w:rsidRDefault="00B50935" w:rsidP="00427764">
            <w:pPr>
              <w:ind w:left="113" w:right="113"/>
              <w:jc w:val="center"/>
              <w:rPr>
                <w:noProof/>
              </w:rPr>
            </w:pPr>
            <w:r w:rsidRPr="009017BC">
              <w:rPr>
                <w:sz w:val="18"/>
              </w:rPr>
              <w:t>Número</w:t>
            </w:r>
          </w:p>
        </w:tc>
        <w:tc>
          <w:tcPr>
            <w:tcW w:w="720" w:type="dxa"/>
            <w:gridSpan w:val="2"/>
            <w:tcBorders>
              <w:left w:val="dashSmallGap" w:sz="4" w:space="0" w:color="auto"/>
            </w:tcBorders>
            <w:shd w:val="pct10" w:color="auto" w:fill="auto"/>
            <w:vAlign w:val="center"/>
          </w:tcPr>
          <w:p w14:paraId="1D63F411" w14:textId="77777777" w:rsidR="00B50935" w:rsidRPr="009017BC" w:rsidRDefault="00B50935" w:rsidP="00427764">
            <w:pPr>
              <w:jc w:val="center"/>
              <w:rPr>
                <w:noProof/>
                <w:sz w:val="18"/>
              </w:rPr>
            </w:pPr>
            <w:r w:rsidRPr="009017BC">
              <w:rPr>
                <w:sz w:val="18"/>
              </w:rPr>
              <w:t>Coste</w:t>
            </w:r>
          </w:p>
        </w:tc>
        <w:tc>
          <w:tcPr>
            <w:tcW w:w="900" w:type="dxa"/>
            <w:gridSpan w:val="2"/>
            <w:tcBorders>
              <w:right w:val="dashSmallGap" w:sz="4" w:space="0" w:color="auto"/>
            </w:tcBorders>
            <w:shd w:val="pct10" w:color="auto" w:fill="auto"/>
            <w:textDirection w:val="btLr"/>
            <w:vAlign w:val="center"/>
          </w:tcPr>
          <w:p w14:paraId="1E96EF7E" w14:textId="77777777" w:rsidR="00B50935" w:rsidRPr="009017BC" w:rsidRDefault="00B50935" w:rsidP="00427764">
            <w:pPr>
              <w:ind w:left="113" w:right="113"/>
              <w:jc w:val="center"/>
              <w:rPr>
                <w:noProof/>
              </w:rPr>
            </w:pPr>
            <w:r w:rsidRPr="009017BC">
              <w:rPr>
                <w:sz w:val="18"/>
              </w:rPr>
              <w:t>Número</w:t>
            </w:r>
          </w:p>
        </w:tc>
        <w:tc>
          <w:tcPr>
            <w:tcW w:w="720" w:type="dxa"/>
            <w:gridSpan w:val="3"/>
            <w:tcBorders>
              <w:left w:val="dashSmallGap" w:sz="4" w:space="0" w:color="auto"/>
            </w:tcBorders>
            <w:shd w:val="pct10" w:color="auto" w:fill="auto"/>
            <w:vAlign w:val="center"/>
          </w:tcPr>
          <w:p w14:paraId="1F6E7AE9" w14:textId="77777777" w:rsidR="00B50935" w:rsidRPr="009017BC" w:rsidRDefault="00B50935" w:rsidP="00427764">
            <w:pPr>
              <w:jc w:val="center"/>
              <w:rPr>
                <w:noProof/>
                <w:sz w:val="18"/>
              </w:rPr>
            </w:pPr>
            <w:r w:rsidRPr="009017BC">
              <w:rPr>
                <w:sz w:val="18"/>
              </w:rPr>
              <w:t>Coste</w:t>
            </w:r>
          </w:p>
        </w:tc>
        <w:tc>
          <w:tcPr>
            <w:tcW w:w="540" w:type="dxa"/>
            <w:gridSpan w:val="2"/>
            <w:tcBorders>
              <w:right w:val="dashSmallGap" w:sz="4" w:space="0" w:color="auto"/>
            </w:tcBorders>
            <w:shd w:val="pct10" w:color="auto" w:fill="auto"/>
            <w:textDirection w:val="btLr"/>
            <w:vAlign w:val="center"/>
          </w:tcPr>
          <w:p w14:paraId="6C6DF0B8" w14:textId="77777777" w:rsidR="00B50935" w:rsidRPr="009017BC" w:rsidRDefault="00B50935" w:rsidP="00427764">
            <w:pPr>
              <w:ind w:left="113" w:right="113"/>
              <w:jc w:val="center"/>
              <w:rPr>
                <w:noProof/>
              </w:rPr>
            </w:pPr>
            <w:r w:rsidRPr="009017BC">
              <w:rPr>
                <w:sz w:val="18"/>
              </w:rPr>
              <w:t>Número</w:t>
            </w:r>
          </w:p>
        </w:tc>
        <w:tc>
          <w:tcPr>
            <w:tcW w:w="648" w:type="dxa"/>
            <w:gridSpan w:val="2"/>
            <w:tcBorders>
              <w:left w:val="dashSmallGap" w:sz="4" w:space="0" w:color="auto"/>
            </w:tcBorders>
            <w:shd w:val="pct10" w:color="auto" w:fill="auto"/>
            <w:vAlign w:val="center"/>
          </w:tcPr>
          <w:p w14:paraId="50B8A5E6" w14:textId="77777777" w:rsidR="00B50935" w:rsidRPr="009017BC" w:rsidRDefault="00B50935" w:rsidP="00427764">
            <w:pPr>
              <w:jc w:val="center"/>
              <w:rPr>
                <w:noProof/>
                <w:sz w:val="18"/>
              </w:rPr>
            </w:pPr>
            <w:r w:rsidRPr="009017BC">
              <w:rPr>
                <w:sz w:val="18"/>
              </w:rPr>
              <w:t>Coste</w:t>
            </w:r>
          </w:p>
        </w:tc>
        <w:tc>
          <w:tcPr>
            <w:tcW w:w="432" w:type="dxa"/>
            <w:gridSpan w:val="2"/>
            <w:tcBorders>
              <w:right w:val="dashSmallGap" w:sz="4" w:space="0" w:color="auto"/>
            </w:tcBorders>
            <w:shd w:val="pct10" w:color="auto" w:fill="auto"/>
            <w:textDirection w:val="btLr"/>
            <w:vAlign w:val="center"/>
          </w:tcPr>
          <w:p w14:paraId="56C1477D" w14:textId="77777777" w:rsidR="00B50935" w:rsidRPr="009017BC" w:rsidRDefault="00B50935" w:rsidP="00427764">
            <w:pPr>
              <w:ind w:left="113" w:right="113"/>
              <w:jc w:val="center"/>
              <w:rPr>
                <w:noProof/>
              </w:rPr>
            </w:pPr>
            <w:r w:rsidRPr="009017BC">
              <w:rPr>
                <w:sz w:val="18"/>
              </w:rPr>
              <w:t>Número</w:t>
            </w:r>
          </w:p>
        </w:tc>
        <w:tc>
          <w:tcPr>
            <w:tcW w:w="720" w:type="dxa"/>
            <w:gridSpan w:val="2"/>
            <w:tcBorders>
              <w:left w:val="dashSmallGap" w:sz="4" w:space="0" w:color="auto"/>
            </w:tcBorders>
            <w:shd w:val="pct10" w:color="auto" w:fill="auto"/>
            <w:vAlign w:val="center"/>
          </w:tcPr>
          <w:p w14:paraId="4FE06592" w14:textId="77777777" w:rsidR="00B50935" w:rsidRPr="009017BC" w:rsidRDefault="00B50935" w:rsidP="00427764">
            <w:pPr>
              <w:jc w:val="center"/>
              <w:rPr>
                <w:noProof/>
                <w:sz w:val="18"/>
              </w:rPr>
            </w:pPr>
            <w:r w:rsidRPr="009017BC">
              <w:rPr>
                <w:sz w:val="18"/>
              </w:rPr>
              <w:t>Coste</w:t>
            </w:r>
          </w:p>
        </w:tc>
        <w:tc>
          <w:tcPr>
            <w:tcW w:w="540" w:type="dxa"/>
            <w:gridSpan w:val="3"/>
            <w:tcBorders>
              <w:right w:val="dashSmallGap" w:sz="4" w:space="0" w:color="auto"/>
            </w:tcBorders>
            <w:shd w:val="pct10" w:color="auto" w:fill="auto"/>
            <w:textDirection w:val="btLr"/>
            <w:vAlign w:val="center"/>
          </w:tcPr>
          <w:p w14:paraId="6EA55FBD" w14:textId="77777777" w:rsidR="00B50935" w:rsidRPr="009017BC" w:rsidRDefault="00B50935" w:rsidP="00427764">
            <w:pPr>
              <w:ind w:left="113" w:right="113"/>
              <w:jc w:val="center"/>
              <w:rPr>
                <w:noProof/>
              </w:rPr>
            </w:pPr>
            <w:r w:rsidRPr="009017BC">
              <w:rPr>
                <w:sz w:val="18"/>
              </w:rPr>
              <w:t>Número</w:t>
            </w:r>
          </w:p>
        </w:tc>
        <w:tc>
          <w:tcPr>
            <w:tcW w:w="723" w:type="dxa"/>
            <w:gridSpan w:val="2"/>
            <w:tcBorders>
              <w:left w:val="dashSmallGap" w:sz="4" w:space="0" w:color="auto"/>
            </w:tcBorders>
            <w:shd w:val="pct10" w:color="auto" w:fill="auto"/>
            <w:vAlign w:val="center"/>
          </w:tcPr>
          <w:p w14:paraId="5956BD5C" w14:textId="77777777" w:rsidR="00B50935" w:rsidRPr="009017BC" w:rsidRDefault="00B50935" w:rsidP="00427764">
            <w:pPr>
              <w:jc w:val="center"/>
              <w:rPr>
                <w:noProof/>
                <w:sz w:val="18"/>
              </w:rPr>
            </w:pPr>
            <w:r w:rsidRPr="009017BC">
              <w:rPr>
                <w:sz w:val="18"/>
              </w:rPr>
              <w:t>Coste</w:t>
            </w:r>
          </w:p>
        </w:tc>
        <w:tc>
          <w:tcPr>
            <w:tcW w:w="720" w:type="dxa"/>
            <w:gridSpan w:val="2"/>
            <w:tcBorders>
              <w:right w:val="dashSmallGap" w:sz="4" w:space="0" w:color="auto"/>
            </w:tcBorders>
            <w:shd w:val="pct10" w:color="auto" w:fill="auto"/>
            <w:vAlign w:val="center"/>
          </w:tcPr>
          <w:p w14:paraId="6FAB5B3E" w14:textId="77777777" w:rsidR="00B50935" w:rsidRPr="009017BC" w:rsidRDefault="00B50935" w:rsidP="00427764">
            <w:pPr>
              <w:jc w:val="center"/>
              <w:rPr>
                <w:noProof/>
                <w:sz w:val="18"/>
              </w:rPr>
            </w:pPr>
            <w:r w:rsidRPr="009017BC">
              <w:rPr>
                <w:sz w:val="18"/>
              </w:rPr>
              <w:t>Número total</w:t>
            </w:r>
          </w:p>
        </w:tc>
        <w:tc>
          <w:tcPr>
            <w:tcW w:w="900" w:type="dxa"/>
            <w:gridSpan w:val="2"/>
            <w:tcBorders>
              <w:left w:val="dashSmallGap" w:sz="4" w:space="0" w:color="auto"/>
            </w:tcBorders>
            <w:shd w:val="pct10" w:color="auto" w:fill="auto"/>
            <w:vAlign w:val="center"/>
          </w:tcPr>
          <w:p w14:paraId="1BD85E26" w14:textId="77777777" w:rsidR="00B50935" w:rsidRPr="009017BC" w:rsidRDefault="00B50935" w:rsidP="00427764">
            <w:pPr>
              <w:jc w:val="center"/>
              <w:rPr>
                <w:noProof/>
              </w:rPr>
            </w:pPr>
            <w:r w:rsidRPr="009017BC">
              <w:rPr>
                <w:sz w:val="18"/>
              </w:rPr>
              <w:t>Coste total</w:t>
            </w:r>
          </w:p>
        </w:tc>
      </w:tr>
      <w:tr w:rsidR="00B50935" w:rsidRPr="009017BC" w14:paraId="32F19BFB" w14:textId="77777777" w:rsidTr="00427764">
        <w:trPr>
          <w:gridAfter w:val="1"/>
          <w:wAfter w:w="12" w:type="dxa"/>
          <w:jc w:val="center"/>
        </w:trPr>
        <w:tc>
          <w:tcPr>
            <w:tcW w:w="13611" w:type="dxa"/>
            <w:gridSpan w:val="37"/>
            <w:vAlign w:val="center"/>
          </w:tcPr>
          <w:p w14:paraId="6AF77933" w14:textId="77777777" w:rsidR="00B50935" w:rsidRPr="009017BC" w:rsidRDefault="00B50935" w:rsidP="00427764">
            <w:pPr>
              <w:spacing w:before="60" w:after="60"/>
              <w:ind w:right="-29"/>
              <w:jc w:val="center"/>
              <w:rPr>
                <w:noProof/>
                <w:sz w:val="18"/>
              </w:rPr>
            </w:pPr>
            <w:r w:rsidRPr="009017BC">
              <w:rPr>
                <w:sz w:val="18"/>
              </w:rPr>
              <w:t>OBJETIVO ESPECÍFICO N.º 1</w:t>
            </w:r>
            <w:r w:rsidRPr="009017BC">
              <w:t>: facilitar puntualmente información a la Comisión, a los Estados miembros, a las agencias de la UE y a las organizaciones internacionales activas en el ámbito de la salud pública, incluidas evaluaciones de riesgo</w:t>
            </w:r>
          </w:p>
        </w:tc>
      </w:tr>
      <w:tr w:rsidR="00B50935" w:rsidRPr="009017BC" w14:paraId="2412D7B9" w14:textId="77777777" w:rsidTr="00427764">
        <w:trPr>
          <w:gridAfter w:val="1"/>
          <w:wAfter w:w="12" w:type="dxa"/>
          <w:trHeight w:hRule="exact" w:val="3884"/>
          <w:jc w:val="center"/>
        </w:trPr>
        <w:tc>
          <w:tcPr>
            <w:tcW w:w="1696" w:type="dxa"/>
          </w:tcPr>
          <w:p w14:paraId="79F9A8CC" w14:textId="47A82D61" w:rsidR="00B50935" w:rsidRPr="009017BC" w:rsidRDefault="00B50935" w:rsidP="00427764">
            <w:pPr>
              <w:ind w:right="-29"/>
              <w:jc w:val="center"/>
              <w:rPr>
                <w:noProof/>
                <w:sz w:val="18"/>
              </w:rPr>
            </w:pPr>
            <w:r w:rsidRPr="009017BC">
              <w:rPr>
                <w:sz w:val="18"/>
              </w:rPr>
              <w:t>- Resultado: crear una nueva plataforma gestionada conjuntamente por la EMA y el ECDC, para estudios de vigilancia poscomercialización, seguimiento de la seguridad, la eficacia y la incidencia de la vacunación; las próximas vacunas contra la COVID-19 deben ser las primeras vacunas objeto de seguimiento en el mecanismo de esta plataforma</w:t>
            </w:r>
          </w:p>
        </w:tc>
        <w:tc>
          <w:tcPr>
            <w:tcW w:w="447" w:type="dxa"/>
          </w:tcPr>
          <w:p w14:paraId="79CD9849" w14:textId="77777777" w:rsidR="00B50935" w:rsidRPr="009017BC" w:rsidRDefault="00B50935" w:rsidP="00427764">
            <w:pPr>
              <w:ind w:right="-29"/>
              <w:jc w:val="center"/>
              <w:rPr>
                <w:noProof/>
                <w:sz w:val="18"/>
              </w:rPr>
            </w:pPr>
          </w:p>
        </w:tc>
        <w:tc>
          <w:tcPr>
            <w:tcW w:w="542" w:type="dxa"/>
          </w:tcPr>
          <w:p w14:paraId="5F582439" w14:textId="77777777" w:rsidR="00B50935" w:rsidRPr="009017BC" w:rsidRDefault="00B50935" w:rsidP="00427764">
            <w:pPr>
              <w:ind w:right="-29"/>
              <w:jc w:val="center"/>
              <w:rPr>
                <w:noProof/>
                <w:sz w:val="18"/>
              </w:rPr>
            </w:pPr>
          </w:p>
        </w:tc>
        <w:tc>
          <w:tcPr>
            <w:tcW w:w="663" w:type="dxa"/>
            <w:gridSpan w:val="2"/>
            <w:tcBorders>
              <w:right w:val="dashSmallGap" w:sz="4" w:space="0" w:color="auto"/>
            </w:tcBorders>
          </w:tcPr>
          <w:p w14:paraId="53729AB6"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6EA6298E" w14:textId="77777777" w:rsidR="00B50935" w:rsidRPr="009017BC" w:rsidRDefault="00B50935" w:rsidP="00427764">
            <w:pPr>
              <w:ind w:right="-29"/>
              <w:jc w:val="center"/>
              <w:rPr>
                <w:noProof/>
                <w:sz w:val="18"/>
              </w:rPr>
            </w:pPr>
            <w:r w:rsidRPr="009017BC">
              <w:rPr>
                <w:sz w:val="18"/>
              </w:rPr>
              <w:t>7,000</w:t>
            </w:r>
          </w:p>
        </w:tc>
        <w:tc>
          <w:tcPr>
            <w:tcW w:w="540" w:type="dxa"/>
            <w:gridSpan w:val="2"/>
            <w:tcBorders>
              <w:right w:val="dashSmallGap" w:sz="4" w:space="0" w:color="auto"/>
            </w:tcBorders>
          </w:tcPr>
          <w:p w14:paraId="77952CEF"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30E9D2DF" w14:textId="77777777" w:rsidR="00B50935" w:rsidRPr="009017BC" w:rsidRDefault="00B50935" w:rsidP="00427764">
            <w:pPr>
              <w:ind w:right="-29"/>
              <w:jc w:val="center"/>
              <w:rPr>
                <w:noProof/>
                <w:sz w:val="18"/>
              </w:rPr>
            </w:pPr>
            <w:r w:rsidRPr="009017BC">
              <w:rPr>
                <w:sz w:val="18"/>
              </w:rPr>
              <w:t>7,000</w:t>
            </w:r>
          </w:p>
        </w:tc>
        <w:tc>
          <w:tcPr>
            <w:tcW w:w="720" w:type="dxa"/>
            <w:gridSpan w:val="2"/>
            <w:tcBorders>
              <w:right w:val="dashSmallGap" w:sz="4" w:space="0" w:color="auto"/>
            </w:tcBorders>
          </w:tcPr>
          <w:p w14:paraId="154B8D35"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0E74D5B7" w14:textId="77777777" w:rsidR="00B50935" w:rsidRPr="009017BC" w:rsidRDefault="00B50935" w:rsidP="00427764">
            <w:pPr>
              <w:ind w:right="-29"/>
              <w:jc w:val="center"/>
              <w:rPr>
                <w:noProof/>
                <w:sz w:val="18"/>
              </w:rPr>
            </w:pPr>
            <w:r w:rsidRPr="009017BC">
              <w:rPr>
                <w:sz w:val="18"/>
              </w:rPr>
              <w:t>6,800</w:t>
            </w:r>
          </w:p>
        </w:tc>
        <w:tc>
          <w:tcPr>
            <w:tcW w:w="900" w:type="dxa"/>
            <w:gridSpan w:val="2"/>
            <w:tcBorders>
              <w:right w:val="dashSmallGap" w:sz="4" w:space="0" w:color="auto"/>
            </w:tcBorders>
          </w:tcPr>
          <w:p w14:paraId="33378E72" w14:textId="77777777" w:rsidR="00B50935" w:rsidRPr="009017BC" w:rsidRDefault="00B50935" w:rsidP="00427764">
            <w:pPr>
              <w:ind w:right="-29"/>
              <w:jc w:val="center"/>
              <w:rPr>
                <w:noProof/>
                <w:sz w:val="18"/>
              </w:rPr>
            </w:pPr>
          </w:p>
        </w:tc>
        <w:tc>
          <w:tcPr>
            <w:tcW w:w="720" w:type="dxa"/>
            <w:gridSpan w:val="3"/>
            <w:tcBorders>
              <w:left w:val="dashSmallGap" w:sz="4" w:space="0" w:color="auto"/>
            </w:tcBorders>
          </w:tcPr>
          <w:p w14:paraId="75607165" w14:textId="77777777" w:rsidR="00B50935" w:rsidRPr="009017BC" w:rsidRDefault="00B50935" w:rsidP="00427764">
            <w:pPr>
              <w:ind w:right="-29"/>
              <w:jc w:val="center"/>
              <w:rPr>
                <w:noProof/>
                <w:sz w:val="18"/>
              </w:rPr>
            </w:pPr>
            <w:r w:rsidRPr="009017BC">
              <w:rPr>
                <w:sz w:val="18"/>
              </w:rPr>
              <w:t>6,800</w:t>
            </w:r>
          </w:p>
        </w:tc>
        <w:tc>
          <w:tcPr>
            <w:tcW w:w="540" w:type="dxa"/>
            <w:gridSpan w:val="2"/>
            <w:tcBorders>
              <w:right w:val="dashSmallGap" w:sz="4" w:space="0" w:color="auto"/>
            </w:tcBorders>
          </w:tcPr>
          <w:p w14:paraId="0FEB228F" w14:textId="77777777" w:rsidR="00B50935" w:rsidRPr="009017BC" w:rsidRDefault="00B50935" w:rsidP="00427764">
            <w:pPr>
              <w:ind w:right="-29"/>
              <w:jc w:val="center"/>
              <w:rPr>
                <w:noProof/>
                <w:sz w:val="18"/>
              </w:rPr>
            </w:pPr>
          </w:p>
        </w:tc>
        <w:tc>
          <w:tcPr>
            <w:tcW w:w="648" w:type="dxa"/>
            <w:gridSpan w:val="2"/>
            <w:tcBorders>
              <w:left w:val="dashSmallGap" w:sz="4" w:space="0" w:color="auto"/>
            </w:tcBorders>
          </w:tcPr>
          <w:p w14:paraId="4A998CF5" w14:textId="77777777" w:rsidR="00B50935" w:rsidRPr="009017BC" w:rsidRDefault="00B50935" w:rsidP="00427764">
            <w:pPr>
              <w:ind w:right="-29"/>
              <w:jc w:val="center"/>
              <w:rPr>
                <w:noProof/>
                <w:sz w:val="18"/>
              </w:rPr>
            </w:pPr>
            <w:r w:rsidRPr="009017BC">
              <w:rPr>
                <w:sz w:val="18"/>
              </w:rPr>
              <w:t>6,800</w:t>
            </w:r>
          </w:p>
        </w:tc>
        <w:tc>
          <w:tcPr>
            <w:tcW w:w="432" w:type="dxa"/>
            <w:gridSpan w:val="2"/>
            <w:tcBorders>
              <w:right w:val="dashSmallGap" w:sz="4" w:space="0" w:color="auto"/>
            </w:tcBorders>
          </w:tcPr>
          <w:p w14:paraId="7FC17801"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3C25B8DF" w14:textId="77777777" w:rsidR="00B50935" w:rsidRPr="009017BC" w:rsidRDefault="00B50935" w:rsidP="00427764">
            <w:pPr>
              <w:ind w:right="-29"/>
              <w:jc w:val="center"/>
              <w:rPr>
                <w:noProof/>
                <w:sz w:val="18"/>
              </w:rPr>
            </w:pPr>
            <w:r w:rsidRPr="009017BC">
              <w:rPr>
                <w:sz w:val="18"/>
              </w:rPr>
              <w:t>6,800</w:t>
            </w:r>
          </w:p>
        </w:tc>
        <w:tc>
          <w:tcPr>
            <w:tcW w:w="540" w:type="dxa"/>
            <w:gridSpan w:val="3"/>
            <w:tcBorders>
              <w:right w:val="dashSmallGap" w:sz="4" w:space="0" w:color="auto"/>
            </w:tcBorders>
          </w:tcPr>
          <w:p w14:paraId="0E321C41" w14:textId="77777777" w:rsidR="00B50935" w:rsidRPr="009017BC" w:rsidRDefault="00B50935" w:rsidP="00427764">
            <w:pPr>
              <w:ind w:right="-29"/>
              <w:jc w:val="center"/>
              <w:rPr>
                <w:noProof/>
                <w:sz w:val="18"/>
              </w:rPr>
            </w:pPr>
          </w:p>
        </w:tc>
        <w:tc>
          <w:tcPr>
            <w:tcW w:w="723" w:type="dxa"/>
            <w:gridSpan w:val="2"/>
            <w:tcBorders>
              <w:left w:val="dashSmallGap" w:sz="4" w:space="0" w:color="auto"/>
            </w:tcBorders>
          </w:tcPr>
          <w:p w14:paraId="3372A9E7" w14:textId="77777777" w:rsidR="00B50935" w:rsidRPr="009017BC" w:rsidRDefault="00B50935" w:rsidP="00427764">
            <w:pPr>
              <w:ind w:right="-29"/>
              <w:jc w:val="center"/>
              <w:rPr>
                <w:noProof/>
                <w:sz w:val="18"/>
              </w:rPr>
            </w:pPr>
            <w:r w:rsidRPr="009017BC">
              <w:rPr>
                <w:sz w:val="18"/>
              </w:rPr>
              <w:t>6,800</w:t>
            </w:r>
          </w:p>
        </w:tc>
        <w:tc>
          <w:tcPr>
            <w:tcW w:w="720" w:type="dxa"/>
            <w:gridSpan w:val="2"/>
          </w:tcPr>
          <w:p w14:paraId="50ECD6E9" w14:textId="77777777" w:rsidR="00B50935" w:rsidRPr="009017BC" w:rsidRDefault="00B50935" w:rsidP="00427764">
            <w:pPr>
              <w:ind w:right="-29"/>
              <w:jc w:val="center"/>
              <w:rPr>
                <w:noProof/>
                <w:sz w:val="18"/>
              </w:rPr>
            </w:pPr>
          </w:p>
        </w:tc>
        <w:tc>
          <w:tcPr>
            <w:tcW w:w="900" w:type="dxa"/>
            <w:gridSpan w:val="2"/>
          </w:tcPr>
          <w:p w14:paraId="28FD9A3D" w14:textId="77777777" w:rsidR="00B50935" w:rsidRPr="009017BC" w:rsidRDefault="00B50935" w:rsidP="00427764">
            <w:pPr>
              <w:ind w:right="-29"/>
              <w:jc w:val="center"/>
              <w:rPr>
                <w:noProof/>
                <w:sz w:val="18"/>
              </w:rPr>
            </w:pPr>
            <w:r w:rsidRPr="009017BC">
              <w:rPr>
                <w:sz w:val="18"/>
              </w:rPr>
              <w:t>48,000</w:t>
            </w:r>
          </w:p>
        </w:tc>
      </w:tr>
      <w:tr w:rsidR="00B50935" w:rsidRPr="009017BC" w14:paraId="7C757BF9" w14:textId="77777777" w:rsidTr="00427764">
        <w:trPr>
          <w:gridAfter w:val="1"/>
          <w:wAfter w:w="12" w:type="dxa"/>
          <w:trHeight w:hRule="exact" w:val="369"/>
          <w:jc w:val="center"/>
        </w:trPr>
        <w:tc>
          <w:tcPr>
            <w:tcW w:w="1696" w:type="dxa"/>
          </w:tcPr>
          <w:p w14:paraId="01EAAB94" w14:textId="77777777" w:rsidR="00B50935" w:rsidRPr="009017BC" w:rsidRDefault="00B50935" w:rsidP="00427764">
            <w:pPr>
              <w:ind w:right="-29"/>
              <w:jc w:val="center"/>
              <w:rPr>
                <w:noProof/>
                <w:sz w:val="18"/>
              </w:rPr>
            </w:pPr>
            <w:r w:rsidRPr="009017BC">
              <w:rPr>
                <w:sz w:val="18"/>
              </w:rPr>
              <w:t>- Resultado</w:t>
            </w:r>
          </w:p>
        </w:tc>
        <w:tc>
          <w:tcPr>
            <w:tcW w:w="447" w:type="dxa"/>
          </w:tcPr>
          <w:p w14:paraId="22C4F84D" w14:textId="77777777" w:rsidR="00B50935" w:rsidRPr="009017BC" w:rsidRDefault="00B50935" w:rsidP="00427764">
            <w:pPr>
              <w:ind w:right="-29"/>
              <w:jc w:val="center"/>
              <w:rPr>
                <w:noProof/>
                <w:sz w:val="18"/>
              </w:rPr>
            </w:pPr>
          </w:p>
        </w:tc>
        <w:tc>
          <w:tcPr>
            <w:tcW w:w="542" w:type="dxa"/>
          </w:tcPr>
          <w:p w14:paraId="797669E7" w14:textId="77777777" w:rsidR="00B50935" w:rsidRPr="009017BC" w:rsidRDefault="00B50935" w:rsidP="00427764">
            <w:pPr>
              <w:ind w:right="-29"/>
              <w:jc w:val="center"/>
              <w:rPr>
                <w:noProof/>
                <w:sz w:val="18"/>
              </w:rPr>
            </w:pPr>
          </w:p>
        </w:tc>
        <w:tc>
          <w:tcPr>
            <w:tcW w:w="663" w:type="dxa"/>
            <w:gridSpan w:val="2"/>
            <w:tcBorders>
              <w:right w:val="dashSmallGap" w:sz="4" w:space="0" w:color="auto"/>
            </w:tcBorders>
          </w:tcPr>
          <w:p w14:paraId="4EC9C225"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2D29EFC4" w14:textId="77777777" w:rsidR="00B50935" w:rsidRPr="009017BC" w:rsidRDefault="00B50935" w:rsidP="00427764">
            <w:pPr>
              <w:ind w:right="-29"/>
              <w:jc w:val="center"/>
              <w:rPr>
                <w:noProof/>
                <w:sz w:val="18"/>
              </w:rPr>
            </w:pPr>
          </w:p>
        </w:tc>
        <w:tc>
          <w:tcPr>
            <w:tcW w:w="540" w:type="dxa"/>
            <w:gridSpan w:val="2"/>
            <w:tcBorders>
              <w:right w:val="dashSmallGap" w:sz="4" w:space="0" w:color="auto"/>
            </w:tcBorders>
          </w:tcPr>
          <w:p w14:paraId="3CE00260"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78C80459" w14:textId="77777777" w:rsidR="00B50935" w:rsidRPr="009017BC" w:rsidRDefault="00B50935" w:rsidP="00427764">
            <w:pPr>
              <w:ind w:right="-29"/>
              <w:jc w:val="center"/>
              <w:rPr>
                <w:noProof/>
                <w:sz w:val="18"/>
              </w:rPr>
            </w:pPr>
          </w:p>
        </w:tc>
        <w:tc>
          <w:tcPr>
            <w:tcW w:w="720" w:type="dxa"/>
            <w:gridSpan w:val="2"/>
            <w:tcBorders>
              <w:right w:val="dashSmallGap" w:sz="4" w:space="0" w:color="auto"/>
            </w:tcBorders>
          </w:tcPr>
          <w:p w14:paraId="2C5BC49E"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5792A5A8" w14:textId="77777777" w:rsidR="00B50935" w:rsidRPr="009017BC" w:rsidRDefault="00B50935" w:rsidP="00427764">
            <w:pPr>
              <w:ind w:right="-29"/>
              <w:jc w:val="center"/>
              <w:rPr>
                <w:noProof/>
                <w:sz w:val="18"/>
              </w:rPr>
            </w:pPr>
          </w:p>
        </w:tc>
        <w:tc>
          <w:tcPr>
            <w:tcW w:w="900" w:type="dxa"/>
            <w:gridSpan w:val="2"/>
            <w:tcBorders>
              <w:right w:val="dashSmallGap" w:sz="4" w:space="0" w:color="auto"/>
            </w:tcBorders>
          </w:tcPr>
          <w:p w14:paraId="2FEA0A14" w14:textId="77777777" w:rsidR="00B50935" w:rsidRPr="009017BC" w:rsidRDefault="00B50935" w:rsidP="00427764">
            <w:pPr>
              <w:ind w:right="-29"/>
              <w:jc w:val="center"/>
              <w:rPr>
                <w:noProof/>
                <w:sz w:val="18"/>
              </w:rPr>
            </w:pPr>
          </w:p>
        </w:tc>
        <w:tc>
          <w:tcPr>
            <w:tcW w:w="720" w:type="dxa"/>
            <w:gridSpan w:val="3"/>
            <w:tcBorders>
              <w:left w:val="dashSmallGap" w:sz="4" w:space="0" w:color="auto"/>
            </w:tcBorders>
          </w:tcPr>
          <w:p w14:paraId="40917842" w14:textId="77777777" w:rsidR="00B50935" w:rsidRPr="009017BC" w:rsidRDefault="00B50935" w:rsidP="00427764">
            <w:pPr>
              <w:ind w:right="-29"/>
              <w:jc w:val="center"/>
              <w:rPr>
                <w:noProof/>
                <w:sz w:val="18"/>
              </w:rPr>
            </w:pPr>
          </w:p>
        </w:tc>
        <w:tc>
          <w:tcPr>
            <w:tcW w:w="540" w:type="dxa"/>
            <w:gridSpan w:val="2"/>
            <w:tcBorders>
              <w:right w:val="dashSmallGap" w:sz="4" w:space="0" w:color="auto"/>
            </w:tcBorders>
          </w:tcPr>
          <w:p w14:paraId="27BF5166" w14:textId="77777777" w:rsidR="00B50935" w:rsidRPr="009017BC" w:rsidRDefault="00B50935" w:rsidP="00427764">
            <w:pPr>
              <w:ind w:right="-29"/>
              <w:jc w:val="center"/>
              <w:rPr>
                <w:noProof/>
                <w:sz w:val="18"/>
              </w:rPr>
            </w:pPr>
          </w:p>
        </w:tc>
        <w:tc>
          <w:tcPr>
            <w:tcW w:w="648" w:type="dxa"/>
            <w:gridSpan w:val="2"/>
            <w:tcBorders>
              <w:left w:val="dashSmallGap" w:sz="4" w:space="0" w:color="auto"/>
            </w:tcBorders>
          </w:tcPr>
          <w:p w14:paraId="71A26C3A" w14:textId="77777777" w:rsidR="00B50935" w:rsidRPr="009017BC" w:rsidRDefault="00B50935" w:rsidP="00427764">
            <w:pPr>
              <w:ind w:right="-29"/>
              <w:jc w:val="center"/>
              <w:rPr>
                <w:noProof/>
                <w:sz w:val="18"/>
              </w:rPr>
            </w:pPr>
          </w:p>
        </w:tc>
        <w:tc>
          <w:tcPr>
            <w:tcW w:w="432" w:type="dxa"/>
            <w:gridSpan w:val="2"/>
            <w:tcBorders>
              <w:right w:val="dashSmallGap" w:sz="4" w:space="0" w:color="auto"/>
            </w:tcBorders>
          </w:tcPr>
          <w:p w14:paraId="7F1ED36B" w14:textId="77777777" w:rsidR="00B50935" w:rsidRPr="009017BC" w:rsidRDefault="00B50935" w:rsidP="00427764">
            <w:pPr>
              <w:ind w:right="-29"/>
              <w:jc w:val="center"/>
              <w:rPr>
                <w:noProof/>
                <w:sz w:val="18"/>
              </w:rPr>
            </w:pPr>
          </w:p>
        </w:tc>
        <w:tc>
          <w:tcPr>
            <w:tcW w:w="720" w:type="dxa"/>
            <w:gridSpan w:val="2"/>
            <w:tcBorders>
              <w:left w:val="dashSmallGap" w:sz="4" w:space="0" w:color="auto"/>
            </w:tcBorders>
          </w:tcPr>
          <w:p w14:paraId="5CA1B4DE" w14:textId="77777777" w:rsidR="00B50935" w:rsidRPr="009017BC" w:rsidRDefault="00B50935" w:rsidP="00427764">
            <w:pPr>
              <w:ind w:right="-29"/>
              <w:jc w:val="center"/>
              <w:rPr>
                <w:noProof/>
                <w:sz w:val="18"/>
              </w:rPr>
            </w:pPr>
          </w:p>
        </w:tc>
        <w:tc>
          <w:tcPr>
            <w:tcW w:w="540" w:type="dxa"/>
            <w:gridSpan w:val="3"/>
            <w:tcBorders>
              <w:right w:val="dashSmallGap" w:sz="4" w:space="0" w:color="auto"/>
            </w:tcBorders>
          </w:tcPr>
          <w:p w14:paraId="42A4925F" w14:textId="77777777" w:rsidR="00B50935" w:rsidRPr="009017BC" w:rsidRDefault="00B50935" w:rsidP="00427764">
            <w:pPr>
              <w:ind w:right="-29"/>
              <w:jc w:val="center"/>
              <w:rPr>
                <w:noProof/>
                <w:sz w:val="18"/>
              </w:rPr>
            </w:pPr>
          </w:p>
        </w:tc>
        <w:tc>
          <w:tcPr>
            <w:tcW w:w="723" w:type="dxa"/>
            <w:gridSpan w:val="2"/>
            <w:tcBorders>
              <w:left w:val="dashSmallGap" w:sz="4" w:space="0" w:color="auto"/>
            </w:tcBorders>
          </w:tcPr>
          <w:p w14:paraId="3E902BAA" w14:textId="77777777" w:rsidR="00B50935" w:rsidRPr="009017BC" w:rsidRDefault="00B50935" w:rsidP="00427764">
            <w:pPr>
              <w:ind w:right="-29"/>
              <w:jc w:val="center"/>
              <w:rPr>
                <w:noProof/>
                <w:sz w:val="18"/>
              </w:rPr>
            </w:pPr>
          </w:p>
        </w:tc>
        <w:tc>
          <w:tcPr>
            <w:tcW w:w="720" w:type="dxa"/>
            <w:gridSpan w:val="2"/>
          </w:tcPr>
          <w:p w14:paraId="3BE7FAD7" w14:textId="77777777" w:rsidR="00B50935" w:rsidRPr="009017BC" w:rsidRDefault="00B50935" w:rsidP="00427764">
            <w:pPr>
              <w:ind w:right="-29"/>
              <w:jc w:val="center"/>
              <w:rPr>
                <w:noProof/>
                <w:sz w:val="18"/>
              </w:rPr>
            </w:pPr>
          </w:p>
        </w:tc>
        <w:tc>
          <w:tcPr>
            <w:tcW w:w="900" w:type="dxa"/>
            <w:gridSpan w:val="2"/>
          </w:tcPr>
          <w:p w14:paraId="4D8EDB07" w14:textId="77777777" w:rsidR="00B50935" w:rsidRPr="009017BC" w:rsidRDefault="00B50935" w:rsidP="00427764">
            <w:pPr>
              <w:ind w:right="-29"/>
              <w:jc w:val="center"/>
              <w:rPr>
                <w:noProof/>
                <w:sz w:val="18"/>
              </w:rPr>
            </w:pPr>
          </w:p>
        </w:tc>
      </w:tr>
      <w:tr w:rsidR="00B50935" w:rsidRPr="009017BC" w14:paraId="12676278" w14:textId="77777777" w:rsidTr="00427764">
        <w:trPr>
          <w:gridAfter w:val="1"/>
          <w:wAfter w:w="12" w:type="dxa"/>
          <w:trHeight w:hRule="exact" w:val="369"/>
          <w:jc w:val="center"/>
        </w:trPr>
        <w:tc>
          <w:tcPr>
            <w:tcW w:w="1696" w:type="dxa"/>
          </w:tcPr>
          <w:p w14:paraId="4221F6E5" w14:textId="77777777" w:rsidR="00B50935" w:rsidRPr="009017BC" w:rsidRDefault="00B50935" w:rsidP="00427764">
            <w:pPr>
              <w:ind w:right="-29"/>
              <w:jc w:val="center"/>
              <w:rPr>
                <w:noProof/>
                <w:sz w:val="18"/>
              </w:rPr>
            </w:pPr>
            <w:r w:rsidRPr="009017BC">
              <w:rPr>
                <w:sz w:val="18"/>
              </w:rPr>
              <w:t>- Resultado</w:t>
            </w:r>
          </w:p>
        </w:tc>
        <w:tc>
          <w:tcPr>
            <w:tcW w:w="447" w:type="dxa"/>
          </w:tcPr>
          <w:p w14:paraId="2C097759" w14:textId="77777777" w:rsidR="00B50935" w:rsidRPr="009017BC" w:rsidRDefault="00B50935" w:rsidP="00427764">
            <w:pPr>
              <w:ind w:right="-29"/>
              <w:jc w:val="center"/>
              <w:rPr>
                <w:noProof/>
                <w:sz w:val="18"/>
              </w:rPr>
            </w:pPr>
          </w:p>
        </w:tc>
        <w:tc>
          <w:tcPr>
            <w:tcW w:w="542" w:type="dxa"/>
          </w:tcPr>
          <w:p w14:paraId="0234681A" w14:textId="77777777" w:rsidR="00B50935" w:rsidRPr="009017BC" w:rsidRDefault="00B50935" w:rsidP="00427764">
            <w:pPr>
              <w:ind w:right="-29"/>
              <w:jc w:val="center"/>
              <w:rPr>
                <w:noProof/>
                <w:sz w:val="18"/>
              </w:rPr>
            </w:pPr>
          </w:p>
        </w:tc>
        <w:tc>
          <w:tcPr>
            <w:tcW w:w="663" w:type="dxa"/>
            <w:gridSpan w:val="2"/>
          </w:tcPr>
          <w:p w14:paraId="2F8A6DF6" w14:textId="77777777" w:rsidR="00B50935" w:rsidRPr="009017BC" w:rsidRDefault="00B50935" w:rsidP="00427764">
            <w:pPr>
              <w:ind w:right="-29"/>
              <w:jc w:val="center"/>
              <w:rPr>
                <w:noProof/>
                <w:sz w:val="18"/>
              </w:rPr>
            </w:pPr>
          </w:p>
        </w:tc>
        <w:tc>
          <w:tcPr>
            <w:tcW w:w="720" w:type="dxa"/>
            <w:gridSpan w:val="2"/>
          </w:tcPr>
          <w:p w14:paraId="6CA938E7" w14:textId="77777777" w:rsidR="00B50935" w:rsidRPr="009017BC" w:rsidRDefault="00B50935" w:rsidP="00427764">
            <w:pPr>
              <w:ind w:right="-29"/>
              <w:jc w:val="center"/>
              <w:rPr>
                <w:noProof/>
                <w:sz w:val="18"/>
              </w:rPr>
            </w:pPr>
          </w:p>
        </w:tc>
        <w:tc>
          <w:tcPr>
            <w:tcW w:w="540" w:type="dxa"/>
            <w:gridSpan w:val="2"/>
          </w:tcPr>
          <w:p w14:paraId="32F8F226" w14:textId="77777777" w:rsidR="00B50935" w:rsidRPr="009017BC" w:rsidRDefault="00B50935" w:rsidP="00427764">
            <w:pPr>
              <w:ind w:right="-29"/>
              <w:jc w:val="center"/>
              <w:rPr>
                <w:noProof/>
                <w:sz w:val="18"/>
              </w:rPr>
            </w:pPr>
          </w:p>
        </w:tc>
        <w:tc>
          <w:tcPr>
            <w:tcW w:w="720" w:type="dxa"/>
            <w:gridSpan w:val="2"/>
          </w:tcPr>
          <w:p w14:paraId="136E7BF1" w14:textId="77777777" w:rsidR="00B50935" w:rsidRPr="009017BC" w:rsidRDefault="00B50935" w:rsidP="00427764">
            <w:pPr>
              <w:ind w:right="-29"/>
              <w:jc w:val="center"/>
              <w:rPr>
                <w:noProof/>
                <w:sz w:val="18"/>
              </w:rPr>
            </w:pPr>
          </w:p>
        </w:tc>
        <w:tc>
          <w:tcPr>
            <w:tcW w:w="720" w:type="dxa"/>
            <w:gridSpan w:val="2"/>
          </w:tcPr>
          <w:p w14:paraId="109581C1" w14:textId="77777777" w:rsidR="00B50935" w:rsidRPr="009017BC" w:rsidRDefault="00B50935" w:rsidP="00427764">
            <w:pPr>
              <w:ind w:right="-29"/>
              <w:jc w:val="center"/>
              <w:rPr>
                <w:noProof/>
                <w:sz w:val="18"/>
              </w:rPr>
            </w:pPr>
          </w:p>
        </w:tc>
        <w:tc>
          <w:tcPr>
            <w:tcW w:w="720" w:type="dxa"/>
            <w:gridSpan w:val="2"/>
          </w:tcPr>
          <w:p w14:paraId="529F7B3D" w14:textId="77777777" w:rsidR="00B50935" w:rsidRPr="009017BC" w:rsidRDefault="00B50935" w:rsidP="00427764">
            <w:pPr>
              <w:ind w:right="-29"/>
              <w:jc w:val="center"/>
              <w:rPr>
                <w:noProof/>
                <w:sz w:val="18"/>
              </w:rPr>
            </w:pPr>
          </w:p>
        </w:tc>
        <w:tc>
          <w:tcPr>
            <w:tcW w:w="900" w:type="dxa"/>
            <w:gridSpan w:val="2"/>
          </w:tcPr>
          <w:p w14:paraId="4B47C0DB" w14:textId="77777777" w:rsidR="00B50935" w:rsidRPr="009017BC" w:rsidRDefault="00B50935" w:rsidP="00427764">
            <w:pPr>
              <w:ind w:right="-29"/>
              <w:jc w:val="center"/>
              <w:rPr>
                <w:noProof/>
                <w:sz w:val="18"/>
              </w:rPr>
            </w:pPr>
          </w:p>
        </w:tc>
        <w:tc>
          <w:tcPr>
            <w:tcW w:w="720" w:type="dxa"/>
            <w:gridSpan w:val="3"/>
          </w:tcPr>
          <w:p w14:paraId="1ABE6867" w14:textId="77777777" w:rsidR="00B50935" w:rsidRPr="009017BC" w:rsidRDefault="00B50935" w:rsidP="00427764">
            <w:pPr>
              <w:ind w:right="-29"/>
              <w:jc w:val="center"/>
              <w:rPr>
                <w:noProof/>
                <w:sz w:val="18"/>
              </w:rPr>
            </w:pPr>
          </w:p>
        </w:tc>
        <w:tc>
          <w:tcPr>
            <w:tcW w:w="540" w:type="dxa"/>
            <w:gridSpan w:val="2"/>
          </w:tcPr>
          <w:p w14:paraId="15B7FEE7" w14:textId="77777777" w:rsidR="00B50935" w:rsidRPr="009017BC" w:rsidRDefault="00B50935" w:rsidP="00427764">
            <w:pPr>
              <w:ind w:right="-29"/>
              <w:jc w:val="center"/>
              <w:rPr>
                <w:noProof/>
                <w:sz w:val="18"/>
              </w:rPr>
            </w:pPr>
          </w:p>
        </w:tc>
        <w:tc>
          <w:tcPr>
            <w:tcW w:w="648" w:type="dxa"/>
            <w:gridSpan w:val="2"/>
          </w:tcPr>
          <w:p w14:paraId="4EBAA255" w14:textId="77777777" w:rsidR="00B50935" w:rsidRPr="009017BC" w:rsidRDefault="00B50935" w:rsidP="00427764">
            <w:pPr>
              <w:ind w:right="-29"/>
              <w:jc w:val="center"/>
              <w:rPr>
                <w:noProof/>
                <w:sz w:val="18"/>
              </w:rPr>
            </w:pPr>
          </w:p>
        </w:tc>
        <w:tc>
          <w:tcPr>
            <w:tcW w:w="432" w:type="dxa"/>
            <w:gridSpan w:val="2"/>
          </w:tcPr>
          <w:p w14:paraId="68F27C7B" w14:textId="77777777" w:rsidR="00B50935" w:rsidRPr="009017BC" w:rsidRDefault="00B50935" w:rsidP="00427764">
            <w:pPr>
              <w:ind w:right="-29"/>
              <w:jc w:val="center"/>
              <w:rPr>
                <w:noProof/>
                <w:sz w:val="18"/>
              </w:rPr>
            </w:pPr>
          </w:p>
        </w:tc>
        <w:tc>
          <w:tcPr>
            <w:tcW w:w="720" w:type="dxa"/>
            <w:gridSpan w:val="2"/>
          </w:tcPr>
          <w:p w14:paraId="399E6036" w14:textId="77777777" w:rsidR="00B50935" w:rsidRPr="009017BC" w:rsidRDefault="00B50935" w:rsidP="00427764">
            <w:pPr>
              <w:ind w:right="-29"/>
              <w:jc w:val="center"/>
              <w:rPr>
                <w:noProof/>
                <w:sz w:val="18"/>
              </w:rPr>
            </w:pPr>
          </w:p>
        </w:tc>
        <w:tc>
          <w:tcPr>
            <w:tcW w:w="540" w:type="dxa"/>
            <w:gridSpan w:val="3"/>
          </w:tcPr>
          <w:p w14:paraId="0BDDD62E" w14:textId="77777777" w:rsidR="00B50935" w:rsidRPr="009017BC" w:rsidRDefault="00B50935" w:rsidP="00427764">
            <w:pPr>
              <w:ind w:right="-29"/>
              <w:jc w:val="center"/>
              <w:rPr>
                <w:noProof/>
                <w:sz w:val="18"/>
              </w:rPr>
            </w:pPr>
          </w:p>
        </w:tc>
        <w:tc>
          <w:tcPr>
            <w:tcW w:w="723" w:type="dxa"/>
            <w:gridSpan w:val="2"/>
          </w:tcPr>
          <w:p w14:paraId="586E5F07" w14:textId="77777777" w:rsidR="00B50935" w:rsidRPr="009017BC" w:rsidRDefault="00B50935" w:rsidP="00427764">
            <w:pPr>
              <w:ind w:right="-29"/>
              <w:jc w:val="center"/>
              <w:rPr>
                <w:noProof/>
                <w:sz w:val="18"/>
              </w:rPr>
            </w:pPr>
          </w:p>
        </w:tc>
        <w:tc>
          <w:tcPr>
            <w:tcW w:w="720" w:type="dxa"/>
            <w:gridSpan w:val="2"/>
          </w:tcPr>
          <w:p w14:paraId="1D4071DA" w14:textId="77777777" w:rsidR="00B50935" w:rsidRPr="009017BC" w:rsidRDefault="00B50935" w:rsidP="00427764">
            <w:pPr>
              <w:ind w:right="-29"/>
              <w:jc w:val="center"/>
              <w:rPr>
                <w:noProof/>
                <w:sz w:val="18"/>
              </w:rPr>
            </w:pPr>
          </w:p>
        </w:tc>
        <w:tc>
          <w:tcPr>
            <w:tcW w:w="900" w:type="dxa"/>
            <w:gridSpan w:val="2"/>
          </w:tcPr>
          <w:p w14:paraId="4C5C77A9" w14:textId="77777777" w:rsidR="00B50935" w:rsidRPr="009017BC" w:rsidRDefault="00B50935" w:rsidP="00427764">
            <w:pPr>
              <w:ind w:right="-29"/>
              <w:jc w:val="center"/>
              <w:rPr>
                <w:noProof/>
                <w:sz w:val="18"/>
              </w:rPr>
            </w:pPr>
          </w:p>
        </w:tc>
      </w:tr>
      <w:tr w:rsidR="00B50935" w:rsidRPr="009017BC" w14:paraId="2D4A36D9" w14:textId="77777777" w:rsidTr="00427764">
        <w:trPr>
          <w:gridAfter w:val="1"/>
          <w:wAfter w:w="12" w:type="dxa"/>
          <w:jc w:val="center"/>
        </w:trPr>
        <w:tc>
          <w:tcPr>
            <w:tcW w:w="2685" w:type="dxa"/>
            <w:gridSpan w:val="3"/>
            <w:tcBorders>
              <w:bottom w:val="single" w:sz="12" w:space="0" w:color="auto"/>
            </w:tcBorders>
            <w:vAlign w:val="center"/>
          </w:tcPr>
          <w:p w14:paraId="2339416E" w14:textId="77777777" w:rsidR="00B50935" w:rsidRPr="009017BC" w:rsidRDefault="00B50935" w:rsidP="00427764">
            <w:pPr>
              <w:ind w:right="-29"/>
              <w:jc w:val="center"/>
              <w:rPr>
                <w:noProof/>
                <w:sz w:val="18"/>
              </w:rPr>
            </w:pPr>
            <w:r w:rsidRPr="009017BC">
              <w:rPr>
                <w:sz w:val="18"/>
              </w:rPr>
              <w:t>Subtotal del objetivo específico n.º 1</w:t>
            </w:r>
          </w:p>
        </w:tc>
        <w:tc>
          <w:tcPr>
            <w:tcW w:w="663" w:type="dxa"/>
            <w:gridSpan w:val="2"/>
            <w:tcBorders>
              <w:bottom w:val="single" w:sz="12" w:space="0" w:color="auto"/>
            </w:tcBorders>
          </w:tcPr>
          <w:p w14:paraId="668FD666"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37210529" w14:textId="77777777" w:rsidR="00B50935" w:rsidRPr="009017BC" w:rsidRDefault="00B50935" w:rsidP="00427764">
            <w:pPr>
              <w:ind w:right="-29"/>
              <w:jc w:val="center"/>
              <w:rPr>
                <w:noProof/>
                <w:sz w:val="18"/>
              </w:rPr>
            </w:pPr>
            <w:r w:rsidRPr="009017BC">
              <w:rPr>
                <w:sz w:val="18"/>
              </w:rPr>
              <w:t>7,000</w:t>
            </w:r>
          </w:p>
        </w:tc>
        <w:tc>
          <w:tcPr>
            <w:tcW w:w="540" w:type="dxa"/>
            <w:gridSpan w:val="2"/>
            <w:tcBorders>
              <w:bottom w:val="single" w:sz="12" w:space="0" w:color="auto"/>
            </w:tcBorders>
          </w:tcPr>
          <w:p w14:paraId="08CFC446"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25A964C2" w14:textId="77777777" w:rsidR="00B50935" w:rsidRPr="009017BC" w:rsidRDefault="00B50935" w:rsidP="00427764">
            <w:pPr>
              <w:ind w:right="-29"/>
              <w:jc w:val="center"/>
              <w:rPr>
                <w:noProof/>
                <w:sz w:val="18"/>
              </w:rPr>
            </w:pPr>
            <w:r w:rsidRPr="009017BC">
              <w:rPr>
                <w:sz w:val="18"/>
              </w:rPr>
              <w:t>7,000</w:t>
            </w:r>
          </w:p>
        </w:tc>
        <w:tc>
          <w:tcPr>
            <w:tcW w:w="720" w:type="dxa"/>
            <w:gridSpan w:val="2"/>
            <w:tcBorders>
              <w:bottom w:val="single" w:sz="12" w:space="0" w:color="auto"/>
            </w:tcBorders>
          </w:tcPr>
          <w:p w14:paraId="6E8B2A36"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6BDF3B3F" w14:textId="77777777" w:rsidR="00B50935" w:rsidRPr="009017BC" w:rsidRDefault="00B50935" w:rsidP="00427764">
            <w:pPr>
              <w:ind w:right="-29"/>
              <w:jc w:val="center"/>
              <w:rPr>
                <w:noProof/>
                <w:sz w:val="18"/>
              </w:rPr>
            </w:pPr>
            <w:r w:rsidRPr="009017BC">
              <w:rPr>
                <w:sz w:val="18"/>
              </w:rPr>
              <w:t>6,800</w:t>
            </w:r>
          </w:p>
        </w:tc>
        <w:tc>
          <w:tcPr>
            <w:tcW w:w="900" w:type="dxa"/>
            <w:gridSpan w:val="2"/>
            <w:tcBorders>
              <w:bottom w:val="single" w:sz="12" w:space="0" w:color="auto"/>
            </w:tcBorders>
          </w:tcPr>
          <w:p w14:paraId="6DF0D3CC" w14:textId="77777777" w:rsidR="00B50935" w:rsidRPr="009017BC" w:rsidRDefault="00B50935" w:rsidP="00427764">
            <w:pPr>
              <w:ind w:right="-29"/>
              <w:jc w:val="center"/>
              <w:rPr>
                <w:noProof/>
                <w:sz w:val="18"/>
              </w:rPr>
            </w:pPr>
          </w:p>
        </w:tc>
        <w:tc>
          <w:tcPr>
            <w:tcW w:w="720" w:type="dxa"/>
            <w:gridSpan w:val="3"/>
            <w:tcBorders>
              <w:bottom w:val="single" w:sz="12" w:space="0" w:color="auto"/>
            </w:tcBorders>
          </w:tcPr>
          <w:p w14:paraId="4AFA3950" w14:textId="77777777" w:rsidR="00B50935" w:rsidRPr="009017BC" w:rsidRDefault="00B50935" w:rsidP="00427764">
            <w:pPr>
              <w:ind w:right="-29"/>
              <w:jc w:val="center"/>
              <w:rPr>
                <w:noProof/>
                <w:sz w:val="18"/>
              </w:rPr>
            </w:pPr>
            <w:r w:rsidRPr="009017BC">
              <w:rPr>
                <w:sz w:val="18"/>
              </w:rPr>
              <w:t>6,800</w:t>
            </w:r>
          </w:p>
        </w:tc>
        <w:tc>
          <w:tcPr>
            <w:tcW w:w="540" w:type="dxa"/>
            <w:gridSpan w:val="2"/>
            <w:tcBorders>
              <w:bottom w:val="single" w:sz="12" w:space="0" w:color="auto"/>
            </w:tcBorders>
          </w:tcPr>
          <w:p w14:paraId="7C7583CE"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434E7C8F" w14:textId="77777777" w:rsidR="00B50935" w:rsidRPr="009017BC" w:rsidRDefault="00B50935" w:rsidP="00427764">
            <w:pPr>
              <w:ind w:right="-29"/>
              <w:jc w:val="center"/>
              <w:rPr>
                <w:noProof/>
                <w:sz w:val="18"/>
              </w:rPr>
            </w:pPr>
            <w:r w:rsidRPr="009017BC">
              <w:rPr>
                <w:sz w:val="18"/>
              </w:rPr>
              <w:t>6,800</w:t>
            </w:r>
          </w:p>
        </w:tc>
        <w:tc>
          <w:tcPr>
            <w:tcW w:w="432" w:type="dxa"/>
            <w:gridSpan w:val="2"/>
            <w:tcBorders>
              <w:bottom w:val="single" w:sz="12" w:space="0" w:color="auto"/>
            </w:tcBorders>
          </w:tcPr>
          <w:p w14:paraId="350D4434"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58FE58F4" w14:textId="77777777" w:rsidR="00B50935" w:rsidRPr="009017BC" w:rsidRDefault="00B50935" w:rsidP="00427764">
            <w:pPr>
              <w:ind w:right="-29"/>
              <w:jc w:val="center"/>
              <w:rPr>
                <w:noProof/>
                <w:sz w:val="18"/>
              </w:rPr>
            </w:pPr>
            <w:r w:rsidRPr="009017BC">
              <w:rPr>
                <w:sz w:val="18"/>
              </w:rPr>
              <w:t>6,800</w:t>
            </w:r>
          </w:p>
        </w:tc>
        <w:tc>
          <w:tcPr>
            <w:tcW w:w="540" w:type="dxa"/>
            <w:gridSpan w:val="3"/>
            <w:tcBorders>
              <w:bottom w:val="single" w:sz="12" w:space="0" w:color="auto"/>
            </w:tcBorders>
          </w:tcPr>
          <w:p w14:paraId="30A76F38"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2262845F" w14:textId="77777777" w:rsidR="00B50935" w:rsidRPr="009017BC" w:rsidRDefault="00B50935" w:rsidP="00427764">
            <w:pPr>
              <w:ind w:right="-29"/>
              <w:jc w:val="center"/>
              <w:rPr>
                <w:noProof/>
                <w:sz w:val="18"/>
              </w:rPr>
            </w:pPr>
            <w:r w:rsidRPr="009017BC">
              <w:rPr>
                <w:sz w:val="18"/>
              </w:rPr>
              <w:t>6,800</w:t>
            </w:r>
          </w:p>
        </w:tc>
        <w:tc>
          <w:tcPr>
            <w:tcW w:w="720" w:type="dxa"/>
            <w:gridSpan w:val="2"/>
            <w:tcBorders>
              <w:bottom w:val="single" w:sz="12" w:space="0" w:color="auto"/>
            </w:tcBorders>
          </w:tcPr>
          <w:p w14:paraId="387CFFDD"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2E708279" w14:textId="77777777" w:rsidR="00B50935" w:rsidRPr="009017BC" w:rsidRDefault="00B50935" w:rsidP="00427764">
            <w:pPr>
              <w:ind w:right="-29"/>
              <w:jc w:val="center"/>
              <w:rPr>
                <w:noProof/>
                <w:sz w:val="18"/>
              </w:rPr>
            </w:pPr>
            <w:r w:rsidRPr="009017BC">
              <w:rPr>
                <w:sz w:val="18"/>
              </w:rPr>
              <w:t>48,000</w:t>
            </w:r>
          </w:p>
        </w:tc>
      </w:tr>
      <w:tr w:rsidR="00B50935" w:rsidRPr="009017BC" w14:paraId="47F80B6C" w14:textId="77777777" w:rsidTr="00427764">
        <w:trPr>
          <w:gridAfter w:val="1"/>
          <w:wAfter w:w="12" w:type="dxa"/>
          <w:jc w:val="center"/>
        </w:trPr>
        <w:tc>
          <w:tcPr>
            <w:tcW w:w="13611" w:type="dxa"/>
            <w:gridSpan w:val="37"/>
            <w:tcBorders>
              <w:bottom w:val="single" w:sz="12" w:space="0" w:color="auto"/>
            </w:tcBorders>
            <w:vAlign w:val="center"/>
          </w:tcPr>
          <w:p w14:paraId="1326E2F9" w14:textId="77777777" w:rsidR="00B50935" w:rsidRPr="009017BC" w:rsidRDefault="00B50935" w:rsidP="00427764">
            <w:pPr>
              <w:ind w:right="-29"/>
              <w:jc w:val="center"/>
              <w:rPr>
                <w:noProof/>
                <w:sz w:val="18"/>
              </w:rPr>
            </w:pPr>
            <w:r w:rsidRPr="009017BC">
              <w:rPr>
                <w:sz w:val="18"/>
              </w:rPr>
              <w:t>OBJETIVO ESPECÍFICO N.º 2: el ECDC proporcionará conocimientos científicos y técnicos a los Estados miembros y a la Comisión en el ámbito de la planificación de la preparación y respuesta, incluida la formación</w:t>
            </w:r>
          </w:p>
          <w:p w14:paraId="55DE3084" w14:textId="77777777" w:rsidR="00B50935" w:rsidRPr="009017BC" w:rsidRDefault="00B50935" w:rsidP="00427764">
            <w:pPr>
              <w:ind w:right="-29"/>
              <w:jc w:val="center"/>
              <w:rPr>
                <w:noProof/>
                <w:sz w:val="18"/>
              </w:rPr>
            </w:pPr>
          </w:p>
        </w:tc>
      </w:tr>
      <w:tr w:rsidR="00B50935" w:rsidRPr="009017BC" w14:paraId="1C006380" w14:textId="77777777" w:rsidTr="00427764">
        <w:trPr>
          <w:gridAfter w:val="1"/>
          <w:wAfter w:w="12" w:type="dxa"/>
          <w:jc w:val="center"/>
        </w:trPr>
        <w:tc>
          <w:tcPr>
            <w:tcW w:w="2685" w:type="dxa"/>
            <w:gridSpan w:val="3"/>
            <w:tcBorders>
              <w:bottom w:val="single" w:sz="12" w:space="0" w:color="auto"/>
            </w:tcBorders>
            <w:vAlign w:val="center"/>
          </w:tcPr>
          <w:p w14:paraId="11DB156A" w14:textId="77777777" w:rsidR="00B50935" w:rsidRPr="009017BC" w:rsidRDefault="00B50935" w:rsidP="00427764">
            <w:pPr>
              <w:ind w:right="-29"/>
              <w:jc w:val="center"/>
              <w:rPr>
                <w:noProof/>
                <w:sz w:val="18"/>
              </w:rPr>
            </w:pPr>
            <w:r w:rsidRPr="009017BC">
              <w:rPr>
                <w:sz w:val="18"/>
              </w:rPr>
              <w:t>Resultado:  programas de formación para especialistas, en particular en vigilancia epidemiológica e investigación de campo, y a fin de tener capacidad para definir medidas sanitarias destinadas a controlar brotes de enfermedades.</w:t>
            </w:r>
          </w:p>
        </w:tc>
        <w:tc>
          <w:tcPr>
            <w:tcW w:w="663" w:type="dxa"/>
            <w:gridSpan w:val="2"/>
            <w:tcBorders>
              <w:bottom w:val="single" w:sz="12" w:space="0" w:color="auto"/>
            </w:tcBorders>
          </w:tcPr>
          <w:p w14:paraId="1CD13B8F"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21E68B55" w14:textId="77777777" w:rsidR="00B50935" w:rsidRPr="009017BC" w:rsidRDefault="00B50935" w:rsidP="00427764">
            <w:pPr>
              <w:ind w:right="-29"/>
              <w:jc w:val="center"/>
              <w:rPr>
                <w:noProof/>
                <w:sz w:val="18"/>
              </w:rPr>
            </w:pPr>
            <w:r w:rsidRPr="009017BC">
              <w:rPr>
                <w:sz w:val="18"/>
              </w:rPr>
              <w:t>0,100</w:t>
            </w:r>
          </w:p>
        </w:tc>
        <w:tc>
          <w:tcPr>
            <w:tcW w:w="540" w:type="dxa"/>
            <w:gridSpan w:val="2"/>
            <w:tcBorders>
              <w:bottom w:val="single" w:sz="12" w:space="0" w:color="auto"/>
            </w:tcBorders>
          </w:tcPr>
          <w:p w14:paraId="247C0011"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441B4AE4" w14:textId="77777777" w:rsidR="00B50935" w:rsidRPr="009017BC" w:rsidRDefault="00B50935" w:rsidP="00427764">
            <w:pPr>
              <w:ind w:right="-29"/>
              <w:jc w:val="center"/>
              <w:rPr>
                <w:noProof/>
                <w:sz w:val="18"/>
              </w:rPr>
            </w:pPr>
            <w:r w:rsidRPr="009017BC">
              <w:rPr>
                <w:sz w:val="18"/>
              </w:rPr>
              <w:t>0,100</w:t>
            </w:r>
          </w:p>
        </w:tc>
        <w:tc>
          <w:tcPr>
            <w:tcW w:w="720" w:type="dxa"/>
            <w:gridSpan w:val="2"/>
            <w:tcBorders>
              <w:bottom w:val="single" w:sz="12" w:space="0" w:color="auto"/>
            </w:tcBorders>
          </w:tcPr>
          <w:p w14:paraId="6614E7F0"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4B12DD98" w14:textId="77777777" w:rsidR="00B50935" w:rsidRPr="009017BC" w:rsidRDefault="00B50935" w:rsidP="00427764">
            <w:pPr>
              <w:ind w:right="-29"/>
              <w:jc w:val="center"/>
              <w:rPr>
                <w:noProof/>
                <w:sz w:val="18"/>
              </w:rPr>
            </w:pPr>
            <w:r w:rsidRPr="009017BC">
              <w:rPr>
                <w:sz w:val="18"/>
              </w:rPr>
              <w:t>0,100</w:t>
            </w:r>
          </w:p>
        </w:tc>
        <w:tc>
          <w:tcPr>
            <w:tcW w:w="900" w:type="dxa"/>
            <w:gridSpan w:val="2"/>
            <w:tcBorders>
              <w:bottom w:val="single" w:sz="12" w:space="0" w:color="auto"/>
            </w:tcBorders>
          </w:tcPr>
          <w:p w14:paraId="2DCBF047" w14:textId="77777777" w:rsidR="00B50935" w:rsidRPr="009017BC" w:rsidRDefault="00B50935" w:rsidP="00427764">
            <w:pPr>
              <w:ind w:right="-29"/>
              <w:jc w:val="center"/>
              <w:rPr>
                <w:noProof/>
                <w:sz w:val="18"/>
              </w:rPr>
            </w:pPr>
          </w:p>
        </w:tc>
        <w:tc>
          <w:tcPr>
            <w:tcW w:w="720" w:type="dxa"/>
            <w:gridSpan w:val="3"/>
            <w:tcBorders>
              <w:bottom w:val="single" w:sz="12" w:space="0" w:color="auto"/>
            </w:tcBorders>
          </w:tcPr>
          <w:p w14:paraId="03CDA864" w14:textId="77777777" w:rsidR="00B50935" w:rsidRPr="009017BC" w:rsidRDefault="00B50935" w:rsidP="00427764">
            <w:pPr>
              <w:ind w:right="-29"/>
              <w:jc w:val="center"/>
              <w:rPr>
                <w:noProof/>
                <w:sz w:val="18"/>
              </w:rPr>
            </w:pPr>
            <w:r w:rsidRPr="009017BC">
              <w:rPr>
                <w:sz w:val="18"/>
              </w:rPr>
              <w:t>0,100</w:t>
            </w:r>
          </w:p>
        </w:tc>
        <w:tc>
          <w:tcPr>
            <w:tcW w:w="540" w:type="dxa"/>
            <w:gridSpan w:val="2"/>
            <w:tcBorders>
              <w:bottom w:val="single" w:sz="12" w:space="0" w:color="auto"/>
            </w:tcBorders>
          </w:tcPr>
          <w:p w14:paraId="03C1BA95"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3A1F86B9" w14:textId="77777777" w:rsidR="00B50935" w:rsidRPr="009017BC" w:rsidRDefault="00B50935" w:rsidP="00427764">
            <w:pPr>
              <w:ind w:right="-29"/>
              <w:jc w:val="center"/>
              <w:rPr>
                <w:noProof/>
                <w:sz w:val="18"/>
              </w:rPr>
            </w:pPr>
            <w:r w:rsidRPr="009017BC">
              <w:rPr>
                <w:sz w:val="18"/>
              </w:rPr>
              <w:t>0,100</w:t>
            </w:r>
          </w:p>
        </w:tc>
        <w:tc>
          <w:tcPr>
            <w:tcW w:w="432" w:type="dxa"/>
            <w:gridSpan w:val="2"/>
            <w:tcBorders>
              <w:bottom w:val="single" w:sz="12" w:space="0" w:color="auto"/>
            </w:tcBorders>
          </w:tcPr>
          <w:p w14:paraId="66804192"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61605A20" w14:textId="77777777" w:rsidR="00B50935" w:rsidRPr="009017BC" w:rsidRDefault="00B50935" w:rsidP="00427764">
            <w:pPr>
              <w:ind w:right="-29"/>
              <w:jc w:val="center"/>
              <w:rPr>
                <w:noProof/>
                <w:sz w:val="18"/>
              </w:rPr>
            </w:pPr>
            <w:r w:rsidRPr="009017BC">
              <w:rPr>
                <w:sz w:val="18"/>
              </w:rPr>
              <w:t>0,100</w:t>
            </w:r>
          </w:p>
        </w:tc>
        <w:tc>
          <w:tcPr>
            <w:tcW w:w="540" w:type="dxa"/>
            <w:gridSpan w:val="3"/>
            <w:tcBorders>
              <w:bottom w:val="single" w:sz="12" w:space="0" w:color="auto"/>
            </w:tcBorders>
          </w:tcPr>
          <w:p w14:paraId="486E6088"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4D7A1241" w14:textId="77777777" w:rsidR="00B50935" w:rsidRPr="009017BC" w:rsidRDefault="00B50935" w:rsidP="00427764">
            <w:pPr>
              <w:ind w:right="-29"/>
              <w:jc w:val="center"/>
              <w:rPr>
                <w:noProof/>
                <w:sz w:val="18"/>
              </w:rPr>
            </w:pPr>
            <w:r w:rsidRPr="009017BC">
              <w:rPr>
                <w:sz w:val="18"/>
              </w:rPr>
              <w:t>0,100</w:t>
            </w:r>
          </w:p>
        </w:tc>
        <w:tc>
          <w:tcPr>
            <w:tcW w:w="720" w:type="dxa"/>
            <w:gridSpan w:val="2"/>
            <w:tcBorders>
              <w:bottom w:val="single" w:sz="12" w:space="0" w:color="auto"/>
            </w:tcBorders>
          </w:tcPr>
          <w:p w14:paraId="5F1B2113"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2ED0D176" w14:textId="77777777" w:rsidR="00B50935" w:rsidRPr="009017BC" w:rsidRDefault="00B50935" w:rsidP="00427764">
            <w:pPr>
              <w:ind w:right="-29"/>
              <w:jc w:val="center"/>
              <w:rPr>
                <w:noProof/>
                <w:sz w:val="18"/>
              </w:rPr>
            </w:pPr>
            <w:r w:rsidRPr="009017BC">
              <w:rPr>
                <w:sz w:val="18"/>
              </w:rPr>
              <w:t>0,700</w:t>
            </w:r>
          </w:p>
        </w:tc>
      </w:tr>
      <w:tr w:rsidR="00B50935" w:rsidRPr="009017BC" w14:paraId="0B0AF14A" w14:textId="77777777" w:rsidTr="00427764">
        <w:trPr>
          <w:gridAfter w:val="1"/>
          <w:wAfter w:w="12" w:type="dxa"/>
          <w:jc w:val="center"/>
        </w:trPr>
        <w:tc>
          <w:tcPr>
            <w:tcW w:w="2685" w:type="dxa"/>
            <w:gridSpan w:val="3"/>
            <w:tcBorders>
              <w:bottom w:val="single" w:sz="12" w:space="0" w:color="auto"/>
            </w:tcBorders>
            <w:vAlign w:val="center"/>
          </w:tcPr>
          <w:p w14:paraId="55F5F1DA" w14:textId="77777777" w:rsidR="00B50935" w:rsidRPr="009017BC" w:rsidRDefault="00B50935" w:rsidP="00427764">
            <w:pPr>
              <w:ind w:right="-29"/>
              <w:jc w:val="center"/>
              <w:rPr>
                <w:noProof/>
                <w:sz w:val="18"/>
              </w:rPr>
            </w:pPr>
            <w:r w:rsidRPr="009017BC">
              <w:rPr>
                <w:sz w:val="18"/>
              </w:rPr>
              <w:t>Resultado: actividades de planificación de la preparación y respuesta, incluidas la modelización, el seguimiento y la evaluación</w:t>
            </w:r>
          </w:p>
        </w:tc>
        <w:tc>
          <w:tcPr>
            <w:tcW w:w="663" w:type="dxa"/>
            <w:gridSpan w:val="2"/>
            <w:tcBorders>
              <w:bottom w:val="single" w:sz="12" w:space="0" w:color="auto"/>
            </w:tcBorders>
          </w:tcPr>
          <w:p w14:paraId="574C158E"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1CE3CEDE" w14:textId="77777777" w:rsidR="00B50935" w:rsidRPr="009017BC" w:rsidRDefault="00B50935" w:rsidP="00427764">
            <w:pPr>
              <w:ind w:right="-29"/>
              <w:jc w:val="center"/>
              <w:rPr>
                <w:noProof/>
                <w:sz w:val="18"/>
              </w:rPr>
            </w:pPr>
            <w:r w:rsidRPr="009017BC">
              <w:rPr>
                <w:sz w:val="18"/>
              </w:rPr>
              <w:t>1,000</w:t>
            </w:r>
          </w:p>
        </w:tc>
        <w:tc>
          <w:tcPr>
            <w:tcW w:w="540" w:type="dxa"/>
            <w:gridSpan w:val="2"/>
            <w:tcBorders>
              <w:bottom w:val="single" w:sz="12" w:space="0" w:color="auto"/>
            </w:tcBorders>
          </w:tcPr>
          <w:p w14:paraId="6A83CBCD"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5D2E574E" w14:textId="77777777" w:rsidR="00B50935" w:rsidRPr="009017BC" w:rsidRDefault="00B50935" w:rsidP="00427764">
            <w:pPr>
              <w:ind w:right="-29"/>
              <w:jc w:val="center"/>
              <w:rPr>
                <w:noProof/>
                <w:sz w:val="18"/>
              </w:rPr>
            </w:pPr>
            <w:r w:rsidRPr="009017BC">
              <w:rPr>
                <w:sz w:val="18"/>
              </w:rPr>
              <w:t>1,000</w:t>
            </w:r>
          </w:p>
        </w:tc>
        <w:tc>
          <w:tcPr>
            <w:tcW w:w="720" w:type="dxa"/>
            <w:gridSpan w:val="2"/>
            <w:tcBorders>
              <w:bottom w:val="single" w:sz="12" w:space="0" w:color="auto"/>
            </w:tcBorders>
          </w:tcPr>
          <w:p w14:paraId="55D83163"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61EB8BF0" w14:textId="77777777" w:rsidR="00B50935" w:rsidRPr="009017BC" w:rsidRDefault="00B50935" w:rsidP="00427764">
            <w:pPr>
              <w:ind w:right="-29"/>
              <w:jc w:val="center"/>
              <w:rPr>
                <w:noProof/>
                <w:sz w:val="18"/>
              </w:rPr>
            </w:pPr>
            <w:r w:rsidRPr="009017BC">
              <w:rPr>
                <w:sz w:val="18"/>
              </w:rPr>
              <w:t>1,000</w:t>
            </w:r>
          </w:p>
        </w:tc>
        <w:tc>
          <w:tcPr>
            <w:tcW w:w="900" w:type="dxa"/>
            <w:gridSpan w:val="2"/>
            <w:tcBorders>
              <w:bottom w:val="single" w:sz="12" w:space="0" w:color="auto"/>
            </w:tcBorders>
          </w:tcPr>
          <w:p w14:paraId="24646263" w14:textId="77777777" w:rsidR="00B50935" w:rsidRPr="009017BC" w:rsidRDefault="00B50935" w:rsidP="00427764">
            <w:pPr>
              <w:ind w:right="-29"/>
              <w:jc w:val="center"/>
              <w:rPr>
                <w:noProof/>
                <w:sz w:val="18"/>
              </w:rPr>
            </w:pPr>
          </w:p>
        </w:tc>
        <w:tc>
          <w:tcPr>
            <w:tcW w:w="720" w:type="dxa"/>
            <w:gridSpan w:val="3"/>
            <w:tcBorders>
              <w:bottom w:val="single" w:sz="12" w:space="0" w:color="auto"/>
            </w:tcBorders>
          </w:tcPr>
          <w:p w14:paraId="3A1F2E88" w14:textId="77777777" w:rsidR="00B50935" w:rsidRPr="009017BC" w:rsidRDefault="00B50935" w:rsidP="00427764">
            <w:pPr>
              <w:ind w:right="-29"/>
              <w:jc w:val="center"/>
              <w:rPr>
                <w:noProof/>
                <w:sz w:val="18"/>
              </w:rPr>
            </w:pPr>
            <w:r w:rsidRPr="009017BC">
              <w:rPr>
                <w:sz w:val="18"/>
              </w:rPr>
              <w:t>1,000</w:t>
            </w:r>
          </w:p>
        </w:tc>
        <w:tc>
          <w:tcPr>
            <w:tcW w:w="540" w:type="dxa"/>
            <w:gridSpan w:val="2"/>
            <w:tcBorders>
              <w:bottom w:val="single" w:sz="12" w:space="0" w:color="auto"/>
            </w:tcBorders>
          </w:tcPr>
          <w:p w14:paraId="5948E495"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5C76056A" w14:textId="77777777" w:rsidR="00B50935" w:rsidRPr="009017BC" w:rsidRDefault="00B50935" w:rsidP="00427764">
            <w:pPr>
              <w:ind w:right="-29"/>
              <w:jc w:val="center"/>
              <w:rPr>
                <w:noProof/>
                <w:sz w:val="18"/>
              </w:rPr>
            </w:pPr>
            <w:r w:rsidRPr="009017BC">
              <w:rPr>
                <w:sz w:val="18"/>
              </w:rPr>
              <w:t>1,000</w:t>
            </w:r>
          </w:p>
        </w:tc>
        <w:tc>
          <w:tcPr>
            <w:tcW w:w="432" w:type="dxa"/>
            <w:gridSpan w:val="2"/>
            <w:tcBorders>
              <w:bottom w:val="single" w:sz="12" w:space="0" w:color="auto"/>
            </w:tcBorders>
          </w:tcPr>
          <w:p w14:paraId="36BA92D1"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2E9F3791" w14:textId="77777777" w:rsidR="00B50935" w:rsidRPr="009017BC" w:rsidRDefault="00B50935" w:rsidP="00427764">
            <w:pPr>
              <w:ind w:right="-29"/>
              <w:jc w:val="center"/>
              <w:rPr>
                <w:noProof/>
                <w:sz w:val="18"/>
              </w:rPr>
            </w:pPr>
            <w:r w:rsidRPr="009017BC">
              <w:rPr>
                <w:sz w:val="18"/>
              </w:rPr>
              <w:t>1,000</w:t>
            </w:r>
          </w:p>
        </w:tc>
        <w:tc>
          <w:tcPr>
            <w:tcW w:w="540" w:type="dxa"/>
            <w:gridSpan w:val="3"/>
            <w:tcBorders>
              <w:bottom w:val="single" w:sz="12" w:space="0" w:color="auto"/>
            </w:tcBorders>
          </w:tcPr>
          <w:p w14:paraId="2D236EC6"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435D6524" w14:textId="77777777" w:rsidR="00B50935" w:rsidRPr="009017BC" w:rsidRDefault="00B50935" w:rsidP="00427764">
            <w:pPr>
              <w:ind w:right="-29"/>
              <w:jc w:val="center"/>
              <w:rPr>
                <w:noProof/>
                <w:sz w:val="18"/>
              </w:rPr>
            </w:pPr>
            <w:r w:rsidRPr="009017BC">
              <w:rPr>
                <w:sz w:val="18"/>
              </w:rPr>
              <w:t>1,000</w:t>
            </w:r>
          </w:p>
        </w:tc>
        <w:tc>
          <w:tcPr>
            <w:tcW w:w="720" w:type="dxa"/>
            <w:gridSpan w:val="2"/>
            <w:tcBorders>
              <w:bottom w:val="single" w:sz="12" w:space="0" w:color="auto"/>
            </w:tcBorders>
          </w:tcPr>
          <w:p w14:paraId="70FDED4B"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58854091" w14:textId="77777777" w:rsidR="00B50935" w:rsidRPr="009017BC" w:rsidRDefault="00B50935" w:rsidP="00427764">
            <w:pPr>
              <w:ind w:right="-29"/>
              <w:jc w:val="center"/>
              <w:rPr>
                <w:noProof/>
                <w:sz w:val="18"/>
              </w:rPr>
            </w:pPr>
            <w:r w:rsidRPr="009017BC">
              <w:rPr>
                <w:sz w:val="18"/>
              </w:rPr>
              <w:t>7,000</w:t>
            </w:r>
          </w:p>
        </w:tc>
      </w:tr>
      <w:tr w:rsidR="00B50935" w:rsidRPr="009017BC" w14:paraId="13D50A7F" w14:textId="77777777" w:rsidTr="00427764">
        <w:trPr>
          <w:gridAfter w:val="1"/>
          <w:wAfter w:w="12" w:type="dxa"/>
          <w:jc w:val="center"/>
        </w:trPr>
        <w:tc>
          <w:tcPr>
            <w:tcW w:w="2685" w:type="dxa"/>
            <w:gridSpan w:val="3"/>
            <w:tcBorders>
              <w:bottom w:val="single" w:sz="12" w:space="0" w:color="auto"/>
            </w:tcBorders>
            <w:vAlign w:val="center"/>
          </w:tcPr>
          <w:p w14:paraId="3DD76BF7" w14:textId="77777777" w:rsidR="00B50935" w:rsidRPr="009017BC" w:rsidRDefault="00B50935" w:rsidP="00427764">
            <w:pPr>
              <w:ind w:right="-29"/>
              <w:jc w:val="center"/>
              <w:rPr>
                <w:noProof/>
                <w:sz w:val="18"/>
              </w:rPr>
            </w:pPr>
            <w:r w:rsidRPr="009017BC">
              <w:rPr>
                <w:sz w:val="18"/>
              </w:rPr>
              <w:t>Subtotal del objetivo específico n.º 2</w:t>
            </w:r>
          </w:p>
        </w:tc>
        <w:tc>
          <w:tcPr>
            <w:tcW w:w="663" w:type="dxa"/>
            <w:gridSpan w:val="2"/>
            <w:tcBorders>
              <w:bottom w:val="single" w:sz="12" w:space="0" w:color="auto"/>
            </w:tcBorders>
          </w:tcPr>
          <w:p w14:paraId="0C55B288"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4EAED00A" w14:textId="77777777" w:rsidR="00B50935" w:rsidRPr="009017BC" w:rsidRDefault="00B50935" w:rsidP="00427764">
            <w:pPr>
              <w:ind w:right="-29"/>
              <w:jc w:val="center"/>
              <w:rPr>
                <w:noProof/>
                <w:sz w:val="18"/>
              </w:rPr>
            </w:pPr>
            <w:r w:rsidRPr="009017BC">
              <w:rPr>
                <w:sz w:val="18"/>
              </w:rPr>
              <w:t>1,100</w:t>
            </w:r>
          </w:p>
        </w:tc>
        <w:tc>
          <w:tcPr>
            <w:tcW w:w="540" w:type="dxa"/>
            <w:gridSpan w:val="2"/>
            <w:tcBorders>
              <w:bottom w:val="single" w:sz="12" w:space="0" w:color="auto"/>
            </w:tcBorders>
          </w:tcPr>
          <w:p w14:paraId="236FF829"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198FFF49" w14:textId="77777777" w:rsidR="00B50935" w:rsidRPr="009017BC" w:rsidRDefault="00B50935" w:rsidP="00427764">
            <w:pPr>
              <w:ind w:right="-29"/>
              <w:jc w:val="center"/>
              <w:rPr>
                <w:noProof/>
                <w:sz w:val="18"/>
              </w:rPr>
            </w:pPr>
            <w:r w:rsidRPr="009017BC">
              <w:rPr>
                <w:sz w:val="18"/>
              </w:rPr>
              <w:t>1,100</w:t>
            </w:r>
          </w:p>
        </w:tc>
        <w:tc>
          <w:tcPr>
            <w:tcW w:w="720" w:type="dxa"/>
            <w:gridSpan w:val="2"/>
            <w:tcBorders>
              <w:bottom w:val="single" w:sz="12" w:space="0" w:color="auto"/>
            </w:tcBorders>
          </w:tcPr>
          <w:p w14:paraId="44414473"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16EBBAB5" w14:textId="77777777" w:rsidR="00B50935" w:rsidRPr="009017BC" w:rsidRDefault="00B50935" w:rsidP="00427764">
            <w:pPr>
              <w:ind w:right="-29"/>
              <w:jc w:val="center"/>
              <w:rPr>
                <w:noProof/>
                <w:sz w:val="18"/>
              </w:rPr>
            </w:pPr>
            <w:r w:rsidRPr="009017BC">
              <w:rPr>
                <w:sz w:val="18"/>
              </w:rPr>
              <w:t>1,100</w:t>
            </w:r>
          </w:p>
        </w:tc>
        <w:tc>
          <w:tcPr>
            <w:tcW w:w="900" w:type="dxa"/>
            <w:gridSpan w:val="2"/>
            <w:tcBorders>
              <w:bottom w:val="single" w:sz="12" w:space="0" w:color="auto"/>
            </w:tcBorders>
          </w:tcPr>
          <w:p w14:paraId="6C667DCE" w14:textId="77777777" w:rsidR="00B50935" w:rsidRPr="009017BC" w:rsidRDefault="00B50935" w:rsidP="00427764">
            <w:pPr>
              <w:ind w:right="-29"/>
              <w:jc w:val="center"/>
              <w:rPr>
                <w:noProof/>
                <w:sz w:val="18"/>
              </w:rPr>
            </w:pPr>
          </w:p>
        </w:tc>
        <w:tc>
          <w:tcPr>
            <w:tcW w:w="720" w:type="dxa"/>
            <w:gridSpan w:val="3"/>
            <w:tcBorders>
              <w:bottom w:val="single" w:sz="12" w:space="0" w:color="auto"/>
            </w:tcBorders>
          </w:tcPr>
          <w:p w14:paraId="32F52FB0" w14:textId="77777777" w:rsidR="00B50935" w:rsidRPr="009017BC" w:rsidRDefault="00B50935" w:rsidP="00427764">
            <w:pPr>
              <w:ind w:right="-29"/>
              <w:jc w:val="center"/>
              <w:rPr>
                <w:noProof/>
                <w:sz w:val="18"/>
              </w:rPr>
            </w:pPr>
            <w:r w:rsidRPr="009017BC">
              <w:rPr>
                <w:sz w:val="18"/>
              </w:rPr>
              <w:t>1,100</w:t>
            </w:r>
          </w:p>
        </w:tc>
        <w:tc>
          <w:tcPr>
            <w:tcW w:w="540" w:type="dxa"/>
            <w:gridSpan w:val="2"/>
            <w:tcBorders>
              <w:bottom w:val="single" w:sz="12" w:space="0" w:color="auto"/>
            </w:tcBorders>
          </w:tcPr>
          <w:p w14:paraId="0333437D"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60B0D000" w14:textId="77777777" w:rsidR="00B50935" w:rsidRPr="009017BC" w:rsidRDefault="00B50935" w:rsidP="00427764">
            <w:pPr>
              <w:ind w:right="-29"/>
              <w:jc w:val="center"/>
              <w:rPr>
                <w:noProof/>
                <w:sz w:val="18"/>
              </w:rPr>
            </w:pPr>
            <w:r w:rsidRPr="009017BC">
              <w:rPr>
                <w:sz w:val="18"/>
              </w:rPr>
              <w:t>1,100</w:t>
            </w:r>
          </w:p>
        </w:tc>
        <w:tc>
          <w:tcPr>
            <w:tcW w:w="432" w:type="dxa"/>
            <w:gridSpan w:val="2"/>
            <w:tcBorders>
              <w:bottom w:val="single" w:sz="12" w:space="0" w:color="auto"/>
            </w:tcBorders>
          </w:tcPr>
          <w:p w14:paraId="7A2875AD"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7D377158" w14:textId="77777777" w:rsidR="00B50935" w:rsidRPr="009017BC" w:rsidRDefault="00B50935" w:rsidP="00427764">
            <w:pPr>
              <w:ind w:right="-29"/>
              <w:jc w:val="center"/>
              <w:rPr>
                <w:noProof/>
                <w:sz w:val="18"/>
              </w:rPr>
            </w:pPr>
            <w:r w:rsidRPr="009017BC">
              <w:rPr>
                <w:sz w:val="18"/>
              </w:rPr>
              <w:t>1,100</w:t>
            </w:r>
          </w:p>
        </w:tc>
        <w:tc>
          <w:tcPr>
            <w:tcW w:w="540" w:type="dxa"/>
            <w:gridSpan w:val="3"/>
            <w:tcBorders>
              <w:bottom w:val="single" w:sz="12" w:space="0" w:color="auto"/>
            </w:tcBorders>
          </w:tcPr>
          <w:p w14:paraId="530434C7"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6369A137" w14:textId="77777777" w:rsidR="00B50935" w:rsidRPr="009017BC" w:rsidRDefault="00B50935" w:rsidP="00427764">
            <w:pPr>
              <w:ind w:right="-29"/>
              <w:jc w:val="center"/>
              <w:rPr>
                <w:noProof/>
                <w:sz w:val="18"/>
              </w:rPr>
            </w:pPr>
            <w:r w:rsidRPr="009017BC">
              <w:rPr>
                <w:sz w:val="18"/>
              </w:rPr>
              <w:t>1,100</w:t>
            </w:r>
          </w:p>
        </w:tc>
        <w:tc>
          <w:tcPr>
            <w:tcW w:w="720" w:type="dxa"/>
            <w:gridSpan w:val="2"/>
            <w:tcBorders>
              <w:bottom w:val="single" w:sz="12" w:space="0" w:color="auto"/>
            </w:tcBorders>
          </w:tcPr>
          <w:p w14:paraId="665A9C89"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3D3420A4" w14:textId="77777777" w:rsidR="00B50935" w:rsidRPr="009017BC" w:rsidRDefault="00B50935" w:rsidP="00427764">
            <w:pPr>
              <w:ind w:right="-29"/>
              <w:jc w:val="center"/>
              <w:rPr>
                <w:noProof/>
                <w:sz w:val="18"/>
              </w:rPr>
            </w:pPr>
            <w:r w:rsidRPr="009017BC">
              <w:rPr>
                <w:sz w:val="18"/>
              </w:rPr>
              <w:t>7,700</w:t>
            </w:r>
          </w:p>
        </w:tc>
      </w:tr>
      <w:tr w:rsidR="00B50935" w:rsidRPr="009017BC" w14:paraId="087563D4" w14:textId="77777777" w:rsidTr="00427764">
        <w:trPr>
          <w:gridAfter w:val="1"/>
          <w:wAfter w:w="12" w:type="dxa"/>
          <w:jc w:val="center"/>
        </w:trPr>
        <w:tc>
          <w:tcPr>
            <w:tcW w:w="2685" w:type="dxa"/>
            <w:gridSpan w:val="3"/>
            <w:tcBorders>
              <w:bottom w:val="single" w:sz="12" w:space="0" w:color="auto"/>
            </w:tcBorders>
            <w:vAlign w:val="center"/>
          </w:tcPr>
          <w:p w14:paraId="6F007896" w14:textId="77777777" w:rsidR="00B50935" w:rsidRPr="009017BC" w:rsidRDefault="00B50935" w:rsidP="00427764">
            <w:pPr>
              <w:ind w:right="-29"/>
              <w:jc w:val="center"/>
              <w:rPr>
                <w:noProof/>
                <w:sz w:val="18"/>
              </w:rPr>
            </w:pPr>
          </w:p>
        </w:tc>
        <w:tc>
          <w:tcPr>
            <w:tcW w:w="663" w:type="dxa"/>
            <w:gridSpan w:val="2"/>
            <w:tcBorders>
              <w:bottom w:val="single" w:sz="12" w:space="0" w:color="auto"/>
            </w:tcBorders>
          </w:tcPr>
          <w:p w14:paraId="001EF327"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3E62DEEF" w14:textId="77777777" w:rsidR="00B50935" w:rsidRPr="009017BC" w:rsidRDefault="00B50935" w:rsidP="00427764">
            <w:pPr>
              <w:ind w:right="-29"/>
              <w:jc w:val="center"/>
              <w:rPr>
                <w:noProof/>
                <w:sz w:val="18"/>
              </w:rPr>
            </w:pPr>
          </w:p>
        </w:tc>
        <w:tc>
          <w:tcPr>
            <w:tcW w:w="540" w:type="dxa"/>
            <w:gridSpan w:val="2"/>
            <w:tcBorders>
              <w:bottom w:val="single" w:sz="12" w:space="0" w:color="auto"/>
            </w:tcBorders>
          </w:tcPr>
          <w:p w14:paraId="720F4067"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4E26A5E1"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3BB68952"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64BEEDCC"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0BB5913D" w14:textId="77777777" w:rsidR="00B50935" w:rsidRPr="009017BC" w:rsidRDefault="00B50935" w:rsidP="00427764">
            <w:pPr>
              <w:ind w:right="-29"/>
              <w:jc w:val="center"/>
              <w:rPr>
                <w:noProof/>
                <w:sz w:val="18"/>
              </w:rPr>
            </w:pPr>
          </w:p>
        </w:tc>
        <w:tc>
          <w:tcPr>
            <w:tcW w:w="720" w:type="dxa"/>
            <w:gridSpan w:val="3"/>
            <w:tcBorders>
              <w:bottom w:val="single" w:sz="12" w:space="0" w:color="auto"/>
            </w:tcBorders>
          </w:tcPr>
          <w:p w14:paraId="4F919ABD" w14:textId="77777777" w:rsidR="00B50935" w:rsidRPr="009017BC" w:rsidRDefault="00B50935" w:rsidP="00427764">
            <w:pPr>
              <w:ind w:right="-29"/>
              <w:jc w:val="center"/>
              <w:rPr>
                <w:noProof/>
                <w:sz w:val="18"/>
              </w:rPr>
            </w:pPr>
          </w:p>
        </w:tc>
        <w:tc>
          <w:tcPr>
            <w:tcW w:w="540" w:type="dxa"/>
            <w:gridSpan w:val="2"/>
            <w:tcBorders>
              <w:bottom w:val="single" w:sz="12" w:space="0" w:color="auto"/>
            </w:tcBorders>
          </w:tcPr>
          <w:p w14:paraId="1FEA2CBD"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75C30D99" w14:textId="77777777" w:rsidR="00B50935" w:rsidRPr="009017BC" w:rsidRDefault="00B50935" w:rsidP="00427764">
            <w:pPr>
              <w:ind w:right="-29"/>
              <w:jc w:val="center"/>
              <w:rPr>
                <w:noProof/>
                <w:sz w:val="18"/>
              </w:rPr>
            </w:pPr>
          </w:p>
        </w:tc>
        <w:tc>
          <w:tcPr>
            <w:tcW w:w="432" w:type="dxa"/>
            <w:gridSpan w:val="2"/>
            <w:tcBorders>
              <w:bottom w:val="single" w:sz="12" w:space="0" w:color="auto"/>
            </w:tcBorders>
          </w:tcPr>
          <w:p w14:paraId="56ED9699"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73B75AB3" w14:textId="77777777" w:rsidR="00B50935" w:rsidRPr="009017BC" w:rsidRDefault="00B50935" w:rsidP="00427764">
            <w:pPr>
              <w:ind w:right="-29"/>
              <w:jc w:val="center"/>
              <w:rPr>
                <w:noProof/>
                <w:sz w:val="18"/>
              </w:rPr>
            </w:pPr>
          </w:p>
        </w:tc>
        <w:tc>
          <w:tcPr>
            <w:tcW w:w="540" w:type="dxa"/>
            <w:gridSpan w:val="3"/>
            <w:tcBorders>
              <w:bottom w:val="single" w:sz="12" w:space="0" w:color="auto"/>
            </w:tcBorders>
          </w:tcPr>
          <w:p w14:paraId="5C1F6D2D"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3CAC43C5"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37B0B00A"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105E3073" w14:textId="77777777" w:rsidR="00B50935" w:rsidRPr="009017BC" w:rsidRDefault="00B50935" w:rsidP="00427764">
            <w:pPr>
              <w:ind w:right="-29"/>
              <w:jc w:val="center"/>
              <w:rPr>
                <w:noProof/>
                <w:sz w:val="18"/>
              </w:rPr>
            </w:pPr>
          </w:p>
        </w:tc>
      </w:tr>
      <w:tr w:rsidR="00B50935" w:rsidRPr="009017BC" w14:paraId="3E958F3D" w14:textId="77777777" w:rsidTr="00427764">
        <w:trPr>
          <w:gridAfter w:val="1"/>
          <w:wAfter w:w="12" w:type="dxa"/>
          <w:jc w:val="center"/>
        </w:trPr>
        <w:tc>
          <w:tcPr>
            <w:tcW w:w="13611" w:type="dxa"/>
            <w:gridSpan w:val="37"/>
            <w:vAlign w:val="center"/>
          </w:tcPr>
          <w:p w14:paraId="1A836A66" w14:textId="77777777" w:rsidR="00B50935" w:rsidRPr="009017BC" w:rsidRDefault="00B50935" w:rsidP="00427764">
            <w:pPr>
              <w:spacing w:before="60" w:after="60"/>
              <w:ind w:right="-29"/>
              <w:jc w:val="center"/>
              <w:rPr>
                <w:noProof/>
                <w:sz w:val="18"/>
              </w:rPr>
            </w:pPr>
            <w:r w:rsidRPr="009017BC">
              <w:rPr>
                <w:sz w:val="18"/>
              </w:rPr>
              <w:t>OBJETIVO ESPECÍFICO N.º 3: gestionar redes especializadas en el ámbito de las enfermedades transmisibles y las sustancias de origen humano</w:t>
            </w:r>
          </w:p>
        </w:tc>
      </w:tr>
      <w:tr w:rsidR="00B50935" w:rsidRPr="009017BC" w14:paraId="38580B08" w14:textId="77777777" w:rsidTr="00427764">
        <w:trPr>
          <w:gridAfter w:val="1"/>
          <w:wAfter w:w="12" w:type="dxa"/>
          <w:trHeight w:hRule="exact" w:val="1697"/>
          <w:jc w:val="center"/>
        </w:trPr>
        <w:tc>
          <w:tcPr>
            <w:tcW w:w="1696" w:type="dxa"/>
          </w:tcPr>
          <w:p w14:paraId="0AA4FC3E" w14:textId="77777777" w:rsidR="00B50935" w:rsidRPr="009017BC" w:rsidRDefault="00B50935" w:rsidP="00427764">
            <w:pPr>
              <w:ind w:right="-29"/>
              <w:jc w:val="center"/>
              <w:rPr>
                <w:noProof/>
                <w:sz w:val="18"/>
              </w:rPr>
            </w:pPr>
            <w:r w:rsidRPr="009017BC">
              <w:rPr>
                <w:sz w:val="18"/>
              </w:rPr>
              <w:t>- Resultado: nuevas redes sobre transfusiones, trasplantes y reproducción asistida</w:t>
            </w:r>
          </w:p>
        </w:tc>
        <w:tc>
          <w:tcPr>
            <w:tcW w:w="447" w:type="dxa"/>
          </w:tcPr>
          <w:p w14:paraId="766D8B45" w14:textId="77777777" w:rsidR="00B50935" w:rsidRPr="009017BC" w:rsidRDefault="00B50935" w:rsidP="00427764">
            <w:pPr>
              <w:ind w:right="-29"/>
              <w:jc w:val="center"/>
              <w:rPr>
                <w:noProof/>
                <w:sz w:val="18"/>
              </w:rPr>
            </w:pPr>
          </w:p>
        </w:tc>
        <w:tc>
          <w:tcPr>
            <w:tcW w:w="542" w:type="dxa"/>
          </w:tcPr>
          <w:p w14:paraId="6384D179" w14:textId="77777777" w:rsidR="00B50935" w:rsidRPr="009017BC" w:rsidRDefault="00B50935" w:rsidP="00427764">
            <w:pPr>
              <w:ind w:right="-29"/>
              <w:jc w:val="center"/>
              <w:rPr>
                <w:noProof/>
                <w:sz w:val="18"/>
              </w:rPr>
            </w:pPr>
          </w:p>
        </w:tc>
        <w:tc>
          <w:tcPr>
            <w:tcW w:w="663" w:type="dxa"/>
            <w:gridSpan w:val="2"/>
          </w:tcPr>
          <w:p w14:paraId="7964EF16" w14:textId="77777777" w:rsidR="00B50935" w:rsidRPr="009017BC" w:rsidRDefault="00B50935" w:rsidP="00427764">
            <w:pPr>
              <w:ind w:right="-29"/>
              <w:jc w:val="center"/>
              <w:rPr>
                <w:noProof/>
                <w:sz w:val="18"/>
              </w:rPr>
            </w:pPr>
          </w:p>
        </w:tc>
        <w:tc>
          <w:tcPr>
            <w:tcW w:w="720" w:type="dxa"/>
            <w:gridSpan w:val="2"/>
          </w:tcPr>
          <w:p w14:paraId="303520EB" w14:textId="77777777" w:rsidR="00B50935" w:rsidRPr="009017BC" w:rsidRDefault="00B50935" w:rsidP="00427764">
            <w:pPr>
              <w:ind w:right="-29"/>
              <w:jc w:val="center"/>
              <w:rPr>
                <w:noProof/>
                <w:sz w:val="18"/>
              </w:rPr>
            </w:pPr>
            <w:r w:rsidRPr="009017BC">
              <w:rPr>
                <w:sz w:val="18"/>
              </w:rPr>
              <w:t>0,300</w:t>
            </w:r>
          </w:p>
        </w:tc>
        <w:tc>
          <w:tcPr>
            <w:tcW w:w="540" w:type="dxa"/>
            <w:gridSpan w:val="2"/>
          </w:tcPr>
          <w:p w14:paraId="013CB004" w14:textId="77777777" w:rsidR="00B50935" w:rsidRPr="009017BC" w:rsidRDefault="00B50935" w:rsidP="00427764">
            <w:pPr>
              <w:ind w:right="-29"/>
              <w:jc w:val="center"/>
              <w:rPr>
                <w:noProof/>
                <w:sz w:val="18"/>
              </w:rPr>
            </w:pPr>
          </w:p>
        </w:tc>
        <w:tc>
          <w:tcPr>
            <w:tcW w:w="720" w:type="dxa"/>
            <w:gridSpan w:val="2"/>
          </w:tcPr>
          <w:p w14:paraId="1039385D" w14:textId="77777777" w:rsidR="00B50935" w:rsidRPr="009017BC" w:rsidRDefault="00B50935" w:rsidP="00427764">
            <w:pPr>
              <w:ind w:right="-29"/>
              <w:jc w:val="center"/>
              <w:rPr>
                <w:noProof/>
                <w:sz w:val="18"/>
              </w:rPr>
            </w:pPr>
            <w:r w:rsidRPr="009017BC">
              <w:rPr>
                <w:sz w:val="18"/>
              </w:rPr>
              <w:t>0,300</w:t>
            </w:r>
          </w:p>
        </w:tc>
        <w:tc>
          <w:tcPr>
            <w:tcW w:w="720" w:type="dxa"/>
            <w:gridSpan w:val="2"/>
          </w:tcPr>
          <w:p w14:paraId="7E33F005" w14:textId="77777777" w:rsidR="00B50935" w:rsidRPr="009017BC" w:rsidRDefault="00B50935" w:rsidP="00427764">
            <w:pPr>
              <w:ind w:right="-29"/>
              <w:jc w:val="center"/>
              <w:rPr>
                <w:noProof/>
                <w:sz w:val="18"/>
              </w:rPr>
            </w:pPr>
          </w:p>
        </w:tc>
        <w:tc>
          <w:tcPr>
            <w:tcW w:w="720" w:type="dxa"/>
            <w:gridSpan w:val="2"/>
          </w:tcPr>
          <w:p w14:paraId="298BE9EA" w14:textId="77777777" w:rsidR="00B50935" w:rsidRPr="009017BC" w:rsidRDefault="00B50935" w:rsidP="00427764">
            <w:pPr>
              <w:ind w:right="-29"/>
              <w:jc w:val="center"/>
              <w:rPr>
                <w:noProof/>
                <w:sz w:val="18"/>
              </w:rPr>
            </w:pPr>
            <w:r w:rsidRPr="009017BC">
              <w:rPr>
                <w:sz w:val="18"/>
              </w:rPr>
              <w:t>0,300</w:t>
            </w:r>
          </w:p>
        </w:tc>
        <w:tc>
          <w:tcPr>
            <w:tcW w:w="900" w:type="dxa"/>
            <w:gridSpan w:val="2"/>
          </w:tcPr>
          <w:p w14:paraId="77997C10" w14:textId="77777777" w:rsidR="00B50935" w:rsidRPr="009017BC" w:rsidRDefault="00B50935" w:rsidP="00427764">
            <w:pPr>
              <w:ind w:right="-29"/>
              <w:jc w:val="center"/>
              <w:rPr>
                <w:noProof/>
                <w:sz w:val="18"/>
              </w:rPr>
            </w:pPr>
          </w:p>
        </w:tc>
        <w:tc>
          <w:tcPr>
            <w:tcW w:w="720" w:type="dxa"/>
            <w:gridSpan w:val="3"/>
          </w:tcPr>
          <w:p w14:paraId="56396BA5" w14:textId="77777777" w:rsidR="00B50935" w:rsidRPr="009017BC" w:rsidRDefault="00B50935" w:rsidP="00427764">
            <w:pPr>
              <w:ind w:right="-29"/>
              <w:jc w:val="center"/>
              <w:rPr>
                <w:noProof/>
                <w:sz w:val="18"/>
              </w:rPr>
            </w:pPr>
            <w:r w:rsidRPr="009017BC">
              <w:rPr>
                <w:sz w:val="18"/>
              </w:rPr>
              <w:t>0,300</w:t>
            </w:r>
          </w:p>
        </w:tc>
        <w:tc>
          <w:tcPr>
            <w:tcW w:w="540" w:type="dxa"/>
            <w:gridSpan w:val="2"/>
          </w:tcPr>
          <w:p w14:paraId="73E38044" w14:textId="77777777" w:rsidR="00B50935" w:rsidRPr="009017BC" w:rsidRDefault="00B50935" w:rsidP="00427764">
            <w:pPr>
              <w:ind w:right="-29"/>
              <w:jc w:val="center"/>
              <w:rPr>
                <w:noProof/>
                <w:sz w:val="18"/>
              </w:rPr>
            </w:pPr>
          </w:p>
        </w:tc>
        <w:tc>
          <w:tcPr>
            <w:tcW w:w="648" w:type="dxa"/>
            <w:gridSpan w:val="2"/>
          </w:tcPr>
          <w:p w14:paraId="79BC9D0C" w14:textId="77777777" w:rsidR="00B50935" w:rsidRPr="009017BC" w:rsidRDefault="00B50935" w:rsidP="00427764">
            <w:pPr>
              <w:ind w:right="-29"/>
              <w:jc w:val="center"/>
              <w:rPr>
                <w:noProof/>
                <w:sz w:val="18"/>
              </w:rPr>
            </w:pPr>
            <w:r w:rsidRPr="009017BC">
              <w:rPr>
                <w:sz w:val="18"/>
              </w:rPr>
              <w:t>0,300</w:t>
            </w:r>
          </w:p>
        </w:tc>
        <w:tc>
          <w:tcPr>
            <w:tcW w:w="432" w:type="dxa"/>
            <w:gridSpan w:val="2"/>
          </w:tcPr>
          <w:p w14:paraId="53E1C860" w14:textId="77777777" w:rsidR="00B50935" w:rsidRPr="009017BC" w:rsidRDefault="00B50935" w:rsidP="00427764">
            <w:pPr>
              <w:ind w:right="-29"/>
              <w:jc w:val="center"/>
              <w:rPr>
                <w:noProof/>
                <w:sz w:val="18"/>
              </w:rPr>
            </w:pPr>
          </w:p>
        </w:tc>
        <w:tc>
          <w:tcPr>
            <w:tcW w:w="720" w:type="dxa"/>
            <w:gridSpan w:val="2"/>
          </w:tcPr>
          <w:p w14:paraId="17D0DDD3" w14:textId="77777777" w:rsidR="00B50935" w:rsidRPr="009017BC" w:rsidRDefault="00B50935" w:rsidP="00427764">
            <w:pPr>
              <w:ind w:right="-29"/>
              <w:jc w:val="center"/>
              <w:rPr>
                <w:noProof/>
                <w:sz w:val="18"/>
              </w:rPr>
            </w:pPr>
            <w:r w:rsidRPr="009017BC">
              <w:rPr>
                <w:sz w:val="18"/>
              </w:rPr>
              <w:t>0,300</w:t>
            </w:r>
          </w:p>
        </w:tc>
        <w:tc>
          <w:tcPr>
            <w:tcW w:w="540" w:type="dxa"/>
            <w:gridSpan w:val="3"/>
          </w:tcPr>
          <w:p w14:paraId="42DA9E0D" w14:textId="77777777" w:rsidR="00B50935" w:rsidRPr="009017BC" w:rsidRDefault="00B50935" w:rsidP="00427764">
            <w:pPr>
              <w:ind w:right="-29"/>
              <w:jc w:val="center"/>
              <w:rPr>
                <w:noProof/>
                <w:sz w:val="18"/>
              </w:rPr>
            </w:pPr>
          </w:p>
        </w:tc>
        <w:tc>
          <w:tcPr>
            <w:tcW w:w="723" w:type="dxa"/>
            <w:gridSpan w:val="2"/>
          </w:tcPr>
          <w:p w14:paraId="57EE2D9E" w14:textId="77777777" w:rsidR="00B50935" w:rsidRPr="009017BC" w:rsidRDefault="00B50935" w:rsidP="00427764">
            <w:pPr>
              <w:ind w:right="-29"/>
              <w:jc w:val="center"/>
              <w:rPr>
                <w:noProof/>
                <w:sz w:val="18"/>
              </w:rPr>
            </w:pPr>
            <w:r w:rsidRPr="009017BC">
              <w:rPr>
                <w:sz w:val="18"/>
              </w:rPr>
              <w:t>0,300</w:t>
            </w:r>
          </w:p>
        </w:tc>
        <w:tc>
          <w:tcPr>
            <w:tcW w:w="720" w:type="dxa"/>
            <w:gridSpan w:val="2"/>
          </w:tcPr>
          <w:p w14:paraId="6758D885" w14:textId="77777777" w:rsidR="00B50935" w:rsidRPr="009017BC" w:rsidRDefault="00B50935" w:rsidP="00427764">
            <w:pPr>
              <w:ind w:right="-29"/>
              <w:jc w:val="center"/>
              <w:rPr>
                <w:noProof/>
                <w:sz w:val="18"/>
              </w:rPr>
            </w:pPr>
          </w:p>
        </w:tc>
        <w:tc>
          <w:tcPr>
            <w:tcW w:w="900" w:type="dxa"/>
            <w:gridSpan w:val="2"/>
          </w:tcPr>
          <w:p w14:paraId="56774327" w14:textId="77777777" w:rsidR="00B50935" w:rsidRPr="009017BC" w:rsidRDefault="00B50935" w:rsidP="00427764">
            <w:pPr>
              <w:ind w:right="-29"/>
              <w:jc w:val="center"/>
              <w:rPr>
                <w:noProof/>
                <w:sz w:val="18"/>
              </w:rPr>
            </w:pPr>
            <w:r w:rsidRPr="009017BC">
              <w:rPr>
                <w:sz w:val="18"/>
              </w:rPr>
              <w:t>2,100</w:t>
            </w:r>
          </w:p>
        </w:tc>
      </w:tr>
      <w:tr w:rsidR="00B50935" w:rsidRPr="009017BC" w14:paraId="184907D6" w14:textId="77777777" w:rsidTr="00427764">
        <w:trPr>
          <w:gridAfter w:val="1"/>
          <w:wAfter w:w="12" w:type="dxa"/>
          <w:trHeight w:hRule="exact" w:val="1967"/>
          <w:jc w:val="center"/>
        </w:trPr>
        <w:tc>
          <w:tcPr>
            <w:tcW w:w="1696" w:type="dxa"/>
          </w:tcPr>
          <w:p w14:paraId="24ABFFE9" w14:textId="77777777" w:rsidR="00B50935" w:rsidRPr="009017BC" w:rsidRDefault="00B50935" w:rsidP="00427764">
            <w:pPr>
              <w:ind w:right="-29"/>
              <w:jc w:val="center"/>
              <w:rPr>
                <w:noProof/>
                <w:sz w:val="18"/>
              </w:rPr>
            </w:pPr>
            <w:r w:rsidRPr="009017BC">
              <w:rPr>
                <w:sz w:val="18"/>
              </w:rPr>
              <w:t xml:space="preserve">- Resultado: reforzar la red de laboratorios, en consonancia con la Comunicación de la Comisión C(2020) 2391 «Orientaciones sobre las pruebas para diagnóstico </w:t>
            </w:r>
            <w:r w:rsidRPr="009017BC">
              <w:rPr>
                <w:i/>
                <w:iCs/>
                <w:sz w:val="18"/>
              </w:rPr>
              <w:t>in vitro</w:t>
            </w:r>
            <w:r w:rsidRPr="009017BC">
              <w:rPr>
                <w:sz w:val="18"/>
              </w:rPr>
              <w:t xml:space="preserve"> de la COVID-19 y su funcionamiento»</w:t>
            </w:r>
          </w:p>
        </w:tc>
        <w:tc>
          <w:tcPr>
            <w:tcW w:w="447" w:type="dxa"/>
          </w:tcPr>
          <w:p w14:paraId="7585447D" w14:textId="77777777" w:rsidR="00B50935" w:rsidRPr="009017BC" w:rsidRDefault="00B50935" w:rsidP="00427764">
            <w:pPr>
              <w:ind w:right="-29"/>
              <w:jc w:val="center"/>
              <w:rPr>
                <w:noProof/>
                <w:sz w:val="18"/>
              </w:rPr>
            </w:pPr>
          </w:p>
        </w:tc>
        <w:tc>
          <w:tcPr>
            <w:tcW w:w="542" w:type="dxa"/>
          </w:tcPr>
          <w:p w14:paraId="14A16E1E" w14:textId="77777777" w:rsidR="00B50935" w:rsidRPr="009017BC" w:rsidRDefault="00B50935" w:rsidP="00427764">
            <w:pPr>
              <w:ind w:right="-29"/>
              <w:jc w:val="center"/>
              <w:rPr>
                <w:noProof/>
                <w:sz w:val="18"/>
              </w:rPr>
            </w:pPr>
          </w:p>
        </w:tc>
        <w:tc>
          <w:tcPr>
            <w:tcW w:w="663" w:type="dxa"/>
            <w:gridSpan w:val="2"/>
          </w:tcPr>
          <w:p w14:paraId="100A2E5F" w14:textId="77777777" w:rsidR="00B50935" w:rsidRPr="009017BC" w:rsidRDefault="00B50935" w:rsidP="00427764">
            <w:pPr>
              <w:ind w:right="-29"/>
              <w:jc w:val="center"/>
              <w:rPr>
                <w:noProof/>
                <w:sz w:val="18"/>
              </w:rPr>
            </w:pPr>
          </w:p>
        </w:tc>
        <w:tc>
          <w:tcPr>
            <w:tcW w:w="720" w:type="dxa"/>
            <w:gridSpan w:val="2"/>
          </w:tcPr>
          <w:p w14:paraId="71A1B233" w14:textId="77777777" w:rsidR="00B50935" w:rsidRPr="009017BC" w:rsidRDefault="00B50935" w:rsidP="00427764">
            <w:pPr>
              <w:ind w:right="-29"/>
              <w:jc w:val="center"/>
              <w:rPr>
                <w:noProof/>
                <w:sz w:val="18"/>
              </w:rPr>
            </w:pPr>
            <w:r w:rsidRPr="009017BC">
              <w:rPr>
                <w:sz w:val="18"/>
              </w:rPr>
              <w:t>0,200</w:t>
            </w:r>
          </w:p>
        </w:tc>
        <w:tc>
          <w:tcPr>
            <w:tcW w:w="540" w:type="dxa"/>
            <w:gridSpan w:val="2"/>
          </w:tcPr>
          <w:p w14:paraId="633E3780" w14:textId="77777777" w:rsidR="00B50935" w:rsidRPr="009017BC" w:rsidRDefault="00B50935" w:rsidP="00427764">
            <w:pPr>
              <w:ind w:right="-29"/>
              <w:jc w:val="center"/>
              <w:rPr>
                <w:noProof/>
                <w:sz w:val="18"/>
              </w:rPr>
            </w:pPr>
          </w:p>
        </w:tc>
        <w:tc>
          <w:tcPr>
            <w:tcW w:w="720" w:type="dxa"/>
            <w:gridSpan w:val="2"/>
          </w:tcPr>
          <w:p w14:paraId="64E415C5" w14:textId="77777777" w:rsidR="00B50935" w:rsidRPr="009017BC" w:rsidRDefault="00B50935" w:rsidP="00427764">
            <w:pPr>
              <w:ind w:right="-29"/>
              <w:jc w:val="center"/>
              <w:rPr>
                <w:noProof/>
                <w:sz w:val="18"/>
              </w:rPr>
            </w:pPr>
            <w:r w:rsidRPr="009017BC">
              <w:rPr>
                <w:sz w:val="18"/>
              </w:rPr>
              <w:t>0,200</w:t>
            </w:r>
          </w:p>
        </w:tc>
        <w:tc>
          <w:tcPr>
            <w:tcW w:w="720" w:type="dxa"/>
            <w:gridSpan w:val="2"/>
          </w:tcPr>
          <w:p w14:paraId="1D241277" w14:textId="77777777" w:rsidR="00B50935" w:rsidRPr="009017BC" w:rsidRDefault="00B50935" w:rsidP="00427764">
            <w:pPr>
              <w:ind w:right="-29"/>
              <w:jc w:val="center"/>
              <w:rPr>
                <w:noProof/>
                <w:sz w:val="18"/>
              </w:rPr>
            </w:pPr>
          </w:p>
        </w:tc>
        <w:tc>
          <w:tcPr>
            <w:tcW w:w="720" w:type="dxa"/>
            <w:gridSpan w:val="2"/>
          </w:tcPr>
          <w:p w14:paraId="0BE5284A" w14:textId="77777777" w:rsidR="00B50935" w:rsidRPr="009017BC" w:rsidRDefault="00B50935" w:rsidP="00427764">
            <w:pPr>
              <w:ind w:right="-29"/>
              <w:jc w:val="center"/>
              <w:rPr>
                <w:noProof/>
                <w:sz w:val="18"/>
              </w:rPr>
            </w:pPr>
            <w:r w:rsidRPr="009017BC">
              <w:rPr>
                <w:sz w:val="18"/>
              </w:rPr>
              <w:t>0,200</w:t>
            </w:r>
          </w:p>
        </w:tc>
        <w:tc>
          <w:tcPr>
            <w:tcW w:w="900" w:type="dxa"/>
            <w:gridSpan w:val="2"/>
          </w:tcPr>
          <w:p w14:paraId="7147562D" w14:textId="77777777" w:rsidR="00B50935" w:rsidRPr="009017BC" w:rsidRDefault="00B50935" w:rsidP="00427764">
            <w:pPr>
              <w:ind w:right="-29"/>
              <w:jc w:val="center"/>
              <w:rPr>
                <w:noProof/>
                <w:sz w:val="18"/>
              </w:rPr>
            </w:pPr>
          </w:p>
        </w:tc>
        <w:tc>
          <w:tcPr>
            <w:tcW w:w="720" w:type="dxa"/>
            <w:gridSpan w:val="3"/>
          </w:tcPr>
          <w:p w14:paraId="58C1FE7F" w14:textId="77777777" w:rsidR="00B50935" w:rsidRPr="009017BC" w:rsidRDefault="00B50935" w:rsidP="00427764">
            <w:pPr>
              <w:ind w:right="-29"/>
              <w:jc w:val="center"/>
              <w:rPr>
                <w:noProof/>
                <w:sz w:val="18"/>
              </w:rPr>
            </w:pPr>
            <w:r w:rsidRPr="009017BC">
              <w:rPr>
                <w:sz w:val="18"/>
              </w:rPr>
              <w:t>0,200</w:t>
            </w:r>
          </w:p>
        </w:tc>
        <w:tc>
          <w:tcPr>
            <w:tcW w:w="540" w:type="dxa"/>
            <w:gridSpan w:val="2"/>
          </w:tcPr>
          <w:p w14:paraId="254D3B9C" w14:textId="77777777" w:rsidR="00B50935" w:rsidRPr="009017BC" w:rsidRDefault="00B50935" w:rsidP="00427764">
            <w:pPr>
              <w:ind w:right="-29"/>
              <w:jc w:val="center"/>
              <w:rPr>
                <w:noProof/>
                <w:sz w:val="18"/>
              </w:rPr>
            </w:pPr>
          </w:p>
        </w:tc>
        <w:tc>
          <w:tcPr>
            <w:tcW w:w="648" w:type="dxa"/>
            <w:gridSpan w:val="2"/>
          </w:tcPr>
          <w:p w14:paraId="1EF4919C" w14:textId="77777777" w:rsidR="00B50935" w:rsidRPr="009017BC" w:rsidRDefault="00B50935" w:rsidP="00427764">
            <w:pPr>
              <w:ind w:right="-29"/>
              <w:jc w:val="center"/>
              <w:rPr>
                <w:noProof/>
                <w:sz w:val="18"/>
              </w:rPr>
            </w:pPr>
            <w:r w:rsidRPr="009017BC">
              <w:rPr>
                <w:sz w:val="18"/>
              </w:rPr>
              <w:t>0,200</w:t>
            </w:r>
          </w:p>
        </w:tc>
        <w:tc>
          <w:tcPr>
            <w:tcW w:w="432" w:type="dxa"/>
            <w:gridSpan w:val="2"/>
          </w:tcPr>
          <w:p w14:paraId="2782E185" w14:textId="77777777" w:rsidR="00B50935" w:rsidRPr="009017BC" w:rsidRDefault="00B50935" w:rsidP="00427764">
            <w:pPr>
              <w:ind w:right="-29"/>
              <w:jc w:val="center"/>
              <w:rPr>
                <w:noProof/>
                <w:sz w:val="18"/>
              </w:rPr>
            </w:pPr>
          </w:p>
        </w:tc>
        <w:tc>
          <w:tcPr>
            <w:tcW w:w="720" w:type="dxa"/>
            <w:gridSpan w:val="2"/>
          </w:tcPr>
          <w:p w14:paraId="6312689B" w14:textId="77777777" w:rsidR="00B50935" w:rsidRPr="009017BC" w:rsidRDefault="00B50935" w:rsidP="00427764">
            <w:pPr>
              <w:ind w:right="-29"/>
              <w:jc w:val="center"/>
              <w:rPr>
                <w:noProof/>
                <w:sz w:val="18"/>
              </w:rPr>
            </w:pPr>
            <w:r w:rsidRPr="009017BC">
              <w:rPr>
                <w:sz w:val="18"/>
              </w:rPr>
              <w:t>0,200</w:t>
            </w:r>
          </w:p>
        </w:tc>
        <w:tc>
          <w:tcPr>
            <w:tcW w:w="540" w:type="dxa"/>
            <w:gridSpan w:val="3"/>
          </w:tcPr>
          <w:p w14:paraId="5443F27A" w14:textId="77777777" w:rsidR="00B50935" w:rsidRPr="009017BC" w:rsidRDefault="00B50935" w:rsidP="00427764">
            <w:pPr>
              <w:ind w:right="-29"/>
              <w:jc w:val="center"/>
              <w:rPr>
                <w:noProof/>
                <w:sz w:val="18"/>
              </w:rPr>
            </w:pPr>
          </w:p>
        </w:tc>
        <w:tc>
          <w:tcPr>
            <w:tcW w:w="723" w:type="dxa"/>
            <w:gridSpan w:val="2"/>
          </w:tcPr>
          <w:p w14:paraId="4DBA08F0" w14:textId="77777777" w:rsidR="00B50935" w:rsidRPr="009017BC" w:rsidRDefault="00B50935" w:rsidP="00427764">
            <w:pPr>
              <w:ind w:right="-29"/>
              <w:jc w:val="center"/>
              <w:rPr>
                <w:noProof/>
                <w:sz w:val="18"/>
              </w:rPr>
            </w:pPr>
            <w:r w:rsidRPr="009017BC">
              <w:rPr>
                <w:sz w:val="18"/>
              </w:rPr>
              <w:t>0,200</w:t>
            </w:r>
          </w:p>
        </w:tc>
        <w:tc>
          <w:tcPr>
            <w:tcW w:w="720" w:type="dxa"/>
            <w:gridSpan w:val="2"/>
          </w:tcPr>
          <w:p w14:paraId="74F5B820" w14:textId="77777777" w:rsidR="00B50935" w:rsidRPr="009017BC" w:rsidRDefault="00B50935" w:rsidP="00427764">
            <w:pPr>
              <w:ind w:right="-29"/>
              <w:jc w:val="center"/>
              <w:rPr>
                <w:noProof/>
                <w:sz w:val="18"/>
              </w:rPr>
            </w:pPr>
          </w:p>
        </w:tc>
        <w:tc>
          <w:tcPr>
            <w:tcW w:w="900" w:type="dxa"/>
            <w:gridSpan w:val="2"/>
          </w:tcPr>
          <w:p w14:paraId="11A594C5" w14:textId="77777777" w:rsidR="00B50935" w:rsidRPr="009017BC" w:rsidRDefault="00B50935" w:rsidP="00427764">
            <w:pPr>
              <w:ind w:right="-29"/>
              <w:jc w:val="center"/>
              <w:rPr>
                <w:noProof/>
                <w:sz w:val="18"/>
              </w:rPr>
            </w:pPr>
            <w:r w:rsidRPr="009017BC">
              <w:rPr>
                <w:sz w:val="18"/>
              </w:rPr>
              <w:t>1,400</w:t>
            </w:r>
          </w:p>
        </w:tc>
      </w:tr>
      <w:tr w:rsidR="00B50935" w:rsidRPr="009017BC" w14:paraId="430C34D9" w14:textId="77777777" w:rsidTr="00427764">
        <w:trPr>
          <w:gridAfter w:val="1"/>
          <w:wAfter w:w="12" w:type="dxa"/>
          <w:jc w:val="center"/>
        </w:trPr>
        <w:tc>
          <w:tcPr>
            <w:tcW w:w="2685" w:type="dxa"/>
            <w:gridSpan w:val="3"/>
            <w:tcBorders>
              <w:bottom w:val="single" w:sz="12" w:space="0" w:color="auto"/>
            </w:tcBorders>
            <w:vAlign w:val="center"/>
          </w:tcPr>
          <w:p w14:paraId="44BE4E0C" w14:textId="77777777" w:rsidR="00B50935" w:rsidRPr="009017BC" w:rsidRDefault="00B50935" w:rsidP="00427764">
            <w:pPr>
              <w:jc w:val="center"/>
              <w:rPr>
                <w:noProof/>
                <w:sz w:val="18"/>
              </w:rPr>
            </w:pPr>
            <w:r w:rsidRPr="009017BC">
              <w:rPr>
                <w:sz w:val="18"/>
              </w:rPr>
              <w:t>Subtotal del objetivo específico n.º 3</w:t>
            </w:r>
          </w:p>
        </w:tc>
        <w:tc>
          <w:tcPr>
            <w:tcW w:w="663" w:type="dxa"/>
            <w:gridSpan w:val="2"/>
            <w:tcBorders>
              <w:bottom w:val="single" w:sz="12" w:space="0" w:color="auto"/>
            </w:tcBorders>
          </w:tcPr>
          <w:p w14:paraId="53C4E9C4"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4448E203" w14:textId="77777777" w:rsidR="00B50935" w:rsidRPr="009017BC" w:rsidRDefault="00B50935" w:rsidP="00427764">
            <w:pPr>
              <w:ind w:right="-29"/>
              <w:jc w:val="center"/>
              <w:rPr>
                <w:noProof/>
                <w:sz w:val="18"/>
              </w:rPr>
            </w:pPr>
            <w:r w:rsidRPr="009017BC">
              <w:rPr>
                <w:sz w:val="18"/>
              </w:rPr>
              <w:t>0,500</w:t>
            </w:r>
          </w:p>
        </w:tc>
        <w:tc>
          <w:tcPr>
            <w:tcW w:w="540" w:type="dxa"/>
            <w:gridSpan w:val="2"/>
            <w:tcBorders>
              <w:bottom w:val="single" w:sz="12" w:space="0" w:color="auto"/>
            </w:tcBorders>
          </w:tcPr>
          <w:p w14:paraId="3B1376D0"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74C1EEB6" w14:textId="77777777" w:rsidR="00B50935" w:rsidRPr="009017BC" w:rsidRDefault="00B50935" w:rsidP="00427764">
            <w:pPr>
              <w:ind w:right="-29"/>
              <w:jc w:val="center"/>
              <w:rPr>
                <w:noProof/>
                <w:sz w:val="18"/>
              </w:rPr>
            </w:pPr>
            <w:r w:rsidRPr="009017BC">
              <w:rPr>
                <w:sz w:val="18"/>
              </w:rPr>
              <w:t>0,500</w:t>
            </w:r>
          </w:p>
        </w:tc>
        <w:tc>
          <w:tcPr>
            <w:tcW w:w="720" w:type="dxa"/>
            <w:gridSpan w:val="2"/>
            <w:tcBorders>
              <w:bottom w:val="single" w:sz="12" w:space="0" w:color="auto"/>
            </w:tcBorders>
          </w:tcPr>
          <w:p w14:paraId="4EEFC490"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5F54994F" w14:textId="77777777" w:rsidR="00B50935" w:rsidRPr="009017BC" w:rsidRDefault="00B50935" w:rsidP="00427764">
            <w:pPr>
              <w:ind w:right="-29"/>
              <w:jc w:val="center"/>
              <w:rPr>
                <w:noProof/>
                <w:sz w:val="18"/>
              </w:rPr>
            </w:pPr>
            <w:r w:rsidRPr="009017BC">
              <w:rPr>
                <w:sz w:val="18"/>
              </w:rPr>
              <w:t>0,500</w:t>
            </w:r>
          </w:p>
        </w:tc>
        <w:tc>
          <w:tcPr>
            <w:tcW w:w="951" w:type="dxa"/>
            <w:gridSpan w:val="3"/>
            <w:tcBorders>
              <w:bottom w:val="single" w:sz="12" w:space="0" w:color="auto"/>
            </w:tcBorders>
          </w:tcPr>
          <w:p w14:paraId="4B8A531A" w14:textId="77777777" w:rsidR="00B50935" w:rsidRPr="009017BC" w:rsidRDefault="00B50935" w:rsidP="00427764">
            <w:pPr>
              <w:ind w:right="-29"/>
              <w:jc w:val="center"/>
              <w:rPr>
                <w:noProof/>
                <w:sz w:val="18"/>
              </w:rPr>
            </w:pPr>
          </w:p>
        </w:tc>
        <w:tc>
          <w:tcPr>
            <w:tcW w:w="669" w:type="dxa"/>
            <w:gridSpan w:val="2"/>
            <w:tcBorders>
              <w:bottom w:val="single" w:sz="12" w:space="0" w:color="auto"/>
            </w:tcBorders>
          </w:tcPr>
          <w:p w14:paraId="14A2D966" w14:textId="77777777" w:rsidR="00B50935" w:rsidRPr="009017BC" w:rsidRDefault="00B50935" w:rsidP="00427764">
            <w:pPr>
              <w:ind w:right="-29"/>
              <w:jc w:val="center"/>
              <w:rPr>
                <w:noProof/>
                <w:sz w:val="18"/>
              </w:rPr>
            </w:pPr>
            <w:r w:rsidRPr="009017BC">
              <w:rPr>
                <w:sz w:val="18"/>
              </w:rPr>
              <w:t>0,500</w:t>
            </w:r>
          </w:p>
        </w:tc>
        <w:tc>
          <w:tcPr>
            <w:tcW w:w="540" w:type="dxa"/>
            <w:gridSpan w:val="2"/>
            <w:tcBorders>
              <w:bottom w:val="single" w:sz="12" w:space="0" w:color="auto"/>
            </w:tcBorders>
          </w:tcPr>
          <w:p w14:paraId="467AE66F" w14:textId="77777777" w:rsidR="00B50935" w:rsidRPr="009017BC" w:rsidRDefault="00B50935" w:rsidP="00427764">
            <w:pPr>
              <w:ind w:right="-29"/>
              <w:jc w:val="center"/>
              <w:rPr>
                <w:noProof/>
                <w:sz w:val="18"/>
              </w:rPr>
            </w:pPr>
          </w:p>
        </w:tc>
        <w:tc>
          <w:tcPr>
            <w:tcW w:w="648" w:type="dxa"/>
            <w:gridSpan w:val="2"/>
            <w:tcBorders>
              <w:bottom w:val="single" w:sz="12" w:space="0" w:color="auto"/>
            </w:tcBorders>
          </w:tcPr>
          <w:p w14:paraId="73E71BFE" w14:textId="77777777" w:rsidR="00B50935" w:rsidRPr="009017BC" w:rsidRDefault="00B50935" w:rsidP="00427764">
            <w:pPr>
              <w:ind w:right="-29"/>
              <w:jc w:val="center"/>
              <w:rPr>
                <w:noProof/>
                <w:sz w:val="18"/>
              </w:rPr>
            </w:pPr>
            <w:r w:rsidRPr="009017BC">
              <w:rPr>
                <w:sz w:val="18"/>
              </w:rPr>
              <w:t>0,500</w:t>
            </w:r>
          </w:p>
        </w:tc>
        <w:tc>
          <w:tcPr>
            <w:tcW w:w="432" w:type="dxa"/>
            <w:gridSpan w:val="2"/>
            <w:tcBorders>
              <w:bottom w:val="single" w:sz="12" w:space="0" w:color="auto"/>
            </w:tcBorders>
          </w:tcPr>
          <w:p w14:paraId="0429E027" w14:textId="77777777" w:rsidR="00B50935" w:rsidRPr="009017BC" w:rsidRDefault="00B50935" w:rsidP="00427764">
            <w:pPr>
              <w:ind w:right="-29"/>
              <w:jc w:val="center"/>
              <w:rPr>
                <w:noProof/>
                <w:sz w:val="18"/>
              </w:rPr>
            </w:pPr>
          </w:p>
        </w:tc>
        <w:tc>
          <w:tcPr>
            <w:tcW w:w="720" w:type="dxa"/>
            <w:gridSpan w:val="2"/>
            <w:tcBorders>
              <w:bottom w:val="single" w:sz="12" w:space="0" w:color="auto"/>
            </w:tcBorders>
          </w:tcPr>
          <w:p w14:paraId="5588FBD4" w14:textId="77777777" w:rsidR="00B50935" w:rsidRPr="009017BC" w:rsidRDefault="00B50935" w:rsidP="00427764">
            <w:pPr>
              <w:ind w:right="-29"/>
              <w:jc w:val="center"/>
              <w:rPr>
                <w:noProof/>
                <w:sz w:val="18"/>
              </w:rPr>
            </w:pPr>
            <w:r w:rsidRPr="009017BC">
              <w:rPr>
                <w:sz w:val="18"/>
              </w:rPr>
              <w:t>0,500</w:t>
            </w:r>
          </w:p>
        </w:tc>
        <w:tc>
          <w:tcPr>
            <w:tcW w:w="540" w:type="dxa"/>
            <w:gridSpan w:val="3"/>
            <w:tcBorders>
              <w:bottom w:val="single" w:sz="12" w:space="0" w:color="auto"/>
            </w:tcBorders>
          </w:tcPr>
          <w:p w14:paraId="0331CEAF" w14:textId="77777777" w:rsidR="00B50935" w:rsidRPr="009017BC" w:rsidRDefault="00B50935" w:rsidP="00427764">
            <w:pPr>
              <w:ind w:right="-29"/>
              <w:jc w:val="center"/>
              <w:rPr>
                <w:noProof/>
                <w:sz w:val="18"/>
              </w:rPr>
            </w:pPr>
          </w:p>
        </w:tc>
        <w:tc>
          <w:tcPr>
            <w:tcW w:w="723" w:type="dxa"/>
            <w:gridSpan w:val="2"/>
            <w:tcBorders>
              <w:bottom w:val="single" w:sz="12" w:space="0" w:color="auto"/>
            </w:tcBorders>
          </w:tcPr>
          <w:p w14:paraId="28D2BACF" w14:textId="77777777" w:rsidR="00B50935" w:rsidRPr="009017BC" w:rsidRDefault="00B50935" w:rsidP="00427764">
            <w:pPr>
              <w:ind w:right="-29"/>
              <w:jc w:val="center"/>
              <w:rPr>
                <w:noProof/>
                <w:sz w:val="18"/>
              </w:rPr>
            </w:pPr>
            <w:r w:rsidRPr="009017BC">
              <w:rPr>
                <w:sz w:val="18"/>
              </w:rPr>
              <w:t>0,500</w:t>
            </w:r>
          </w:p>
        </w:tc>
        <w:tc>
          <w:tcPr>
            <w:tcW w:w="720" w:type="dxa"/>
            <w:gridSpan w:val="2"/>
            <w:tcBorders>
              <w:bottom w:val="single" w:sz="12" w:space="0" w:color="auto"/>
            </w:tcBorders>
          </w:tcPr>
          <w:p w14:paraId="375569A0" w14:textId="77777777" w:rsidR="00B50935" w:rsidRPr="009017BC" w:rsidRDefault="00B50935" w:rsidP="00427764">
            <w:pPr>
              <w:ind w:right="-29"/>
              <w:jc w:val="center"/>
              <w:rPr>
                <w:noProof/>
                <w:sz w:val="18"/>
              </w:rPr>
            </w:pPr>
          </w:p>
        </w:tc>
        <w:tc>
          <w:tcPr>
            <w:tcW w:w="900" w:type="dxa"/>
            <w:gridSpan w:val="2"/>
            <w:tcBorders>
              <w:bottom w:val="single" w:sz="12" w:space="0" w:color="auto"/>
            </w:tcBorders>
          </w:tcPr>
          <w:p w14:paraId="62C1E21C" w14:textId="77777777" w:rsidR="00B50935" w:rsidRPr="009017BC" w:rsidRDefault="00B50935" w:rsidP="00427764">
            <w:pPr>
              <w:ind w:right="-29"/>
              <w:jc w:val="center"/>
              <w:rPr>
                <w:noProof/>
                <w:sz w:val="18"/>
              </w:rPr>
            </w:pPr>
            <w:r w:rsidRPr="009017BC">
              <w:rPr>
                <w:sz w:val="18"/>
              </w:rPr>
              <w:t>3,500</w:t>
            </w:r>
          </w:p>
        </w:tc>
      </w:tr>
      <w:tr w:rsidR="00B50935" w:rsidRPr="009017BC" w14:paraId="289B59CF" w14:textId="77777777" w:rsidTr="00427764">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14:paraId="46543928" w14:textId="77777777" w:rsidR="00B50935" w:rsidRPr="009017BC" w:rsidRDefault="00B50935" w:rsidP="00427764">
            <w:pPr>
              <w:ind w:right="-29"/>
              <w:jc w:val="center"/>
              <w:rPr>
                <w:noProof/>
                <w:sz w:val="18"/>
              </w:rPr>
            </w:pPr>
            <w:r w:rsidRPr="009017BC">
              <w:rPr>
                <w:sz w:val="18"/>
              </w:rPr>
              <w:t>OBJETIVO ESPECÍFICO N.º 4: el ECDC coordinará la recopilación, la validación, el análisis y la difusión de datos a escala de la UE y creará así un sólido sistema europeo de vigilancia de las enfermedades transmisibles en el marco del espacio europeo de datos sanitarios</w:t>
            </w:r>
          </w:p>
          <w:p w14:paraId="28218295" w14:textId="77777777" w:rsidR="00B50935" w:rsidRPr="009017BC" w:rsidRDefault="00B50935" w:rsidP="00427764">
            <w:pPr>
              <w:spacing w:before="180" w:after="180"/>
              <w:ind w:right="-29"/>
              <w:jc w:val="center"/>
              <w:rPr>
                <w:noProof/>
                <w:sz w:val="18"/>
              </w:rPr>
            </w:pPr>
          </w:p>
        </w:tc>
      </w:tr>
      <w:tr w:rsidR="00B50935" w:rsidRPr="009017BC" w14:paraId="5301F81E" w14:textId="77777777" w:rsidTr="00427764">
        <w:trPr>
          <w:jc w:val="center"/>
        </w:trPr>
        <w:tc>
          <w:tcPr>
            <w:tcW w:w="2685" w:type="dxa"/>
            <w:gridSpan w:val="3"/>
            <w:tcBorders>
              <w:top w:val="single" w:sz="12" w:space="0" w:color="auto"/>
              <w:left w:val="single" w:sz="12" w:space="0" w:color="auto"/>
              <w:bottom w:val="single" w:sz="12" w:space="0" w:color="auto"/>
            </w:tcBorders>
            <w:vAlign w:val="center"/>
          </w:tcPr>
          <w:p w14:paraId="6AD11F35" w14:textId="77777777" w:rsidR="00B50935" w:rsidRPr="009017BC" w:rsidRDefault="00B50935" w:rsidP="00427764">
            <w:pPr>
              <w:ind w:right="-29"/>
              <w:jc w:val="center"/>
              <w:rPr>
                <w:b/>
                <w:noProof/>
                <w:sz w:val="18"/>
              </w:rPr>
            </w:pPr>
            <w:r w:rsidRPr="009017BC">
              <w:rPr>
                <w:sz w:val="18"/>
              </w:rPr>
              <w:t>Resultado: nuevo nodo en el ECDC para la transmisión de información desde el nivel nacional hasta el ECDC mediante la ampliación de TESSy (aumento de la capacidad).</w:t>
            </w:r>
          </w:p>
        </w:tc>
        <w:tc>
          <w:tcPr>
            <w:tcW w:w="672" w:type="dxa"/>
            <w:gridSpan w:val="3"/>
            <w:tcBorders>
              <w:top w:val="single" w:sz="12" w:space="0" w:color="auto"/>
              <w:bottom w:val="single" w:sz="12" w:space="0" w:color="auto"/>
            </w:tcBorders>
          </w:tcPr>
          <w:p w14:paraId="73A71941"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80CD1E" w14:textId="77777777" w:rsidR="00B50935" w:rsidRPr="009017BC" w:rsidRDefault="00B50935" w:rsidP="00427764">
            <w:pPr>
              <w:spacing w:before="180" w:after="180"/>
              <w:ind w:right="-29"/>
              <w:jc w:val="center"/>
              <w:rPr>
                <w:noProof/>
                <w:sz w:val="18"/>
              </w:rPr>
            </w:pPr>
            <w:r w:rsidRPr="009017BC">
              <w:rPr>
                <w:sz w:val="18"/>
              </w:rPr>
              <w:t>2,000</w:t>
            </w:r>
          </w:p>
        </w:tc>
        <w:tc>
          <w:tcPr>
            <w:tcW w:w="540" w:type="dxa"/>
            <w:gridSpan w:val="2"/>
            <w:tcBorders>
              <w:top w:val="single" w:sz="12" w:space="0" w:color="auto"/>
              <w:bottom w:val="single" w:sz="12" w:space="0" w:color="auto"/>
            </w:tcBorders>
          </w:tcPr>
          <w:p w14:paraId="2449F781"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4A8D03A" w14:textId="77777777" w:rsidR="00B50935" w:rsidRPr="009017BC" w:rsidRDefault="00B50935" w:rsidP="00427764">
            <w:pPr>
              <w:spacing w:before="180" w:after="180"/>
              <w:ind w:right="-29"/>
              <w:jc w:val="center"/>
              <w:rPr>
                <w:noProof/>
                <w:sz w:val="18"/>
              </w:rPr>
            </w:pPr>
            <w:r w:rsidRPr="009017BC">
              <w:rPr>
                <w:sz w:val="18"/>
              </w:rPr>
              <w:t>5,000</w:t>
            </w:r>
          </w:p>
        </w:tc>
        <w:tc>
          <w:tcPr>
            <w:tcW w:w="720" w:type="dxa"/>
            <w:gridSpan w:val="2"/>
            <w:tcBorders>
              <w:top w:val="single" w:sz="12" w:space="0" w:color="auto"/>
              <w:bottom w:val="single" w:sz="12" w:space="0" w:color="auto"/>
            </w:tcBorders>
          </w:tcPr>
          <w:p w14:paraId="1B491C0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EC54C60" w14:textId="77777777" w:rsidR="00B50935" w:rsidRPr="009017BC" w:rsidRDefault="00B50935" w:rsidP="00427764">
            <w:pPr>
              <w:spacing w:before="180" w:after="180"/>
              <w:ind w:right="-29"/>
              <w:jc w:val="center"/>
              <w:rPr>
                <w:noProof/>
                <w:sz w:val="18"/>
              </w:rPr>
            </w:pPr>
            <w:r w:rsidRPr="009017BC">
              <w:rPr>
                <w:sz w:val="18"/>
              </w:rPr>
              <w:t>5,000</w:t>
            </w:r>
          </w:p>
        </w:tc>
        <w:tc>
          <w:tcPr>
            <w:tcW w:w="951" w:type="dxa"/>
            <w:gridSpan w:val="3"/>
            <w:tcBorders>
              <w:top w:val="single" w:sz="12" w:space="0" w:color="auto"/>
              <w:bottom w:val="single" w:sz="12" w:space="0" w:color="auto"/>
            </w:tcBorders>
          </w:tcPr>
          <w:p w14:paraId="520FE72D" w14:textId="77777777" w:rsidR="00B50935" w:rsidRPr="009017BC" w:rsidRDefault="00B50935" w:rsidP="00427764">
            <w:pPr>
              <w:spacing w:before="180" w:after="180"/>
              <w:ind w:right="-29"/>
              <w:jc w:val="center"/>
              <w:rPr>
                <w:noProof/>
                <w:sz w:val="18"/>
              </w:rPr>
            </w:pPr>
          </w:p>
        </w:tc>
        <w:tc>
          <w:tcPr>
            <w:tcW w:w="672" w:type="dxa"/>
            <w:gridSpan w:val="2"/>
            <w:tcBorders>
              <w:top w:val="single" w:sz="12" w:space="0" w:color="auto"/>
              <w:bottom w:val="single" w:sz="12" w:space="0" w:color="auto"/>
            </w:tcBorders>
          </w:tcPr>
          <w:p w14:paraId="47247D31" w14:textId="77777777" w:rsidR="00B50935" w:rsidRPr="009017BC" w:rsidRDefault="00B50935" w:rsidP="00427764">
            <w:pPr>
              <w:spacing w:before="180" w:after="180"/>
              <w:ind w:right="-29"/>
              <w:jc w:val="center"/>
              <w:rPr>
                <w:noProof/>
                <w:sz w:val="18"/>
              </w:rPr>
            </w:pPr>
            <w:r w:rsidRPr="009017BC">
              <w:rPr>
                <w:sz w:val="18"/>
              </w:rPr>
              <w:t>5,000</w:t>
            </w:r>
          </w:p>
        </w:tc>
        <w:tc>
          <w:tcPr>
            <w:tcW w:w="540" w:type="dxa"/>
            <w:gridSpan w:val="2"/>
            <w:tcBorders>
              <w:top w:val="single" w:sz="12" w:space="0" w:color="auto"/>
              <w:bottom w:val="single" w:sz="12" w:space="0" w:color="auto"/>
            </w:tcBorders>
          </w:tcPr>
          <w:p w14:paraId="5DE3A474" w14:textId="77777777" w:rsidR="00B50935" w:rsidRPr="009017BC" w:rsidRDefault="00B50935" w:rsidP="00427764">
            <w:pPr>
              <w:spacing w:before="180" w:after="180"/>
              <w:ind w:right="-29"/>
              <w:jc w:val="center"/>
              <w:rPr>
                <w:noProof/>
                <w:sz w:val="18"/>
              </w:rPr>
            </w:pPr>
          </w:p>
        </w:tc>
        <w:tc>
          <w:tcPr>
            <w:tcW w:w="651" w:type="dxa"/>
            <w:gridSpan w:val="2"/>
            <w:tcBorders>
              <w:top w:val="single" w:sz="12" w:space="0" w:color="auto"/>
              <w:bottom w:val="single" w:sz="12" w:space="0" w:color="auto"/>
            </w:tcBorders>
          </w:tcPr>
          <w:p w14:paraId="0128E650" w14:textId="77777777" w:rsidR="00B50935" w:rsidRPr="009017BC" w:rsidRDefault="00B50935" w:rsidP="00427764">
            <w:pPr>
              <w:spacing w:before="180" w:after="180"/>
              <w:ind w:right="-29"/>
              <w:jc w:val="center"/>
              <w:rPr>
                <w:noProof/>
                <w:sz w:val="18"/>
              </w:rPr>
            </w:pPr>
            <w:r w:rsidRPr="009017BC">
              <w:rPr>
                <w:sz w:val="18"/>
              </w:rPr>
              <w:t>3,000</w:t>
            </w:r>
          </w:p>
        </w:tc>
        <w:tc>
          <w:tcPr>
            <w:tcW w:w="432" w:type="dxa"/>
            <w:gridSpan w:val="2"/>
            <w:tcBorders>
              <w:top w:val="single" w:sz="12" w:space="0" w:color="auto"/>
              <w:bottom w:val="single" w:sz="12" w:space="0" w:color="auto"/>
            </w:tcBorders>
          </w:tcPr>
          <w:p w14:paraId="19183B52"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1A86B5E" w14:textId="77777777" w:rsidR="00B50935" w:rsidRPr="009017BC" w:rsidRDefault="00B50935" w:rsidP="00427764">
            <w:pPr>
              <w:spacing w:before="180" w:after="180"/>
              <w:ind w:right="-29"/>
              <w:jc w:val="center"/>
              <w:rPr>
                <w:noProof/>
                <w:sz w:val="18"/>
              </w:rPr>
            </w:pPr>
            <w:r w:rsidRPr="009017BC">
              <w:rPr>
                <w:sz w:val="18"/>
              </w:rPr>
              <w:t>2,000</w:t>
            </w:r>
          </w:p>
        </w:tc>
        <w:tc>
          <w:tcPr>
            <w:tcW w:w="540" w:type="dxa"/>
            <w:gridSpan w:val="3"/>
            <w:tcBorders>
              <w:top w:val="single" w:sz="12" w:space="0" w:color="auto"/>
              <w:bottom w:val="single" w:sz="12" w:space="0" w:color="auto"/>
            </w:tcBorders>
          </w:tcPr>
          <w:p w14:paraId="452BCB6E"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C2807B0" w14:textId="77777777" w:rsidR="00B50935" w:rsidRPr="009017BC" w:rsidRDefault="00B50935" w:rsidP="00427764">
            <w:pPr>
              <w:spacing w:before="180" w:after="180"/>
              <w:ind w:right="-29"/>
              <w:jc w:val="center"/>
              <w:rPr>
                <w:noProof/>
                <w:sz w:val="18"/>
              </w:rPr>
            </w:pPr>
            <w:r w:rsidRPr="009017BC">
              <w:rPr>
                <w:sz w:val="18"/>
              </w:rPr>
              <w:t>2,000</w:t>
            </w:r>
          </w:p>
        </w:tc>
        <w:tc>
          <w:tcPr>
            <w:tcW w:w="720" w:type="dxa"/>
            <w:gridSpan w:val="2"/>
            <w:tcBorders>
              <w:top w:val="single" w:sz="12" w:space="0" w:color="auto"/>
              <w:bottom w:val="single" w:sz="12" w:space="0" w:color="auto"/>
            </w:tcBorders>
          </w:tcPr>
          <w:p w14:paraId="66BBC4C6"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C78D7F7" w14:textId="77777777" w:rsidR="00B50935" w:rsidRPr="009017BC" w:rsidRDefault="00B50935" w:rsidP="00427764">
            <w:pPr>
              <w:spacing w:before="180" w:after="180"/>
              <w:ind w:right="-29"/>
              <w:jc w:val="center"/>
              <w:rPr>
                <w:noProof/>
                <w:sz w:val="18"/>
              </w:rPr>
            </w:pPr>
            <w:r w:rsidRPr="009017BC">
              <w:rPr>
                <w:sz w:val="18"/>
              </w:rPr>
              <w:t>24,000</w:t>
            </w:r>
          </w:p>
        </w:tc>
      </w:tr>
      <w:tr w:rsidR="00B50935" w:rsidRPr="009017BC" w14:paraId="5DF9F19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0D988B7E" w14:textId="77777777" w:rsidR="00B50935" w:rsidRPr="009017BC" w:rsidRDefault="00B50935" w:rsidP="00427764">
            <w:pPr>
              <w:ind w:right="-29"/>
              <w:jc w:val="center"/>
              <w:rPr>
                <w:noProof/>
                <w:sz w:val="18"/>
              </w:rPr>
            </w:pPr>
            <w:r w:rsidRPr="009017BC">
              <w:rPr>
                <w:sz w:val="18"/>
              </w:rPr>
              <w:t>Resultado: refuerzo del SAPR, haciendo que el sistema sea más modulable, sin cambiar el propósito del sistema de apoyar el intercambio rápido de información con las instituciones epidemiológicas y las instituciones públicas de investigación durante pandemias a escala nacional y de la UE.</w:t>
            </w:r>
          </w:p>
        </w:tc>
        <w:tc>
          <w:tcPr>
            <w:tcW w:w="631" w:type="dxa"/>
            <w:tcBorders>
              <w:top w:val="single" w:sz="12" w:space="0" w:color="auto"/>
              <w:bottom w:val="single" w:sz="12" w:space="0" w:color="auto"/>
            </w:tcBorders>
          </w:tcPr>
          <w:p w14:paraId="302C062A" w14:textId="77777777" w:rsidR="00B50935" w:rsidRPr="009017BC" w:rsidRDefault="00B50935" w:rsidP="00427764">
            <w:pPr>
              <w:spacing w:before="180" w:after="180"/>
              <w:ind w:right="-29"/>
              <w:jc w:val="center"/>
              <w:rPr>
                <w:noProof/>
                <w:sz w:val="18"/>
              </w:rPr>
            </w:pPr>
          </w:p>
        </w:tc>
        <w:tc>
          <w:tcPr>
            <w:tcW w:w="752" w:type="dxa"/>
            <w:gridSpan w:val="3"/>
            <w:tcBorders>
              <w:top w:val="single" w:sz="12" w:space="0" w:color="auto"/>
              <w:bottom w:val="single" w:sz="12" w:space="0" w:color="auto"/>
            </w:tcBorders>
          </w:tcPr>
          <w:p w14:paraId="23F5453D" w14:textId="77777777" w:rsidR="00B50935" w:rsidRPr="009017BC" w:rsidRDefault="00B50935" w:rsidP="00427764">
            <w:pPr>
              <w:spacing w:before="180" w:after="180"/>
              <w:ind w:right="-29"/>
              <w:jc w:val="center"/>
              <w:rPr>
                <w:noProof/>
                <w:sz w:val="18"/>
              </w:rPr>
            </w:pPr>
            <w:r w:rsidRPr="009017BC">
              <w:rPr>
                <w:sz w:val="18"/>
              </w:rPr>
              <w:t>1,000</w:t>
            </w:r>
          </w:p>
        </w:tc>
        <w:tc>
          <w:tcPr>
            <w:tcW w:w="540" w:type="dxa"/>
            <w:gridSpan w:val="2"/>
            <w:tcBorders>
              <w:top w:val="single" w:sz="12" w:space="0" w:color="auto"/>
              <w:bottom w:val="single" w:sz="12" w:space="0" w:color="auto"/>
            </w:tcBorders>
          </w:tcPr>
          <w:p w14:paraId="136DEFAF"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B90BABA" w14:textId="77777777" w:rsidR="00B50935" w:rsidRPr="009017BC" w:rsidRDefault="00B50935" w:rsidP="00427764">
            <w:pPr>
              <w:spacing w:before="180" w:after="180"/>
              <w:ind w:right="-29"/>
              <w:jc w:val="center"/>
              <w:rPr>
                <w:noProof/>
                <w:sz w:val="18"/>
              </w:rPr>
            </w:pPr>
            <w:r w:rsidRPr="009017BC">
              <w:rPr>
                <w:sz w:val="18"/>
              </w:rPr>
              <w:t>2,000</w:t>
            </w:r>
          </w:p>
        </w:tc>
        <w:tc>
          <w:tcPr>
            <w:tcW w:w="720" w:type="dxa"/>
            <w:gridSpan w:val="2"/>
            <w:tcBorders>
              <w:top w:val="single" w:sz="12" w:space="0" w:color="auto"/>
              <w:bottom w:val="single" w:sz="12" w:space="0" w:color="auto"/>
            </w:tcBorders>
          </w:tcPr>
          <w:p w14:paraId="7A586D93"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D7091EC" w14:textId="77777777" w:rsidR="00B50935" w:rsidRPr="009017BC" w:rsidRDefault="00B50935" w:rsidP="00427764">
            <w:pPr>
              <w:spacing w:before="180" w:after="180"/>
              <w:ind w:right="-29"/>
              <w:jc w:val="center"/>
              <w:rPr>
                <w:noProof/>
                <w:sz w:val="18"/>
              </w:rPr>
            </w:pPr>
            <w:r w:rsidRPr="009017BC">
              <w:rPr>
                <w:sz w:val="18"/>
              </w:rPr>
              <w:t>2,000</w:t>
            </w:r>
          </w:p>
        </w:tc>
        <w:tc>
          <w:tcPr>
            <w:tcW w:w="900" w:type="dxa"/>
            <w:gridSpan w:val="2"/>
            <w:tcBorders>
              <w:top w:val="single" w:sz="12" w:space="0" w:color="auto"/>
              <w:bottom w:val="single" w:sz="12" w:space="0" w:color="auto"/>
            </w:tcBorders>
          </w:tcPr>
          <w:p w14:paraId="529AC567"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693E2E0" w14:textId="77777777" w:rsidR="00B50935" w:rsidRPr="009017BC" w:rsidRDefault="00B50935" w:rsidP="00427764">
            <w:pPr>
              <w:spacing w:before="180" w:after="180"/>
              <w:ind w:right="-29"/>
              <w:jc w:val="center"/>
              <w:rPr>
                <w:noProof/>
                <w:sz w:val="18"/>
              </w:rPr>
            </w:pPr>
            <w:r w:rsidRPr="009017BC">
              <w:rPr>
                <w:sz w:val="18"/>
              </w:rPr>
              <w:t>2,000</w:t>
            </w:r>
          </w:p>
        </w:tc>
        <w:tc>
          <w:tcPr>
            <w:tcW w:w="540" w:type="dxa"/>
            <w:gridSpan w:val="2"/>
            <w:tcBorders>
              <w:top w:val="single" w:sz="12" w:space="0" w:color="auto"/>
              <w:bottom w:val="single" w:sz="12" w:space="0" w:color="auto"/>
            </w:tcBorders>
          </w:tcPr>
          <w:p w14:paraId="427378C7"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62ED361E" w14:textId="77777777" w:rsidR="00B50935" w:rsidRPr="009017BC" w:rsidRDefault="00B50935" w:rsidP="00427764">
            <w:pPr>
              <w:spacing w:before="180" w:after="180"/>
              <w:ind w:right="-29"/>
              <w:jc w:val="center"/>
              <w:rPr>
                <w:noProof/>
                <w:sz w:val="18"/>
              </w:rPr>
            </w:pPr>
            <w:r w:rsidRPr="009017BC">
              <w:rPr>
                <w:sz w:val="18"/>
              </w:rPr>
              <w:t>1,000</w:t>
            </w:r>
          </w:p>
        </w:tc>
        <w:tc>
          <w:tcPr>
            <w:tcW w:w="432" w:type="dxa"/>
            <w:gridSpan w:val="2"/>
            <w:tcBorders>
              <w:top w:val="single" w:sz="12" w:space="0" w:color="auto"/>
              <w:bottom w:val="single" w:sz="12" w:space="0" w:color="auto"/>
            </w:tcBorders>
          </w:tcPr>
          <w:p w14:paraId="41421635"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F5ACC04" w14:textId="77777777" w:rsidR="00B50935" w:rsidRPr="009017BC" w:rsidRDefault="00B50935" w:rsidP="00427764">
            <w:pPr>
              <w:spacing w:before="180" w:after="180"/>
              <w:ind w:right="-29"/>
              <w:jc w:val="center"/>
              <w:rPr>
                <w:noProof/>
                <w:sz w:val="18"/>
              </w:rPr>
            </w:pPr>
            <w:r w:rsidRPr="009017BC">
              <w:rPr>
                <w:sz w:val="18"/>
              </w:rPr>
              <w:t>1,000</w:t>
            </w:r>
          </w:p>
        </w:tc>
        <w:tc>
          <w:tcPr>
            <w:tcW w:w="540" w:type="dxa"/>
            <w:gridSpan w:val="3"/>
            <w:tcBorders>
              <w:top w:val="single" w:sz="12" w:space="0" w:color="auto"/>
              <w:bottom w:val="single" w:sz="12" w:space="0" w:color="auto"/>
            </w:tcBorders>
          </w:tcPr>
          <w:p w14:paraId="79518A58"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48354A74" w14:textId="77777777" w:rsidR="00B50935" w:rsidRPr="009017BC" w:rsidRDefault="00B50935" w:rsidP="00427764">
            <w:pPr>
              <w:spacing w:before="180" w:after="180"/>
              <w:ind w:right="-29"/>
              <w:jc w:val="center"/>
              <w:rPr>
                <w:noProof/>
                <w:sz w:val="18"/>
              </w:rPr>
            </w:pPr>
            <w:r w:rsidRPr="009017BC">
              <w:rPr>
                <w:sz w:val="18"/>
              </w:rPr>
              <w:t>1,000</w:t>
            </w:r>
          </w:p>
        </w:tc>
        <w:tc>
          <w:tcPr>
            <w:tcW w:w="720" w:type="dxa"/>
            <w:gridSpan w:val="2"/>
            <w:tcBorders>
              <w:top w:val="single" w:sz="12" w:space="0" w:color="auto"/>
              <w:bottom w:val="single" w:sz="12" w:space="0" w:color="auto"/>
            </w:tcBorders>
          </w:tcPr>
          <w:p w14:paraId="3F7620FA"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1DBF2AF" w14:textId="77777777" w:rsidR="00B50935" w:rsidRPr="009017BC" w:rsidRDefault="00B50935" w:rsidP="00427764">
            <w:pPr>
              <w:spacing w:before="180" w:after="180"/>
              <w:ind w:right="-29"/>
              <w:jc w:val="center"/>
              <w:rPr>
                <w:noProof/>
                <w:sz w:val="18"/>
              </w:rPr>
            </w:pPr>
            <w:r w:rsidRPr="009017BC">
              <w:rPr>
                <w:sz w:val="18"/>
              </w:rPr>
              <w:t>10,000</w:t>
            </w:r>
          </w:p>
        </w:tc>
      </w:tr>
      <w:tr w:rsidR="00B50935" w:rsidRPr="009017BC" w14:paraId="24D2CCFB"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8B5719D" w14:textId="77777777" w:rsidR="00B50935" w:rsidRPr="009017BC" w:rsidRDefault="00B50935" w:rsidP="00427764">
            <w:pPr>
              <w:ind w:right="-29"/>
              <w:jc w:val="center"/>
              <w:rPr>
                <w:b/>
                <w:noProof/>
                <w:sz w:val="18"/>
              </w:rPr>
            </w:pPr>
            <w:r w:rsidRPr="009017BC">
              <w:rPr>
                <w:sz w:val="18"/>
              </w:rPr>
              <w:t>Subtotal del objetivo específico n.º 4</w:t>
            </w:r>
          </w:p>
        </w:tc>
        <w:tc>
          <w:tcPr>
            <w:tcW w:w="663" w:type="dxa"/>
            <w:gridSpan w:val="2"/>
            <w:tcBorders>
              <w:top w:val="single" w:sz="12" w:space="0" w:color="auto"/>
              <w:bottom w:val="single" w:sz="12" w:space="0" w:color="auto"/>
            </w:tcBorders>
          </w:tcPr>
          <w:p w14:paraId="43D46C60"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74E7EA2" w14:textId="77777777" w:rsidR="00B50935" w:rsidRPr="009017BC" w:rsidRDefault="00B50935" w:rsidP="00427764">
            <w:pPr>
              <w:spacing w:before="180" w:after="180"/>
              <w:ind w:right="-29"/>
              <w:jc w:val="center"/>
              <w:rPr>
                <w:noProof/>
                <w:sz w:val="18"/>
              </w:rPr>
            </w:pPr>
            <w:r w:rsidRPr="009017BC">
              <w:rPr>
                <w:sz w:val="18"/>
              </w:rPr>
              <w:t>3,000</w:t>
            </w:r>
          </w:p>
        </w:tc>
        <w:tc>
          <w:tcPr>
            <w:tcW w:w="540" w:type="dxa"/>
            <w:gridSpan w:val="2"/>
            <w:tcBorders>
              <w:top w:val="single" w:sz="12" w:space="0" w:color="auto"/>
              <w:bottom w:val="single" w:sz="12" w:space="0" w:color="auto"/>
            </w:tcBorders>
          </w:tcPr>
          <w:p w14:paraId="295CEBF0"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D41CEB" w14:textId="77777777" w:rsidR="00B50935" w:rsidRPr="009017BC" w:rsidRDefault="00B50935" w:rsidP="00427764">
            <w:pPr>
              <w:spacing w:before="180" w:after="180"/>
              <w:ind w:right="-29"/>
              <w:jc w:val="center"/>
              <w:rPr>
                <w:noProof/>
                <w:sz w:val="18"/>
              </w:rPr>
            </w:pPr>
            <w:r w:rsidRPr="009017BC">
              <w:rPr>
                <w:sz w:val="18"/>
              </w:rPr>
              <w:t>7,000</w:t>
            </w:r>
          </w:p>
        </w:tc>
        <w:tc>
          <w:tcPr>
            <w:tcW w:w="720" w:type="dxa"/>
            <w:gridSpan w:val="2"/>
            <w:tcBorders>
              <w:top w:val="single" w:sz="12" w:space="0" w:color="auto"/>
              <w:bottom w:val="single" w:sz="12" w:space="0" w:color="auto"/>
            </w:tcBorders>
          </w:tcPr>
          <w:p w14:paraId="20664F32"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FF8F354" w14:textId="77777777" w:rsidR="00B50935" w:rsidRPr="009017BC" w:rsidRDefault="00B50935" w:rsidP="00427764">
            <w:pPr>
              <w:spacing w:before="180" w:after="180"/>
              <w:ind w:right="-29"/>
              <w:jc w:val="center"/>
              <w:rPr>
                <w:noProof/>
                <w:sz w:val="18"/>
              </w:rPr>
            </w:pPr>
            <w:r w:rsidRPr="009017BC">
              <w:rPr>
                <w:sz w:val="18"/>
              </w:rPr>
              <w:t>7,000</w:t>
            </w:r>
          </w:p>
        </w:tc>
        <w:tc>
          <w:tcPr>
            <w:tcW w:w="900" w:type="dxa"/>
            <w:gridSpan w:val="2"/>
            <w:tcBorders>
              <w:top w:val="single" w:sz="12" w:space="0" w:color="auto"/>
              <w:bottom w:val="single" w:sz="12" w:space="0" w:color="auto"/>
            </w:tcBorders>
          </w:tcPr>
          <w:p w14:paraId="5C9B9FE7"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59523835" w14:textId="77777777" w:rsidR="00B50935" w:rsidRPr="009017BC" w:rsidRDefault="00B50935" w:rsidP="00427764">
            <w:pPr>
              <w:spacing w:before="180" w:after="180"/>
              <w:ind w:right="-29"/>
              <w:jc w:val="center"/>
              <w:rPr>
                <w:noProof/>
                <w:sz w:val="18"/>
              </w:rPr>
            </w:pPr>
            <w:r w:rsidRPr="009017BC">
              <w:rPr>
                <w:sz w:val="18"/>
              </w:rPr>
              <w:t>7,000</w:t>
            </w:r>
          </w:p>
        </w:tc>
        <w:tc>
          <w:tcPr>
            <w:tcW w:w="540" w:type="dxa"/>
            <w:gridSpan w:val="2"/>
            <w:tcBorders>
              <w:top w:val="single" w:sz="12" w:space="0" w:color="auto"/>
              <w:bottom w:val="single" w:sz="12" w:space="0" w:color="auto"/>
            </w:tcBorders>
          </w:tcPr>
          <w:p w14:paraId="42433A8C"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2829D8EA" w14:textId="77777777" w:rsidR="00B50935" w:rsidRPr="009017BC" w:rsidRDefault="00B50935" w:rsidP="00427764">
            <w:pPr>
              <w:spacing w:before="180" w:after="180"/>
              <w:ind w:right="-29"/>
              <w:jc w:val="center"/>
              <w:rPr>
                <w:noProof/>
                <w:sz w:val="18"/>
              </w:rPr>
            </w:pPr>
            <w:r w:rsidRPr="009017BC">
              <w:rPr>
                <w:sz w:val="18"/>
              </w:rPr>
              <w:t>4,000</w:t>
            </w:r>
          </w:p>
        </w:tc>
        <w:tc>
          <w:tcPr>
            <w:tcW w:w="432" w:type="dxa"/>
            <w:gridSpan w:val="2"/>
            <w:tcBorders>
              <w:top w:val="single" w:sz="12" w:space="0" w:color="auto"/>
              <w:bottom w:val="single" w:sz="12" w:space="0" w:color="auto"/>
            </w:tcBorders>
          </w:tcPr>
          <w:p w14:paraId="68734A7E"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9FDBA89" w14:textId="77777777" w:rsidR="00B50935" w:rsidRPr="009017BC" w:rsidRDefault="00B50935" w:rsidP="00427764">
            <w:pPr>
              <w:spacing w:before="180" w:after="180"/>
              <w:ind w:right="-29"/>
              <w:jc w:val="center"/>
              <w:rPr>
                <w:noProof/>
                <w:sz w:val="18"/>
              </w:rPr>
            </w:pPr>
            <w:r w:rsidRPr="009017BC">
              <w:rPr>
                <w:sz w:val="18"/>
              </w:rPr>
              <w:t>3,000</w:t>
            </w:r>
          </w:p>
        </w:tc>
        <w:tc>
          <w:tcPr>
            <w:tcW w:w="540" w:type="dxa"/>
            <w:gridSpan w:val="3"/>
            <w:tcBorders>
              <w:top w:val="single" w:sz="12" w:space="0" w:color="auto"/>
              <w:bottom w:val="single" w:sz="12" w:space="0" w:color="auto"/>
            </w:tcBorders>
          </w:tcPr>
          <w:p w14:paraId="05E9EFCB"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AA0DFF0" w14:textId="77777777" w:rsidR="00B50935" w:rsidRPr="009017BC" w:rsidRDefault="00B50935" w:rsidP="00427764">
            <w:pPr>
              <w:spacing w:before="180" w:after="180"/>
              <w:ind w:right="-29"/>
              <w:jc w:val="center"/>
              <w:rPr>
                <w:noProof/>
                <w:sz w:val="18"/>
              </w:rPr>
            </w:pPr>
            <w:r w:rsidRPr="009017BC">
              <w:rPr>
                <w:sz w:val="18"/>
              </w:rPr>
              <w:t>3,000</w:t>
            </w:r>
          </w:p>
        </w:tc>
        <w:tc>
          <w:tcPr>
            <w:tcW w:w="720" w:type="dxa"/>
            <w:gridSpan w:val="2"/>
            <w:tcBorders>
              <w:top w:val="single" w:sz="12" w:space="0" w:color="auto"/>
              <w:bottom w:val="single" w:sz="12" w:space="0" w:color="auto"/>
            </w:tcBorders>
          </w:tcPr>
          <w:p w14:paraId="08BBE5F0"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2B70E375" w14:textId="77777777" w:rsidR="00B50935" w:rsidRPr="009017BC" w:rsidRDefault="00B50935" w:rsidP="00427764">
            <w:pPr>
              <w:spacing w:before="180" w:after="180"/>
              <w:ind w:right="-29"/>
              <w:jc w:val="center"/>
              <w:rPr>
                <w:noProof/>
                <w:sz w:val="18"/>
              </w:rPr>
            </w:pPr>
            <w:r w:rsidRPr="009017BC">
              <w:rPr>
                <w:sz w:val="18"/>
              </w:rPr>
              <w:t>34,000</w:t>
            </w:r>
          </w:p>
        </w:tc>
      </w:tr>
      <w:tr w:rsidR="00B50935" w:rsidRPr="009017BC" w14:paraId="371CEB02"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460E8BFB" w14:textId="30B541DC" w:rsidR="00B50935" w:rsidRPr="009017BC" w:rsidRDefault="00B50935" w:rsidP="00427764">
            <w:pPr>
              <w:spacing w:before="180" w:after="180"/>
              <w:ind w:right="-29"/>
              <w:jc w:val="center"/>
              <w:rPr>
                <w:noProof/>
                <w:sz w:val="18"/>
              </w:rPr>
            </w:pPr>
            <w:r w:rsidRPr="009017BC">
              <w:rPr>
                <w:sz w:val="18"/>
              </w:rPr>
              <w:t>OBJETIVO ESPECÍFICO N.º 5: el ECDC gestionará un equipo de asistencia en caso de brotes (Grupo de Trabajo sobre Salud de la UE) para ayudar constantemente a los países a reforzar la preparación e intervenir rápidamente en crisis sanitarias</w:t>
            </w:r>
          </w:p>
        </w:tc>
      </w:tr>
      <w:tr w:rsidR="00B50935" w:rsidRPr="009017BC" w14:paraId="0D36667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6B7088DC" w14:textId="77777777" w:rsidR="00B50935" w:rsidRPr="009017BC" w:rsidRDefault="00B50935" w:rsidP="00427764">
            <w:pPr>
              <w:ind w:right="-29"/>
              <w:jc w:val="center"/>
              <w:rPr>
                <w:noProof/>
                <w:sz w:val="18"/>
              </w:rPr>
            </w:pPr>
            <w:r w:rsidRPr="009017BC">
              <w:rPr>
                <w:sz w:val="18"/>
              </w:rPr>
              <w:t>Resultado: apoyo proactivo, basado en la demanda y práctico a los países de la UE y del EEE</w:t>
            </w:r>
          </w:p>
        </w:tc>
        <w:tc>
          <w:tcPr>
            <w:tcW w:w="663" w:type="dxa"/>
            <w:gridSpan w:val="2"/>
            <w:tcBorders>
              <w:top w:val="single" w:sz="12" w:space="0" w:color="auto"/>
              <w:bottom w:val="single" w:sz="12" w:space="0" w:color="auto"/>
            </w:tcBorders>
          </w:tcPr>
          <w:p w14:paraId="573F57A8"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412AC10"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2"/>
            <w:tcBorders>
              <w:top w:val="single" w:sz="12" w:space="0" w:color="auto"/>
              <w:bottom w:val="single" w:sz="12" w:space="0" w:color="auto"/>
            </w:tcBorders>
          </w:tcPr>
          <w:p w14:paraId="4B5FA818"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FC08918" w14:textId="77777777" w:rsidR="00B50935" w:rsidRPr="009017BC" w:rsidRDefault="00B50935" w:rsidP="00427764">
            <w:pPr>
              <w:spacing w:before="180" w:after="180"/>
              <w:ind w:right="-29"/>
              <w:jc w:val="center"/>
              <w:rPr>
                <w:noProof/>
                <w:sz w:val="18"/>
              </w:rPr>
            </w:pPr>
            <w:r w:rsidRPr="009017BC">
              <w:rPr>
                <w:sz w:val="18"/>
              </w:rPr>
              <w:t>0,500</w:t>
            </w:r>
          </w:p>
        </w:tc>
        <w:tc>
          <w:tcPr>
            <w:tcW w:w="720" w:type="dxa"/>
            <w:gridSpan w:val="2"/>
            <w:tcBorders>
              <w:top w:val="single" w:sz="12" w:space="0" w:color="auto"/>
              <w:bottom w:val="single" w:sz="12" w:space="0" w:color="auto"/>
            </w:tcBorders>
          </w:tcPr>
          <w:p w14:paraId="0858388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B7D98F1" w14:textId="77777777" w:rsidR="00B50935" w:rsidRPr="009017BC" w:rsidRDefault="00B50935" w:rsidP="00427764">
            <w:pPr>
              <w:spacing w:before="180" w:after="180"/>
              <w:ind w:right="-29"/>
              <w:jc w:val="center"/>
              <w:rPr>
                <w:noProof/>
                <w:sz w:val="18"/>
              </w:rPr>
            </w:pPr>
            <w:r w:rsidRPr="009017BC">
              <w:rPr>
                <w:sz w:val="18"/>
              </w:rPr>
              <w:t>0,500</w:t>
            </w:r>
          </w:p>
        </w:tc>
        <w:tc>
          <w:tcPr>
            <w:tcW w:w="900" w:type="dxa"/>
            <w:gridSpan w:val="2"/>
            <w:tcBorders>
              <w:top w:val="single" w:sz="12" w:space="0" w:color="auto"/>
              <w:bottom w:val="single" w:sz="12" w:space="0" w:color="auto"/>
            </w:tcBorders>
          </w:tcPr>
          <w:p w14:paraId="5C611FBA"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50B1C08"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2"/>
            <w:tcBorders>
              <w:top w:val="single" w:sz="12" w:space="0" w:color="auto"/>
              <w:bottom w:val="single" w:sz="12" w:space="0" w:color="auto"/>
            </w:tcBorders>
          </w:tcPr>
          <w:p w14:paraId="663F233D"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1F37CE2D" w14:textId="77777777" w:rsidR="00B50935" w:rsidRPr="009017BC" w:rsidRDefault="00B50935" w:rsidP="00427764">
            <w:pPr>
              <w:spacing w:before="180" w:after="180"/>
              <w:ind w:right="-29"/>
              <w:jc w:val="center"/>
              <w:rPr>
                <w:noProof/>
                <w:sz w:val="18"/>
              </w:rPr>
            </w:pPr>
            <w:r w:rsidRPr="009017BC">
              <w:rPr>
                <w:sz w:val="18"/>
              </w:rPr>
              <w:t>0,500</w:t>
            </w:r>
          </w:p>
        </w:tc>
        <w:tc>
          <w:tcPr>
            <w:tcW w:w="432" w:type="dxa"/>
            <w:gridSpan w:val="2"/>
            <w:tcBorders>
              <w:top w:val="single" w:sz="12" w:space="0" w:color="auto"/>
              <w:bottom w:val="single" w:sz="12" w:space="0" w:color="auto"/>
            </w:tcBorders>
          </w:tcPr>
          <w:p w14:paraId="3AED6738"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09DA523"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3"/>
            <w:tcBorders>
              <w:top w:val="single" w:sz="12" w:space="0" w:color="auto"/>
              <w:bottom w:val="single" w:sz="12" w:space="0" w:color="auto"/>
            </w:tcBorders>
          </w:tcPr>
          <w:p w14:paraId="7AD508BA"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59BCBFAE" w14:textId="77777777" w:rsidR="00B50935" w:rsidRPr="009017BC" w:rsidRDefault="00B50935" w:rsidP="00427764">
            <w:pPr>
              <w:spacing w:before="180" w:after="180"/>
              <w:ind w:right="-29"/>
              <w:jc w:val="center"/>
              <w:rPr>
                <w:noProof/>
                <w:sz w:val="18"/>
              </w:rPr>
            </w:pPr>
            <w:r w:rsidRPr="009017BC">
              <w:rPr>
                <w:sz w:val="18"/>
              </w:rPr>
              <w:t>0,500</w:t>
            </w:r>
          </w:p>
        </w:tc>
        <w:tc>
          <w:tcPr>
            <w:tcW w:w="720" w:type="dxa"/>
            <w:gridSpan w:val="2"/>
            <w:tcBorders>
              <w:top w:val="single" w:sz="12" w:space="0" w:color="auto"/>
              <w:bottom w:val="single" w:sz="12" w:space="0" w:color="auto"/>
            </w:tcBorders>
          </w:tcPr>
          <w:p w14:paraId="391256A5"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0F92C904" w14:textId="77777777" w:rsidR="00B50935" w:rsidRPr="009017BC" w:rsidRDefault="00B50935" w:rsidP="00427764">
            <w:pPr>
              <w:spacing w:before="180" w:after="180"/>
              <w:ind w:right="-29"/>
              <w:jc w:val="center"/>
              <w:rPr>
                <w:noProof/>
                <w:sz w:val="18"/>
              </w:rPr>
            </w:pPr>
            <w:r w:rsidRPr="009017BC">
              <w:rPr>
                <w:sz w:val="18"/>
              </w:rPr>
              <w:t>3,500</w:t>
            </w:r>
          </w:p>
        </w:tc>
      </w:tr>
      <w:tr w:rsidR="00B50935" w:rsidRPr="009017BC" w14:paraId="1E4BCB0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7B0585B2" w14:textId="77777777" w:rsidR="00B50935" w:rsidRPr="009017BC" w:rsidRDefault="00B50935" w:rsidP="00427764">
            <w:pPr>
              <w:ind w:right="-29"/>
              <w:jc w:val="center"/>
              <w:rPr>
                <w:noProof/>
                <w:sz w:val="18"/>
              </w:rPr>
            </w:pPr>
            <w:r w:rsidRPr="009017BC">
              <w:rPr>
                <w:sz w:val="18"/>
              </w:rPr>
              <w:t>Resultado: intervención local en los puntos de crisis de la UE, previa solicitud, coordinación con los especialistas nacionales que apoyan al equipo</w:t>
            </w:r>
          </w:p>
        </w:tc>
        <w:tc>
          <w:tcPr>
            <w:tcW w:w="663" w:type="dxa"/>
            <w:gridSpan w:val="2"/>
            <w:tcBorders>
              <w:top w:val="single" w:sz="12" w:space="0" w:color="auto"/>
              <w:bottom w:val="single" w:sz="12" w:space="0" w:color="auto"/>
            </w:tcBorders>
          </w:tcPr>
          <w:p w14:paraId="1DE6ECC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F169CE2" w14:textId="77777777" w:rsidR="00B50935" w:rsidRPr="009017BC" w:rsidRDefault="00B50935" w:rsidP="00427764">
            <w:pPr>
              <w:spacing w:before="180" w:after="180"/>
              <w:ind w:right="-29"/>
              <w:jc w:val="center"/>
              <w:rPr>
                <w:noProof/>
                <w:sz w:val="18"/>
              </w:rPr>
            </w:pPr>
            <w:r w:rsidRPr="009017BC">
              <w:rPr>
                <w:sz w:val="18"/>
              </w:rPr>
              <w:t>0,100</w:t>
            </w:r>
          </w:p>
        </w:tc>
        <w:tc>
          <w:tcPr>
            <w:tcW w:w="540" w:type="dxa"/>
            <w:gridSpan w:val="2"/>
            <w:tcBorders>
              <w:top w:val="single" w:sz="12" w:space="0" w:color="auto"/>
              <w:bottom w:val="single" w:sz="12" w:space="0" w:color="auto"/>
            </w:tcBorders>
          </w:tcPr>
          <w:p w14:paraId="618D56FA"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64E9C9A" w14:textId="77777777" w:rsidR="00B50935" w:rsidRPr="009017BC" w:rsidRDefault="00B50935" w:rsidP="00427764">
            <w:pPr>
              <w:spacing w:before="180" w:after="180"/>
              <w:ind w:right="-29"/>
              <w:jc w:val="center"/>
              <w:rPr>
                <w:noProof/>
                <w:sz w:val="18"/>
              </w:rPr>
            </w:pPr>
            <w:r w:rsidRPr="009017BC">
              <w:rPr>
                <w:sz w:val="18"/>
              </w:rPr>
              <w:t>0,100</w:t>
            </w:r>
          </w:p>
        </w:tc>
        <w:tc>
          <w:tcPr>
            <w:tcW w:w="720" w:type="dxa"/>
            <w:gridSpan w:val="2"/>
            <w:tcBorders>
              <w:top w:val="single" w:sz="12" w:space="0" w:color="auto"/>
              <w:bottom w:val="single" w:sz="12" w:space="0" w:color="auto"/>
            </w:tcBorders>
          </w:tcPr>
          <w:p w14:paraId="10DA6304"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515443B" w14:textId="77777777" w:rsidR="00B50935" w:rsidRPr="009017BC" w:rsidRDefault="00B50935" w:rsidP="00427764">
            <w:pPr>
              <w:spacing w:before="180" w:after="180"/>
              <w:ind w:right="-29"/>
              <w:jc w:val="center"/>
              <w:rPr>
                <w:noProof/>
                <w:sz w:val="18"/>
              </w:rPr>
            </w:pPr>
            <w:r w:rsidRPr="009017BC">
              <w:rPr>
                <w:sz w:val="18"/>
              </w:rPr>
              <w:t>0,100</w:t>
            </w:r>
          </w:p>
        </w:tc>
        <w:tc>
          <w:tcPr>
            <w:tcW w:w="900" w:type="dxa"/>
            <w:gridSpan w:val="2"/>
            <w:tcBorders>
              <w:top w:val="single" w:sz="12" w:space="0" w:color="auto"/>
              <w:bottom w:val="single" w:sz="12" w:space="0" w:color="auto"/>
            </w:tcBorders>
          </w:tcPr>
          <w:p w14:paraId="3BE7529E"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3459404E" w14:textId="77777777" w:rsidR="00B50935" w:rsidRPr="009017BC" w:rsidRDefault="00B50935" w:rsidP="00427764">
            <w:pPr>
              <w:spacing w:before="180" w:after="180"/>
              <w:ind w:right="-29"/>
              <w:jc w:val="center"/>
              <w:rPr>
                <w:noProof/>
                <w:sz w:val="18"/>
              </w:rPr>
            </w:pPr>
            <w:r w:rsidRPr="009017BC">
              <w:rPr>
                <w:sz w:val="18"/>
              </w:rPr>
              <w:t>0,100</w:t>
            </w:r>
          </w:p>
        </w:tc>
        <w:tc>
          <w:tcPr>
            <w:tcW w:w="540" w:type="dxa"/>
            <w:gridSpan w:val="2"/>
            <w:tcBorders>
              <w:top w:val="single" w:sz="12" w:space="0" w:color="auto"/>
              <w:bottom w:val="single" w:sz="12" w:space="0" w:color="auto"/>
            </w:tcBorders>
          </w:tcPr>
          <w:p w14:paraId="5F04C00F"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5448E37A" w14:textId="77777777" w:rsidR="00B50935" w:rsidRPr="009017BC" w:rsidRDefault="00B50935" w:rsidP="00427764">
            <w:pPr>
              <w:spacing w:before="180" w:after="180"/>
              <w:ind w:right="-29"/>
              <w:jc w:val="center"/>
              <w:rPr>
                <w:noProof/>
                <w:sz w:val="18"/>
              </w:rPr>
            </w:pPr>
            <w:r w:rsidRPr="009017BC">
              <w:rPr>
                <w:sz w:val="18"/>
              </w:rPr>
              <w:t>0,100</w:t>
            </w:r>
          </w:p>
        </w:tc>
        <w:tc>
          <w:tcPr>
            <w:tcW w:w="432" w:type="dxa"/>
            <w:gridSpan w:val="2"/>
            <w:tcBorders>
              <w:top w:val="single" w:sz="12" w:space="0" w:color="auto"/>
              <w:bottom w:val="single" w:sz="12" w:space="0" w:color="auto"/>
            </w:tcBorders>
          </w:tcPr>
          <w:p w14:paraId="0B4BABF8"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1110B1A" w14:textId="77777777" w:rsidR="00B50935" w:rsidRPr="009017BC" w:rsidRDefault="00B50935" w:rsidP="00427764">
            <w:pPr>
              <w:spacing w:before="180" w:after="180"/>
              <w:ind w:right="-29"/>
              <w:jc w:val="center"/>
              <w:rPr>
                <w:noProof/>
                <w:sz w:val="18"/>
              </w:rPr>
            </w:pPr>
            <w:r w:rsidRPr="009017BC">
              <w:rPr>
                <w:sz w:val="18"/>
              </w:rPr>
              <w:t>0,100</w:t>
            </w:r>
          </w:p>
        </w:tc>
        <w:tc>
          <w:tcPr>
            <w:tcW w:w="540" w:type="dxa"/>
            <w:gridSpan w:val="3"/>
            <w:tcBorders>
              <w:top w:val="single" w:sz="12" w:space="0" w:color="auto"/>
              <w:bottom w:val="single" w:sz="12" w:space="0" w:color="auto"/>
            </w:tcBorders>
          </w:tcPr>
          <w:p w14:paraId="35E3E59F"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02ECE44D" w14:textId="77777777" w:rsidR="00B50935" w:rsidRPr="009017BC" w:rsidRDefault="00B50935" w:rsidP="00427764">
            <w:pPr>
              <w:spacing w:before="180" w:after="180"/>
              <w:ind w:right="-29"/>
              <w:jc w:val="center"/>
              <w:rPr>
                <w:noProof/>
                <w:sz w:val="18"/>
              </w:rPr>
            </w:pPr>
            <w:r w:rsidRPr="009017BC">
              <w:rPr>
                <w:sz w:val="18"/>
              </w:rPr>
              <w:t>0,100</w:t>
            </w:r>
          </w:p>
        </w:tc>
        <w:tc>
          <w:tcPr>
            <w:tcW w:w="720" w:type="dxa"/>
            <w:gridSpan w:val="2"/>
            <w:tcBorders>
              <w:top w:val="single" w:sz="12" w:space="0" w:color="auto"/>
              <w:bottom w:val="single" w:sz="12" w:space="0" w:color="auto"/>
            </w:tcBorders>
          </w:tcPr>
          <w:p w14:paraId="54FF01CA"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5F4757B" w14:textId="77777777" w:rsidR="00B50935" w:rsidRPr="009017BC" w:rsidRDefault="00B50935" w:rsidP="00427764">
            <w:pPr>
              <w:spacing w:before="180" w:after="180"/>
              <w:ind w:right="-29"/>
              <w:jc w:val="center"/>
              <w:rPr>
                <w:noProof/>
                <w:sz w:val="18"/>
              </w:rPr>
            </w:pPr>
            <w:r w:rsidRPr="009017BC">
              <w:rPr>
                <w:sz w:val="18"/>
              </w:rPr>
              <w:t>0,700</w:t>
            </w:r>
          </w:p>
        </w:tc>
      </w:tr>
      <w:tr w:rsidR="00B50935" w:rsidRPr="009017BC" w14:paraId="0E835E6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B868C3" w14:textId="77777777" w:rsidR="00B50935" w:rsidRPr="009017BC" w:rsidRDefault="00B50935" w:rsidP="00427764">
            <w:pPr>
              <w:ind w:right="-29"/>
              <w:jc w:val="center"/>
              <w:rPr>
                <w:noProof/>
                <w:sz w:val="18"/>
              </w:rPr>
            </w:pPr>
            <w:r w:rsidRPr="009017BC">
              <w:rPr>
                <w:sz w:val="18"/>
              </w:rPr>
              <w:t>Subtotal del objetivo específico n.º 5</w:t>
            </w:r>
          </w:p>
        </w:tc>
        <w:tc>
          <w:tcPr>
            <w:tcW w:w="663" w:type="dxa"/>
            <w:gridSpan w:val="2"/>
            <w:tcBorders>
              <w:top w:val="single" w:sz="12" w:space="0" w:color="auto"/>
              <w:bottom w:val="single" w:sz="12" w:space="0" w:color="auto"/>
            </w:tcBorders>
          </w:tcPr>
          <w:p w14:paraId="2997FAE6"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6811F46" w14:textId="77777777" w:rsidR="00B50935" w:rsidRPr="009017BC" w:rsidRDefault="00B50935" w:rsidP="00427764">
            <w:pPr>
              <w:spacing w:before="180" w:after="180"/>
              <w:ind w:right="-29"/>
              <w:jc w:val="center"/>
              <w:rPr>
                <w:noProof/>
                <w:sz w:val="18"/>
              </w:rPr>
            </w:pPr>
            <w:r w:rsidRPr="009017BC">
              <w:rPr>
                <w:sz w:val="18"/>
              </w:rPr>
              <w:t>0,600</w:t>
            </w:r>
          </w:p>
        </w:tc>
        <w:tc>
          <w:tcPr>
            <w:tcW w:w="540" w:type="dxa"/>
            <w:gridSpan w:val="2"/>
            <w:tcBorders>
              <w:top w:val="single" w:sz="12" w:space="0" w:color="auto"/>
              <w:bottom w:val="single" w:sz="12" w:space="0" w:color="auto"/>
            </w:tcBorders>
          </w:tcPr>
          <w:p w14:paraId="6299927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8952830" w14:textId="77777777" w:rsidR="00B50935" w:rsidRPr="009017BC" w:rsidRDefault="00B50935" w:rsidP="00427764">
            <w:pPr>
              <w:spacing w:before="180" w:after="180"/>
              <w:ind w:right="-29"/>
              <w:jc w:val="center"/>
              <w:rPr>
                <w:noProof/>
                <w:sz w:val="18"/>
              </w:rPr>
            </w:pPr>
            <w:r w:rsidRPr="009017BC">
              <w:rPr>
                <w:sz w:val="18"/>
              </w:rPr>
              <w:t>0,600</w:t>
            </w:r>
          </w:p>
        </w:tc>
        <w:tc>
          <w:tcPr>
            <w:tcW w:w="720" w:type="dxa"/>
            <w:gridSpan w:val="2"/>
            <w:tcBorders>
              <w:top w:val="single" w:sz="12" w:space="0" w:color="auto"/>
              <w:bottom w:val="single" w:sz="12" w:space="0" w:color="auto"/>
            </w:tcBorders>
          </w:tcPr>
          <w:p w14:paraId="4D33996C"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F9191DC" w14:textId="77777777" w:rsidR="00B50935" w:rsidRPr="009017BC" w:rsidRDefault="00B50935" w:rsidP="00427764">
            <w:pPr>
              <w:spacing w:before="180" w:after="180"/>
              <w:ind w:right="-29"/>
              <w:jc w:val="center"/>
              <w:rPr>
                <w:noProof/>
                <w:sz w:val="18"/>
              </w:rPr>
            </w:pPr>
            <w:r w:rsidRPr="009017BC">
              <w:rPr>
                <w:sz w:val="18"/>
              </w:rPr>
              <w:t>0,600</w:t>
            </w:r>
          </w:p>
        </w:tc>
        <w:tc>
          <w:tcPr>
            <w:tcW w:w="900" w:type="dxa"/>
            <w:gridSpan w:val="2"/>
            <w:tcBorders>
              <w:top w:val="single" w:sz="12" w:space="0" w:color="auto"/>
              <w:bottom w:val="single" w:sz="12" w:space="0" w:color="auto"/>
            </w:tcBorders>
          </w:tcPr>
          <w:p w14:paraId="1E9585A8"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6935449D" w14:textId="77777777" w:rsidR="00B50935" w:rsidRPr="009017BC" w:rsidRDefault="00B50935" w:rsidP="00427764">
            <w:pPr>
              <w:spacing w:before="180" w:after="180"/>
              <w:ind w:right="-29"/>
              <w:jc w:val="center"/>
              <w:rPr>
                <w:noProof/>
                <w:sz w:val="18"/>
              </w:rPr>
            </w:pPr>
            <w:r w:rsidRPr="009017BC">
              <w:rPr>
                <w:sz w:val="18"/>
              </w:rPr>
              <w:t>0,600</w:t>
            </w:r>
          </w:p>
        </w:tc>
        <w:tc>
          <w:tcPr>
            <w:tcW w:w="540" w:type="dxa"/>
            <w:gridSpan w:val="2"/>
            <w:tcBorders>
              <w:top w:val="single" w:sz="12" w:space="0" w:color="auto"/>
              <w:bottom w:val="single" w:sz="12" w:space="0" w:color="auto"/>
            </w:tcBorders>
          </w:tcPr>
          <w:p w14:paraId="3B9618EC"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846E011" w14:textId="77777777" w:rsidR="00B50935" w:rsidRPr="009017BC" w:rsidRDefault="00B50935" w:rsidP="00427764">
            <w:pPr>
              <w:spacing w:before="180" w:after="180"/>
              <w:ind w:right="-29"/>
              <w:jc w:val="center"/>
              <w:rPr>
                <w:noProof/>
                <w:sz w:val="18"/>
              </w:rPr>
            </w:pPr>
            <w:r w:rsidRPr="009017BC">
              <w:rPr>
                <w:sz w:val="18"/>
              </w:rPr>
              <w:t>0,600</w:t>
            </w:r>
          </w:p>
        </w:tc>
        <w:tc>
          <w:tcPr>
            <w:tcW w:w="432" w:type="dxa"/>
            <w:gridSpan w:val="2"/>
            <w:tcBorders>
              <w:top w:val="single" w:sz="12" w:space="0" w:color="auto"/>
              <w:bottom w:val="single" w:sz="12" w:space="0" w:color="auto"/>
            </w:tcBorders>
          </w:tcPr>
          <w:p w14:paraId="220EA6D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7238EED" w14:textId="77777777" w:rsidR="00B50935" w:rsidRPr="009017BC" w:rsidRDefault="00B50935" w:rsidP="00427764">
            <w:pPr>
              <w:spacing w:before="180" w:after="180"/>
              <w:ind w:right="-29"/>
              <w:jc w:val="center"/>
              <w:rPr>
                <w:noProof/>
                <w:sz w:val="18"/>
              </w:rPr>
            </w:pPr>
            <w:r w:rsidRPr="009017BC">
              <w:rPr>
                <w:sz w:val="18"/>
              </w:rPr>
              <w:t>0,600</w:t>
            </w:r>
          </w:p>
        </w:tc>
        <w:tc>
          <w:tcPr>
            <w:tcW w:w="540" w:type="dxa"/>
            <w:gridSpan w:val="3"/>
            <w:tcBorders>
              <w:top w:val="single" w:sz="12" w:space="0" w:color="auto"/>
              <w:bottom w:val="single" w:sz="12" w:space="0" w:color="auto"/>
            </w:tcBorders>
          </w:tcPr>
          <w:p w14:paraId="1A2EE780"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1473E555" w14:textId="77777777" w:rsidR="00B50935" w:rsidRPr="009017BC" w:rsidRDefault="00B50935" w:rsidP="00427764">
            <w:pPr>
              <w:spacing w:before="180" w:after="180"/>
              <w:ind w:right="-29"/>
              <w:jc w:val="center"/>
              <w:rPr>
                <w:noProof/>
                <w:sz w:val="18"/>
              </w:rPr>
            </w:pPr>
            <w:r w:rsidRPr="009017BC">
              <w:rPr>
                <w:sz w:val="18"/>
              </w:rPr>
              <w:t>0,600</w:t>
            </w:r>
          </w:p>
        </w:tc>
        <w:tc>
          <w:tcPr>
            <w:tcW w:w="720" w:type="dxa"/>
            <w:gridSpan w:val="2"/>
            <w:tcBorders>
              <w:top w:val="single" w:sz="12" w:space="0" w:color="auto"/>
              <w:bottom w:val="single" w:sz="12" w:space="0" w:color="auto"/>
            </w:tcBorders>
          </w:tcPr>
          <w:p w14:paraId="3D319A76"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2FF7DA1" w14:textId="77777777" w:rsidR="00B50935" w:rsidRPr="009017BC" w:rsidRDefault="00B50935" w:rsidP="00427764">
            <w:pPr>
              <w:spacing w:before="180" w:after="180"/>
              <w:ind w:right="-29"/>
              <w:jc w:val="center"/>
              <w:rPr>
                <w:noProof/>
                <w:sz w:val="18"/>
              </w:rPr>
            </w:pPr>
            <w:r w:rsidRPr="009017BC">
              <w:rPr>
                <w:sz w:val="18"/>
              </w:rPr>
              <w:t>4,200</w:t>
            </w:r>
          </w:p>
        </w:tc>
      </w:tr>
      <w:tr w:rsidR="00B50935" w:rsidRPr="009017BC" w14:paraId="0CD7410C"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60C8A7B9" w14:textId="77777777" w:rsidR="00B50935" w:rsidRPr="009017BC" w:rsidRDefault="00B50935" w:rsidP="00427764">
            <w:pPr>
              <w:spacing w:before="180" w:after="180"/>
              <w:ind w:right="-29"/>
              <w:jc w:val="center"/>
              <w:rPr>
                <w:noProof/>
                <w:sz w:val="18"/>
              </w:rPr>
            </w:pPr>
            <w:r w:rsidRPr="009017BC">
              <w:rPr>
                <w:sz w:val="18"/>
              </w:rPr>
              <w:t>OBJETIVO ESPECÍFICO N.º 6: mejorar la colaboración internacional y recopilar inteligencia regional y nacional</w:t>
            </w:r>
          </w:p>
        </w:tc>
      </w:tr>
      <w:tr w:rsidR="00B50935" w:rsidRPr="009017BC" w14:paraId="247853D7"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8E71EDC" w14:textId="77777777" w:rsidR="00B50935" w:rsidRPr="009017BC" w:rsidRDefault="00B50935" w:rsidP="00427764">
            <w:pPr>
              <w:ind w:right="-29"/>
              <w:jc w:val="center"/>
              <w:rPr>
                <w:noProof/>
                <w:sz w:val="18"/>
              </w:rPr>
            </w:pPr>
            <w:r w:rsidRPr="009017BC">
              <w:rPr>
                <w:sz w:val="18"/>
              </w:rPr>
              <w:t xml:space="preserve">Resultado: coordinación </w:t>
            </w:r>
            <w:r w:rsidRPr="009017BC">
              <w:rPr>
                <w:i/>
                <w:iCs/>
                <w:sz w:val="18"/>
              </w:rPr>
              <w:t>in situ</w:t>
            </w:r>
            <w:r w:rsidRPr="009017BC">
              <w:rPr>
                <w:sz w:val="18"/>
              </w:rPr>
              <w:t xml:space="preserve"> con las autoridades internacionales y otros centros para el control de las enfermedades</w:t>
            </w:r>
          </w:p>
        </w:tc>
        <w:tc>
          <w:tcPr>
            <w:tcW w:w="663" w:type="dxa"/>
            <w:gridSpan w:val="2"/>
            <w:tcBorders>
              <w:top w:val="single" w:sz="12" w:space="0" w:color="auto"/>
              <w:bottom w:val="single" w:sz="12" w:space="0" w:color="auto"/>
            </w:tcBorders>
          </w:tcPr>
          <w:p w14:paraId="1597ABED"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6AB59F1" w14:textId="77777777" w:rsidR="00B50935" w:rsidRPr="009017BC" w:rsidRDefault="00B50935" w:rsidP="00427764">
            <w:pPr>
              <w:spacing w:before="180" w:after="180"/>
              <w:ind w:right="-29"/>
              <w:jc w:val="center"/>
              <w:rPr>
                <w:noProof/>
                <w:sz w:val="18"/>
              </w:rPr>
            </w:pPr>
            <w:r w:rsidRPr="009017BC">
              <w:rPr>
                <w:sz w:val="18"/>
              </w:rPr>
              <w:t>0,050</w:t>
            </w:r>
          </w:p>
        </w:tc>
        <w:tc>
          <w:tcPr>
            <w:tcW w:w="540" w:type="dxa"/>
            <w:gridSpan w:val="2"/>
            <w:tcBorders>
              <w:top w:val="single" w:sz="12" w:space="0" w:color="auto"/>
              <w:bottom w:val="single" w:sz="12" w:space="0" w:color="auto"/>
            </w:tcBorders>
          </w:tcPr>
          <w:p w14:paraId="26A67142"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A53AA72" w14:textId="77777777" w:rsidR="00B50935" w:rsidRPr="009017BC" w:rsidRDefault="00B50935" w:rsidP="00427764">
            <w:pPr>
              <w:spacing w:before="180" w:after="180"/>
              <w:ind w:right="-29"/>
              <w:jc w:val="center"/>
              <w:rPr>
                <w:noProof/>
                <w:sz w:val="18"/>
              </w:rPr>
            </w:pPr>
            <w:r w:rsidRPr="009017BC">
              <w:rPr>
                <w:sz w:val="18"/>
              </w:rPr>
              <w:t>0,150</w:t>
            </w:r>
          </w:p>
        </w:tc>
        <w:tc>
          <w:tcPr>
            <w:tcW w:w="720" w:type="dxa"/>
            <w:gridSpan w:val="2"/>
            <w:tcBorders>
              <w:top w:val="single" w:sz="12" w:space="0" w:color="auto"/>
              <w:bottom w:val="single" w:sz="12" w:space="0" w:color="auto"/>
            </w:tcBorders>
          </w:tcPr>
          <w:p w14:paraId="56BEBD77"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E776734" w14:textId="77777777" w:rsidR="00B50935" w:rsidRPr="009017BC" w:rsidRDefault="00B50935" w:rsidP="00427764">
            <w:pPr>
              <w:spacing w:before="180" w:after="180"/>
              <w:ind w:right="-29"/>
              <w:jc w:val="center"/>
              <w:rPr>
                <w:noProof/>
                <w:sz w:val="18"/>
              </w:rPr>
            </w:pPr>
            <w:r w:rsidRPr="009017BC">
              <w:rPr>
                <w:sz w:val="18"/>
              </w:rPr>
              <w:t>0,350</w:t>
            </w:r>
          </w:p>
        </w:tc>
        <w:tc>
          <w:tcPr>
            <w:tcW w:w="900" w:type="dxa"/>
            <w:gridSpan w:val="2"/>
            <w:tcBorders>
              <w:top w:val="single" w:sz="12" w:space="0" w:color="auto"/>
              <w:bottom w:val="single" w:sz="12" w:space="0" w:color="auto"/>
            </w:tcBorders>
          </w:tcPr>
          <w:p w14:paraId="75BF2216"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408B8AEC"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2"/>
            <w:tcBorders>
              <w:top w:val="single" w:sz="12" w:space="0" w:color="auto"/>
              <w:bottom w:val="single" w:sz="12" w:space="0" w:color="auto"/>
            </w:tcBorders>
          </w:tcPr>
          <w:p w14:paraId="445D4CFC"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4A5F43CD" w14:textId="77777777" w:rsidR="00B50935" w:rsidRPr="009017BC" w:rsidRDefault="00B50935" w:rsidP="00427764">
            <w:pPr>
              <w:spacing w:before="180" w:after="180"/>
              <w:ind w:right="-29"/>
              <w:jc w:val="center"/>
              <w:rPr>
                <w:noProof/>
                <w:sz w:val="18"/>
              </w:rPr>
            </w:pPr>
            <w:r w:rsidRPr="009017BC">
              <w:rPr>
                <w:sz w:val="18"/>
              </w:rPr>
              <w:t>0,500</w:t>
            </w:r>
          </w:p>
        </w:tc>
        <w:tc>
          <w:tcPr>
            <w:tcW w:w="432" w:type="dxa"/>
            <w:gridSpan w:val="2"/>
            <w:tcBorders>
              <w:top w:val="single" w:sz="12" w:space="0" w:color="auto"/>
              <w:bottom w:val="single" w:sz="12" w:space="0" w:color="auto"/>
            </w:tcBorders>
          </w:tcPr>
          <w:p w14:paraId="43B8EAA9" w14:textId="77777777" w:rsidR="00B50935" w:rsidRPr="009017BC" w:rsidRDefault="00B50935" w:rsidP="00427764">
            <w:pPr>
              <w:spacing w:before="180" w:after="180"/>
              <w:ind w:right="-29"/>
              <w:rPr>
                <w:noProof/>
                <w:sz w:val="18"/>
              </w:rPr>
            </w:pPr>
          </w:p>
        </w:tc>
        <w:tc>
          <w:tcPr>
            <w:tcW w:w="720" w:type="dxa"/>
            <w:gridSpan w:val="2"/>
            <w:tcBorders>
              <w:top w:val="single" w:sz="12" w:space="0" w:color="auto"/>
              <w:bottom w:val="single" w:sz="12" w:space="0" w:color="auto"/>
            </w:tcBorders>
          </w:tcPr>
          <w:p w14:paraId="280F3169"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3"/>
            <w:tcBorders>
              <w:top w:val="single" w:sz="12" w:space="0" w:color="auto"/>
              <w:bottom w:val="single" w:sz="12" w:space="0" w:color="auto"/>
            </w:tcBorders>
          </w:tcPr>
          <w:p w14:paraId="69E73EB7"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675DEDCF" w14:textId="77777777" w:rsidR="00B50935" w:rsidRPr="009017BC" w:rsidRDefault="00B50935" w:rsidP="00427764">
            <w:pPr>
              <w:spacing w:before="180" w:after="180"/>
              <w:ind w:right="-29"/>
              <w:jc w:val="center"/>
              <w:rPr>
                <w:noProof/>
                <w:sz w:val="18"/>
              </w:rPr>
            </w:pPr>
            <w:r w:rsidRPr="009017BC">
              <w:rPr>
                <w:sz w:val="18"/>
              </w:rPr>
              <w:t>0,500</w:t>
            </w:r>
          </w:p>
        </w:tc>
        <w:tc>
          <w:tcPr>
            <w:tcW w:w="720" w:type="dxa"/>
            <w:gridSpan w:val="2"/>
            <w:tcBorders>
              <w:top w:val="single" w:sz="12" w:space="0" w:color="auto"/>
              <w:bottom w:val="single" w:sz="12" w:space="0" w:color="auto"/>
            </w:tcBorders>
          </w:tcPr>
          <w:p w14:paraId="19791DA8"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6736862" w14:textId="77777777" w:rsidR="00B50935" w:rsidRPr="009017BC" w:rsidRDefault="00B50935" w:rsidP="00427764">
            <w:pPr>
              <w:spacing w:before="180" w:after="180"/>
              <w:ind w:right="-29"/>
              <w:jc w:val="center"/>
              <w:rPr>
                <w:noProof/>
                <w:sz w:val="18"/>
              </w:rPr>
            </w:pPr>
            <w:r w:rsidRPr="009017BC">
              <w:rPr>
                <w:sz w:val="18"/>
              </w:rPr>
              <w:t>2,550</w:t>
            </w:r>
          </w:p>
        </w:tc>
      </w:tr>
      <w:tr w:rsidR="00B50935" w:rsidRPr="009017BC" w14:paraId="5ABE9410"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7352996" w14:textId="77777777" w:rsidR="00B50935" w:rsidRPr="009017BC" w:rsidRDefault="00B50935" w:rsidP="00427764">
            <w:pPr>
              <w:ind w:right="-29"/>
              <w:jc w:val="center"/>
              <w:rPr>
                <w:noProof/>
                <w:sz w:val="18"/>
              </w:rPr>
            </w:pPr>
            <w:r w:rsidRPr="009017BC">
              <w:rPr>
                <w:sz w:val="18"/>
              </w:rPr>
              <w:t>Resultado: recopilación de inteligencia local y facilitación de apoyo de expertos</w:t>
            </w:r>
          </w:p>
        </w:tc>
        <w:tc>
          <w:tcPr>
            <w:tcW w:w="663" w:type="dxa"/>
            <w:gridSpan w:val="2"/>
            <w:tcBorders>
              <w:top w:val="single" w:sz="12" w:space="0" w:color="auto"/>
              <w:bottom w:val="single" w:sz="12" w:space="0" w:color="auto"/>
            </w:tcBorders>
          </w:tcPr>
          <w:p w14:paraId="0D89281A"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1D4214B" w14:textId="77777777" w:rsidR="00B50935" w:rsidRPr="009017BC" w:rsidRDefault="00B50935" w:rsidP="00427764">
            <w:pPr>
              <w:spacing w:before="180" w:after="180"/>
              <w:ind w:right="-29"/>
              <w:jc w:val="center"/>
              <w:rPr>
                <w:noProof/>
                <w:sz w:val="18"/>
              </w:rPr>
            </w:pPr>
            <w:r w:rsidRPr="009017BC">
              <w:rPr>
                <w:sz w:val="18"/>
              </w:rPr>
              <w:t>0,050</w:t>
            </w:r>
          </w:p>
        </w:tc>
        <w:tc>
          <w:tcPr>
            <w:tcW w:w="540" w:type="dxa"/>
            <w:gridSpan w:val="2"/>
            <w:tcBorders>
              <w:top w:val="single" w:sz="12" w:space="0" w:color="auto"/>
              <w:bottom w:val="single" w:sz="12" w:space="0" w:color="auto"/>
            </w:tcBorders>
          </w:tcPr>
          <w:p w14:paraId="220E2EC3"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524B3A1" w14:textId="77777777" w:rsidR="00B50935" w:rsidRPr="009017BC" w:rsidRDefault="00B50935" w:rsidP="00427764">
            <w:pPr>
              <w:spacing w:before="180" w:after="180"/>
              <w:ind w:right="-29"/>
              <w:jc w:val="center"/>
              <w:rPr>
                <w:noProof/>
                <w:sz w:val="18"/>
              </w:rPr>
            </w:pPr>
            <w:r w:rsidRPr="009017BC">
              <w:rPr>
                <w:sz w:val="18"/>
              </w:rPr>
              <w:t>0,150</w:t>
            </w:r>
          </w:p>
        </w:tc>
        <w:tc>
          <w:tcPr>
            <w:tcW w:w="720" w:type="dxa"/>
            <w:gridSpan w:val="2"/>
            <w:tcBorders>
              <w:top w:val="single" w:sz="12" w:space="0" w:color="auto"/>
              <w:bottom w:val="single" w:sz="12" w:space="0" w:color="auto"/>
            </w:tcBorders>
          </w:tcPr>
          <w:p w14:paraId="3C0BD139"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C665837" w14:textId="77777777" w:rsidR="00B50935" w:rsidRPr="009017BC" w:rsidRDefault="00B50935" w:rsidP="00427764">
            <w:pPr>
              <w:spacing w:before="180" w:after="180"/>
              <w:ind w:right="-29"/>
              <w:jc w:val="center"/>
              <w:rPr>
                <w:noProof/>
                <w:sz w:val="18"/>
              </w:rPr>
            </w:pPr>
            <w:r w:rsidRPr="009017BC">
              <w:rPr>
                <w:sz w:val="18"/>
              </w:rPr>
              <w:t>0,350</w:t>
            </w:r>
          </w:p>
        </w:tc>
        <w:tc>
          <w:tcPr>
            <w:tcW w:w="900" w:type="dxa"/>
            <w:gridSpan w:val="2"/>
            <w:tcBorders>
              <w:top w:val="single" w:sz="12" w:space="0" w:color="auto"/>
              <w:bottom w:val="single" w:sz="12" w:space="0" w:color="auto"/>
            </w:tcBorders>
          </w:tcPr>
          <w:p w14:paraId="6D530E05"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64DC011"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2"/>
            <w:tcBorders>
              <w:top w:val="single" w:sz="12" w:space="0" w:color="auto"/>
              <w:bottom w:val="single" w:sz="12" w:space="0" w:color="auto"/>
            </w:tcBorders>
          </w:tcPr>
          <w:p w14:paraId="0FCE1589"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701CD593" w14:textId="77777777" w:rsidR="00B50935" w:rsidRPr="009017BC" w:rsidRDefault="00B50935" w:rsidP="00427764">
            <w:pPr>
              <w:spacing w:before="180" w:after="180"/>
              <w:ind w:right="-29"/>
              <w:jc w:val="center"/>
              <w:rPr>
                <w:noProof/>
                <w:sz w:val="18"/>
              </w:rPr>
            </w:pPr>
            <w:r w:rsidRPr="009017BC">
              <w:rPr>
                <w:sz w:val="18"/>
              </w:rPr>
              <w:t>0,500</w:t>
            </w:r>
          </w:p>
        </w:tc>
        <w:tc>
          <w:tcPr>
            <w:tcW w:w="432" w:type="dxa"/>
            <w:gridSpan w:val="2"/>
            <w:tcBorders>
              <w:top w:val="single" w:sz="12" w:space="0" w:color="auto"/>
              <w:bottom w:val="single" w:sz="12" w:space="0" w:color="auto"/>
            </w:tcBorders>
          </w:tcPr>
          <w:p w14:paraId="1D3A5A12"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29E2D25" w14:textId="77777777" w:rsidR="00B50935" w:rsidRPr="009017BC" w:rsidRDefault="00B50935" w:rsidP="00427764">
            <w:pPr>
              <w:spacing w:before="180" w:after="180"/>
              <w:ind w:right="-29"/>
              <w:jc w:val="center"/>
              <w:rPr>
                <w:noProof/>
                <w:sz w:val="18"/>
              </w:rPr>
            </w:pPr>
            <w:r w:rsidRPr="009017BC">
              <w:rPr>
                <w:sz w:val="18"/>
              </w:rPr>
              <w:t>0,500</w:t>
            </w:r>
          </w:p>
        </w:tc>
        <w:tc>
          <w:tcPr>
            <w:tcW w:w="540" w:type="dxa"/>
            <w:gridSpan w:val="3"/>
            <w:tcBorders>
              <w:top w:val="single" w:sz="12" w:space="0" w:color="auto"/>
              <w:bottom w:val="single" w:sz="12" w:space="0" w:color="auto"/>
            </w:tcBorders>
          </w:tcPr>
          <w:p w14:paraId="6936BEA7"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43D012E" w14:textId="77777777" w:rsidR="00B50935" w:rsidRPr="009017BC" w:rsidRDefault="00B50935" w:rsidP="00427764">
            <w:pPr>
              <w:spacing w:before="180" w:after="180"/>
              <w:ind w:right="-29"/>
              <w:jc w:val="center"/>
              <w:rPr>
                <w:noProof/>
                <w:sz w:val="18"/>
              </w:rPr>
            </w:pPr>
            <w:r w:rsidRPr="009017BC">
              <w:rPr>
                <w:sz w:val="18"/>
              </w:rPr>
              <w:t>0,500</w:t>
            </w:r>
          </w:p>
        </w:tc>
        <w:tc>
          <w:tcPr>
            <w:tcW w:w="720" w:type="dxa"/>
            <w:gridSpan w:val="2"/>
            <w:tcBorders>
              <w:top w:val="single" w:sz="12" w:space="0" w:color="auto"/>
              <w:bottom w:val="single" w:sz="12" w:space="0" w:color="auto"/>
            </w:tcBorders>
          </w:tcPr>
          <w:p w14:paraId="63632CDB"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6EBCC42B" w14:textId="77777777" w:rsidR="00B50935" w:rsidRPr="009017BC" w:rsidRDefault="00B50935" w:rsidP="00427764">
            <w:pPr>
              <w:spacing w:before="180" w:after="180"/>
              <w:ind w:right="-29"/>
              <w:jc w:val="center"/>
              <w:rPr>
                <w:noProof/>
                <w:sz w:val="18"/>
              </w:rPr>
            </w:pPr>
            <w:r w:rsidRPr="009017BC">
              <w:rPr>
                <w:sz w:val="18"/>
              </w:rPr>
              <w:t>2,550</w:t>
            </w:r>
          </w:p>
        </w:tc>
      </w:tr>
      <w:tr w:rsidR="00B50935" w:rsidRPr="009017BC" w14:paraId="38486388"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43201F" w14:textId="77777777" w:rsidR="00B50935" w:rsidRPr="009017BC" w:rsidRDefault="00B50935" w:rsidP="00427764">
            <w:pPr>
              <w:ind w:right="-29"/>
              <w:jc w:val="center"/>
              <w:rPr>
                <w:noProof/>
                <w:sz w:val="18"/>
              </w:rPr>
            </w:pPr>
            <w:r w:rsidRPr="009017BC">
              <w:rPr>
                <w:sz w:val="18"/>
              </w:rPr>
              <w:t>Subtotal del objetivo específico n.º 6</w:t>
            </w:r>
          </w:p>
        </w:tc>
        <w:tc>
          <w:tcPr>
            <w:tcW w:w="663" w:type="dxa"/>
            <w:gridSpan w:val="2"/>
            <w:tcBorders>
              <w:top w:val="single" w:sz="12" w:space="0" w:color="auto"/>
              <w:bottom w:val="single" w:sz="12" w:space="0" w:color="auto"/>
            </w:tcBorders>
          </w:tcPr>
          <w:p w14:paraId="16343E33"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D42E472" w14:textId="77777777" w:rsidR="00B50935" w:rsidRPr="009017BC" w:rsidRDefault="00B50935" w:rsidP="00427764">
            <w:pPr>
              <w:spacing w:before="180" w:after="180"/>
              <w:ind w:right="-29"/>
              <w:jc w:val="center"/>
              <w:rPr>
                <w:noProof/>
                <w:sz w:val="18"/>
              </w:rPr>
            </w:pPr>
            <w:r w:rsidRPr="009017BC">
              <w:rPr>
                <w:sz w:val="18"/>
              </w:rPr>
              <w:t>0,100</w:t>
            </w:r>
          </w:p>
        </w:tc>
        <w:tc>
          <w:tcPr>
            <w:tcW w:w="540" w:type="dxa"/>
            <w:gridSpan w:val="2"/>
            <w:tcBorders>
              <w:top w:val="single" w:sz="12" w:space="0" w:color="auto"/>
              <w:bottom w:val="single" w:sz="12" w:space="0" w:color="auto"/>
            </w:tcBorders>
          </w:tcPr>
          <w:p w14:paraId="3A42D2EA"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0A22B42" w14:textId="77777777" w:rsidR="00B50935" w:rsidRPr="009017BC" w:rsidRDefault="00B50935" w:rsidP="00427764">
            <w:pPr>
              <w:spacing w:before="180" w:after="180"/>
              <w:ind w:right="-29"/>
              <w:jc w:val="center"/>
              <w:rPr>
                <w:noProof/>
                <w:sz w:val="18"/>
              </w:rPr>
            </w:pPr>
            <w:r w:rsidRPr="009017BC">
              <w:rPr>
                <w:sz w:val="18"/>
              </w:rPr>
              <w:t>0,300</w:t>
            </w:r>
          </w:p>
        </w:tc>
        <w:tc>
          <w:tcPr>
            <w:tcW w:w="720" w:type="dxa"/>
            <w:gridSpan w:val="2"/>
            <w:tcBorders>
              <w:top w:val="single" w:sz="12" w:space="0" w:color="auto"/>
              <w:bottom w:val="single" w:sz="12" w:space="0" w:color="auto"/>
            </w:tcBorders>
          </w:tcPr>
          <w:p w14:paraId="58624B0E"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DE64E3F" w14:textId="77777777" w:rsidR="00B50935" w:rsidRPr="009017BC" w:rsidRDefault="00B50935" w:rsidP="00427764">
            <w:pPr>
              <w:spacing w:before="180" w:after="180"/>
              <w:ind w:right="-29"/>
              <w:jc w:val="center"/>
              <w:rPr>
                <w:noProof/>
                <w:sz w:val="18"/>
              </w:rPr>
            </w:pPr>
            <w:r w:rsidRPr="009017BC">
              <w:rPr>
                <w:sz w:val="18"/>
              </w:rPr>
              <w:t>0,700</w:t>
            </w:r>
          </w:p>
        </w:tc>
        <w:tc>
          <w:tcPr>
            <w:tcW w:w="900" w:type="dxa"/>
            <w:gridSpan w:val="2"/>
            <w:tcBorders>
              <w:top w:val="single" w:sz="12" w:space="0" w:color="auto"/>
              <w:bottom w:val="single" w:sz="12" w:space="0" w:color="auto"/>
            </w:tcBorders>
          </w:tcPr>
          <w:p w14:paraId="1754B1E3" w14:textId="77777777" w:rsidR="00B50935" w:rsidRPr="009017BC"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73913A1" w14:textId="77777777" w:rsidR="00B50935" w:rsidRPr="009017BC" w:rsidRDefault="00B50935" w:rsidP="00427764">
            <w:pPr>
              <w:spacing w:before="180" w:after="180"/>
              <w:ind w:right="-29"/>
              <w:jc w:val="center"/>
              <w:rPr>
                <w:noProof/>
                <w:sz w:val="18"/>
              </w:rPr>
            </w:pPr>
            <w:r w:rsidRPr="009017BC">
              <w:rPr>
                <w:sz w:val="18"/>
              </w:rPr>
              <w:t>1,000</w:t>
            </w:r>
          </w:p>
        </w:tc>
        <w:tc>
          <w:tcPr>
            <w:tcW w:w="540" w:type="dxa"/>
            <w:gridSpan w:val="2"/>
            <w:tcBorders>
              <w:top w:val="single" w:sz="12" w:space="0" w:color="auto"/>
              <w:bottom w:val="single" w:sz="12" w:space="0" w:color="auto"/>
            </w:tcBorders>
          </w:tcPr>
          <w:p w14:paraId="53B2C9E0" w14:textId="77777777" w:rsidR="00B50935" w:rsidRPr="009017BC"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CF76DAB" w14:textId="77777777" w:rsidR="00B50935" w:rsidRPr="009017BC" w:rsidRDefault="00B50935" w:rsidP="00427764">
            <w:pPr>
              <w:spacing w:before="180" w:after="180"/>
              <w:ind w:right="-29"/>
              <w:jc w:val="center"/>
              <w:rPr>
                <w:noProof/>
                <w:sz w:val="18"/>
              </w:rPr>
            </w:pPr>
            <w:r w:rsidRPr="009017BC">
              <w:rPr>
                <w:sz w:val="18"/>
              </w:rPr>
              <w:t>1,000</w:t>
            </w:r>
          </w:p>
        </w:tc>
        <w:tc>
          <w:tcPr>
            <w:tcW w:w="432" w:type="dxa"/>
            <w:gridSpan w:val="2"/>
            <w:tcBorders>
              <w:top w:val="single" w:sz="12" w:space="0" w:color="auto"/>
              <w:bottom w:val="single" w:sz="12" w:space="0" w:color="auto"/>
            </w:tcBorders>
          </w:tcPr>
          <w:p w14:paraId="0B37040E" w14:textId="77777777" w:rsidR="00B50935" w:rsidRPr="009017BC"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8A332C6" w14:textId="77777777" w:rsidR="00B50935" w:rsidRPr="009017BC" w:rsidRDefault="00B50935" w:rsidP="00427764">
            <w:pPr>
              <w:spacing w:before="180" w:after="180"/>
              <w:ind w:right="-29"/>
              <w:jc w:val="center"/>
              <w:rPr>
                <w:noProof/>
                <w:sz w:val="18"/>
              </w:rPr>
            </w:pPr>
            <w:r w:rsidRPr="009017BC">
              <w:rPr>
                <w:sz w:val="18"/>
              </w:rPr>
              <w:t>1,000</w:t>
            </w:r>
          </w:p>
        </w:tc>
        <w:tc>
          <w:tcPr>
            <w:tcW w:w="540" w:type="dxa"/>
            <w:gridSpan w:val="3"/>
            <w:tcBorders>
              <w:top w:val="single" w:sz="12" w:space="0" w:color="auto"/>
              <w:bottom w:val="single" w:sz="12" w:space="0" w:color="auto"/>
            </w:tcBorders>
          </w:tcPr>
          <w:p w14:paraId="07DFBDC9" w14:textId="77777777" w:rsidR="00B50935" w:rsidRPr="009017BC"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2D80720E" w14:textId="77777777" w:rsidR="00B50935" w:rsidRPr="009017BC" w:rsidRDefault="00B50935" w:rsidP="00427764">
            <w:pPr>
              <w:spacing w:before="180" w:after="180"/>
              <w:ind w:right="-29"/>
              <w:jc w:val="center"/>
              <w:rPr>
                <w:noProof/>
                <w:sz w:val="18"/>
              </w:rPr>
            </w:pPr>
            <w:r w:rsidRPr="009017BC">
              <w:rPr>
                <w:sz w:val="18"/>
              </w:rPr>
              <w:t>1,000</w:t>
            </w:r>
          </w:p>
        </w:tc>
        <w:tc>
          <w:tcPr>
            <w:tcW w:w="720" w:type="dxa"/>
            <w:gridSpan w:val="2"/>
            <w:tcBorders>
              <w:top w:val="single" w:sz="12" w:space="0" w:color="auto"/>
              <w:bottom w:val="single" w:sz="12" w:space="0" w:color="auto"/>
            </w:tcBorders>
          </w:tcPr>
          <w:p w14:paraId="33A4591B" w14:textId="77777777" w:rsidR="00B50935" w:rsidRPr="009017BC"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2FB285E" w14:textId="77777777" w:rsidR="00B50935" w:rsidRPr="009017BC" w:rsidRDefault="00B50935" w:rsidP="00427764">
            <w:pPr>
              <w:spacing w:before="180" w:after="180"/>
              <w:ind w:right="-29"/>
              <w:jc w:val="center"/>
              <w:rPr>
                <w:noProof/>
                <w:sz w:val="18"/>
              </w:rPr>
            </w:pPr>
            <w:r w:rsidRPr="009017BC">
              <w:rPr>
                <w:sz w:val="18"/>
              </w:rPr>
              <w:t>5,100</w:t>
            </w:r>
          </w:p>
        </w:tc>
      </w:tr>
      <w:tr w:rsidR="00B50935" w:rsidRPr="009017BC" w14:paraId="65D1A2CC"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4C1F39E3" w14:textId="77777777" w:rsidR="00B50935" w:rsidRPr="009017BC" w:rsidRDefault="00B50935" w:rsidP="00427764">
            <w:pPr>
              <w:ind w:right="-29"/>
              <w:jc w:val="center"/>
              <w:rPr>
                <w:b/>
                <w:noProof/>
                <w:sz w:val="18"/>
              </w:rPr>
            </w:pPr>
            <w:r w:rsidRPr="009017BC">
              <w:rPr>
                <w:b/>
                <w:sz w:val="18"/>
              </w:rPr>
              <w:t>COSTE TOTAL</w:t>
            </w:r>
          </w:p>
        </w:tc>
        <w:tc>
          <w:tcPr>
            <w:tcW w:w="663" w:type="dxa"/>
            <w:gridSpan w:val="2"/>
            <w:tcBorders>
              <w:top w:val="single" w:sz="12" w:space="0" w:color="auto"/>
              <w:bottom w:val="single" w:sz="12" w:space="0" w:color="auto"/>
            </w:tcBorders>
          </w:tcPr>
          <w:p w14:paraId="64FC9F5E" w14:textId="77777777" w:rsidR="00B50935" w:rsidRPr="009017BC"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A7AB430" w14:textId="77777777" w:rsidR="00B50935" w:rsidRPr="009017BC" w:rsidRDefault="00B50935" w:rsidP="00427764">
            <w:pPr>
              <w:spacing w:before="180" w:after="180"/>
              <w:ind w:right="-29"/>
              <w:jc w:val="center"/>
              <w:rPr>
                <w:b/>
                <w:noProof/>
                <w:sz w:val="18"/>
              </w:rPr>
            </w:pPr>
            <w:r w:rsidRPr="009017BC">
              <w:rPr>
                <w:b/>
                <w:sz w:val="18"/>
              </w:rPr>
              <w:t>12,300</w:t>
            </w:r>
          </w:p>
        </w:tc>
        <w:tc>
          <w:tcPr>
            <w:tcW w:w="540" w:type="dxa"/>
            <w:gridSpan w:val="2"/>
            <w:tcBorders>
              <w:top w:val="single" w:sz="12" w:space="0" w:color="auto"/>
              <w:bottom w:val="single" w:sz="12" w:space="0" w:color="auto"/>
            </w:tcBorders>
          </w:tcPr>
          <w:p w14:paraId="605F6383" w14:textId="77777777" w:rsidR="00B50935" w:rsidRPr="009017BC"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6797CC5" w14:textId="77777777" w:rsidR="00B50935" w:rsidRPr="009017BC" w:rsidRDefault="00B50935" w:rsidP="00427764">
            <w:pPr>
              <w:spacing w:before="180" w:after="180"/>
              <w:ind w:right="-29"/>
              <w:jc w:val="center"/>
              <w:rPr>
                <w:b/>
                <w:noProof/>
                <w:sz w:val="18"/>
              </w:rPr>
            </w:pPr>
            <w:r w:rsidRPr="009017BC">
              <w:rPr>
                <w:b/>
                <w:sz w:val="18"/>
              </w:rPr>
              <w:t>16,500</w:t>
            </w:r>
          </w:p>
        </w:tc>
        <w:tc>
          <w:tcPr>
            <w:tcW w:w="720" w:type="dxa"/>
            <w:gridSpan w:val="2"/>
            <w:tcBorders>
              <w:top w:val="single" w:sz="12" w:space="0" w:color="auto"/>
              <w:bottom w:val="single" w:sz="12" w:space="0" w:color="auto"/>
            </w:tcBorders>
          </w:tcPr>
          <w:p w14:paraId="3DB465C9" w14:textId="77777777" w:rsidR="00B50935" w:rsidRPr="009017BC"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CB1B027" w14:textId="77777777" w:rsidR="00B50935" w:rsidRPr="009017BC" w:rsidRDefault="00B50935" w:rsidP="00427764">
            <w:pPr>
              <w:spacing w:before="180" w:after="180"/>
              <w:ind w:right="-29"/>
              <w:jc w:val="center"/>
              <w:rPr>
                <w:b/>
                <w:noProof/>
                <w:sz w:val="18"/>
              </w:rPr>
            </w:pPr>
            <w:r w:rsidRPr="009017BC">
              <w:rPr>
                <w:b/>
                <w:sz w:val="18"/>
              </w:rPr>
              <w:t>16,700</w:t>
            </w:r>
          </w:p>
        </w:tc>
        <w:tc>
          <w:tcPr>
            <w:tcW w:w="900" w:type="dxa"/>
            <w:gridSpan w:val="2"/>
            <w:tcBorders>
              <w:top w:val="single" w:sz="12" w:space="0" w:color="auto"/>
              <w:bottom w:val="single" w:sz="12" w:space="0" w:color="auto"/>
            </w:tcBorders>
          </w:tcPr>
          <w:p w14:paraId="57BFA3BB" w14:textId="77777777" w:rsidR="00B50935" w:rsidRPr="009017BC" w:rsidRDefault="00B50935" w:rsidP="00427764">
            <w:pPr>
              <w:spacing w:before="180" w:after="180"/>
              <w:ind w:right="-29"/>
              <w:jc w:val="center"/>
              <w:rPr>
                <w:b/>
                <w:noProof/>
                <w:sz w:val="18"/>
              </w:rPr>
            </w:pPr>
          </w:p>
        </w:tc>
        <w:tc>
          <w:tcPr>
            <w:tcW w:w="720" w:type="dxa"/>
            <w:gridSpan w:val="3"/>
            <w:tcBorders>
              <w:top w:val="single" w:sz="12" w:space="0" w:color="auto"/>
              <w:bottom w:val="single" w:sz="12" w:space="0" w:color="auto"/>
            </w:tcBorders>
          </w:tcPr>
          <w:p w14:paraId="6DF9156C" w14:textId="77777777" w:rsidR="00B50935" w:rsidRPr="009017BC" w:rsidRDefault="00B50935" w:rsidP="00427764">
            <w:pPr>
              <w:spacing w:before="180" w:after="180"/>
              <w:ind w:right="-29"/>
              <w:jc w:val="center"/>
              <w:rPr>
                <w:b/>
                <w:noProof/>
                <w:sz w:val="18"/>
              </w:rPr>
            </w:pPr>
            <w:r w:rsidRPr="009017BC">
              <w:rPr>
                <w:b/>
                <w:sz w:val="18"/>
              </w:rPr>
              <w:t>17,000</w:t>
            </w:r>
          </w:p>
        </w:tc>
        <w:tc>
          <w:tcPr>
            <w:tcW w:w="540" w:type="dxa"/>
            <w:gridSpan w:val="2"/>
            <w:tcBorders>
              <w:top w:val="single" w:sz="12" w:space="0" w:color="auto"/>
              <w:bottom w:val="single" w:sz="12" w:space="0" w:color="auto"/>
            </w:tcBorders>
          </w:tcPr>
          <w:p w14:paraId="07B7BDEF" w14:textId="77777777" w:rsidR="00B50935" w:rsidRPr="009017BC" w:rsidRDefault="00B50935" w:rsidP="00427764">
            <w:pPr>
              <w:spacing w:before="180" w:after="180"/>
              <w:ind w:right="-29"/>
              <w:jc w:val="center"/>
              <w:rPr>
                <w:b/>
                <w:noProof/>
                <w:sz w:val="18"/>
              </w:rPr>
            </w:pPr>
          </w:p>
        </w:tc>
        <w:tc>
          <w:tcPr>
            <w:tcW w:w="648" w:type="dxa"/>
            <w:gridSpan w:val="2"/>
            <w:tcBorders>
              <w:top w:val="single" w:sz="12" w:space="0" w:color="auto"/>
              <w:bottom w:val="single" w:sz="12" w:space="0" w:color="auto"/>
            </w:tcBorders>
          </w:tcPr>
          <w:p w14:paraId="2EFE2A4E" w14:textId="77777777" w:rsidR="00B50935" w:rsidRPr="009017BC" w:rsidRDefault="00B50935" w:rsidP="00427764">
            <w:pPr>
              <w:spacing w:before="180" w:after="180"/>
              <w:ind w:right="-29"/>
              <w:jc w:val="center"/>
              <w:rPr>
                <w:b/>
                <w:noProof/>
                <w:sz w:val="18"/>
              </w:rPr>
            </w:pPr>
            <w:r w:rsidRPr="009017BC">
              <w:rPr>
                <w:b/>
                <w:sz w:val="16"/>
              </w:rPr>
              <w:t>14,000</w:t>
            </w:r>
          </w:p>
        </w:tc>
        <w:tc>
          <w:tcPr>
            <w:tcW w:w="432" w:type="dxa"/>
            <w:gridSpan w:val="2"/>
            <w:tcBorders>
              <w:top w:val="single" w:sz="12" w:space="0" w:color="auto"/>
              <w:bottom w:val="single" w:sz="12" w:space="0" w:color="auto"/>
            </w:tcBorders>
          </w:tcPr>
          <w:p w14:paraId="67A9B9D1" w14:textId="77777777" w:rsidR="00B50935" w:rsidRPr="009017BC"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754A6BB4" w14:textId="77777777" w:rsidR="00B50935" w:rsidRPr="009017BC" w:rsidRDefault="00B50935" w:rsidP="00427764">
            <w:pPr>
              <w:spacing w:before="180" w:after="180"/>
              <w:ind w:right="-29"/>
              <w:jc w:val="center"/>
              <w:rPr>
                <w:b/>
                <w:noProof/>
                <w:sz w:val="18"/>
              </w:rPr>
            </w:pPr>
            <w:r w:rsidRPr="009017BC">
              <w:rPr>
                <w:b/>
                <w:sz w:val="18"/>
              </w:rPr>
              <w:t>13,000</w:t>
            </w:r>
          </w:p>
        </w:tc>
        <w:tc>
          <w:tcPr>
            <w:tcW w:w="540" w:type="dxa"/>
            <w:gridSpan w:val="3"/>
            <w:tcBorders>
              <w:top w:val="single" w:sz="12" w:space="0" w:color="auto"/>
              <w:bottom w:val="single" w:sz="12" w:space="0" w:color="auto"/>
            </w:tcBorders>
          </w:tcPr>
          <w:p w14:paraId="4312BDFE" w14:textId="77777777" w:rsidR="00B50935" w:rsidRPr="009017BC" w:rsidRDefault="00B50935" w:rsidP="00427764">
            <w:pPr>
              <w:spacing w:before="180" w:after="180"/>
              <w:ind w:right="-29"/>
              <w:jc w:val="center"/>
              <w:rPr>
                <w:b/>
                <w:noProof/>
                <w:sz w:val="18"/>
              </w:rPr>
            </w:pPr>
          </w:p>
        </w:tc>
        <w:tc>
          <w:tcPr>
            <w:tcW w:w="723" w:type="dxa"/>
            <w:gridSpan w:val="2"/>
            <w:tcBorders>
              <w:top w:val="single" w:sz="12" w:space="0" w:color="auto"/>
              <w:bottom w:val="single" w:sz="12" w:space="0" w:color="auto"/>
            </w:tcBorders>
          </w:tcPr>
          <w:p w14:paraId="410F9ECD" w14:textId="77777777" w:rsidR="00B50935" w:rsidRPr="009017BC" w:rsidRDefault="00B50935" w:rsidP="00427764">
            <w:pPr>
              <w:spacing w:before="180" w:after="180"/>
              <w:ind w:right="-29"/>
              <w:jc w:val="center"/>
              <w:rPr>
                <w:b/>
                <w:noProof/>
                <w:sz w:val="18"/>
              </w:rPr>
            </w:pPr>
            <w:r w:rsidRPr="009017BC">
              <w:rPr>
                <w:b/>
                <w:sz w:val="18"/>
              </w:rPr>
              <w:t>13,000</w:t>
            </w:r>
          </w:p>
        </w:tc>
        <w:tc>
          <w:tcPr>
            <w:tcW w:w="720" w:type="dxa"/>
            <w:gridSpan w:val="2"/>
            <w:tcBorders>
              <w:top w:val="single" w:sz="12" w:space="0" w:color="auto"/>
              <w:bottom w:val="single" w:sz="12" w:space="0" w:color="auto"/>
            </w:tcBorders>
          </w:tcPr>
          <w:p w14:paraId="0F4BFD09" w14:textId="77777777" w:rsidR="00B50935" w:rsidRPr="009017BC" w:rsidRDefault="00B50935" w:rsidP="00427764">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14:paraId="7136FE96" w14:textId="77777777" w:rsidR="00B50935" w:rsidRPr="009017BC" w:rsidRDefault="00B50935" w:rsidP="00427764">
            <w:pPr>
              <w:spacing w:before="180" w:after="180"/>
              <w:ind w:right="-29"/>
              <w:jc w:val="center"/>
              <w:rPr>
                <w:b/>
                <w:noProof/>
                <w:sz w:val="18"/>
              </w:rPr>
            </w:pPr>
            <w:r w:rsidRPr="009017BC">
              <w:rPr>
                <w:b/>
                <w:sz w:val="18"/>
              </w:rPr>
              <w:t>102,500</w:t>
            </w:r>
          </w:p>
        </w:tc>
      </w:tr>
    </w:tbl>
    <w:p w14:paraId="365F51F0" w14:textId="77777777" w:rsidR="00B50935" w:rsidRPr="009017BC" w:rsidRDefault="00B50935" w:rsidP="00B50935">
      <w:pPr>
        <w:rPr>
          <w:noProof/>
        </w:rPr>
        <w:sectPr w:rsidR="00B50935" w:rsidRPr="009017BC" w:rsidSect="00DF5771">
          <w:headerReference w:type="default" r:id="rId15"/>
          <w:footerReference w:type="default" r:id="rId16"/>
          <w:headerReference w:type="first" r:id="rId17"/>
          <w:footerReference w:type="first" r:id="rId18"/>
          <w:pgSz w:w="15840" w:h="12240" w:orient="landscape"/>
          <w:pgMar w:top="1418" w:right="902" w:bottom="902" w:left="567" w:header="709" w:footer="709" w:gutter="0"/>
          <w:cols w:space="720"/>
          <w:docGrid w:linePitch="326"/>
        </w:sectPr>
      </w:pPr>
    </w:p>
    <w:p w14:paraId="01D73843" w14:textId="77777777" w:rsidR="00B50935" w:rsidRPr="009017BC" w:rsidRDefault="00B50935" w:rsidP="00B50935">
      <w:pPr>
        <w:pStyle w:val="Heading3"/>
        <w:rPr>
          <w:bCs w:val="0"/>
          <w:noProof/>
          <w:szCs w:val="24"/>
        </w:rPr>
      </w:pPr>
      <w:bookmarkStart w:id="74" w:name="_Toc514938688"/>
      <w:bookmarkStart w:id="75" w:name="_Toc57975644"/>
      <w:r w:rsidRPr="009017BC">
        <w:t>Incidencia estimada en los recursos humanos del [organismo]</w:t>
      </w:r>
      <w:bookmarkEnd w:id="74"/>
      <w:bookmarkEnd w:id="75"/>
      <w:r w:rsidRPr="009017BC">
        <w:t xml:space="preserve"> </w:t>
      </w:r>
    </w:p>
    <w:p w14:paraId="38960E2C" w14:textId="77777777" w:rsidR="00B50935" w:rsidRPr="009017BC" w:rsidRDefault="00B50935" w:rsidP="00B50935">
      <w:pPr>
        <w:pStyle w:val="Heading4"/>
        <w:rPr>
          <w:bCs w:val="0"/>
          <w:noProof/>
          <w:szCs w:val="24"/>
        </w:rPr>
      </w:pPr>
      <w:r w:rsidRPr="009017BC">
        <w:t xml:space="preserve">Resumen </w:t>
      </w:r>
    </w:p>
    <w:p w14:paraId="6FAA91CA" w14:textId="77777777" w:rsidR="00B50935" w:rsidRPr="009017BC" w:rsidRDefault="00B50935" w:rsidP="006F7C3E">
      <w:pPr>
        <w:pStyle w:val="ListDash1"/>
        <w:rPr>
          <w:noProof/>
        </w:rPr>
      </w:pPr>
      <w:r w:rsidRPr="009017BC">
        <w:sym w:font="Wingdings" w:char="F0A8"/>
      </w:r>
      <w:r w:rsidRPr="009017BC">
        <w:tab/>
        <w:t xml:space="preserve">La propuesta/iniciativa no exige la utilización de créditos administrativos. </w:t>
      </w:r>
    </w:p>
    <w:p w14:paraId="7DA7E120" w14:textId="77777777" w:rsidR="00B50935" w:rsidRPr="009017BC" w:rsidRDefault="00B50935" w:rsidP="006F7C3E">
      <w:pPr>
        <w:pStyle w:val="ListDash1"/>
        <w:rPr>
          <w:noProof/>
        </w:rPr>
      </w:pPr>
      <w:r w:rsidRPr="009017BC">
        <w:sym w:font="Webdings" w:char="F061"/>
      </w:r>
      <w:r w:rsidRPr="009017BC">
        <w:tab/>
        <w:t>La propuesta/iniciativa exige la utilización de créditos administrativos, tal como se explica a continuación:</w:t>
      </w:r>
    </w:p>
    <w:p w14:paraId="2C747473" w14:textId="77777777" w:rsidR="00B50935" w:rsidRPr="009017BC" w:rsidRDefault="00B50935" w:rsidP="00B50935">
      <w:pPr>
        <w:rPr>
          <w:noProof/>
          <w:sz w:val="20"/>
        </w:rPr>
      </w:pPr>
      <w:r w:rsidRPr="009017BC">
        <w:rPr>
          <w:sz w:val="20"/>
        </w:rPr>
        <w:t>En millones EUR (al tercer decimal)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7D7DE097" w14:textId="77777777" w:rsidTr="00427764">
        <w:trPr>
          <w:trHeight w:val="585"/>
        </w:trPr>
        <w:tc>
          <w:tcPr>
            <w:tcW w:w="1980" w:type="dxa"/>
          </w:tcPr>
          <w:p w14:paraId="0AA421F1" w14:textId="77777777" w:rsidR="00B50935" w:rsidRPr="009017BC" w:rsidRDefault="00B50935" w:rsidP="00427764">
            <w:pPr>
              <w:spacing w:before="60" w:after="60"/>
              <w:rPr>
                <w:noProof/>
                <w:sz w:val="20"/>
              </w:rPr>
            </w:pPr>
          </w:p>
        </w:tc>
        <w:tc>
          <w:tcPr>
            <w:tcW w:w="1080" w:type="dxa"/>
            <w:vAlign w:val="center"/>
          </w:tcPr>
          <w:p w14:paraId="55B6DCF0"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2021</w:t>
            </w:r>
          </w:p>
        </w:tc>
        <w:tc>
          <w:tcPr>
            <w:tcW w:w="1080" w:type="dxa"/>
            <w:vAlign w:val="center"/>
          </w:tcPr>
          <w:p w14:paraId="6346BA7A"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2022</w:t>
            </w:r>
          </w:p>
        </w:tc>
        <w:tc>
          <w:tcPr>
            <w:tcW w:w="1080" w:type="dxa"/>
            <w:vAlign w:val="center"/>
          </w:tcPr>
          <w:p w14:paraId="2B6CCB9D"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2023</w:t>
            </w:r>
          </w:p>
        </w:tc>
        <w:tc>
          <w:tcPr>
            <w:tcW w:w="1080" w:type="dxa"/>
            <w:vAlign w:val="center"/>
          </w:tcPr>
          <w:p w14:paraId="07CC1217"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2024</w:t>
            </w:r>
          </w:p>
        </w:tc>
        <w:tc>
          <w:tcPr>
            <w:tcW w:w="1080" w:type="dxa"/>
            <w:vAlign w:val="center"/>
          </w:tcPr>
          <w:p w14:paraId="3ADEBDD8"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2025</w:t>
            </w:r>
          </w:p>
        </w:tc>
        <w:tc>
          <w:tcPr>
            <w:tcW w:w="1080" w:type="dxa"/>
            <w:vAlign w:val="center"/>
          </w:tcPr>
          <w:p w14:paraId="0E25D7DF"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2026</w:t>
            </w:r>
          </w:p>
        </w:tc>
        <w:tc>
          <w:tcPr>
            <w:tcW w:w="1080" w:type="dxa"/>
            <w:vAlign w:val="center"/>
          </w:tcPr>
          <w:p w14:paraId="5CD735AA"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080" w:type="dxa"/>
            <w:vAlign w:val="center"/>
          </w:tcPr>
          <w:p w14:paraId="4732A8AD" w14:textId="77777777" w:rsidR="00B50935" w:rsidRPr="009017BC" w:rsidRDefault="00B50935" w:rsidP="00427764">
            <w:pPr>
              <w:spacing w:before="60" w:after="60"/>
              <w:jc w:val="center"/>
              <w:rPr>
                <w:b/>
                <w:noProof/>
                <w:sz w:val="20"/>
              </w:rPr>
            </w:pPr>
            <w:r w:rsidRPr="009017BC">
              <w:rPr>
                <w:b/>
                <w:sz w:val="20"/>
              </w:rPr>
              <w:t>TOTAL</w:t>
            </w:r>
          </w:p>
        </w:tc>
      </w:tr>
    </w:tbl>
    <w:p w14:paraId="611E08B3" w14:textId="77777777" w:rsidR="00B50935" w:rsidRPr="009017BC"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59F8BFE7" w14:textId="77777777" w:rsidTr="00427764">
        <w:trPr>
          <w:trHeight w:val="585"/>
        </w:trPr>
        <w:tc>
          <w:tcPr>
            <w:tcW w:w="1980" w:type="dxa"/>
            <w:shd w:val="clear" w:color="auto" w:fill="D9D9D9" w:themeFill="background1" w:themeFillShade="D9"/>
            <w:vAlign w:val="center"/>
          </w:tcPr>
          <w:p w14:paraId="5840A101" w14:textId="77777777" w:rsidR="00B50935" w:rsidRPr="009017BC" w:rsidRDefault="00B50935" w:rsidP="00427764">
            <w:pPr>
              <w:spacing w:before="60" w:after="60"/>
              <w:jc w:val="center"/>
              <w:rPr>
                <w:noProof/>
              </w:rPr>
            </w:pPr>
            <w:r w:rsidRPr="009017BC">
              <w:rPr>
                <w:sz w:val="18"/>
              </w:rPr>
              <w:t>Agentes temporales (Categoría AD)</w:t>
            </w:r>
          </w:p>
        </w:tc>
        <w:tc>
          <w:tcPr>
            <w:tcW w:w="1080" w:type="dxa"/>
            <w:vAlign w:val="bottom"/>
          </w:tcPr>
          <w:p w14:paraId="426D855F" w14:textId="77777777" w:rsidR="00B50935" w:rsidRPr="009017BC" w:rsidRDefault="00B50935" w:rsidP="00427764">
            <w:pPr>
              <w:spacing w:before="60" w:after="60"/>
              <w:jc w:val="right"/>
              <w:rPr>
                <w:noProof/>
                <w:sz w:val="20"/>
              </w:rPr>
            </w:pPr>
            <w:r w:rsidRPr="009017BC">
              <w:rPr>
                <w:color w:val="000000"/>
                <w:sz w:val="22"/>
              </w:rPr>
              <w:t>1,650</w:t>
            </w:r>
          </w:p>
        </w:tc>
        <w:tc>
          <w:tcPr>
            <w:tcW w:w="1080" w:type="dxa"/>
            <w:vAlign w:val="bottom"/>
          </w:tcPr>
          <w:p w14:paraId="7EA25776" w14:textId="77777777" w:rsidR="00B50935" w:rsidRPr="009017BC" w:rsidRDefault="00B50935" w:rsidP="00427764">
            <w:pPr>
              <w:spacing w:before="60" w:after="60"/>
              <w:jc w:val="right"/>
              <w:rPr>
                <w:noProof/>
                <w:sz w:val="20"/>
              </w:rPr>
            </w:pPr>
            <w:r w:rsidRPr="009017BC">
              <w:rPr>
                <w:color w:val="000000"/>
                <w:sz w:val="22"/>
              </w:rPr>
              <w:t>3,300</w:t>
            </w:r>
          </w:p>
        </w:tc>
        <w:tc>
          <w:tcPr>
            <w:tcW w:w="1080" w:type="dxa"/>
            <w:vAlign w:val="bottom"/>
          </w:tcPr>
          <w:p w14:paraId="350254C9" w14:textId="77777777" w:rsidR="00B50935" w:rsidRPr="009017BC" w:rsidRDefault="00B50935" w:rsidP="00427764">
            <w:pPr>
              <w:spacing w:before="60" w:after="60"/>
              <w:jc w:val="right"/>
              <w:rPr>
                <w:noProof/>
                <w:sz w:val="20"/>
              </w:rPr>
            </w:pPr>
            <w:r w:rsidRPr="009017BC">
              <w:rPr>
                <w:color w:val="000000"/>
                <w:sz w:val="22"/>
              </w:rPr>
              <w:t>4,350</w:t>
            </w:r>
          </w:p>
        </w:tc>
        <w:tc>
          <w:tcPr>
            <w:tcW w:w="1080" w:type="dxa"/>
            <w:vAlign w:val="bottom"/>
          </w:tcPr>
          <w:p w14:paraId="357B73DE" w14:textId="77777777" w:rsidR="00B50935" w:rsidRPr="009017BC" w:rsidRDefault="00B50935" w:rsidP="00427764">
            <w:pPr>
              <w:spacing w:before="60" w:after="60"/>
              <w:jc w:val="right"/>
              <w:rPr>
                <w:noProof/>
                <w:sz w:val="20"/>
              </w:rPr>
            </w:pPr>
            <w:r w:rsidRPr="009017BC">
              <w:rPr>
                <w:color w:val="000000"/>
                <w:sz w:val="22"/>
              </w:rPr>
              <w:t>4,800</w:t>
            </w:r>
          </w:p>
        </w:tc>
        <w:tc>
          <w:tcPr>
            <w:tcW w:w="1080" w:type="dxa"/>
            <w:vAlign w:val="bottom"/>
          </w:tcPr>
          <w:p w14:paraId="5C18E51D" w14:textId="77777777" w:rsidR="00B50935" w:rsidRPr="009017BC" w:rsidRDefault="00B50935" w:rsidP="00427764">
            <w:pPr>
              <w:spacing w:before="60" w:after="60"/>
              <w:jc w:val="right"/>
              <w:rPr>
                <w:noProof/>
                <w:sz w:val="20"/>
              </w:rPr>
            </w:pPr>
            <w:r w:rsidRPr="009017BC">
              <w:rPr>
                <w:color w:val="000000"/>
                <w:sz w:val="22"/>
              </w:rPr>
              <w:t>4,800</w:t>
            </w:r>
          </w:p>
        </w:tc>
        <w:tc>
          <w:tcPr>
            <w:tcW w:w="1080" w:type="dxa"/>
            <w:vAlign w:val="bottom"/>
          </w:tcPr>
          <w:p w14:paraId="421A5EBB" w14:textId="77777777" w:rsidR="00B50935" w:rsidRPr="009017BC" w:rsidRDefault="00B50935" w:rsidP="00427764">
            <w:pPr>
              <w:spacing w:before="60" w:after="60"/>
              <w:jc w:val="right"/>
              <w:rPr>
                <w:noProof/>
                <w:sz w:val="20"/>
              </w:rPr>
            </w:pPr>
            <w:r w:rsidRPr="009017BC">
              <w:rPr>
                <w:color w:val="000000"/>
                <w:sz w:val="22"/>
              </w:rPr>
              <w:t>4,800</w:t>
            </w:r>
          </w:p>
        </w:tc>
        <w:tc>
          <w:tcPr>
            <w:tcW w:w="1080" w:type="dxa"/>
            <w:vAlign w:val="bottom"/>
          </w:tcPr>
          <w:p w14:paraId="08B0F392" w14:textId="77777777" w:rsidR="00B50935" w:rsidRPr="009017BC" w:rsidRDefault="00B50935" w:rsidP="00427764">
            <w:pPr>
              <w:spacing w:before="60" w:after="60"/>
              <w:jc w:val="right"/>
              <w:rPr>
                <w:b/>
                <w:noProof/>
                <w:sz w:val="20"/>
              </w:rPr>
            </w:pPr>
            <w:r w:rsidRPr="009017BC">
              <w:rPr>
                <w:color w:val="000000"/>
                <w:sz w:val="22"/>
              </w:rPr>
              <w:t>4,800</w:t>
            </w:r>
          </w:p>
        </w:tc>
        <w:tc>
          <w:tcPr>
            <w:tcW w:w="1080" w:type="dxa"/>
            <w:vAlign w:val="bottom"/>
          </w:tcPr>
          <w:p w14:paraId="077CCE08" w14:textId="77777777" w:rsidR="00B50935" w:rsidRPr="009017BC" w:rsidRDefault="00B50935" w:rsidP="00427764">
            <w:pPr>
              <w:spacing w:before="60" w:after="60"/>
              <w:jc w:val="right"/>
              <w:rPr>
                <w:b/>
                <w:noProof/>
                <w:sz w:val="20"/>
              </w:rPr>
            </w:pPr>
            <w:r w:rsidRPr="009017BC">
              <w:rPr>
                <w:b/>
                <w:bCs/>
                <w:color w:val="000000"/>
                <w:sz w:val="22"/>
              </w:rPr>
              <w:t>28,500</w:t>
            </w:r>
          </w:p>
        </w:tc>
      </w:tr>
      <w:tr w:rsidR="00B50935" w:rsidRPr="009017BC" w14:paraId="7916EC51" w14:textId="77777777" w:rsidTr="00427764">
        <w:trPr>
          <w:trHeight w:val="585"/>
        </w:trPr>
        <w:tc>
          <w:tcPr>
            <w:tcW w:w="1980" w:type="dxa"/>
            <w:shd w:val="clear" w:color="auto" w:fill="BFBFBF" w:themeFill="background1" w:themeFillShade="BF"/>
            <w:vAlign w:val="center"/>
          </w:tcPr>
          <w:p w14:paraId="36E6E732" w14:textId="77777777" w:rsidR="00B50935" w:rsidRPr="009017BC" w:rsidRDefault="00B50935" w:rsidP="00427764">
            <w:pPr>
              <w:spacing w:before="60" w:after="60"/>
              <w:ind w:left="72"/>
              <w:rPr>
                <w:noProof/>
              </w:rPr>
            </w:pPr>
            <w:r w:rsidRPr="009017BC">
              <w:rPr>
                <w:sz w:val="20"/>
              </w:rPr>
              <w:t>Agentes temporales (Categoría AST)</w:t>
            </w:r>
          </w:p>
        </w:tc>
        <w:tc>
          <w:tcPr>
            <w:tcW w:w="1080" w:type="dxa"/>
            <w:vAlign w:val="bottom"/>
          </w:tcPr>
          <w:p w14:paraId="534040AE" w14:textId="77777777" w:rsidR="00B50935" w:rsidRPr="009017BC" w:rsidRDefault="00B50935" w:rsidP="00427764">
            <w:pPr>
              <w:spacing w:before="60" w:after="60"/>
              <w:jc w:val="right"/>
              <w:rPr>
                <w:noProof/>
                <w:sz w:val="20"/>
              </w:rPr>
            </w:pPr>
            <w:r w:rsidRPr="009017BC">
              <w:rPr>
                <w:color w:val="000000"/>
                <w:sz w:val="22"/>
              </w:rPr>
              <w:t>1,050</w:t>
            </w:r>
          </w:p>
        </w:tc>
        <w:tc>
          <w:tcPr>
            <w:tcW w:w="1080" w:type="dxa"/>
            <w:vAlign w:val="bottom"/>
          </w:tcPr>
          <w:p w14:paraId="62FE330B" w14:textId="77777777" w:rsidR="00B50935" w:rsidRPr="009017BC" w:rsidRDefault="00B50935" w:rsidP="00427764">
            <w:pPr>
              <w:spacing w:before="60" w:after="60"/>
              <w:jc w:val="right"/>
              <w:rPr>
                <w:noProof/>
                <w:sz w:val="20"/>
              </w:rPr>
            </w:pPr>
            <w:r w:rsidRPr="009017BC">
              <w:rPr>
                <w:color w:val="000000"/>
                <w:sz w:val="22"/>
              </w:rPr>
              <w:t>1,950</w:t>
            </w:r>
          </w:p>
        </w:tc>
        <w:tc>
          <w:tcPr>
            <w:tcW w:w="1080" w:type="dxa"/>
            <w:vAlign w:val="bottom"/>
          </w:tcPr>
          <w:p w14:paraId="4CF9130C" w14:textId="77777777" w:rsidR="00B50935" w:rsidRPr="009017BC" w:rsidRDefault="00B50935" w:rsidP="00427764">
            <w:pPr>
              <w:spacing w:before="60" w:after="60"/>
              <w:jc w:val="right"/>
              <w:rPr>
                <w:noProof/>
                <w:sz w:val="20"/>
              </w:rPr>
            </w:pPr>
            <w:r w:rsidRPr="009017BC">
              <w:rPr>
                <w:color w:val="000000"/>
                <w:sz w:val="22"/>
              </w:rPr>
              <w:t>1,950</w:t>
            </w:r>
          </w:p>
        </w:tc>
        <w:tc>
          <w:tcPr>
            <w:tcW w:w="1080" w:type="dxa"/>
            <w:vAlign w:val="bottom"/>
          </w:tcPr>
          <w:p w14:paraId="0A5C9C56" w14:textId="77777777" w:rsidR="00B50935" w:rsidRPr="009017BC" w:rsidRDefault="00B50935" w:rsidP="00427764">
            <w:pPr>
              <w:spacing w:before="60" w:after="60"/>
              <w:jc w:val="right"/>
              <w:rPr>
                <w:noProof/>
                <w:sz w:val="20"/>
              </w:rPr>
            </w:pPr>
            <w:r w:rsidRPr="009017BC">
              <w:rPr>
                <w:color w:val="000000"/>
                <w:sz w:val="22"/>
              </w:rPr>
              <w:t>1,950</w:t>
            </w:r>
          </w:p>
        </w:tc>
        <w:tc>
          <w:tcPr>
            <w:tcW w:w="1080" w:type="dxa"/>
            <w:vAlign w:val="bottom"/>
          </w:tcPr>
          <w:p w14:paraId="1DE65514" w14:textId="77777777" w:rsidR="00B50935" w:rsidRPr="009017BC" w:rsidRDefault="00B50935" w:rsidP="00427764">
            <w:pPr>
              <w:spacing w:before="60" w:after="60"/>
              <w:jc w:val="right"/>
              <w:rPr>
                <w:noProof/>
                <w:sz w:val="20"/>
              </w:rPr>
            </w:pPr>
            <w:r w:rsidRPr="009017BC">
              <w:rPr>
                <w:color w:val="000000"/>
                <w:sz w:val="22"/>
              </w:rPr>
              <w:t>1,950</w:t>
            </w:r>
          </w:p>
        </w:tc>
        <w:tc>
          <w:tcPr>
            <w:tcW w:w="1080" w:type="dxa"/>
            <w:vAlign w:val="bottom"/>
          </w:tcPr>
          <w:p w14:paraId="285A9ED5" w14:textId="77777777" w:rsidR="00B50935" w:rsidRPr="009017BC" w:rsidRDefault="00B50935" w:rsidP="00427764">
            <w:pPr>
              <w:spacing w:before="60" w:after="60"/>
              <w:jc w:val="right"/>
              <w:rPr>
                <w:noProof/>
                <w:sz w:val="20"/>
              </w:rPr>
            </w:pPr>
            <w:r w:rsidRPr="009017BC">
              <w:rPr>
                <w:color w:val="000000"/>
                <w:sz w:val="22"/>
              </w:rPr>
              <w:t>1,950</w:t>
            </w:r>
          </w:p>
        </w:tc>
        <w:tc>
          <w:tcPr>
            <w:tcW w:w="1080" w:type="dxa"/>
            <w:vAlign w:val="bottom"/>
          </w:tcPr>
          <w:p w14:paraId="378C1E8E" w14:textId="77777777" w:rsidR="00B50935" w:rsidRPr="009017BC" w:rsidRDefault="00B50935" w:rsidP="00427764">
            <w:pPr>
              <w:spacing w:before="60" w:after="60"/>
              <w:jc w:val="right"/>
              <w:rPr>
                <w:b/>
                <w:noProof/>
                <w:sz w:val="20"/>
              </w:rPr>
            </w:pPr>
            <w:r w:rsidRPr="009017BC">
              <w:rPr>
                <w:color w:val="000000"/>
                <w:sz w:val="22"/>
              </w:rPr>
              <w:t>1,950</w:t>
            </w:r>
          </w:p>
        </w:tc>
        <w:tc>
          <w:tcPr>
            <w:tcW w:w="1080" w:type="dxa"/>
            <w:vAlign w:val="bottom"/>
          </w:tcPr>
          <w:p w14:paraId="157D0AE0" w14:textId="77777777" w:rsidR="00B50935" w:rsidRPr="009017BC" w:rsidRDefault="00B50935" w:rsidP="00427764">
            <w:pPr>
              <w:spacing w:before="60" w:after="60"/>
              <w:jc w:val="right"/>
              <w:rPr>
                <w:b/>
                <w:noProof/>
                <w:sz w:val="20"/>
              </w:rPr>
            </w:pPr>
            <w:r w:rsidRPr="009017BC">
              <w:rPr>
                <w:b/>
                <w:bCs/>
                <w:color w:val="000000"/>
                <w:sz w:val="22"/>
              </w:rPr>
              <w:t>12,750</w:t>
            </w:r>
          </w:p>
        </w:tc>
      </w:tr>
      <w:tr w:rsidR="00B50935" w:rsidRPr="009017BC" w14:paraId="3CA9DC6C" w14:textId="77777777" w:rsidTr="00427764">
        <w:trPr>
          <w:trHeight w:val="585"/>
        </w:trPr>
        <w:tc>
          <w:tcPr>
            <w:tcW w:w="1980" w:type="dxa"/>
            <w:shd w:val="clear" w:color="auto" w:fill="BFBFBF" w:themeFill="background1" w:themeFillShade="BF"/>
            <w:vAlign w:val="center"/>
          </w:tcPr>
          <w:p w14:paraId="7F74E16C" w14:textId="77777777" w:rsidR="00B50935" w:rsidRPr="009017BC" w:rsidRDefault="00B50935" w:rsidP="00427764">
            <w:pPr>
              <w:spacing w:before="60" w:after="60"/>
              <w:ind w:left="72"/>
              <w:rPr>
                <w:noProof/>
              </w:rPr>
            </w:pPr>
            <w:r w:rsidRPr="009017BC">
              <w:rPr>
                <w:sz w:val="20"/>
              </w:rPr>
              <w:t>Agentes contractuales</w:t>
            </w:r>
          </w:p>
        </w:tc>
        <w:tc>
          <w:tcPr>
            <w:tcW w:w="1080" w:type="dxa"/>
            <w:shd w:val="clear" w:color="auto" w:fill="BFBFBF" w:themeFill="background1" w:themeFillShade="BF"/>
            <w:vAlign w:val="bottom"/>
          </w:tcPr>
          <w:p w14:paraId="41F8F222" w14:textId="77777777" w:rsidR="00B50935" w:rsidRPr="009017BC" w:rsidRDefault="00B50935" w:rsidP="00427764">
            <w:pPr>
              <w:spacing w:before="60" w:after="60"/>
              <w:jc w:val="right"/>
              <w:rPr>
                <w:color w:val="000000"/>
                <w:sz w:val="20"/>
                <w:szCs w:val="20"/>
              </w:rPr>
            </w:pPr>
            <w:r w:rsidRPr="009017BC">
              <w:rPr>
                <w:color w:val="000000"/>
                <w:sz w:val="22"/>
              </w:rPr>
              <w:t>1,040</w:t>
            </w:r>
          </w:p>
        </w:tc>
        <w:tc>
          <w:tcPr>
            <w:tcW w:w="1080" w:type="dxa"/>
            <w:shd w:val="clear" w:color="auto" w:fill="BFBFBF" w:themeFill="background1" w:themeFillShade="BF"/>
            <w:vAlign w:val="bottom"/>
          </w:tcPr>
          <w:p w14:paraId="066DCC9C" w14:textId="77777777" w:rsidR="00B50935" w:rsidRPr="009017BC" w:rsidRDefault="00B50935" w:rsidP="00427764">
            <w:pPr>
              <w:spacing w:before="60" w:after="60"/>
              <w:jc w:val="right"/>
              <w:rPr>
                <w:noProof/>
                <w:sz w:val="20"/>
              </w:rPr>
            </w:pPr>
            <w:r w:rsidRPr="009017BC">
              <w:rPr>
                <w:color w:val="000000"/>
                <w:sz w:val="22"/>
              </w:rPr>
              <w:t>1,600</w:t>
            </w:r>
          </w:p>
        </w:tc>
        <w:tc>
          <w:tcPr>
            <w:tcW w:w="1080" w:type="dxa"/>
            <w:shd w:val="clear" w:color="auto" w:fill="BFBFBF" w:themeFill="background1" w:themeFillShade="BF"/>
            <w:vAlign w:val="bottom"/>
          </w:tcPr>
          <w:p w14:paraId="3D4F305F" w14:textId="77777777" w:rsidR="00B50935" w:rsidRPr="009017BC" w:rsidRDefault="00B50935" w:rsidP="00427764">
            <w:pPr>
              <w:spacing w:before="60" w:after="60"/>
              <w:jc w:val="right"/>
              <w:rPr>
                <w:noProof/>
                <w:sz w:val="20"/>
              </w:rPr>
            </w:pPr>
            <w:r w:rsidRPr="009017BC">
              <w:rPr>
                <w:color w:val="000000"/>
                <w:sz w:val="22"/>
              </w:rPr>
              <w:t>2,080</w:t>
            </w:r>
          </w:p>
        </w:tc>
        <w:tc>
          <w:tcPr>
            <w:tcW w:w="1080" w:type="dxa"/>
            <w:shd w:val="clear" w:color="auto" w:fill="BFBFBF" w:themeFill="background1" w:themeFillShade="BF"/>
            <w:vAlign w:val="bottom"/>
          </w:tcPr>
          <w:p w14:paraId="21FF9317" w14:textId="77777777" w:rsidR="00B50935" w:rsidRPr="009017BC" w:rsidRDefault="00B50935" w:rsidP="00427764">
            <w:pPr>
              <w:spacing w:before="60" w:after="60"/>
              <w:jc w:val="right"/>
              <w:rPr>
                <w:noProof/>
                <w:sz w:val="20"/>
              </w:rPr>
            </w:pPr>
            <w:r w:rsidRPr="009017BC">
              <w:rPr>
                <w:color w:val="000000"/>
                <w:sz w:val="22"/>
              </w:rPr>
              <w:t>2,240</w:t>
            </w:r>
          </w:p>
        </w:tc>
        <w:tc>
          <w:tcPr>
            <w:tcW w:w="1080" w:type="dxa"/>
            <w:shd w:val="clear" w:color="auto" w:fill="BFBFBF" w:themeFill="background1" w:themeFillShade="BF"/>
            <w:vAlign w:val="bottom"/>
          </w:tcPr>
          <w:p w14:paraId="64BAA661" w14:textId="77777777" w:rsidR="00B50935" w:rsidRPr="009017BC" w:rsidRDefault="00B50935" w:rsidP="00427764">
            <w:pPr>
              <w:spacing w:before="60" w:after="60"/>
              <w:jc w:val="right"/>
              <w:rPr>
                <w:noProof/>
                <w:sz w:val="20"/>
              </w:rPr>
            </w:pPr>
            <w:r w:rsidRPr="009017BC">
              <w:rPr>
                <w:color w:val="000000"/>
                <w:sz w:val="22"/>
              </w:rPr>
              <w:t>2,240</w:t>
            </w:r>
          </w:p>
        </w:tc>
        <w:tc>
          <w:tcPr>
            <w:tcW w:w="1080" w:type="dxa"/>
            <w:shd w:val="clear" w:color="auto" w:fill="BFBFBF" w:themeFill="background1" w:themeFillShade="BF"/>
            <w:vAlign w:val="bottom"/>
          </w:tcPr>
          <w:p w14:paraId="678DCCF3" w14:textId="77777777" w:rsidR="00B50935" w:rsidRPr="009017BC" w:rsidRDefault="00B50935" w:rsidP="00427764">
            <w:pPr>
              <w:spacing w:before="60" w:after="60"/>
              <w:jc w:val="right"/>
              <w:rPr>
                <w:noProof/>
                <w:sz w:val="20"/>
              </w:rPr>
            </w:pPr>
            <w:r w:rsidRPr="009017BC">
              <w:rPr>
                <w:color w:val="000000"/>
                <w:sz w:val="22"/>
              </w:rPr>
              <w:t>2,240</w:t>
            </w:r>
          </w:p>
        </w:tc>
        <w:tc>
          <w:tcPr>
            <w:tcW w:w="1080" w:type="dxa"/>
            <w:shd w:val="clear" w:color="auto" w:fill="BFBFBF" w:themeFill="background1" w:themeFillShade="BF"/>
            <w:vAlign w:val="bottom"/>
          </w:tcPr>
          <w:p w14:paraId="45FC6DD4" w14:textId="77777777" w:rsidR="00B50935" w:rsidRPr="009017BC" w:rsidRDefault="00B50935" w:rsidP="00427764">
            <w:pPr>
              <w:spacing w:before="60" w:after="60"/>
              <w:jc w:val="right"/>
              <w:rPr>
                <w:b/>
                <w:noProof/>
                <w:sz w:val="20"/>
              </w:rPr>
            </w:pPr>
            <w:r w:rsidRPr="009017BC">
              <w:rPr>
                <w:color w:val="000000"/>
                <w:sz w:val="22"/>
              </w:rPr>
              <w:t>2,240</w:t>
            </w:r>
          </w:p>
        </w:tc>
        <w:tc>
          <w:tcPr>
            <w:tcW w:w="1080" w:type="dxa"/>
            <w:shd w:val="clear" w:color="auto" w:fill="BFBFBF" w:themeFill="background1" w:themeFillShade="BF"/>
            <w:vAlign w:val="bottom"/>
          </w:tcPr>
          <w:p w14:paraId="000E38E8" w14:textId="77777777" w:rsidR="00B50935" w:rsidRPr="009017BC" w:rsidRDefault="00B50935" w:rsidP="00427764">
            <w:pPr>
              <w:spacing w:before="60" w:after="60"/>
              <w:jc w:val="right"/>
              <w:rPr>
                <w:b/>
                <w:noProof/>
                <w:sz w:val="20"/>
              </w:rPr>
            </w:pPr>
            <w:r w:rsidRPr="009017BC">
              <w:rPr>
                <w:b/>
                <w:bCs/>
                <w:color w:val="000000"/>
                <w:sz w:val="22"/>
              </w:rPr>
              <w:t>13,680</w:t>
            </w:r>
          </w:p>
        </w:tc>
      </w:tr>
      <w:tr w:rsidR="00B50935" w:rsidRPr="009017BC" w14:paraId="25B488CE" w14:textId="77777777" w:rsidTr="00427764">
        <w:trPr>
          <w:trHeight w:val="585"/>
        </w:trPr>
        <w:tc>
          <w:tcPr>
            <w:tcW w:w="1980" w:type="dxa"/>
            <w:shd w:val="clear" w:color="auto" w:fill="CCCCCC"/>
            <w:vAlign w:val="center"/>
          </w:tcPr>
          <w:p w14:paraId="5B79E14B" w14:textId="77777777" w:rsidR="00B50935" w:rsidRPr="009017BC" w:rsidRDefault="00B50935" w:rsidP="00427764">
            <w:pPr>
              <w:spacing w:before="60" w:after="60"/>
              <w:jc w:val="center"/>
              <w:rPr>
                <w:noProof/>
              </w:rPr>
            </w:pPr>
            <w:r w:rsidRPr="009017BC">
              <w:rPr>
                <w:sz w:val="18"/>
              </w:rPr>
              <w:t>Expertos nacionales en comisión de servicios</w:t>
            </w:r>
          </w:p>
        </w:tc>
        <w:tc>
          <w:tcPr>
            <w:tcW w:w="1080" w:type="dxa"/>
            <w:vAlign w:val="center"/>
          </w:tcPr>
          <w:p w14:paraId="6DC4DB5A"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341FF51F"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490B6F9E"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56C5D391"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7E525357"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37541F80"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314944BF" w14:textId="77777777" w:rsidR="00B50935" w:rsidRPr="009017BC" w:rsidRDefault="00B50935" w:rsidP="00427764">
            <w:pPr>
              <w:spacing w:before="60" w:after="60"/>
              <w:jc w:val="right"/>
              <w:rPr>
                <w:b/>
                <w:noProof/>
                <w:sz w:val="20"/>
              </w:rPr>
            </w:pPr>
            <w:r w:rsidRPr="009017BC">
              <w:rPr>
                <w:b/>
                <w:sz w:val="20"/>
              </w:rPr>
              <w:t>0</w:t>
            </w:r>
          </w:p>
        </w:tc>
        <w:tc>
          <w:tcPr>
            <w:tcW w:w="1080" w:type="dxa"/>
            <w:vAlign w:val="center"/>
          </w:tcPr>
          <w:p w14:paraId="62DF25A8" w14:textId="77777777" w:rsidR="00B50935" w:rsidRPr="009017BC" w:rsidRDefault="00B50935" w:rsidP="00427764">
            <w:pPr>
              <w:spacing w:before="60" w:after="60"/>
              <w:jc w:val="right"/>
              <w:rPr>
                <w:b/>
                <w:noProof/>
                <w:sz w:val="20"/>
              </w:rPr>
            </w:pPr>
            <w:r w:rsidRPr="009017BC">
              <w:rPr>
                <w:color w:val="000000"/>
                <w:sz w:val="20"/>
                <w:szCs w:val="20"/>
              </w:rPr>
              <w:t>0</w:t>
            </w:r>
          </w:p>
        </w:tc>
      </w:tr>
    </w:tbl>
    <w:p w14:paraId="19F11A75" w14:textId="77777777" w:rsidR="00B50935" w:rsidRPr="009017BC"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3EA00D49"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5190C941" w14:textId="77777777" w:rsidR="00B50935" w:rsidRPr="009017BC" w:rsidRDefault="00B50935" w:rsidP="00427764">
            <w:pPr>
              <w:spacing w:before="60" w:after="60"/>
              <w:jc w:val="center"/>
              <w:rPr>
                <w:noProof/>
                <w:sz w:val="20"/>
              </w:rPr>
            </w:pPr>
            <w:r w:rsidRPr="009017BC">
              <w:rPr>
                <w:b/>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3A8598C8" w14:textId="77777777" w:rsidR="00B50935" w:rsidRPr="009017BC" w:rsidRDefault="00B50935" w:rsidP="00427764">
            <w:pPr>
              <w:spacing w:before="60" w:after="60"/>
              <w:jc w:val="right"/>
              <w:rPr>
                <w:b/>
                <w:noProof/>
                <w:sz w:val="20"/>
              </w:rPr>
            </w:pPr>
            <w:r w:rsidRPr="009017BC">
              <w:rPr>
                <w:b/>
                <w:bCs/>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14:paraId="32430627" w14:textId="77777777" w:rsidR="00B50935" w:rsidRPr="009017BC" w:rsidRDefault="00B50935" w:rsidP="00427764">
            <w:pPr>
              <w:spacing w:before="60" w:after="60"/>
              <w:jc w:val="right"/>
              <w:rPr>
                <w:b/>
                <w:noProof/>
                <w:sz w:val="20"/>
              </w:rPr>
            </w:pPr>
            <w:r w:rsidRPr="009017BC">
              <w:rPr>
                <w:b/>
                <w:bCs/>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14:paraId="504FC34F" w14:textId="77777777" w:rsidR="00B50935" w:rsidRPr="009017BC" w:rsidRDefault="00B50935" w:rsidP="00427764">
            <w:pPr>
              <w:spacing w:before="60" w:after="60"/>
              <w:jc w:val="right"/>
              <w:rPr>
                <w:b/>
                <w:noProof/>
                <w:sz w:val="20"/>
              </w:rPr>
            </w:pPr>
            <w:r w:rsidRPr="009017BC">
              <w:rPr>
                <w:b/>
                <w:bCs/>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14:paraId="1F048FEF" w14:textId="77777777" w:rsidR="00B50935" w:rsidRPr="009017BC" w:rsidRDefault="00B50935" w:rsidP="00427764">
            <w:pPr>
              <w:spacing w:before="60" w:after="60"/>
              <w:jc w:val="right"/>
              <w:rPr>
                <w:b/>
                <w:noProof/>
                <w:sz w:val="20"/>
              </w:rPr>
            </w:pPr>
            <w:r w:rsidRPr="009017BC">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0D127C53" w14:textId="77777777" w:rsidR="00B50935" w:rsidRPr="009017BC" w:rsidRDefault="00B50935" w:rsidP="00427764">
            <w:pPr>
              <w:spacing w:before="60" w:after="60"/>
              <w:jc w:val="right"/>
              <w:rPr>
                <w:b/>
                <w:noProof/>
                <w:sz w:val="20"/>
              </w:rPr>
            </w:pPr>
            <w:r w:rsidRPr="009017BC">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9382DFB" w14:textId="77777777" w:rsidR="00B50935" w:rsidRPr="009017BC" w:rsidRDefault="00B50935" w:rsidP="00427764">
            <w:pPr>
              <w:spacing w:before="60" w:after="60"/>
              <w:jc w:val="right"/>
              <w:rPr>
                <w:b/>
                <w:noProof/>
                <w:sz w:val="20"/>
              </w:rPr>
            </w:pPr>
            <w:r w:rsidRPr="009017BC">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B48C802" w14:textId="77777777" w:rsidR="00B50935" w:rsidRPr="009017BC" w:rsidRDefault="00B50935" w:rsidP="00427764">
            <w:pPr>
              <w:spacing w:before="60" w:after="60"/>
              <w:jc w:val="right"/>
              <w:rPr>
                <w:b/>
                <w:noProof/>
                <w:sz w:val="20"/>
              </w:rPr>
            </w:pPr>
            <w:r w:rsidRPr="009017BC">
              <w:rPr>
                <w:b/>
                <w:sz w:val="20"/>
              </w:rPr>
              <w:t>8,990</w:t>
            </w:r>
          </w:p>
        </w:tc>
        <w:tc>
          <w:tcPr>
            <w:tcW w:w="1080" w:type="dxa"/>
            <w:tcBorders>
              <w:top w:val="single" w:sz="12" w:space="0" w:color="auto"/>
              <w:left w:val="single" w:sz="2" w:space="0" w:color="auto"/>
              <w:bottom w:val="single" w:sz="12" w:space="0" w:color="auto"/>
              <w:right w:val="single" w:sz="12" w:space="0" w:color="auto"/>
            </w:tcBorders>
            <w:vAlign w:val="center"/>
          </w:tcPr>
          <w:p w14:paraId="522DB5B0" w14:textId="77777777" w:rsidR="00B50935" w:rsidRPr="009017BC" w:rsidRDefault="00B50935" w:rsidP="00427764">
            <w:pPr>
              <w:spacing w:before="0" w:after="0"/>
              <w:jc w:val="right"/>
              <w:rPr>
                <w:b/>
                <w:bCs/>
                <w:color w:val="000000"/>
                <w:sz w:val="20"/>
              </w:rPr>
            </w:pPr>
            <w:r w:rsidRPr="009017BC">
              <w:rPr>
                <w:b/>
                <w:bCs/>
                <w:color w:val="000000"/>
                <w:sz w:val="20"/>
              </w:rPr>
              <w:t>54,930</w:t>
            </w:r>
          </w:p>
        </w:tc>
      </w:tr>
    </w:tbl>
    <w:p w14:paraId="1D2A7606" w14:textId="77777777" w:rsidR="00B50935" w:rsidRPr="009017BC" w:rsidRDefault="00B50935" w:rsidP="00B50935">
      <w:pPr>
        <w:rPr>
          <w:noProof/>
          <w:u w:val="single"/>
        </w:rPr>
      </w:pPr>
    </w:p>
    <w:p w14:paraId="00FE891E" w14:textId="77777777" w:rsidR="00B50935" w:rsidRPr="009017BC" w:rsidRDefault="00B50935" w:rsidP="00B50935">
      <w:pPr>
        <w:rPr>
          <w:noProof/>
          <w:sz w:val="20"/>
        </w:rPr>
      </w:pPr>
      <w:r w:rsidRPr="009017BC">
        <w:rPr>
          <w:sz w:val="20"/>
        </w:rPr>
        <w:t>Requisitos de personal (EJC):</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01C3425B" w14:textId="77777777" w:rsidTr="00427764">
        <w:trPr>
          <w:trHeight w:val="585"/>
        </w:trPr>
        <w:tc>
          <w:tcPr>
            <w:tcW w:w="1980" w:type="dxa"/>
          </w:tcPr>
          <w:p w14:paraId="3FDEFB92" w14:textId="77777777" w:rsidR="00B50935" w:rsidRPr="009017BC" w:rsidRDefault="00B50935" w:rsidP="00427764">
            <w:pPr>
              <w:spacing w:before="60" w:after="60"/>
              <w:rPr>
                <w:noProof/>
                <w:sz w:val="20"/>
              </w:rPr>
            </w:pPr>
          </w:p>
        </w:tc>
        <w:tc>
          <w:tcPr>
            <w:tcW w:w="1080" w:type="dxa"/>
            <w:vAlign w:val="center"/>
          </w:tcPr>
          <w:p w14:paraId="6865E84E"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2021</w:t>
            </w:r>
          </w:p>
        </w:tc>
        <w:tc>
          <w:tcPr>
            <w:tcW w:w="1080" w:type="dxa"/>
            <w:vAlign w:val="center"/>
          </w:tcPr>
          <w:p w14:paraId="288DDC97"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2022</w:t>
            </w:r>
          </w:p>
        </w:tc>
        <w:tc>
          <w:tcPr>
            <w:tcW w:w="1080" w:type="dxa"/>
            <w:vAlign w:val="center"/>
          </w:tcPr>
          <w:p w14:paraId="6554680B"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2023</w:t>
            </w:r>
          </w:p>
        </w:tc>
        <w:tc>
          <w:tcPr>
            <w:tcW w:w="1080" w:type="dxa"/>
            <w:vAlign w:val="center"/>
          </w:tcPr>
          <w:p w14:paraId="72284A01" w14:textId="77777777" w:rsidR="00B50935" w:rsidRPr="009017BC" w:rsidRDefault="00B50935" w:rsidP="00427764">
            <w:pPr>
              <w:spacing w:before="60" w:after="60"/>
              <w:jc w:val="center"/>
              <w:rPr>
                <w:noProof/>
                <w:sz w:val="20"/>
              </w:rPr>
            </w:pPr>
            <w:r w:rsidRPr="009017BC">
              <w:rPr>
                <w:sz w:val="20"/>
              </w:rPr>
              <w:t>Año</w:t>
            </w:r>
            <w:r w:rsidRPr="009017BC">
              <w:t xml:space="preserve"> </w:t>
            </w:r>
            <w:r w:rsidRPr="009017BC">
              <w:br/>
            </w:r>
            <w:r w:rsidRPr="009017BC">
              <w:rPr>
                <w:b/>
                <w:sz w:val="20"/>
              </w:rPr>
              <w:t>2024</w:t>
            </w:r>
          </w:p>
        </w:tc>
        <w:tc>
          <w:tcPr>
            <w:tcW w:w="1080" w:type="dxa"/>
            <w:vAlign w:val="center"/>
          </w:tcPr>
          <w:p w14:paraId="0EAC0AAB"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2025</w:t>
            </w:r>
          </w:p>
        </w:tc>
        <w:tc>
          <w:tcPr>
            <w:tcW w:w="1080" w:type="dxa"/>
            <w:vAlign w:val="center"/>
          </w:tcPr>
          <w:p w14:paraId="7921F0CC"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2026</w:t>
            </w:r>
          </w:p>
        </w:tc>
        <w:tc>
          <w:tcPr>
            <w:tcW w:w="1080" w:type="dxa"/>
            <w:vAlign w:val="center"/>
          </w:tcPr>
          <w:p w14:paraId="261FC888"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080" w:type="dxa"/>
            <w:vAlign w:val="center"/>
          </w:tcPr>
          <w:p w14:paraId="2C5CDE27" w14:textId="77777777" w:rsidR="00B50935" w:rsidRPr="009017BC" w:rsidRDefault="00B50935" w:rsidP="00427764">
            <w:pPr>
              <w:spacing w:before="60" w:after="60"/>
              <w:jc w:val="center"/>
              <w:rPr>
                <w:b/>
                <w:noProof/>
                <w:sz w:val="20"/>
              </w:rPr>
            </w:pPr>
            <w:r w:rsidRPr="009017BC">
              <w:rPr>
                <w:b/>
                <w:sz w:val="20"/>
              </w:rPr>
              <w:t>TOTAL</w:t>
            </w:r>
          </w:p>
        </w:tc>
      </w:tr>
    </w:tbl>
    <w:p w14:paraId="3AD55BC6" w14:textId="77777777" w:rsidR="00B50935" w:rsidRPr="009017BC"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696918E1" w14:textId="77777777" w:rsidTr="00427764">
        <w:trPr>
          <w:trHeight w:val="585"/>
        </w:trPr>
        <w:tc>
          <w:tcPr>
            <w:tcW w:w="1980" w:type="dxa"/>
            <w:shd w:val="clear" w:color="auto" w:fill="D9D9D9" w:themeFill="background1" w:themeFillShade="D9"/>
            <w:vAlign w:val="center"/>
          </w:tcPr>
          <w:p w14:paraId="262E960C" w14:textId="77777777" w:rsidR="00B50935" w:rsidRPr="009017BC" w:rsidRDefault="00B50935" w:rsidP="00427764">
            <w:pPr>
              <w:spacing w:before="60" w:after="60"/>
              <w:jc w:val="center"/>
              <w:rPr>
                <w:noProof/>
              </w:rPr>
            </w:pPr>
            <w:r w:rsidRPr="009017BC">
              <w:rPr>
                <w:sz w:val="18"/>
              </w:rPr>
              <w:t>Agentes temporales (Categoría AD)</w:t>
            </w:r>
          </w:p>
        </w:tc>
        <w:tc>
          <w:tcPr>
            <w:tcW w:w="1080" w:type="dxa"/>
            <w:vAlign w:val="bottom"/>
          </w:tcPr>
          <w:p w14:paraId="643F100A" w14:textId="77777777" w:rsidR="00B50935" w:rsidRPr="009017BC" w:rsidRDefault="00B50935" w:rsidP="00427764">
            <w:pPr>
              <w:spacing w:before="60" w:after="60"/>
              <w:jc w:val="right"/>
              <w:rPr>
                <w:noProof/>
                <w:color w:val="000000"/>
                <w:sz w:val="20"/>
              </w:rPr>
            </w:pPr>
            <w:r w:rsidRPr="009017BC">
              <w:rPr>
                <w:color w:val="000000"/>
                <w:sz w:val="20"/>
              </w:rPr>
              <w:t>11</w:t>
            </w:r>
          </w:p>
        </w:tc>
        <w:tc>
          <w:tcPr>
            <w:tcW w:w="1080" w:type="dxa"/>
            <w:vAlign w:val="bottom"/>
          </w:tcPr>
          <w:p w14:paraId="62574CFC" w14:textId="77777777" w:rsidR="00B50935" w:rsidRPr="009017BC" w:rsidRDefault="00B50935" w:rsidP="00427764">
            <w:pPr>
              <w:spacing w:before="60" w:after="60"/>
              <w:jc w:val="right"/>
              <w:rPr>
                <w:noProof/>
                <w:sz w:val="20"/>
              </w:rPr>
            </w:pPr>
            <w:r w:rsidRPr="009017BC">
              <w:rPr>
                <w:color w:val="000000"/>
                <w:sz w:val="20"/>
              </w:rPr>
              <w:t>22</w:t>
            </w:r>
          </w:p>
        </w:tc>
        <w:tc>
          <w:tcPr>
            <w:tcW w:w="1080" w:type="dxa"/>
            <w:vAlign w:val="bottom"/>
          </w:tcPr>
          <w:p w14:paraId="4A315B54" w14:textId="77777777" w:rsidR="00B50935" w:rsidRPr="009017BC" w:rsidRDefault="00B50935" w:rsidP="00427764">
            <w:pPr>
              <w:spacing w:before="60" w:after="60"/>
              <w:jc w:val="right"/>
              <w:rPr>
                <w:noProof/>
                <w:sz w:val="20"/>
              </w:rPr>
            </w:pPr>
            <w:r w:rsidRPr="009017BC">
              <w:rPr>
                <w:color w:val="000000"/>
                <w:sz w:val="20"/>
              </w:rPr>
              <w:t>29</w:t>
            </w:r>
          </w:p>
        </w:tc>
        <w:tc>
          <w:tcPr>
            <w:tcW w:w="1080" w:type="dxa"/>
            <w:vAlign w:val="bottom"/>
          </w:tcPr>
          <w:p w14:paraId="6289820D" w14:textId="77777777" w:rsidR="00B50935" w:rsidRPr="009017BC" w:rsidRDefault="00B50935" w:rsidP="00427764">
            <w:pPr>
              <w:spacing w:before="60" w:after="60"/>
              <w:jc w:val="right"/>
              <w:rPr>
                <w:noProof/>
                <w:sz w:val="20"/>
              </w:rPr>
            </w:pPr>
            <w:r w:rsidRPr="009017BC">
              <w:rPr>
                <w:color w:val="000000"/>
                <w:sz w:val="20"/>
              </w:rPr>
              <w:t>32</w:t>
            </w:r>
          </w:p>
        </w:tc>
        <w:tc>
          <w:tcPr>
            <w:tcW w:w="1080" w:type="dxa"/>
            <w:vAlign w:val="bottom"/>
          </w:tcPr>
          <w:p w14:paraId="504F1313" w14:textId="77777777" w:rsidR="00B50935" w:rsidRPr="009017BC" w:rsidRDefault="00B50935" w:rsidP="00427764">
            <w:pPr>
              <w:spacing w:before="60" w:after="60"/>
              <w:jc w:val="right"/>
              <w:rPr>
                <w:noProof/>
                <w:sz w:val="20"/>
              </w:rPr>
            </w:pPr>
            <w:r w:rsidRPr="009017BC">
              <w:rPr>
                <w:color w:val="000000"/>
                <w:sz w:val="20"/>
              </w:rPr>
              <w:t>32</w:t>
            </w:r>
          </w:p>
        </w:tc>
        <w:tc>
          <w:tcPr>
            <w:tcW w:w="1080" w:type="dxa"/>
            <w:vAlign w:val="bottom"/>
          </w:tcPr>
          <w:p w14:paraId="049B9E64" w14:textId="77777777" w:rsidR="00B50935" w:rsidRPr="009017BC" w:rsidRDefault="00B50935" w:rsidP="00427764">
            <w:pPr>
              <w:spacing w:before="60" w:after="60"/>
              <w:jc w:val="right"/>
              <w:rPr>
                <w:noProof/>
                <w:sz w:val="20"/>
              </w:rPr>
            </w:pPr>
            <w:r w:rsidRPr="009017BC">
              <w:rPr>
                <w:color w:val="000000"/>
                <w:sz w:val="20"/>
              </w:rPr>
              <w:t>32</w:t>
            </w:r>
          </w:p>
        </w:tc>
        <w:tc>
          <w:tcPr>
            <w:tcW w:w="1080" w:type="dxa"/>
            <w:vAlign w:val="bottom"/>
          </w:tcPr>
          <w:p w14:paraId="611817AD" w14:textId="77777777" w:rsidR="00B50935" w:rsidRPr="009017BC" w:rsidRDefault="00B50935" w:rsidP="00427764">
            <w:pPr>
              <w:spacing w:before="60" w:after="60"/>
              <w:jc w:val="right"/>
              <w:rPr>
                <w:b/>
                <w:noProof/>
                <w:sz w:val="20"/>
              </w:rPr>
            </w:pPr>
            <w:r w:rsidRPr="009017BC">
              <w:rPr>
                <w:color w:val="000000"/>
                <w:sz w:val="20"/>
              </w:rPr>
              <w:t>32</w:t>
            </w:r>
          </w:p>
        </w:tc>
        <w:tc>
          <w:tcPr>
            <w:tcW w:w="1080" w:type="dxa"/>
            <w:vAlign w:val="center"/>
          </w:tcPr>
          <w:p w14:paraId="74512E46" w14:textId="77777777" w:rsidR="00B50935" w:rsidRPr="009017BC" w:rsidRDefault="00B50935" w:rsidP="00427764">
            <w:pPr>
              <w:spacing w:before="60" w:after="60"/>
              <w:jc w:val="right"/>
              <w:rPr>
                <w:b/>
                <w:noProof/>
                <w:sz w:val="20"/>
              </w:rPr>
            </w:pPr>
            <w:r w:rsidRPr="009017BC">
              <w:rPr>
                <w:color w:val="000000"/>
                <w:sz w:val="20"/>
              </w:rPr>
              <w:t>32</w:t>
            </w:r>
          </w:p>
        </w:tc>
      </w:tr>
      <w:tr w:rsidR="00B50935" w:rsidRPr="009017BC" w14:paraId="2F0497B3" w14:textId="77777777" w:rsidTr="00427764">
        <w:trPr>
          <w:trHeight w:val="585"/>
        </w:trPr>
        <w:tc>
          <w:tcPr>
            <w:tcW w:w="1980" w:type="dxa"/>
            <w:shd w:val="clear" w:color="auto" w:fill="BFBFBF" w:themeFill="background1" w:themeFillShade="BF"/>
            <w:vAlign w:val="center"/>
          </w:tcPr>
          <w:p w14:paraId="7FEC6DD7" w14:textId="77777777" w:rsidR="00B50935" w:rsidRPr="009017BC" w:rsidRDefault="00B50935" w:rsidP="00427764">
            <w:pPr>
              <w:spacing w:before="60" w:after="60"/>
              <w:ind w:left="72"/>
              <w:rPr>
                <w:noProof/>
              </w:rPr>
            </w:pPr>
            <w:r w:rsidRPr="009017BC">
              <w:rPr>
                <w:sz w:val="20"/>
              </w:rPr>
              <w:t>Agentes temporales (Categoría AST)</w:t>
            </w:r>
          </w:p>
        </w:tc>
        <w:tc>
          <w:tcPr>
            <w:tcW w:w="1080" w:type="dxa"/>
            <w:vAlign w:val="bottom"/>
          </w:tcPr>
          <w:p w14:paraId="2C3EC5D8" w14:textId="77777777" w:rsidR="00B50935" w:rsidRPr="009017BC" w:rsidRDefault="00B50935" w:rsidP="00427764">
            <w:pPr>
              <w:spacing w:before="60" w:after="60"/>
              <w:jc w:val="right"/>
              <w:rPr>
                <w:noProof/>
                <w:sz w:val="20"/>
              </w:rPr>
            </w:pPr>
            <w:r w:rsidRPr="009017BC">
              <w:rPr>
                <w:color w:val="000000"/>
                <w:sz w:val="20"/>
              </w:rPr>
              <w:t>7</w:t>
            </w:r>
          </w:p>
        </w:tc>
        <w:tc>
          <w:tcPr>
            <w:tcW w:w="1080" w:type="dxa"/>
            <w:vAlign w:val="bottom"/>
          </w:tcPr>
          <w:p w14:paraId="7F38C94E" w14:textId="77777777" w:rsidR="00B50935" w:rsidRPr="009017BC" w:rsidRDefault="00B50935" w:rsidP="00427764">
            <w:pPr>
              <w:spacing w:before="60" w:after="60"/>
              <w:jc w:val="right"/>
              <w:rPr>
                <w:noProof/>
                <w:sz w:val="20"/>
              </w:rPr>
            </w:pPr>
            <w:r w:rsidRPr="009017BC">
              <w:rPr>
                <w:color w:val="000000"/>
                <w:sz w:val="20"/>
              </w:rPr>
              <w:t>13</w:t>
            </w:r>
          </w:p>
        </w:tc>
        <w:tc>
          <w:tcPr>
            <w:tcW w:w="1080" w:type="dxa"/>
            <w:vAlign w:val="bottom"/>
          </w:tcPr>
          <w:p w14:paraId="408FAD5F" w14:textId="77777777" w:rsidR="00B50935" w:rsidRPr="009017BC" w:rsidRDefault="00B50935" w:rsidP="00427764">
            <w:pPr>
              <w:spacing w:before="60" w:after="60"/>
              <w:jc w:val="right"/>
              <w:rPr>
                <w:noProof/>
                <w:sz w:val="20"/>
              </w:rPr>
            </w:pPr>
            <w:r w:rsidRPr="009017BC">
              <w:rPr>
                <w:color w:val="000000"/>
                <w:sz w:val="20"/>
              </w:rPr>
              <w:t>13</w:t>
            </w:r>
          </w:p>
        </w:tc>
        <w:tc>
          <w:tcPr>
            <w:tcW w:w="1080" w:type="dxa"/>
            <w:vAlign w:val="bottom"/>
          </w:tcPr>
          <w:p w14:paraId="62FAEF0D" w14:textId="77777777" w:rsidR="00B50935" w:rsidRPr="009017BC" w:rsidRDefault="00B50935" w:rsidP="00427764">
            <w:pPr>
              <w:spacing w:before="60" w:after="60"/>
              <w:jc w:val="right"/>
              <w:rPr>
                <w:noProof/>
                <w:sz w:val="20"/>
              </w:rPr>
            </w:pPr>
            <w:r w:rsidRPr="009017BC">
              <w:rPr>
                <w:color w:val="000000"/>
                <w:sz w:val="20"/>
              </w:rPr>
              <w:t>13</w:t>
            </w:r>
          </w:p>
        </w:tc>
        <w:tc>
          <w:tcPr>
            <w:tcW w:w="1080" w:type="dxa"/>
            <w:vAlign w:val="bottom"/>
          </w:tcPr>
          <w:p w14:paraId="4FB1A1E2" w14:textId="77777777" w:rsidR="00B50935" w:rsidRPr="009017BC" w:rsidRDefault="00B50935" w:rsidP="00427764">
            <w:pPr>
              <w:spacing w:before="60" w:after="60"/>
              <w:jc w:val="right"/>
              <w:rPr>
                <w:noProof/>
                <w:sz w:val="20"/>
              </w:rPr>
            </w:pPr>
            <w:r w:rsidRPr="009017BC">
              <w:rPr>
                <w:color w:val="000000"/>
                <w:sz w:val="20"/>
              </w:rPr>
              <w:t>13</w:t>
            </w:r>
          </w:p>
        </w:tc>
        <w:tc>
          <w:tcPr>
            <w:tcW w:w="1080" w:type="dxa"/>
            <w:vAlign w:val="bottom"/>
          </w:tcPr>
          <w:p w14:paraId="6C9C44F9" w14:textId="77777777" w:rsidR="00B50935" w:rsidRPr="009017BC" w:rsidRDefault="00B50935" w:rsidP="00427764">
            <w:pPr>
              <w:spacing w:before="60" w:after="60"/>
              <w:jc w:val="right"/>
              <w:rPr>
                <w:noProof/>
                <w:sz w:val="20"/>
              </w:rPr>
            </w:pPr>
            <w:r w:rsidRPr="009017BC">
              <w:rPr>
                <w:color w:val="000000"/>
                <w:sz w:val="20"/>
              </w:rPr>
              <w:t>13</w:t>
            </w:r>
          </w:p>
        </w:tc>
        <w:tc>
          <w:tcPr>
            <w:tcW w:w="1080" w:type="dxa"/>
            <w:vAlign w:val="bottom"/>
          </w:tcPr>
          <w:p w14:paraId="420EF78C" w14:textId="77777777" w:rsidR="00B50935" w:rsidRPr="009017BC" w:rsidRDefault="00B50935" w:rsidP="00427764">
            <w:pPr>
              <w:spacing w:before="60" w:after="60"/>
              <w:jc w:val="right"/>
              <w:rPr>
                <w:b/>
                <w:noProof/>
                <w:sz w:val="20"/>
              </w:rPr>
            </w:pPr>
            <w:r w:rsidRPr="009017BC">
              <w:rPr>
                <w:color w:val="000000"/>
                <w:sz w:val="20"/>
              </w:rPr>
              <w:t>13</w:t>
            </w:r>
          </w:p>
        </w:tc>
        <w:tc>
          <w:tcPr>
            <w:tcW w:w="1080" w:type="dxa"/>
            <w:vAlign w:val="center"/>
          </w:tcPr>
          <w:p w14:paraId="533B8FB3" w14:textId="77777777" w:rsidR="00B50935" w:rsidRPr="009017BC" w:rsidRDefault="00B50935" w:rsidP="00427764">
            <w:pPr>
              <w:spacing w:before="60" w:after="60"/>
              <w:jc w:val="right"/>
              <w:rPr>
                <w:b/>
                <w:noProof/>
                <w:sz w:val="20"/>
              </w:rPr>
            </w:pPr>
            <w:r w:rsidRPr="009017BC">
              <w:rPr>
                <w:color w:val="000000"/>
                <w:sz w:val="20"/>
              </w:rPr>
              <w:t>13</w:t>
            </w:r>
          </w:p>
        </w:tc>
      </w:tr>
      <w:tr w:rsidR="00B50935" w:rsidRPr="009017BC" w14:paraId="763BB14B" w14:textId="77777777" w:rsidTr="00427764">
        <w:trPr>
          <w:trHeight w:val="585"/>
        </w:trPr>
        <w:tc>
          <w:tcPr>
            <w:tcW w:w="1980" w:type="dxa"/>
            <w:shd w:val="clear" w:color="auto" w:fill="BFBFBF" w:themeFill="background1" w:themeFillShade="BF"/>
            <w:vAlign w:val="center"/>
          </w:tcPr>
          <w:p w14:paraId="5E3C876A" w14:textId="77777777" w:rsidR="00B50935" w:rsidRPr="009017BC" w:rsidRDefault="00B50935" w:rsidP="00427764">
            <w:pPr>
              <w:spacing w:before="60" w:after="60"/>
              <w:ind w:left="72"/>
              <w:rPr>
                <w:noProof/>
              </w:rPr>
            </w:pPr>
            <w:r w:rsidRPr="009017BC">
              <w:rPr>
                <w:sz w:val="20"/>
              </w:rPr>
              <w:t>Agentes contractuales</w:t>
            </w:r>
          </w:p>
        </w:tc>
        <w:tc>
          <w:tcPr>
            <w:tcW w:w="1080" w:type="dxa"/>
            <w:shd w:val="clear" w:color="auto" w:fill="BFBFBF" w:themeFill="background1" w:themeFillShade="BF"/>
            <w:vAlign w:val="bottom"/>
          </w:tcPr>
          <w:p w14:paraId="5323E218" w14:textId="77777777" w:rsidR="00B50935" w:rsidRPr="009017BC" w:rsidRDefault="00B50935" w:rsidP="00427764">
            <w:pPr>
              <w:spacing w:before="60" w:after="60"/>
              <w:jc w:val="right"/>
              <w:rPr>
                <w:noProof/>
                <w:sz w:val="20"/>
              </w:rPr>
            </w:pPr>
            <w:r w:rsidRPr="009017BC">
              <w:rPr>
                <w:color w:val="000000"/>
                <w:sz w:val="20"/>
              </w:rPr>
              <w:t>13</w:t>
            </w:r>
          </w:p>
        </w:tc>
        <w:tc>
          <w:tcPr>
            <w:tcW w:w="1080" w:type="dxa"/>
            <w:shd w:val="clear" w:color="auto" w:fill="BFBFBF" w:themeFill="background1" w:themeFillShade="BF"/>
            <w:vAlign w:val="bottom"/>
          </w:tcPr>
          <w:p w14:paraId="22A5A4D6" w14:textId="77777777" w:rsidR="00B50935" w:rsidRPr="009017BC" w:rsidRDefault="00B50935" w:rsidP="00427764">
            <w:pPr>
              <w:spacing w:before="60" w:after="60"/>
              <w:jc w:val="right"/>
              <w:rPr>
                <w:noProof/>
                <w:sz w:val="20"/>
              </w:rPr>
            </w:pPr>
            <w:r w:rsidRPr="009017BC">
              <w:rPr>
                <w:color w:val="000000"/>
                <w:sz w:val="20"/>
              </w:rPr>
              <w:t>20</w:t>
            </w:r>
          </w:p>
        </w:tc>
        <w:tc>
          <w:tcPr>
            <w:tcW w:w="1080" w:type="dxa"/>
            <w:shd w:val="clear" w:color="auto" w:fill="BFBFBF" w:themeFill="background1" w:themeFillShade="BF"/>
            <w:vAlign w:val="bottom"/>
          </w:tcPr>
          <w:p w14:paraId="47B171B8" w14:textId="77777777" w:rsidR="00B50935" w:rsidRPr="009017BC" w:rsidRDefault="00B50935" w:rsidP="00427764">
            <w:pPr>
              <w:spacing w:before="60" w:after="60"/>
              <w:jc w:val="right"/>
              <w:rPr>
                <w:noProof/>
                <w:sz w:val="20"/>
              </w:rPr>
            </w:pPr>
            <w:r w:rsidRPr="009017BC">
              <w:rPr>
                <w:color w:val="000000"/>
                <w:sz w:val="20"/>
              </w:rPr>
              <w:t>26</w:t>
            </w:r>
          </w:p>
        </w:tc>
        <w:tc>
          <w:tcPr>
            <w:tcW w:w="1080" w:type="dxa"/>
            <w:shd w:val="clear" w:color="auto" w:fill="BFBFBF" w:themeFill="background1" w:themeFillShade="BF"/>
            <w:vAlign w:val="bottom"/>
          </w:tcPr>
          <w:p w14:paraId="7D6480B9" w14:textId="77777777" w:rsidR="00B50935" w:rsidRPr="009017BC" w:rsidRDefault="00B50935" w:rsidP="00427764">
            <w:pPr>
              <w:spacing w:before="60" w:after="60"/>
              <w:jc w:val="right"/>
              <w:rPr>
                <w:noProof/>
                <w:sz w:val="20"/>
              </w:rPr>
            </w:pPr>
            <w:r w:rsidRPr="009017BC">
              <w:rPr>
                <w:color w:val="000000"/>
                <w:sz w:val="20"/>
              </w:rPr>
              <w:t>28</w:t>
            </w:r>
          </w:p>
        </w:tc>
        <w:tc>
          <w:tcPr>
            <w:tcW w:w="1080" w:type="dxa"/>
            <w:shd w:val="clear" w:color="auto" w:fill="BFBFBF" w:themeFill="background1" w:themeFillShade="BF"/>
            <w:vAlign w:val="bottom"/>
          </w:tcPr>
          <w:p w14:paraId="13AB3418" w14:textId="77777777" w:rsidR="00B50935" w:rsidRPr="009017BC" w:rsidRDefault="00B50935" w:rsidP="00427764">
            <w:pPr>
              <w:spacing w:before="60" w:after="60"/>
              <w:jc w:val="right"/>
              <w:rPr>
                <w:noProof/>
                <w:sz w:val="20"/>
              </w:rPr>
            </w:pPr>
            <w:r w:rsidRPr="009017BC">
              <w:rPr>
                <w:color w:val="000000"/>
                <w:sz w:val="20"/>
              </w:rPr>
              <w:t>28</w:t>
            </w:r>
          </w:p>
        </w:tc>
        <w:tc>
          <w:tcPr>
            <w:tcW w:w="1080" w:type="dxa"/>
            <w:shd w:val="clear" w:color="auto" w:fill="BFBFBF" w:themeFill="background1" w:themeFillShade="BF"/>
            <w:vAlign w:val="bottom"/>
          </w:tcPr>
          <w:p w14:paraId="29FA2C00" w14:textId="77777777" w:rsidR="00B50935" w:rsidRPr="009017BC" w:rsidRDefault="00B50935" w:rsidP="00427764">
            <w:pPr>
              <w:spacing w:before="60" w:after="60"/>
              <w:jc w:val="right"/>
              <w:rPr>
                <w:noProof/>
                <w:sz w:val="20"/>
              </w:rPr>
            </w:pPr>
            <w:r w:rsidRPr="009017BC">
              <w:rPr>
                <w:color w:val="000000"/>
                <w:sz w:val="20"/>
              </w:rPr>
              <w:t>28</w:t>
            </w:r>
          </w:p>
        </w:tc>
        <w:tc>
          <w:tcPr>
            <w:tcW w:w="1080" w:type="dxa"/>
            <w:shd w:val="clear" w:color="auto" w:fill="BFBFBF" w:themeFill="background1" w:themeFillShade="BF"/>
            <w:vAlign w:val="bottom"/>
          </w:tcPr>
          <w:p w14:paraId="7D76C713" w14:textId="77777777" w:rsidR="00B50935" w:rsidRPr="009017BC" w:rsidRDefault="00B50935" w:rsidP="00427764">
            <w:pPr>
              <w:spacing w:before="60" w:after="60"/>
              <w:jc w:val="right"/>
              <w:rPr>
                <w:b/>
                <w:noProof/>
                <w:sz w:val="20"/>
              </w:rPr>
            </w:pPr>
            <w:r w:rsidRPr="009017BC">
              <w:rPr>
                <w:color w:val="000000"/>
                <w:sz w:val="20"/>
              </w:rPr>
              <w:t>28</w:t>
            </w:r>
          </w:p>
        </w:tc>
        <w:tc>
          <w:tcPr>
            <w:tcW w:w="1080" w:type="dxa"/>
            <w:shd w:val="clear" w:color="auto" w:fill="BFBFBF" w:themeFill="background1" w:themeFillShade="BF"/>
            <w:vAlign w:val="center"/>
          </w:tcPr>
          <w:p w14:paraId="50C02441" w14:textId="77777777" w:rsidR="00B50935" w:rsidRPr="009017BC" w:rsidRDefault="00B50935" w:rsidP="00427764">
            <w:pPr>
              <w:spacing w:before="60" w:after="60"/>
              <w:jc w:val="right"/>
              <w:rPr>
                <w:b/>
                <w:noProof/>
                <w:sz w:val="20"/>
              </w:rPr>
            </w:pPr>
            <w:r w:rsidRPr="009017BC">
              <w:rPr>
                <w:color w:val="000000"/>
                <w:sz w:val="20"/>
              </w:rPr>
              <w:t>28</w:t>
            </w:r>
          </w:p>
        </w:tc>
      </w:tr>
      <w:tr w:rsidR="00B50935" w:rsidRPr="009017BC" w14:paraId="7B4D8226" w14:textId="77777777" w:rsidTr="00427764">
        <w:trPr>
          <w:trHeight w:val="585"/>
        </w:trPr>
        <w:tc>
          <w:tcPr>
            <w:tcW w:w="1980" w:type="dxa"/>
            <w:shd w:val="clear" w:color="auto" w:fill="CCCCCC"/>
            <w:vAlign w:val="center"/>
          </w:tcPr>
          <w:p w14:paraId="6B0D88B9" w14:textId="77777777" w:rsidR="00B50935" w:rsidRPr="009017BC" w:rsidRDefault="00B50935" w:rsidP="00427764">
            <w:pPr>
              <w:spacing w:before="60" w:after="60"/>
              <w:jc w:val="center"/>
              <w:rPr>
                <w:noProof/>
              </w:rPr>
            </w:pPr>
            <w:r w:rsidRPr="009017BC">
              <w:rPr>
                <w:sz w:val="18"/>
              </w:rPr>
              <w:t>Expertos nacionales en comisión de servicios</w:t>
            </w:r>
          </w:p>
        </w:tc>
        <w:tc>
          <w:tcPr>
            <w:tcW w:w="1080" w:type="dxa"/>
            <w:vAlign w:val="center"/>
          </w:tcPr>
          <w:p w14:paraId="0143126E"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0526A4C3"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368B730E"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1EC9B77D" w14:textId="77777777" w:rsidR="00B50935" w:rsidRPr="009017BC" w:rsidRDefault="00B50935" w:rsidP="00427764">
            <w:pPr>
              <w:spacing w:before="60" w:after="60"/>
              <w:jc w:val="right"/>
              <w:rPr>
                <w:noProof/>
                <w:sz w:val="20"/>
              </w:rPr>
            </w:pPr>
            <w:r w:rsidRPr="009017BC">
              <w:rPr>
                <w:color w:val="000000"/>
                <w:sz w:val="20"/>
              </w:rPr>
              <w:t>0</w:t>
            </w:r>
          </w:p>
        </w:tc>
        <w:tc>
          <w:tcPr>
            <w:tcW w:w="1080" w:type="dxa"/>
            <w:vAlign w:val="center"/>
          </w:tcPr>
          <w:p w14:paraId="3B90F101" w14:textId="77777777" w:rsidR="00B50935" w:rsidRPr="009017BC" w:rsidRDefault="00B50935" w:rsidP="00427764">
            <w:pPr>
              <w:spacing w:before="60" w:after="60"/>
              <w:jc w:val="right"/>
              <w:rPr>
                <w:noProof/>
                <w:sz w:val="20"/>
              </w:rPr>
            </w:pPr>
            <w:r w:rsidRPr="009017BC">
              <w:rPr>
                <w:sz w:val="20"/>
              </w:rPr>
              <w:t>0</w:t>
            </w:r>
          </w:p>
        </w:tc>
        <w:tc>
          <w:tcPr>
            <w:tcW w:w="1080" w:type="dxa"/>
            <w:vAlign w:val="center"/>
          </w:tcPr>
          <w:p w14:paraId="427A8EDA" w14:textId="77777777" w:rsidR="00B50935" w:rsidRPr="009017BC" w:rsidRDefault="00B50935" w:rsidP="00427764">
            <w:pPr>
              <w:spacing w:before="60" w:after="60"/>
              <w:jc w:val="right"/>
              <w:rPr>
                <w:noProof/>
                <w:sz w:val="20"/>
              </w:rPr>
            </w:pPr>
            <w:r w:rsidRPr="009017BC">
              <w:rPr>
                <w:sz w:val="20"/>
              </w:rPr>
              <w:t>0</w:t>
            </w:r>
          </w:p>
        </w:tc>
        <w:tc>
          <w:tcPr>
            <w:tcW w:w="1080" w:type="dxa"/>
            <w:vAlign w:val="center"/>
          </w:tcPr>
          <w:p w14:paraId="72C712B7" w14:textId="77777777" w:rsidR="00B50935" w:rsidRPr="009017BC" w:rsidRDefault="00B50935" w:rsidP="00427764">
            <w:pPr>
              <w:spacing w:before="60" w:after="60"/>
              <w:jc w:val="right"/>
              <w:rPr>
                <w:b/>
                <w:noProof/>
                <w:sz w:val="20"/>
              </w:rPr>
            </w:pPr>
            <w:r w:rsidRPr="009017BC">
              <w:rPr>
                <w:b/>
                <w:sz w:val="20"/>
              </w:rPr>
              <w:t>0</w:t>
            </w:r>
          </w:p>
        </w:tc>
        <w:tc>
          <w:tcPr>
            <w:tcW w:w="1080" w:type="dxa"/>
            <w:vAlign w:val="center"/>
          </w:tcPr>
          <w:p w14:paraId="5A25E84C" w14:textId="77777777" w:rsidR="00B50935" w:rsidRPr="009017BC" w:rsidRDefault="00B50935" w:rsidP="00427764">
            <w:pPr>
              <w:spacing w:before="60" w:after="60"/>
              <w:jc w:val="right"/>
              <w:rPr>
                <w:b/>
                <w:noProof/>
                <w:sz w:val="20"/>
              </w:rPr>
            </w:pPr>
            <w:r w:rsidRPr="009017BC">
              <w:rPr>
                <w:color w:val="000000"/>
                <w:sz w:val="20"/>
              </w:rPr>
              <w:t>0</w:t>
            </w:r>
          </w:p>
        </w:tc>
      </w:tr>
    </w:tbl>
    <w:p w14:paraId="6786E423" w14:textId="77777777" w:rsidR="00B50935" w:rsidRPr="009017BC"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017BC" w14:paraId="2E7BCC34"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CEB0821" w14:textId="77777777" w:rsidR="00B50935" w:rsidRPr="009017BC" w:rsidRDefault="00B50935" w:rsidP="00427764">
            <w:pPr>
              <w:spacing w:before="60" w:after="60"/>
              <w:jc w:val="center"/>
              <w:rPr>
                <w:noProof/>
                <w:sz w:val="20"/>
              </w:rPr>
            </w:pPr>
            <w:r w:rsidRPr="009017BC">
              <w:rPr>
                <w:b/>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14:paraId="1FA3A5AB" w14:textId="77777777" w:rsidR="00B50935" w:rsidRPr="009017BC" w:rsidRDefault="00B50935" w:rsidP="00427764">
            <w:pPr>
              <w:spacing w:before="60" w:after="60"/>
              <w:jc w:val="right"/>
              <w:rPr>
                <w:b/>
                <w:noProof/>
                <w:sz w:val="20"/>
              </w:rPr>
            </w:pPr>
            <w:r w:rsidRPr="009017BC">
              <w:rPr>
                <w:b/>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14:paraId="64175621" w14:textId="77777777" w:rsidR="00B50935" w:rsidRPr="009017BC" w:rsidRDefault="00B50935" w:rsidP="00427764">
            <w:pPr>
              <w:spacing w:before="60" w:after="60"/>
              <w:jc w:val="right"/>
              <w:rPr>
                <w:b/>
                <w:noProof/>
                <w:sz w:val="20"/>
              </w:rPr>
            </w:pPr>
            <w:r w:rsidRPr="009017BC">
              <w:rPr>
                <w:b/>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14:paraId="6E5014FD" w14:textId="77777777" w:rsidR="00B50935" w:rsidRPr="009017BC" w:rsidRDefault="00B50935" w:rsidP="00427764">
            <w:pPr>
              <w:spacing w:before="60" w:after="60"/>
              <w:jc w:val="right"/>
              <w:rPr>
                <w:b/>
                <w:noProof/>
                <w:sz w:val="20"/>
              </w:rPr>
            </w:pPr>
            <w:r w:rsidRPr="009017BC">
              <w:rPr>
                <w:b/>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14:paraId="1142286C" w14:textId="77777777" w:rsidR="00B50935" w:rsidRPr="009017BC" w:rsidRDefault="00B50935" w:rsidP="00427764">
            <w:pPr>
              <w:spacing w:before="60" w:after="60"/>
              <w:jc w:val="right"/>
              <w:rPr>
                <w:b/>
                <w:noProof/>
                <w:sz w:val="20"/>
              </w:rPr>
            </w:pPr>
            <w:r w:rsidRPr="009017BC">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156A1D" w14:textId="77777777" w:rsidR="00B50935" w:rsidRPr="009017BC" w:rsidRDefault="00B50935" w:rsidP="00427764">
            <w:pPr>
              <w:spacing w:before="60" w:after="60"/>
              <w:jc w:val="right"/>
              <w:rPr>
                <w:b/>
                <w:noProof/>
                <w:sz w:val="20"/>
              </w:rPr>
            </w:pPr>
            <w:r w:rsidRPr="009017BC">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7A949AD2" w14:textId="77777777" w:rsidR="00B50935" w:rsidRPr="009017BC" w:rsidRDefault="00B50935" w:rsidP="00427764">
            <w:pPr>
              <w:spacing w:before="60" w:after="60"/>
              <w:jc w:val="right"/>
              <w:rPr>
                <w:b/>
                <w:noProof/>
                <w:sz w:val="20"/>
              </w:rPr>
            </w:pPr>
            <w:r w:rsidRPr="009017BC">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0464A6" w14:textId="77777777" w:rsidR="00B50935" w:rsidRPr="009017BC" w:rsidRDefault="00B50935" w:rsidP="00427764">
            <w:pPr>
              <w:spacing w:before="60" w:after="60"/>
              <w:jc w:val="right"/>
              <w:rPr>
                <w:b/>
                <w:noProof/>
                <w:sz w:val="20"/>
              </w:rPr>
            </w:pPr>
            <w:r w:rsidRPr="009017BC">
              <w:rPr>
                <w:b/>
                <w:sz w:val="20"/>
              </w:rPr>
              <w:t>73</w:t>
            </w:r>
          </w:p>
        </w:tc>
        <w:tc>
          <w:tcPr>
            <w:tcW w:w="1080" w:type="dxa"/>
            <w:tcBorders>
              <w:top w:val="single" w:sz="12" w:space="0" w:color="auto"/>
              <w:left w:val="single" w:sz="2" w:space="0" w:color="auto"/>
              <w:bottom w:val="single" w:sz="12" w:space="0" w:color="auto"/>
              <w:right w:val="single" w:sz="12" w:space="0" w:color="auto"/>
            </w:tcBorders>
            <w:vAlign w:val="center"/>
          </w:tcPr>
          <w:p w14:paraId="6D95FF9B" w14:textId="77777777" w:rsidR="00B50935" w:rsidRPr="009017BC" w:rsidRDefault="00B50935" w:rsidP="00427764">
            <w:pPr>
              <w:spacing w:before="60" w:after="60"/>
              <w:jc w:val="right"/>
              <w:rPr>
                <w:b/>
                <w:noProof/>
                <w:sz w:val="20"/>
              </w:rPr>
            </w:pPr>
            <w:r w:rsidRPr="009017BC">
              <w:rPr>
                <w:b/>
                <w:sz w:val="20"/>
              </w:rPr>
              <w:t>73</w:t>
            </w:r>
          </w:p>
        </w:tc>
      </w:tr>
    </w:tbl>
    <w:p w14:paraId="5E55BA22" w14:textId="77777777" w:rsidR="00B50935" w:rsidRPr="009017BC" w:rsidRDefault="00B50935" w:rsidP="00B50935">
      <w:pPr>
        <w:rPr>
          <w:noProof/>
          <w:u w:val="single"/>
        </w:rPr>
      </w:pPr>
    </w:p>
    <w:p w14:paraId="19D2A2FD" w14:textId="77777777" w:rsidR="00B50935" w:rsidRPr="009017BC" w:rsidRDefault="00B50935" w:rsidP="00B50935">
      <w:pPr>
        <w:rPr>
          <w:noProof/>
        </w:rPr>
      </w:pPr>
      <w:r w:rsidRPr="009017BC">
        <w:rPr>
          <w:u w:val="single"/>
        </w:rPr>
        <w:t xml:space="preserve">Indíquese la fecha prevista de contratación, ajustando convenientemente el importe (si la contratación se realiza en julio, únicamente se tendrá en cuenta el 50 % del coste medio) y facilitando explicaciones adicionales. </w:t>
      </w:r>
    </w:p>
    <w:p w14:paraId="40C38852" w14:textId="77777777" w:rsidR="00B50935" w:rsidRPr="009017BC" w:rsidRDefault="00B50935" w:rsidP="00B50935">
      <w:pPr>
        <w:rPr>
          <w:noProof/>
        </w:rPr>
        <w:sectPr w:rsidR="00B50935" w:rsidRPr="009017BC" w:rsidSect="00DF5771">
          <w:headerReference w:type="default" r:id="rId19"/>
          <w:footerReference w:type="default" r:id="rId20"/>
          <w:headerReference w:type="first" r:id="rId21"/>
          <w:footerReference w:type="first" r:id="rId22"/>
          <w:pgSz w:w="11907" w:h="16839"/>
          <w:pgMar w:top="1134" w:right="1417" w:bottom="1134" w:left="1417" w:header="709" w:footer="709" w:gutter="0"/>
          <w:cols w:space="720"/>
          <w:docGrid w:linePitch="326"/>
        </w:sectPr>
      </w:pPr>
    </w:p>
    <w:p w14:paraId="28518569" w14:textId="77777777" w:rsidR="00B50935" w:rsidRPr="009017BC" w:rsidRDefault="00B50935" w:rsidP="00B50935">
      <w:pPr>
        <w:pStyle w:val="Heading4"/>
        <w:rPr>
          <w:bCs w:val="0"/>
          <w:noProof/>
          <w:szCs w:val="24"/>
        </w:rPr>
      </w:pPr>
      <w:r w:rsidRPr="009017BC">
        <w:t>Necesidades estimadas de recursos humanos para la DG matriz</w:t>
      </w:r>
    </w:p>
    <w:p w14:paraId="5A77DBE5" w14:textId="77777777" w:rsidR="00B50935" w:rsidRPr="009017BC" w:rsidRDefault="00B50935" w:rsidP="006F7C3E">
      <w:pPr>
        <w:pStyle w:val="ListDash1"/>
        <w:rPr>
          <w:noProof/>
        </w:rPr>
      </w:pPr>
      <w:r w:rsidRPr="009017BC">
        <w:t>X</w:t>
      </w:r>
      <w:r w:rsidRPr="009017BC">
        <w:tab/>
        <w:t xml:space="preserve">La propuesta/iniciativa no exige la utilización de recursos humanos. </w:t>
      </w:r>
    </w:p>
    <w:p w14:paraId="433BB65C" w14:textId="77777777" w:rsidR="00B50935" w:rsidRPr="009017BC" w:rsidRDefault="00B50935" w:rsidP="006F7C3E">
      <w:pPr>
        <w:pStyle w:val="ListDash1"/>
        <w:rPr>
          <w:noProof/>
        </w:rPr>
      </w:pPr>
      <w:r w:rsidRPr="009017BC">
        <w:sym w:font="Wingdings" w:char="F0A8"/>
      </w:r>
      <w:r w:rsidRPr="009017BC">
        <w:tab/>
        <w:t>La propuesta/iniciativa exige la utilización de recursos humanos, tal como se explica a continuación:</w:t>
      </w:r>
    </w:p>
    <w:p w14:paraId="64CFBCEA" w14:textId="77777777" w:rsidR="00B50935" w:rsidRPr="009017BC" w:rsidRDefault="00B50935" w:rsidP="00B50935">
      <w:pPr>
        <w:spacing w:after="60"/>
        <w:jc w:val="right"/>
        <w:rPr>
          <w:i/>
          <w:noProof/>
          <w:sz w:val="20"/>
        </w:rPr>
      </w:pPr>
      <w:r w:rsidRPr="009017BC">
        <w:rPr>
          <w:i/>
          <w:sz w:val="20"/>
        </w:rPr>
        <w:t>Estimación que debe expresarse en valores enteros (o, a lo sumo, con un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rsidR="00B50935" w:rsidRPr="009017BC" w14:paraId="4DA426D1" w14:textId="77777777" w:rsidTr="00427764">
        <w:trPr>
          <w:gridAfter w:val="1"/>
          <w:wAfter w:w="6" w:type="pct"/>
          <w:trHeight w:val="289"/>
          <w:jc w:val="center"/>
        </w:trPr>
        <w:tc>
          <w:tcPr>
            <w:tcW w:w="2044" w:type="pct"/>
            <w:gridSpan w:val="2"/>
            <w:shd w:val="clear" w:color="auto" w:fill="auto"/>
          </w:tcPr>
          <w:p w14:paraId="108F4084" w14:textId="77777777" w:rsidR="00B50935" w:rsidRPr="009017BC" w:rsidRDefault="00B50935" w:rsidP="00427764">
            <w:pPr>
              <w:pStyle w:val="Text1"/>
              <w:spacing w:before="40" w:after="40"/>
              <w:ind w:left="0"/>
              <w:jc w:val="center"/>
              <w:rPr>
                <w:i/>
                <w:noProof/>
                <w:sz w:val="20"/>
              </w:rPr>
            </w:pPr>
          </w:p>
        </w:tc>
        <w:tc>
          <w:tcPr>
            <w:tcW w:w="386" w:type="pct"/>
            <w:shd w:val="clear" w:color="auto" w:fill="auto"/>
            <w:vAlign w:val="center"/>
          </w:tcPr>
          <w:p w14:paraId="62AAC3D2" w14:textId="77777777" w:rsidR="00B50935" w:rsidRPr="009017BC" w:rsidRDefault="00B50935" w:rsidP="00427764">
            <w:pPr>
              <w:spacing w:before="20" w:after="20"/>
              <w:jc w:val="center"/>
              <w:rPr>
                <w:noProof/>
                <w:sz w:val="20"/>
              </w:rPr>
            </w:pPr>
            <w:r w:rsidRPr="009017BC">
              <w:rPr>
                <w:sz w:val="20"/>
              </w:rPr>
              <w:t>Año</w:t>
            </w:r>
            <w:r w:rsidRPr="009017BC">
              <w:t xml:space="preserve"> </w:t>
            </w:r>
            <w:r w:rsidRPr="009017BC">
              <w:br/>
            </w:r>
            <w:r w:rsidRPr="009017BC">
              <w:rPr>
                <w:b/>
                <w:sz w:val="20"/>
              </w:rPr>
              <w:t>2021</w:t>
            </w:r>
          </w:p>
        </w:tc>
        <w:tc>
          <w:tcPr>
            <w:tcW w:w="368" w:type="pct"/>
            <w:shd w:val="clear" w:color="auto" w:fill="auto"/>
            <w:vAlign w:val="center"/>
          </w:tcPr>
          <w:p w14:paraId="4C272E26" w14:textId="77777777" w:rsidR="00B50935" w:rsidRPr="009017BC" w:rsidRDefault="00B50935" w:rsidP="00427764">
            <w:pPr>
              <w:spacing w:before="20" w:after="20"/>
              <w:jc w:val="center"/>
              <w:rPr>
                <w:noProof/>
                <w:sz w:val="20"/>
              </w:rPr>
            </w:pPr>
            <w:r w:rsidRPr="009017BC">
              <w:rPr>
                <w:sz w:val="20"/>
              </w:rPr>
              <w:t>Año</w:t>
            </w:r>
            <w:r w:rsidRPr="009017BC">
              <w:t xml:space="preserve"> </w:t>
            </w:r>
            <w:r w:rsidRPr="009017BC">
              <w:br/>
            </w:r>
            <w:r w:rsidRPr="009017BC">
              <w:rPr>
                <w:b/>
                <w:sz w:val="20"/>
              </w:rPr>
              <w:t>2022</w:t>
            </w:r>
          </w:p>
        </w:tc>
        <w:tc>
          <w:tcPr>
            <w:tcW w:w="406" w:type="pct"/>
            <w:shd w:val="clear" w:color="auto" w:fill="auto"/>
            <w:vAlign w:val="center"/>
          </w:tcPr>
          <w:p w14:paraId="16224000" w14:textId="77777777" w:rsidR="00B50935" w:rsidRPr="009017BC" w:rsidRDefault="00B50935" w:rsidP="00427764">
            <w:pPr>
              <w:spacing w:before="20" w:after="20"/>
              <w:jc w:val="center"/>
              <w:rPr>
                <w:noProof/>
                <w:sz w:val="20"/>
              </w:rPr>
            </w:pPr>
            <w:r w:rsidRPr="009017BC">
              <w:rPr>
                <w:sz w:val="20"/>
              </w:rPr>
              <w:t>Año</w:t>
            </w:r>
            <w:r w:rsidRPr="009017BC">
              <w:t xml:space="preserve"> </w:t>
            </w:r>
            <w:r w:rsidRPr="009017BC">
              <w:br/>
            </w:r>
            <w:r w:rsidRPr="009017BC">
              <w:rPr>
                <w:b/>
                <w:sz w:val="20"/>
              </w:rPr>
              <w:t>2023</w:t>
            </w:r>
          </w:p>
        </w:tc>
        <w:tc>
          <w:tcPr>
            <w:tcW w:w="497" w:type="pct"/>
            <w:shd w:val="clear" w:color="auto" w:fill="auto"/>
            <w:vAlign w:val="center"/>
          </w:tcPr>
          <w:p w14:paraId="3AFDEB76" w14:textId="77777777" w:rsidR="00B50935" w:rsidRPr="009017BC" w:rsidRDefault="00B50935" w:rsidP="00427764">
            <w:pPr>
              <w:spacing w:before="20" w:after="20"/>
              <w:jc w:val="center"/>
              <w:rPr>
                <w:noProof/>
                <w:sz w:val="20"/>
              </w:rPr>
            </w:pPr>
            <w:r w:rsidRPr="009017BC">
              <w:rPr>
                <w:sz w:val="20"/>
              </w:rPr>
              <w:t>Año</w:t>
            </w:r>
            <w:r w:rsidRPr="009017BC">
              <w:t xml:space="preserve"> </w:t>
            </w:r>
            <w:r w:rsidRPr="009017BC">
              <w:br/>
            </w:r>
            <w:r w:rsidRPr="009017BC">
              <w:rPr>
                <w:b/>
                <w:sz w:val="20"/>
              </w:rPr>
              <w:t>2024</w:t>
            </w:r>
          </w:p>
        </w:tc>
        <w:tc>
          <w:tcPr>
            <w:tcW w:w="431" w:type="pct"/>
            <w:gridSpan w:val="2"/>
            <w:shd w:val="clear" w:color="auto" w:fill="auto"/>
            <w:vAlign w:val="center"/>
          </w:tcPr>
          <w:p w14:paraId="3A3ECED5" w14:textId="77777777" w:rsidR="00B50935" w:rsidRPr="009017BC" w:rsidRDefault="00B50935" w:rsidP="00427764">
            <w:pPr>
              <w:tabs>
                <w:tab w:val="left" w:pos="685"/>
              </w:tabs>
              <w:jc w:val="center"/>
              <w:rPr>
                <w:b/>
                <w:noProof/>
                <w:sz w:val="20"/>
              </w:rPr>
            </w:pPr>
            <w:r w:rsidRPr="009017BC">
              <w:rPr>
                <w:sz w:val="20"/>
              </w:rPr>
              <w:t>Año</w:t>
            </w:r>
            <w:r w:rsidRPr="009017BC">
              <w:t xml:space="preserve"> </w:t>
            </w:r>
            <w:r w:rsidRPr="009017BC">
              <w:br/>
            </w:r>
            <w:r w:rsidRPr="009017BC">
              <w:rPr>
                <w:b/>
                <w:sz w:val="20"/>
              </w:rPr>
              <w:t>2025</w:t>
            </w:r>
          </w:p>
        </w:tc>
        <w:tc>
          <w:tcPr>
            <w:tcW w:w="431" w:type="pct"/>
            <w:gridSpan w:val="2"/>
            <w:shd w:val="clear" w:color="auto" w:fill="auto"/>
            <w:vAlign w:val="center"/>
          </w:tcPr>
          <w:p w14:paraId="1691875D" w14:textId="77777777" w:rsidR="00B50935" w:rsidRPr="009017BC" w:rsidRDefault="00B50935" w:rsidP="00427764">
            <w:pPr>
              <w:tabs>
                <w:tab w:val="left" w:pos="685"/>
              </w:tabs>
              <w:jc w:val="center"/>
              <w:rPr>
                <w:b/>
                <w:noProof/>
                <w:sz w:val="20"/>
              </w:rPr>
            </w:pPr>
            <w:r w:rsidRPr="009017BC">
              <w:rPr>
                <w:sz w:val="20"/>
              </w:rPr>
              <w:t>Año</w:t>
            </w:r>
            <w:r w:rsidRPr="009017BC">
              <w:t xml:space="preserve"> </w:t>
            </w:r>
            <w:r w:rsidRPr="009017BC">
              <w:br/>
            </w:r>
            <w:r w:rsidRPr="009017BC">
              <w:rPr>
                <w:b/>
                <w:sz w:val="20"/>
              </w:rPr>
              <w:t>2026</w:t>
            </w:r>
          </w:p>
        </w:tc>
        <w:tc>
          <w:tcPr>
            <w:tcW w:w="431" w:type="pct"/>
            <w:shd w:val="clear" w:color="auto" w:fill="auto"/>
            <w:vAlign w:val="center"/>
          </w:tcPr>
          <w:p w14:paraId="6802C749" w14:textId="77777777" w:rsidR="00B50935" w:rsidRPr="009017BC" w:rsidRDefault="00B50935" w:rsidP="00427764">
            <w:pPr>
              <w:tabs>
                <w:tab w:val="left" w:pos="685"/>
              </w:tabs>
              <w:jc w:val="center"/>
              <w:rPr>
                <w:b/>
                <w:noProof/>
                <w:sz w:val="20"/>
              </w:rPr>
            </w:pPr>
            <w:r w:rsidRPr="009017BC">
              <w:rPr>
                <w:sz w:val="20"/>
              </w:rPr>
              <w:t>Año</w:t>
            </w:r>
            <w:r w:rsidRPr="009017BC">
              <w:t xml:space="preserve"> </w:t>
            </w:r>
            <w:r w:rsidRPr="009017BC">
              <w:br/>
            </w:r>
            <w:r w:rsidRPr="009017BC">
              <w:rPr>
                <w:b/>
                <w:sz w:val="20"/>
              </w:rPr>
              <w:t>2027</w:t>
            </w:r>
            <w:r w:rsidRPr="009017BC">
              <w:rPr>
                <w:sz w:val="20"/>
              </w:rPr>
              <w:t xml:space="preserve"> y ss.</w:t>
            </w:r>
          </w:p>
        </w:tc>
      </w:tr>
      <w:tr w:rsidR="00B50935" w:rsidRPr="009017BC" w14:paraId="12EC88DF" w14:textId="77777777" w:rsidTr="00427764">
        <w:trPr>
          <w:trHeight w:val="289"/>
          <w:jc w:val="center"/>
        </w:trPr>
        <w:tc>
          <w:tcPr>
            <w:tcW w:w="2044" w:type="pct"/>
            <w:gridSpan w:val="2"/>
            <w:shd w:val="clear" w:color="auto" w:fill="auto"/>
            <w:vAlign w:val="center"/>
          </w:tcPr>
          <w:p w14:paraId="2D71FDF6" w14:textId="77777777" w:rsidR="00B50935" w:rsidRPr="009017BC" w:rsidRDefault="00B50935" w:rsidP="00F36FFA">
            <w:pPr>
              <w:pStyle w:val="Text1"/>
              <w:numPr>
                <w:ilvl w:val="0"/>
                <w:numId w:val="17"/>
              </w:numPr>
              <w:tabs>
                <w:tab w:val="left" w:pos="208"/>
              </w:tabs>
              <w:spacing w:beforeLines="20" w:before="48" w:afterLines="20" w:after="48"/>
              <w:ind w:left="208" w:hanging="120"/>
              <w:jc w:val="left"/>
              <w:rPr>
                <w:b/>
                <w:noProof/>
                <w:sz w:val="20"/>
              </w:rPr>
            </w:pPr>
            <w:r w:rsidRPr="009017BC">
              <w:rPr>
                <w:b/>
                <w:sz w:val="20"/>
              </w:rPr>
              <w:t>Empleos de plantilla (funcionarios y personal temporal)</w:t>
            </w:r>
          </w:p>
        </w:tc>
        <w:tc>
          <w:tcPr>
            <w:tcW w:w="386" w:type="pct"/>
            <w:shd w:val="clear" w:color="auto" w:fill="auto"/>
            <w:vAlign w:val="center"/>
          </w:tcPr>
          <w:p w14:paraId="09289EA3"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765A85A3"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09C5C7C9"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038E3062"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00E2C239"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1641B50A"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71CAFA2D" w14:textId="77777777" w:rsidR="00B50935" w:rsidRPr="009017BC" w:rsidRDefault="00B50935" w:rsidP="00427764">
            <w:pPr>
              <w:spacing w:beforeLines="20" w:before="48" w:afterLines="20" w:after="48"/>
              <w:jc w:val="center"/>
              <w:rPr>
                <w:noProof/>
                <w:sz w:val="20"/>
              </w:rPr>
            </w:pPr>
          </w:p>
        </w:tc>
      </w:tr>
      <w:tr w:rsidR="00B50935" w:rsidRPr="009017BC" w14:paraId="7299EBB1" w14:textId="77777777" w:rsidTr="00427764">
        <w:trPr>
          <w:trHeight w:val="289"/>
          <w:jc w:val="center"/>
        </w:trPr>
        <w:tc>
          <w:tcPr>
            <w:tcW w:w="2044" w:type="pct"/>
            <w:gridSpan w:val="2"/>
            <w:shd w:val="clear" w:color="auto" w:fill="auto"/>
            <w:vAlign w:val="center"/>
          </w:tcPr>
          <w:p w14:paraId="174BA044" w14:textId="77777777" w:rsidR="00B50935" w:rsidRPr="009017BC" w:rsidRDefault="00B50935" w:rsidP="00427764">
            <w:pPr>
              <w:pStyle w:val="Text1"/>
              <w:spacing w:beforeLines="20" w:before="48" w:afterLines="20" w:after="48"/>
              <w:ind w:left="984"/>
              <w:jc w:val="left"/>
              <w:rPr>
                <w:b/>
                <w:noProof/>
                <w:sz w:val="20"/>
              </w:rPr>
            </w:pPr>
            <w:r w:rsidRPr="009017BC">
              <w:rPr>
                <w:sz w:val="20"/>
              </w:rPr>
              <w:t>XX 01 01 01 (sede y oficinas de Representación de la Comisión)</w:t>
            </w:r>
          </w:p>
        </w:tc>
        <w:tc>
          <w:tcPr>
            <w:tcW w:w="386" w:type="pct"/>
            <w:shd w:val="clear" w:color="auto" w:fill="auto"/>
            <w:vAlign w:val="center"/>
          </w:tcPr>
          <w:p w14:paraId="4B500E98"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594CB868"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6F4B49CA"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365ACCAF"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546B2A9E"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2E4ECF75"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2079901A" w14:textId="77777777" w:rsidR="00B50935" w:rsidRPr="009017BC" w:rsidRDefault="00B50935" w:rsidP="00427764">
            <w:pPr>
              <w:spacing w:beforeLines="20" w:before="48" w:afterLines="20" w:after="48"/>
              <w:jc w:val="center"/>
              <w:rPr>
                <w:noProof/>
                <w:sz w:val="20"/>
              </w:rPr>
            </w:pPr>
          </w:p>
        </w:tc>
      </w:tr>
      <w:tr w:rsidR="00B50935" w:rsidRPr="009017BC" w14:paraId="3E896A6D" w14:textId="77777777" w:rsidTr="00427764">
        <w:trPr>
          <w:trHeight w:val="289"/>
          <w:jc w:val="center"/>
        </w:trPr>
        <w:tc>
          <w:tcPr>
            <w:tcW w:w="2044" w:type="pct"/>
            <w:gridSpan w:val="2"/>
            <w:shd w:val="clear" w:color="auto" w:fill="auto"/>
            <w:vAlign w:val="center"/>
          </w:tcPr>
          <w:p w14:paraId="15F3D2A0" w14:textId="77777777" w:rsidR="00B50935" w:rsidRPr="009017BC" w:rsidRDefault="00B50935" w:rsidP="00427764">
            <w:pPr>
              <w:pStyle w:val="Text1"/>
              <w:spacing w:beforeLines="20" w:before="48" w:afterLines="20" w:after="48"/>
              <w:ind w:left="984"/>
              <w:jc w:val="left"/>
              <w:rPr>
                <w:noProof/>
                <w:sz w:val="20"/>
              </w:rPr>
            </w:pPr>
            <w:r w:rsidRPr="009017BC">
              <w:rPr>
                <w:sz w:val="20"/>
              </w:rPr>
              <w:t>XX 01 01 02 (Delegaciones)</w:t>
            </w:r>
          </w:p>
        </w:tc>
        <w:tc>
          <w:tcPr>
            <w:tcW w:w="386" w:type="pct"/>
            <w:shd w:val="clear" w:color="auto" w:fill="auto"/>
            <w:vAlign w:val="center"/>
          </w:tcPr>
          <w:p w14:paraId="45E3F833"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55B59F95"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33B7F5EA"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3361E33B"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4D572460"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231B5DD4"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6BEB5785" w14:textId="77777777" w:rsidR="00B50935" w:rsidRPr="009017BC" w:rsidRDefault="00B50935" w:rsidP="00427764">
            <w:pPr>
              <w:spacing w:beforeLines="20" w:before="48" w:afterLines="20" w:after="48"/>
              <w:jc w:val="center"/>
              <w:rPr>
                <w:noProof/>
                <w:sz w:val="20"/>
              </w:rPr>
            </w:pPr>
          </w:p>
        </w:tc>
      </w:tr>
      <w:tr w:rsidR="00B50935" w:rsidRPr="009017BC" w14:paraId="6916D931" w14:textId="77777777" w:rsidTr="00427764">
        <w:trPr>
          <w:trHeight w:val="953"/>
          <w:jc w:val="center"/>
        </w:trPr>
        <w:tc>
          <w:tcPr>
            <w:tcW w:w="2044" w:type="pct"/>
            <w:gridSpan w:val="2"/>
            <w:shd w:val="clear" w:color="auto" w:fill="auto"/>
            <w:vAlign w:val="center"/>
          </w:tcPr>
          <w:p w14:paraId="38C49AA9" w14:textId="77777777" w:rsidR="00B50935" w:rsidRPr="009017BC" w:rsidRDefault="00B50935" w:rsidP="00427764">
            <w:pPr>
              <w:pStyle w:val="Text1"/>
              <w:spacing w:beforeLines="20" w:before="48" w:afterLines="20" w:after="48"/>
              <w:ind w:left="984"/>
              <w:jc w:val="left"/>
              <w:rPr>
                <w:noProof/>
                <w:sz w:val="20"/>
              </w:rPr>
            </w:pPr>
            <w:r w:rsidRPr="009017BC">
              <w:rPr>
                <w:sz w:val="20"/>
              </w:rPr>
              <w:t>XX 01 05 01 (investigación indirecta)</w:t>
            </w:r>
          </w:p>
        </w:tc>
        <w:tc>
          <w:tcPr>
            <w:tcW w:w="386" w:type="pct"/>
            <w:shd w:val="clear" w:color="auto" w:fill="auto"/>
            <w:vAlign w:val="center"/>
          </w:tcPr>
          <w:p w14:paraId="696E0EAC"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3E35CF0D"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3154F526"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234D7AF6"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6E730622"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4DBF2D3A"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3A36F30C" w14:textId="77777777" w:rsidR="00B50935" w:rsidRPr="009017BC" w:rsidRDefault="00B50935" w:rsidP="00427764">
            <w:pPr>
              <w:spacing w:beforeLines="20" w:before="48" w:afterLines="20" w:after="48"/>
              <w:jc w:val="center"/>
              <w:rPr>
                <w:noProof/>
                <w:sz w:val="20"/>
              </w:rPr>
            </w:pPr>
          </w:p>
        </w:tc>
      </w:tr>
      <w:tr w:rsidR="00B50935" w:rsidRPr="009017BC" w14:paraId="27592BA5" w14:textId="77777777" w:rsidTr="00427764">
        <w:trPr>
          <w:trHeight w:val="289"/>
          <w:jc w:val="center"/>
        </w:trPr>
        <w:tc>
          <w:tcPr>
            <w:tcW w:w="2044" w:type="pct"/>
            <w:gridSpan w:val="2"/>
            <w:shd w:val="clear" w:color="auto" w:fill="auto"/>
            <w:vAlign w:val="center"/>
          </w:tcPr>
          <w:p w14:paraId="2C9711BB" w14:textId="77777777" w:rsidR="00B50935" w:rsidRPr="009017BC" w:rsidRDefault="00B50935" w:rsidP="00427764">
            <w:pPr>
              <w:pStyle w:val="Text1"/>
              <w:spacing w:beforeLines="20" w:before="48" w:afterLines="20" w:after="48"/>
              <w:ind w:left="984"/>
              <w:jc w:val="left"/>
              <w:rPr>
                <w:noProof/>
                <w:sz w:val="20"/>
              </w:rPr>
            </w:pPr>
            <w:r w:rsidRPr="009017BC">
              <w:rPr>
                <w:sz w:val="20"/>
              </w:rPr>
              <w:t>10 01 05 01 (investigación directa)</w:t>
            </w:r>
          </w:p>
        </w:tc>
        <w:tc>
          <w:tcPr>
            <w:tcW w:w="386" w:type="pct"/>
            <w:shd w:val="clear" w:color="auto" w:fill="auto"/>
            <w:vAlign w:val="center"/>
          </w:tcPr>
          <w:p w14:paraId="3A90001C"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41610F75"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439ADAD0"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26C93934"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10A438FD"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072B0520"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18704D7B" w14:textId="77777777" w:rsidR="00B50935" w:rsidRPr="009017BC" w:rsidRDefault="00B50935" w:rsidP="00427764">
            <w:pPr>
              <w:spacing w:beforeLines="20" w:before="48" w:afterLines="20" w:after="48"/>
              <w:jc w:val="center"/>
              <w:rPr>
                <w:noProof/>
                <w:sz w:val="20"/>
              </w:rPr>
            </w:pPr>
          </w:p>
        </w:tc>
      </w:tr>
      <w:tr w:rsidR="00B50935" w:rsidRPr="009017BC" w14:paraId="4827A849" w14:textId="77777777" w:rsidTr="00427764">
        <w:trPr>
          <w:trHeight w:val="289"/>
          <w:jc w:val="center"/>
        </w:trPr>
        <w:tc>
          <w:tcPr>
            <w:tcW w:w="2044" w:type="pct"/>
            <w:gridSpan w:val="2"/>
            <w:shd w:val="clear" w:color="auto" w:fill="auto"/>
            <w:vAlign w:val="center"/>
          </w:tcPr>
          <w:p w14:paraId="22EC291E" w14:textId="77777777" w:rsidR="00B50935" w:rsidRPr="009017BC" w:rsidRDefault="00B50935" w:rsidP="00427764">
            <w:pPr>
              <w:pStyle w:val="Text1"/>
              <w:spacing w:beforeLines="20" w:before="48" w:afterLines="20" w:after="48"/>
              <w:ind w:left="984"/>
              <w:jc w:val="left"/>
              <w:rPr>
                <w:noProof/>
                <w:sz w:val="20"/>
              </w:rPr>
            </w:pPr>
          </w:p>
        </w:tc>
        <w:tc>
          <w:tcPr>
            <w:tcW w:w="386" w:type="pct"/>
            <w:shd w:val="clear" w:color="auto" w:fill="auto"/>
            <w:vAlign w:val="center"/>
          </w:tcPr>
          <w:p w14:paraId="58F22503"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5C82B802"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1DDA0F5A"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518BB561"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77BA213A"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3A99A9DA"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3415ECBC" w14:textId="77777777" w:rsidR="00B50935" w:rsidRPr="009017BC" w:rsidRDefault="00B50935" w:rsidP="00427764">
            <w:pPr>
              <w:spacing w:beforeLines="20" w:before="48" w:afterLines="20" w:after="48"/>
              <w:jc w:val="center"/>
              <w:rPr>
                <w:noProof/>
                <w:sz w:val="20"/>
              </w:rPr>
            </w:pPr>
          </w:p>
        </w:tc>
      </w:tr>
      <w:tr w:rsidR="00B50935" w:rsidRPr="009017BC" w14:paraId="6E5757BF" w14:textId="77777777" w:rsidTr="00427764">
        <w:trPr>
          <w:trHeight w:val="289"/>
          <w:jc w:val="center"/>
        </w:trPr>
        <w:tc>
          <w:tcPr>
            <w:tcW w:w="2044" w:type="pct"/>
            <w:gridSpan w:val="2"/>
            <w:shd w:val="clear" w:color="auto" w:fill="auto"/>
            <w:vAlign w:val="center"/>
          </w:tcPr>
          <w:p w14:paraId="346FD701" w14:textId="77777777" w:rsidR="00B50935" w:rsidRPr="009017BC" w:rsidRDefault="00B50935" w:rsidP="00427764">
            <w:pPr>
              <w:pStyle w:val="Text1"/>
              <w:spacing w:beforeLines="20" w:before="48" w:afterLines="20" w:after="48"/>
              <w:ind w:left="208" w:hanging="120"/>
              <w:jc w:val="left"/>
              <w:rPr>
                <w:noProof/>
                <w:sz w:val="20"/>
              </w:rPr>
            </w:pPr>
            <w:r w:rsidRPr="009017BC">
              <w:rPr>
                <w:b/>
                <w:sz w:val="20"/>
              </w:rPr>
              <w:sym w:font="Wingdings" w:char="F09F"/>
            </w:r>
            <w:r w:rsidRPr="009017BC">
              <w:rPr>
                <w:b/>
                <w:sz w:val="20"/>
              </w:rPr>
              <w:t>Personal externo (en unidades de equivalente a jornada completa,  EJC)</w:t>
            </w:r>
            <w:r w:rsidRPr="009017BC">
              <w:rPr>
                <w:rStyle w:val="FootnoteReference"/>
                <w:b/>
                <w:noProof/>
                <w:sz w:val="20"/>
              </w:rPr>
              <w:footnoteReference w:id="20"/>
            </w:r>
          </w:p>
        </w:tc>
        <w:tc>
          <w:tcPr>
            <w:tcW w:w="386" w:type="pct"/>
            <w:shd w:val="clear" w:color="auto" w:fill="auto"/>
            <w:vAlign w:val="center"/>
          </w:tcPr>
          <w:p w14:paraId="41981D13"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03A04855"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3703A3F8"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21B638B0"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66A97860"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0E7BDCCF"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40D2B42F" w14:textId="77777777" w:rsidR="00B50935" w:rsidRPr="009017BC" w:rsidRDefault="00B50935" w:rsidP="00427764">
            <w:pPr>
              <w:spacing w:beforeLines="20" w:before="48" w:afterLines="20" w:after="48"/>
              <w:jc w:val="center"/>
              <w:rPr>
                <w:noProof/>
                <w:sz w:val="20"/>
              </w:rPr>
            </w:pPr>
          </w:p>
        </w:tc>
      </w:tr>
      <w:tr w:rsidR="00B50935" w:rsidRPr="009017BC" w14:paraId="09960512" w14:textId="77777777" w:rsidTr="00427764">
        <w:trPr>
          <w:trHeight w:val="289"/>
          <w:jc w:val="center"/>
        </w:trPr>
        <w:tc>
          <w:tcPr>
            <w:tcW w:w="2044" w:type="pct"/>
            <w:gridSpan w:val="2"/>
            <w:shd w:val="clear" w:color="auto" w:fill="auto"/>
            <w:vAlign w:val="center"/>
          </w:tcPr>
          <w:p w14:paraId="27CE3113" w14:textId="77777777" w:rsidR="00B50935" w:rsidRPr="009017BC" w:rsidRDefault="00B50935" w:rsidP="00427764">
            <w:pPr>
              <w:pStyle w:val="Text1"/>
              <w:spacing w:beforeLines="20" w:before="48" w:afterLines="20" w:after="48"/>
              <w:ind w:left="986"/>
              <w:jc w:val="left"/>
              <w:rPr>
                <w:b/>
                <w:noProof/>
                <w:sz w:val="20"/>
              </w:rPr>
            </w:pPr>
            <w:r w:rsidRPr="009017BC">
              <w:rPr>
                <w:sz w:val="20"/>
              </w:rPr>
              <w:t>XX 01 02 01 (AC, ENCS, INT de la dotación global)</w:t>
            </w:r>
          </w:p>
        </w:tc>
        <w:tc>
          <w:tcPr>
            <w:tcW w:w="386" w:type="pct"/>
            <w:shd w:val="clear" w:color="auto" w:fill="auto"/>
            <w:vAlign w:val="center"/>
          </w:tcPr>
          <w:p w14:paraId="2C3D74F4"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4CBC8051"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76938ECC"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15DA0D1E"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6935E5AD"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53B91D60"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7FA8CB8E" w14:textId="77777777" w:rsidR="00B50935" w:rsidRPr="009017BC" w:rsidRDefault="00B50935" w:rsidP="00427764">
            <w:pPr>
              <w:spacing w:beforeLines="20" w:before="48" w:afterLines="20" w:after="48"/>
              <w:jc w:val="center"/>
              <w:rPr>
                <w:noProof/>
                <w:sz w:val="20"/>
              </w:rPr>
            </w:pPr>
          </w:p>
        </w:tc>
      </w:tr>
      <w:tr w:rsidR="00B50935" w:rsidRPr="009017BC" w14:paraId="6C1A1B39" w14:textId="77777777" w:rsidTr="00427764">
        <w:trPr>
          <w:trHeight w:val="289"/>
          <w:jc w:val="center"/>
        </w:trPr>
        <w:tc>
          <w:tcPr>
            <w:tcW w:w="2044" w:type="pct"/>
            <w:gridSpan w:val="2"/>
            <w:shd w:val="clear" w:color="auto" w:fill="auto"/>
            <w:vAlign w:val="center"/>
          </w:tcPr>
          <w:p w14:paraId="5B4D2807" w14:textId="77777777" w:rsidR="00B50935" w:rsidRPr="009017BC" w:rsidRDefault="00B50935" w:rsidP="00427764">
            <w:pPr>
              <w:pStyle w:val="Text1"/>
              <w:spacing w:beforeLines="20" w:before="48" w:afterLines="20" w:after="48"/>
              <w:ind w:left="986"/>
              <w:jc w:val="left"/>
              <w:rPr>
                <w:noProof/>
                <w:sz w:val="20"/>
              </w:rPr>
            </w:pPr>
            <w:r w:rsidRPr="009017BC">
              <w:rPr>
                <w:sz w:val="20"/>
              </w:rPr>
              <w:t>XX 01 02 02 (AC, LA, ENCS, INT y JPD en las Delegaciones)</w:t>
            </w:r>
          </w:p>
        </w:tc>
        <w:tc>
          <w:tcPr>
            <w:tcW w:w="386" w:type="pct"/>
            <w:shd w:val="clear" w:color="auto" w:fill="auto"/>
            <w:vAlign w:val="center"/>
          </w:tcPr>
          <w:p w14:paraId="3A057FFE"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000BF8E3"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6657C61F"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5058932A"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71129C0E"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71F9B134"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13101C4B" w14:textId="77777777" w:rsidR="00B50935" w:rsidRPr="009017BC" w:rsidRDefault="00B50935" w:rsidP="00427764">
            <w:pPr>
              <w:spacing w:beforeLines="20" w:before="48" w:afterLines="20" w:after="48"/>
              <w:jc w:val="center"/>
              <w:rPr>
                <w:noProof/>
                <w:sz w:val="20"/>
              </w:rPr>
            </w:pPr>
          </w:p>
        </w:tc>
      </w:tr>
      <w:tr w:rsidR="00B50935" w:rsidRPr="009017BC" w14:paraId="2F59A8A0" w14:textId="77777777" w:rsidTr="00427764">
        <w:trPr>
          <w:trHeight w:val="289"/>
          <w:jc w:val="center"/>
        </w:trPr>
        <w:tc>
          <w:tcPr>
            <w:tcW w:w="1018" w:type="pct"/>
            <w:vMerge w:val="restart"/>
            <w:shd w:val="clear" w:color="auto" w:fill="auto"/>
            <w:vAlign w:val="center"/>
          </w:tcPr>
          <w:p w14:paraId="40933977" w14:textId="77777777" w:rsidR="00B50935" w:rsidRPr="009017BC" w:rsidRDefault="00B50935" w:rsidP="00427764">
            <w:pPr>
              <w:pStyle w:val="Text1"/>
              <w:spacing w:beforeLines="20" w:before="48" w:afterLines="20" w:after="48"/>
              <w:ind w:left="986"/>
              <w:jc w:val="left"/>
              <w:rPr>
                <w:b/>
                <w:noProof/>
                <w:sz w:val="20"/>
              </w:rPr>
            </w:pPr>
            <w:r w:rsidRPr="009017BC">
              <w:rPr>
                <w:b/>
                <w:sz w:val="20"/>
              </w:rPr>
              <w:t>XX</w:t>
            </w:r>
            <w:r w:rsidRPr="009017BC">
              <w:rPr>
                <w:sz w:val="20"/>
              </w:rPr>
              <w:t xml:space="preserve"> 01 04 </w:t>
            </w:r>
            <w:r w:rsidRPr="009017BC">
              <w:rPr>
                <w:b/>
                <w:i/>
                <w:sz w:val="20"/>
              </w:rPr>
              <w:t>yy</w:t>
            </w:r>
            <w:r w:rsidRPr="009017BC">
              <w:rPr>
                <w:rStyle w:val="FootnoteReference"/>
                <w:b/>
                <w:i/>
                <w:noProof/>
                <w:sz w:val="20"/>
              </w:rPr>
              <w:footnoteReference w:id="21"/>
            </w:r>
          </w:p>
        </w:tc>
        <w:tc>
          <w:tcPr>
            <w:tcW w:w="1026" w:type="pct"/>
            <w:shd w:val="clear" w:color="auto" w:fill="auto"/>
            <w:vAlign w:val="center"/>
          </w:tcPr>
          <w:p w14:paraId="6B106976" w14:textId="77777777" w:rsidR="00B50935" w:rsidRPr="009017BC" w:rsidRDefault="00B50935" w:rsidP="00427764">
            <w:pPr>
              <w:pStyle w:val="Text1"/>
              <w:spacing w:beforeLines="20" w:before="48" w:afterLines="20" w:after="48"/>
              <w:ind w:left="598"/>
              <w:jc w:val="left"/>
              <w:rPr>
                <w:b/>
                <w:noProof/>
                <w:sz w:val="20"/>
              </w:rPr>
            </w:pPr>
            <w:r w:rsidRPr="009017BC">
              <w:rPr>
                <w:sz w:val="20"/>
              </w:rPr>
              <w:t>- en la sede</w:t>
            </w:r>
            <w:r w:rsidRPr="009017BC">
              <w:rPr>
                <w:rStyle w:val="FootnoteReference"/>
                <w:noProof/>
                <w:sz w:val="20"/>
              </w:rPr>
              <w:footnoteReference w:id="22"/>
            </w:r>
            <w:r w:rsidRPr="009017BC">
              <w:t xml:space="preserve"> </w:t>
            </w:r>
            <w:r w:rsidRPr="009017BC">
              <w:br/>
            </w:r>
          </w:p>
        </w:tc>
        <w:tc>
          <w:tcPr>
            <w:tcW w:w="386" w:type="pct"/>
            <w:shd w:val="clear" w:color="auto" w:fill="auto"/>
            <w:vAlign w:val="center"/>
          </w:tcPr>
          <w:p w14:paraId="6FAACEE6" w14:textId="77777777" w:rsidR="00B50935" w:rsidRPr="009017BC" w:rsidRDefault="00B50935" w:rsidP="00427764">
            <w:pPr>
              <w:pStyle w:val="Text1"/>
              <w:spacing w:beforeLines="20" w:before="48" w:afterLines="20" w:after="48"/>
              <w:rPr>
                <w:noProof/>
                <w:sz w:val="20"/>
              </w:rPr>
            </w:pPr>
          </w:p>
        </w:tc>
        <w:tc>
          <w:tcPr>
            <w:tcW w:w="368" w:type="pct"/>
            <w:shd w:val="clear" w:color="auto" w:fill="auto"/>
            <w:vAlign w:val="center"/>
          </w:tcPr>
          <w:p w14:paraId="06D0314A"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7BFF8E5D"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1605859E"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6CE3AD60"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757F37CE"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2C8CC476" w14:textId="77777777" w:rsidR="00B50935" w:rsidRPr="009017BC" w:rsidRDefault="00B50935" w:rsidP="00427764">
            <w:pPr>
              <w:spacing w:beforeLines="20" w:before="48" w:afterLines="20" w:after="48"/>
              <w:jc w:val="center"/>
              <w:rPr>
                <w:noProof/>
                <w:sz w:val="20"/>
              </w:rPr>
            </w:pPr>
          </w:p>
        </w:tc>
      </w:tr>
      <w:tr w:rsidR="00B50935" w:rsidRPr="009017BC" w14:paraId="23AE956A" w14:textId="77777777" w:rsidTr="00427764">
        <w:trPr>
          <w:trHeight w:val="289"/>
          <w:jc w:val="center"/>
        </w:trPr>
        <w:tc>
          <w:tcPr>
            <w:tcW w:w="1018" w:type="pct"/>
            <w:vMerge/>
            <w:shd w:val="clear" w:color="auto" w:fill="auto"/>
            <w:vAlign w:val="center"/>
          </w:tcPr>
          <w:p w14:paraId="1DA6E016" w14:textId="77777777" w:rsidR="00B50935" w:rsidRPr="009017BC" w:rsidRDefault="00B50935" w:rsidP="00427764">
            <w:pPr>
              <w:rPr>
                <w:b/>
                <w:noProof/>
                <w:sz w:val="20"/>
              </w:rPr>
            </w:pPr>
          </w:p>
        </w:tc>
        <w:tc>
          <w:tcPr>
            <w:tcW w:w="1026" w:type="pct"/>
            <w:shd w:val="clear" w:color="auto" w:fill="auto"/>
            <w:vAlign w:val="center"/>
          </w:tcPr>
          <w:p w14:paraId="25EF7D4B" w14:textId="77777777" w:rsidR="00B50935" w:rsidRPr="009017BC" w:rsidRDefault="00B50935" w:rsidP="00427764">
            <w:pPr>
              <w:pStyle w:val="Text1"/>
              <w:spacing w:beforeLines="20" w:before="48" w:afterLines="20" w:after="48"/>
              <w:ind w:left="598"/>
              <w:jc w:val="left"/>
              <w:rPr>
                <w:b/>
                <w:noProof/>
                <w:sz w:val="20"/>
              </w:rPr>
            </w:pPr>
            <w:r w:rsidRPr="009017BC">
              <w:rPr>
                <w:sz w:val="20"/>
              </w:rPr>
              <w:t xml:space="preserve">- en las Delegaciones </w:t>
            </w:r>
          </w:p>
        </w:tc>
        <w:tc>
          <w:tcPr>
            <w:tcW w:w="386" w:type="pct"/>
            <w:shd w:val="clear" w:color="auto" w:fill="auto"/>
            <w:vAlign w:val="center"/>
          </w:tcPr>
          <w:p w14:paraId="6FA65CCB" w14:textId="77777777" w:rsidR="00B50935" w:rsidRPr="009017BC" w:rsidRDefault="00B50935" w:rsidP="00427764">
            <w:pPr>
              <w:pStyle w:val="Text1"/>
              <w:spacing w:beforeLines="20" w:before="48" w:afterLines="20" w:after="48"/>
              <w:rPr>
                <w:noProof/>
                <w:sz w:val="20"/>
              </w:rPr>
            </w:pPr>
          </w:p>
        </w:tc>
        <w:tc>
          <w:tcPr>
            <w:tcW w:w="368" w:type="pct"/>
            <w:shd w:val="clear" w:color="auto" w:fill="auto"/>
            <w:vAlign w:val="center"/>
          </w:tcPr>
          <w:p w14:paraId="5C42BA93"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06FC89B9"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213C3C66"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1EE5E5C1"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74ABE8A3"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0208B905" w14:textId="77777777" w:rsidR="00B50935" w:rsidRPr="009017BC" w:rsidRDefault="00B50935" w:rsidP="00427764">
            <w:pPr>
              <w:spacing w:beforeLines="20" w:before="48" w:afterLines="20" w:after="48"/>
              <w:jc w:val="center"/>
              <w:rPr>
                <w:noProof/>
                <w:sz w:val="20"/>
              </w:rPr>
            </w:pPr>
          </w:p>
        </w:tc>
      </w:tr>
      <w:tr w:rsidR="00B50935" w:rsidRPr="009017BC" w14:paraId="3CC91FD4" w14:textId="77777777" w:rsidTr="00427764">
        <w:trPr>
          <w:trHeight w:val="289"/>
          <w:jc w:val="center"/>
        </w:trPr>
        <w:tc>
          <w:tcPr>
            <w:tcW w:w="2044" w:type="pct"/>
            <w:gridSpan w:val="2"/>
            <w:shd w:val="clear" w:color="auto" w:fill="auto"/>
            <w:vAlign w:val="center"/>
          </w:tcPr>
          <w:p w14:paraId="7BA6B782" w14:textId="77777777" w:rsidR="00B50935" w:rsidRPr="009017BC" w:rsidRDefault="00B50935" w:rsidP="00427764">
            <w:pPr>
              <w:pStyle w:val="Text1"/>
              <w:spacing w:beforeLines="20" w:before="48" w:afterLines="20" w:after="48"/>
              <w:ind w:left="986"/>
              <w:jc w:val="left"/>
              <w:rPr>
                <w:noProof/>
                <w:sz w:val="20"/>
              </w:rPr>
            </w:pPr>
            <w:r w:rsidRPr="009017BC">
              <w:rPr>
                <w:b/>
                <w:sz w:val="20"/>
              </w:rPr>
              <w:t>XX</w:t>
            </w:r>
            <w:r w:rsidRPr="009017BC">
              <w:rPr>
                <w:sz w:val="20"/>
              </w:rPr>
              <w:t xml:space="preserve"> 01 05 02 (AC, ENCS, INT; investigación indirecta)</w:t>
            </w:r>
          </w:p>
        </w:tc>
        <w:tc>
          <w:tcPr>
            <w:tcW w:w="386" w:type="pct"/>
            <w:shd w:val="clear" w:color="auto" w:fill="auto"/>
            <w:vAlign w:val="center"/>
          </w:tcPr>
          <w:p w14:paraId="45DAE951"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7A35A243"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769EDC5F"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4779286A"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0E1046BF"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2176D7DE"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67442840" w14:textId="77777777" w:rsidR="00B50935" w:rsidRPr="009017BC" w:rsidRDefault="00B50935" w:rsidP="00427764">
            <w:pPr>
              <w:spacing w:beforeLines="20" w:before="48" w:afterLines="20" w:after="48"/>
              <w:jc w:val="center"/>
              <w:rPr>
                <w:noProof/>
                <w:sz w:val="20"/>
              </w:rPr>
            </w:pPr>
          </w:p>
        </w:tc>
      </w:tr>
      <w:tr w:rsidR="00B50935" w:rsidRPr="009017BC" w14:paraId="07ACD19B" w14:textId="77777777" w:rsidTr="00427764">
        <w:trPr>
          <w:trHeight w:val="289"/>
          <w:jc w:val="center"/>
        </w:trPr>
        <w:tc>
          <w:tcPr>
            <w:tcW w:w="2044" w:type="pct"/>
            <w:gridSpan w:val="2"/>
            <w:shd w:val="clear" w:color="auto" w:fill="auto"/>
            <w:vAlign w:val="center"/>
          </w:tcPr>
          <w:p w14:paraId="0AD6D62B" w14:textId="77777777" w:rsidR="00B50935" w:rsidRPr="009017BC" w:rsidRDefault="00B50935" w:rsidP="00427764">
            <w:pPr>
              <w:pStyle w:val="Text1"/>
              <w:spacing w:beforeLines="20" w:before="48" w:afterLines="20" w:after="48"/>
              <w:ind w:left="986"/>
              <w:jc w:val="left"/>
              <w:rPr>
                <w:noProof/>
                <w:sz w:val="20"/>
              </w:rPr>
            </w:pPr>
            <w:r w:rsidRPr="009017BC">
              <w:rPr>
                <w:sz w:val="20"/>
              </w:rPr>
              <w:t>10 01 05 02 (AC, INT, ENCS; investigación directa)</w:t>
            </w:r>
          </w:p>
        </w:tc>
        <w:tc>
          <w:tcPr>
            <w:tcW w:w="386" w:type="pct"/>
            <w:shd w:val="clear" w:color="auto" w:fill="auto"/>
            <w:vAlign w:val="center"/>
          </w:tcPr>
          <w:p w14:paraId="6EE2F467" w14:textId="77777777" w:rsidR="00B50935" w:rsidRPr="009017BC" w:rsidRDefault="00B50935" w:rsidP="00427764">
            <w:pPr>
              <w:spacing w:beforeLines="20" w:before="48" w:afterLines="20" w:after="48"/>
              <w:jc w:val="center"/>
              <w:rPr>
                <w:noProof/>
                <w:sz w:val="20"/>
              </w:rPr>
            </w:pPr>
          </w:p>
        </w:tc>
        <w:tc>
          <w:tcPr>
            <w:tcW w:w="368" w:type="pct"/>
            <w:shd w:val="clear" w:color="auto" w:fill="auto"/>
            <w:vAlign w:val="center"/>
          </w:tcPr>
          <w:p w14:paraId="13C709E2" w14:textId="77777777" w:rsidR="00B50935" w:rsidRPr="009017BC" w:rsidRDefault="00B50935" w:rsidP="00427764">
            <w:pPr>
              <w:spacing w:beforeLines="20" w:before="48" w:afterLines="20" w:after="48"/>
              <w:jc w:val="center"/>
              <w:rPr>
                <w:noProof/>
                <w:sz w:val="20"/>
              </w:rPr>
            </w:pPr>
          </w:p>
        </w:tc>
        <w:tc>
          <w:tcPr>
            <w:tcW w:w="406" w:type="pct"/>
            <w:shd w:val="clear" w:color="auto" w:fill="auto"/>
            <w:vAlign w:val="center"/>
          </w:tcPr>
          <w:p w14:paraId="55D2DD52" w14:textId="77777777" w:rsidR="00B50935" w:rsidRPr="009017BC" w:rsidRDefault="00B50935" w:rsidP="00427764">
            <w:pPr>
              <w:spacing w:beforeLines="20" w:before="48" w:afterLines="20" w:after="48"/>
              <w:jc w:val="center"/>
              <w:rPr>
                <w:noProof/>
                <w:sz w:val="20"/>
              </w:rPr>
            </w:pPr>
          </w:p>
        </w:tc>
        <w:tc>
          <w:tcPr>
            <w:tcW w:w="497" w:type="pct"/>
            <w:shd w:val="clear" w:color="auto" w:fill="auto"/>
            <w:vAlign w:val="center"/>
          </w:tcPr>
          <w:p w14:paraId="158171CD" w14:textId="77777777" w:rsidR="00B50935" w:rsidRPr="009017BC" w:rsidRDefault="00B50935" w:rsidP="00427764">
            <w:pPr>
              <w:spacing w:beforeLines="20" w:before="48" w:afterLines="20" w:after="48"/>
              <w:jc w:val="center"/>
              <w:rPr>
                <w:noProof/>
                <w:sz w:val="20"/>
              </w:rPr>
            </w:pPr>
          </w:p>
        </w:tc>
        <w:tc>
          <w:tcPr>
            <w:tcW w:w="424" w:type="pct"/>
            <w:shd w:val="clear" w:color="auto" w:fill="auto"/>
            <w:vAlign w:val="center"/>
          </w:tcPr>
          <w:p w14:paraId="21F7853D" w14:textId="77777777" w:rsidR="00B50935" w:rsidRPr="009017BC" w:rsidRDefault="00B50935" w:rsidP="00427764">
            <w:pPr>
              <w:spacing w:beforeLines="20" w:before="48" w:afterLines="20" w:after="48"/>
              <w:jc w:val="center"/>
              <w:rPr>
                <w:noProof/>
                <w:sz w:val="20"/>
              </w:rPr>
            </w:pPr>
          </w:p>
        </w:tc>
        <w:tc>
          <w:tcPr>
            <w:tcW w:w="423" w:type="pct"/>
            <w:gridSpan w:val="2"/>
            <w:shd w:val="clear" w:color="auto" w:fill="auto"/>
            <w:vAlign w:val="center"/>
          </w:tcPr>
          <w:p w14:paraId="2FBF3EBE" w14:textId="77777777" w:rsidR="00B50935" w:rsidRPr="009017BC" w:rsidRDefault="00B50935" w:rsidP="00427764">
            <w:pPr>
              <w:spacing w:beforeLines="20" w:before="48" w:afterLines="20" w:after="48"/>
              <w:jc w:val="center"/>
              <w:rPr>
                <w:noProof/>
                <w:sz w:val="20"/>
              </w:rPr>
            </w:pPr>
          </w:p>
        </w:tc>
        <w:tc>
          <w:tcPr>
            <w:tcW w:w="452" w:type="pct"/>
            <w:gridSpan w:val="3"/>
            <w:shd w:val="clear" w:color="auto" w:fill="auto"/>
            <w:vAlign w:val="center"/>
          </w:tcPr>
          <w:p w14:paraId="56D6C0BC" w14:textId="77777777" w:rsidR="00B50935" w:rsidRPr="009017BC" w:rsidRDefault="00B50935" w:rsidP="00427764">
            <w:pPr>
              <w:spacing w:beforeLines="20" w:before="48" w:afterLines="20" w:after="48"/>
              <w:jc w:val="center"/>
              <w:rPr>
                <w:noProof/>
                <w:sz w:val="20"/>
              </w:rPr>
            </w:pPr>
          </w:p>
        </w:tc>
      </w:tr>
      <w:tr w:rsidR="00B50935" w:rsidRPr="009017BC" w14:paraId="5D8A60B4" w14:textId="77777777" w:rsidTr="00427764">
        <w:trPr>
          <w:trHeight w:val="289"/>
          <w:jc w:val="center"/>
        </w:trPr>
        <w:tc>
          <w:tcPr>
            <w:tcW w:w="2044" w:type="pct"/>
            <w:gridSpan w:val="2"/>
            <w:tcBorders>
              <w:bottom w:val="double" w:sz="4" w:space="0" w:color="auto"/>
            </w:tcBorders>
            <w:shd w:val="clear" w:color="auto" w:fill="auto"/>
            <w:vAlign w:val="center"/>
          </w:tcPr>
          <w:p w14:paraId="0BF1CA9A" w14:textId="77777777" w:rsidR="00B50935" w:rsidRPr="009017BC" w:rsidRDefault="00B50935" w:rsidP="00427764">
            <w:pPr>
              <w:pStyle w:val="Text1"/>
              <w:spacing w:beforeLines="20" w:before="48" w:afterLines="20" w:after="48"/>
              <w:ind w:left="984"/>
              <w:jc w:val="left"/>
              <w:rPr>
                <w:noProof/>
                <w:sz w:val="20"/>
              </w:rPr>
            </w:pPr>
            <w:r w:rsidRPr="009017BC">
              <w:rPr>
                <w:sz w:val="20"/>
              </w:rPr>
              <w:t>Otras líneas presupuestarias (especifíquense)</w:t>
            </w:r>
          </w:p>
        </w:tc>
        <w:tc>
          <w:tcPr>
            <w:tcW w:w="386" w:type="pct"/>
            <w:tcBorders>
              <w:bottom w:val="double" w:sz="4" w:space="0" w:color="auto"/>
            </w:tcBorders>
            <w:shd w:val="clear" w:color="auto" w:fill="auto"/>
            <w:vAlign w:val="center"/>
          </w:tcPr>
          <w:p w14:paraId="55F63EA0" w14:textId="77777777" w:rsidR="00B50935" w:rsidRPr="009017BC" w:rsidRDefault="00B50935" w:rsidP="00427764">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14:paraId="62CD614E" w14:textId="77777777" w:rsidR="00B50935" w:rsidRPr="009017BC" w:rsidRDefault="00B50935" w:rsidP="00427764">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14:paraId="7C1ADDBA" w14:textId="77777777" w:rsidR="00B50935" w:rsidRPr="009017BC" w:rsidRDefault="00B50935" w:rsidP="00427764">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14:paraId="2DB91418" w14:textId="77777777" w:rsidR="00B50935" w:rsidRPr="009017BC" w:rsidRDefault="00B50935" w:rsidP="00427764">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14:paraId="3044A95F" w14:textId="77777777" w:rsidR="00B50935" w:rsidRPr="009017BC" w:rsidRDefault="00B50935" w:rsidP="00427764">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14:paraId="55227462" w14:textId="77777777" w:rsidR="00B50935" w:rsidRPr="009017BC" w:rsidRDefault="00B50935" w:rsidP="00427764">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14:paraId="25D7A965" w14:textId="77777777" w:rsidR="00B50935" w:rsidRPr="009017BC" w:rsidRDefault="00B50935" w:rsidP="00427764">
            <w:pPr>
              <w:spacing w:beforeLines="20" w:before="48" w:afterLines="20" w:after="48"/>
              <w:jc w:val="center"/>
              <w:rPr>
                <w:noProof/>
                <w:sz w:val="20"/>
              </w:rPr>
            </w:pPr>
          </w:p>
        </w:tc>
      </w:tr>
      <w:tr w:rsidR="00B50935" w:rsidRPr="009017BC" w14:paraId="1901CABA" w14:textId="77777777" w:rsidTr="00427764">
        <w:trPr>
          <w:trHeight w:val="289"/>
          <w:jc w:val="center"/>
        </w:trPr>
        <w:tc>
          <w:tcPr>
            <w:tcW w:w="2044" w:type="pct"/>
            <w:gridSpan w:val="2"/>
            <w:tcBorders>
              <w:top w:val="double" w:sz="4" w:space="0" w:color="auto"/>
            </w:tcBorders>
            <w:shd w:val="clear" w:color="auto" w:fill="auto"/>
            <w:vAlign w:val="center"/>
          </w:tcPr>
          <w:p w14:paraId="20ACD181" w14:textId="77777777" w:rsidR="00B50935" w:rsidRPr="009017BC" w:rsidRDefault="00B50935" w:rsidP="00427764">
            <w:pPr>
              <w:pStyle w:val="Text1"/>
              <w:spacing w:beforeLines="20" w:before="48" w:afterLines="20" w:after="48"/>
              <w:ind w:left="986"/>
              <w:jc w:val="left"/>
              <w:rPr>
                <w:noProof/>
                <w:sz w:val="20"/>
              </w:rPr>
            </w:pPr>
            <w:r w:rsidRPr="009017BC">
              <w:rPr>
                <w:b/>
                <w:sz w:val="20"/>
              </w:rPr>
              <w:t>TOTAL</w:t>
            </w:r>
          </w:p>
        </w:tc>
        <w:tc>
          <w:tcPr>
            <w:tcW w:w="386" w:type="pct"/>
            <w:tcBorders>
              <w:top w:val="double" w:sz="4" w:space="0" w:color="auto"/>
            </w:tcBorders>
            <w:shd w:val="clear" w:color="auto" w:fill="auto"/>
            <w:vAlign w:val="center"/>
          </w:tcPr>
          <w:p w14:paraId="20EDFBDC" w14:textId="77777777" w:rsidR="00B50935" w:rsidRPr="009017BC" w:rsidRDefault="00B50935" w:rsidP="00427764">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14:paraId="64E3F106" w14:textId="77777777" w:rsidR="00B50935" w:rsidRPr="009017BC" w:rsidRDefault="00B50935" w:rsidP="00427764">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14:paraId="17A265AC" w14:textId="77777777" w:rsidR="00B50935" w:rsidRPr="009017BC" w:rsidRDefault="00B50935" w:rsidP="00427764">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14:paraId="4C233FF1" w14:textId="77777777" w:rsidR="00B50935" w:rsidRPr="009017BC" w:rsidRDefault="00B50935" w:rsidP="00427764">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14:paraId="7F58CCD3" w14:textId="77777777" w:rsidR="00B50935" w:rsidRPr="009017BC" w:rsidRDefault="00B50935" w:rsidP="00427764">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14:paraId="0CB6B769" w14:textId="77777777" w:rsidR="00B50935" w:rsidRPr="009017BC" w:rsidRDefault="00B50935" w:rsidP="00427764">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14:paraId="58A6FB41" w14:textId="77777777" w:rsidR="00B50935" w:rsidRPr="009017BC" w:rsidRDefault="00B50935" w:rsidP="00427764">
            <w:pPr>
              <w:spacing w:beforeLines="20" w:before="48" w:afterLines="20" w:after="48"/>
              <w:jc w:val="center"/>
              <w:rPr>
                <w:b/>
                <w:noProof/>
                <w:sz w:val="20"/>
              </w:rPr>
            </w:pPr>
          </w:p>
        </w:tc>
      </w:tr>
    </w:tbl>
    <w:p w14:paraId="74CAFA70" w14:textId="77777777" w:rsidR="00B50935" w:rsidRPr="009017BC" w:rsidRDefault="00B50935" w:rsidP="00B50935">
      <w:pPr>
        <w:pStyle w:val="Text1"/>
        <w:spacing w:before="60" w:after="60"/>
        <w:ind w:left="851"/>
        <w:rPr>
          <w:noProof/>
        </w:rPr>
      </w:pPr>
      <w:r w:rsidRPr="009017BC">
        <w:rPr>
          <w:b/>
        </w:rPr>
        <w:t>XX</w:t>
      </w:r>
      <w:r w:rsidRPr="009017BC">
        <w:t xml:space="preserve"> es el ámbito político o título presupuestario en cuestión.</w:t>
      </w:r>
    </w:p>
    <w:p w14:paraId="29F695B9" w14:textId="77777777" w:rsidR="00B50935" w:rsidRPr="009017BC" w:rsidRDefault="00B50935" w:rsidP="00B50935">
      <w:pPr>
        <w:pStyle w:val="Text1"/>
        <w:rPr>
          <w:noProof/>
          <w:sz w:val="22"/>
        </w:rPr>
      </w:pPr>
      <w:r w:rsidRPr="009017BC">
        <w:rPr>
          <w:sz w:val="22"/>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14:paraId="73DA9792" w14:textId="77777777" w:rsidR="00B50935" w:rsidRPr="009017BC" w:rsidRDefault="00B50935" w:rsidP="00B50935">
      <w:pPr>
        <w:rPr>
          <w:noProof/>
          <w:sz w:val="20"/>
        </w:rPr>
      </w:pPr>
      <w:r w:rsidRPr="009017BC">
        <w:rPr>
          <w:sz w:val="20"/>
        </w:rPr>
        <w:t>Descripción de las tareas que deben llevarse a cabo:</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50935" w:rsidRPr="009017BC" w14:paraId="06BED287" w14:textId="77777777" w:rsidTr="00427764">
        <w:tc>
          <w:tcPr>
            <w:tcW w:w="3240" w:type="dxa"/>
          </w:tcPr>
          <w:p w14:paraId="23F5B32D" w14:textId="77777777" w:rsidR="00B50935" w:rsidRPr="009017BC" w:rsidRDefault="00B50935" w:rsidP="00427764">
            <w:pPr>
              <w:rPr>
                <w:noProof/>
                <w:sz w:val="20"/>
              </w:rPr>
            </w:pPr>
            <w:r w:rsidRPr="009017BC">
              <w:rPr>
                <w:sz w:val="20"/>
              </w:rPr>
              <w:t>Funcionarios y agentes temporales</w:t>
            </w:r>
          </w:p>
        </w:tc>
        <w:tc>
          <w:tcPr>
            <w:tcW w:w="7200" w:type="dxa"/>
          </w:tcPr>
          <w:p w14:paraId="23E797FF" w14:textId="77777777" w:rsidR="00B50935" w:rsidRPr="009017BC" w:rsidRDefault="00B50935" w:rsidP="00427764">
            <w:pPr>
              <w:rPr>
                <w:noProof/>
                <w:sz w:val="20"/>
              </w:rPr>
            </w:pPr>
          </w:p>
        </w:tc>
      </w:tr>
      <w:tr w:rsidR="00B50935" w:rsidRPr="009017BC" w14:paraId="2328D177" w14:textId="77777777" w:rsidTr="00427764">
        <w:tc>
          <w:tcPr>
            <w:tcW w:w="3240" w:type="dxa"/>
          </w:tcPr>
          <w:p w14:paraId="619F440E" w14:textId="77777777" w:rsidR="00B50935" w:rsidRPr="009017BC" w:rsidRDefault="00B50935" w:rsidP="00427764">
            <w:pPr>
              <w:spacing w:before="60" w:after="60"/>
              <w:rPr>
                <w:noProof/>
                <w:sz w:val="20"/>
              </w:rPr>
            </w:pPr>
            <w:r w:rsidRPr="009017BC">
              <w:rPr>
                <w:sz w:val="20"/>
              </w:rPr>
              <w:t>Personal externo</w:t>
            </w:r>
          </w:p>
        </w:tc>
        <w:tc>
          <w:tcPr>
            <w:tcW w:w="7200" w:type="dxa"/>
          </w:tcPr>
          <w:p w14:paraId="3602C413" w14:textId="77777777" w:rsidR="00B50935" w:rsidRPr="009017BC" w:rsidRDefault="00B50935" w:rsidP="00427764">
            <w:pPr>
              <w:rPr>
                <w:noProof/>
                <w:sz w:val="20"/>
              </w:rPr>
            </w:pPr>
          </w:p>
        </w:tc>
      </w:tr>
    </w:tbl>
    <w:p w14:paraId="6FF87D6C" w14:textId="77777777" w:rsidR="00B50935" w:rsidRPr="009017BC" w:rsidRDefault="00B50935" w:rsidP="00B50935">
      <w:pPr>
        <w:rPr>
          <w:noProof/>
        </w:rPr>
      </w:pPr>
    </w:p>
    <w:p w14:paraId="2AF0851B" w14:textId="77777777" w:rsidR="00B50935" w:rsidRPr="009017BC" w:rsidRDefault="00B50935" w:rsidP="00B50935">
      <w:pPr>
        <w:rPr>
          <w:noProof/>
        </w:rPr>
      </w:pPr>
      <w:r w:rsidRPr="009017BC">
        <w:t xml:space="preserve">En el anexo V, sección 3, debe incluirse una descripción del cálculo del coste de las unidades EJC. </w:t>
      </w:r>
    </w:p>
    <w:p w14:paraId="682F33CC" w14:textId="77777777" w:rsidR="00B50935" w:rsidRPr="009017BC" w:rsidRDefault="00B50935" w:rsidP="00B50935">
      <w:pPr>
        <w:rPr>
          <w:noProof/>
        </w:rPr>
        <w:sectPr w:rsidR="00B50935" w:rsidRPr="009017BC" w:rsidSect="00DF5771">
          <w:pgSz w:w="11907" w:h="16839"/>
          <w:pgMar w:top="1134" w:right="1417" w:bottom="1134" w:left="1417" w:header="709" w:footer="709" w:gutter="0"/>
          <w:cols w:space="720"/>
          <w:docGrid w:linePitch="326"/>
        </w:sectPr>
      </w:pPr>
    </w:p>
    <w:p w14:paraId="75E314E3" w14:textId="77777777" w:rsidR="00B50935" w:rsidRPr="009017BC" w:rsidRDefault="00B50935" w:rsidP="00B50935">
      <w:pPr>
        <w:pStyle w:val="Heading3"/>
        <w:rPr>
          <w:bCs w:val="0"/>
          <w:noProof/>
          <w:szCs w:val="24"/>
        </w:rPr>
      </w:pPr>
      <w:bookmarkStart w:id="76" w:name="_Toc514938689"/>
      <w:bookmarkStart w:id="77" w:name="_Toc57975645"/>
      <w:r w:rsidRPr="009017BC">
        <w:t>Compatibilidad con el marco financiero plurianual vigente</w:t>
      </w:r>
      <w:bookmarkEnd w:id="76"/>
      <w:bookmarkEnd w:id="77"/>
      <w:r w:rsidRPr="009017BC">
        <w:t xml:space="preserve"> </w:t>
      </w:r>
    </w:p>
    <w:p w14:paraId="23A54B5E" w14:textId="77777777" w:rsidR="00B50935" w:rsidRPr="009017BC" w:rsidRDefault="00B50935" w:rsidP="006F7C3E">
      <w:pPr>
        <w:pStyle w:val="ListDash1"/>
        <w:rPr>
          <w:noProof/>
        </w:rPr>
      </w:pPr>
      <w:r w:rsidRPr="009017BC">
        <w:sym w:font="Wingdings" w:char="F0A8"/>
      </w:r>
      <w:r w:rsidRPr="009017BC">
        <w:tab/>
        <w:t>La propuesta/iniciativa es compatible con el marco financiero plurianual vigente.</w:t>
      </w:r>
    </w:p>
    <w:p w14:paraId="17491537" w14:textId="4B3D3FF7" w:rsidR="00B50935" w:rsidRPr="009017BC" w:rsidRDefault="00B50935" w:rsidP="006F7C3E">
      <w:pPr>
        <w:pStyle w:val="ListDash1"/>
        <w:rPr>
          <w:noProof/>
        </w:rPr>
      </w:pPr>
      <w:r w:rsidRPr="009017BC">
        <w:t>X La propuesta/iniciativa implicará la reprogramación de la rúbrica correspondiente del marco financiero plurianual.</w:t>
      </w:r>
    </w:p>
    <w:p w14:paraId="69BF9E11"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9017BC">
        <w:rPr>
          <w:sz w:val="20"/>
        </w:rPr>
        <w:t>Explíquese la reprogramación requerida, precisando las líneas presupuestarias afectadas y los importes correspondientes.</w:t>
      </w:r>
    </w:p>
    <w:p w14:paraId="771FF021"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rPr>
      </w:pPr>
      <w:r w:rsidRPr="009017BC">
        <w:t>El presupuesto adicional propuesto para el ECDC podrá financiarse mediante una reducción del presupuesto del programa «La UE por la Salud» en los próximos años.</w:t>
      </w:r>
    </w:p>
    <w:p w14:paraId="1F4C08CB" w14:textId="77777777" w:rsidR="00B50935" w:rsidRPr="009017BC" w:rsidRDefault="00B50935" w:rsidP="006F7C3E">
      <w:pPr>
        <w:pStyle w:val="ListDash1"/>
        <w:rPr>
          <w:noProof/>
        </w:rPr>
      </w:pPr>
      <w:r w:rsidRPr="009017BC">
        <w:sym w:font="Wingdings" w:char="F0A8"/>
      </w:r>
      <w:r w:rsidRPr="009017BC">
        <w:tab/>
        <w:t>La propuesta/iniciativa requiere la aplicación del Instrumento de Flexibilidad o la revisión del marco financiero plurianual</w:t>
      </w:r>
      <w:r w:rsidRPr="009017BC">
        <w:rPr>
          <w:rStyle w:val="FootnoteReference"/>
          <w:noProof/>
        </w:rPr>
        <w:footnoteReference w:id="23"/>
      </w:r>
      <w:r w:rsidRPr="009017BC">
        <w:t>.</w:t>
      </w:r>
    </w:p>
    <w:p w14:paraId="42FA0F50" w14:textId="77777777"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9017BC">
        <w:rPr>
          <w:sz w:val="20"/>
        </w:rPr>
        <w:t>Explíquese qué es lo que se requiere, precisando las rúbricas y líneas presupuestarias afectadas y los importes correspondientes.</w:t>
      </w:r>
    </w:p>
    <w:p w14:paraId="0E2A596A" w14:textId="6E15A944"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sz w:val="20"/>
        </w:rPr>
      </w:pPr>
    </w:p>
    <w:p w14:paraId="09B4F9D3" w14:textId="77777777" w:rsidR="00B50935" w:rsidRPr="009017BC" w:rsidRDefault="00B50935" w:rsidP="00B50935">
      <w:pPr>
        <w:pStyle w:val="Heading3"/>
        <w:rPr>
          <w:bCs w:val="0"/>
          <w:noProof/>
          <w:szCs w:val="24"/>
        </w:rPr>
      </w:pPr>
      <w:bookmarkStart w:id="78" w:name="_Toc514938690"/>
      <w:bookmarkStart w:id="79" w:name="_Toc57975646"/>
      <w:r w:rsidRPr="009017BC">
        <w:t>Contribución de terceros</w:t>
      </w:r>
      <w:bookmarkEnd w:id="78"/>
      <w:bookmarkEnd w:id="79"/>
      <w:r w:rsidRPr="009017BC">
        <w:t xml:space="preserve"> </w:t>
      </w:r>
    </w:p>
    <w:p w14:paraId="7EE0BD9C" w14:textId="77777777" w:rsidR="00B50935" w:rsidRPr="009017BC" w:rsidRDefault="00B50935" w:rsidP="006F7C3E">
      <w:pPr>
        <w:pStyle w:val="ListDash1"/>
        <w:rPr>
          <w:noProof/>
        </w:rPr>
      </w:pPr>
      <w:r w:rsidRPr="009017BC">
        <w:t xml:space="preserve">La propuesta/iniciativa no prevé la cofinanciación por terceros. </w:t>
      </w:r>
    </w:p>
    <w:p w14:paraId="0ED6FF16" w14:textId="77777777" w:rsidR="00B50935" w:rsidRPr="009017BC" w:rsidRDefault="00B50935" w:rsidP="006F7C3E">
      <w:pPr>
        <w:pStyle w:val="ListDash1"/>
        <w:rPr>
          <w:noProof/>
        </w:rPr>
      </w:pPr>
      <w:r w:rsidRPr="009017BC">
        <w:t>La propuesta/iniciativa prevé la cofinanciación que se estima a continuación:</w:t>
      </w:r>
    </w:p>
    <w:p w14:paraId="6904BABE" w14:textId="77777777" w:rsidR="00B50935" w:rsidRPr="009017BC" w:rsidRDefault="00B50935" w:rsidP="00B50935">
      <w:pPr>
        <w:jc w:val="right"/>
        <w:rPr>
          <w:noProof/>
          <w:sz w:val="20"/>
        </w:rPr>
      </w:pPr>
      <w:r w:rsidRPr="009017BC">
        <w:rPr>
          <w:sz w:val="20"/>
        </w:rPr>
        <w:t>En millones EUR (al tercer decimal)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0935" w:rsidRPr="009017BC" w14:paraId="071941AD" w14:textId="77777777" w:rsidTr="00427764">
        <w:trPr>
          <w:cantSplit/>
        </w:trPr>
        <w:tc>
          <w:tcPr>
            <w:tcW w:w="2340" w:type="dxa"/>
          </w:tcPr>
          <w:p w14:paraId="757CFD5C" w14:textId="77777777" w:rsidR="00B50935" w:rsidRPr="009017BC" w:rsidRDefault="00B50935" w:rsidP="00427764">
            <w:pPr>
              <w:spacing w:before="60" w:after="60"/>
              <w:rPr>
                <w:noProof/>
                <w:sz w:val="20"/>
              </w:rPr>
            </w:pPr>
          </w:p>
        </w:tc>
        <w:tc>
          <w:tcPr>
            <w:tcW w:w="964" w:type="dxa"/>
            <w:vAlign w:val="center"/>
          </w:tcPr>
          <w:p w14:paraId="5710B9AB"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2021</w:t>
            </w:r>
          </w:p>
        </w:tc>
        <w:tc>
          <w:tcPr>
            <w:tcW w:w="964" w:type="dxa"/>
            <w:vAlign w:val="center"/>
          </w:tcPr>
          <w:p w14:paraId="37AFA9B7"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2022</w:t>
            </w:r>
          </w:p>
        </w:tc>
        <w:tc>
          <w:tcPr>
            <w:tcW w:w="964" w:type="dxa"/>
            <w:vAlign w:val="center"/>
          </w:tcPr>
          <w:p w14:paraId="690EAE17"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2023</w:t>
            </w:r>
          </w:p>
        </w:tc>
        <w:tc>
          <w:tcPr>
            <w:tcW w:w="964" w:type="dxa"/>
            <w:vAlign w:val="center"/>
          </w:tcPr>
          <w:p w14:paraId="733995AC" w14:textId="77777777" w:rsidR="00B50935" w:rsidRPr="009017BC" w:rsidRDefault="00B50935" w:rsidP="00427764">
            <w:pPr>
              <w:jc w:val="center"/>
              <w:rPr>
                <w:noProof/>
                <w:sz w:val="20"/>
              </w:rPr>
            </w:pPr>
            <w:r w:rsidRPr="009017BC">
              <w:rPr>
                <w:sz w:val="20"/>
              </w:rPr>
              <w:t>Año</w:t>
            </w:r>
            <w:r w:rsidRPr="009017BC">
              <w:t xml:space="preserve"> </w:t>
            </w:r>
            <w:r w:rsidRPr="009017BC">
              <w:br/>
            </w:r>
            <w:r w:rsidRPr="009017BC">
              <w:rPr>
                <w:b/>
                <w:sz w:val="20"/>
              </w:rPr>
              <w:t>2024</w:t>
            </w:r>
          </w:p>
        </w:tc>
        <w:tc>
          <w:tcPr>
            <w:tcW w:w="964" w:type="dxa"/>
            <w:vAlign w:val="center"/>
          </w:tcPr>
          <w:p w14:paraId="032FE837"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2025</w:t>
            </w:r>
          </w:p>
        </w:tc>
        <w:tc>
          <w:tcPr>
            <w:tcW w:w="964" w:type="dxa"/>
            <w:vAlign w:val="center"/>
          </w:tcPr>
          <w:p w14:paraId="5FEC3BDA"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2026</w:t>
            </w:r>
          </w:p>
        </w:tc>
        <w:tc>
          <w:tcPr>
            <w:tcW w:w="964" w:type="dxa"/>
            <w:vAlign w:val="center"/>
          </w:tcPr>
          <w:p w14:paraId="04C10B0B" w14:textId="77777777" w:rsidR="00B50935" w:rsidRPr="009017BC" w:rsidRDefault="00B50935" w:rsidP="00427764">
            <w:pPr>
              <w:jc w:val="center"/>
              <w:rPr>
                <w:b/>
                <w:noProof/>
                <w:sz w:val="20"/>
              </w:rPr>
            </w:pPr>
            <w:r w:rsidRPr="009017BC">
              <w:rPr>
                <w:sz w:val="20"/>
              </w:rPr>
              <w:t>Año</w:t>
            </w:r>
            <w:r w:rsidRPr="009017BC">
              <w:t xml:space="preserve"> </w:t>
            </w:r>
            <w:r w:rsidRPr="009017BC">
              <w:br/>
            </w:r>
            <w:r w:rsidRPr="009017BC">
              <w:rPr>
                <w:b/>
                <w:sz w:val="20"/>
              </w:rPr>
              <w:t>2027</w:t>
            </w:r>
            <w:r w:rsidRPr="009017BC">
              <w:rPr>
                <w:sz w:val="20"/>
              </w:rPr>
              <w:t xml:space="preserve"> y ss.</w:t>
            </w:r>
          </w:p>
        </w:tc>
        <w:tc>
          <w:tcPr>
            <w:tcW w:w="1158" w:type="dxa"/>
            <w:vAlign w:val="center"/>
          </w:tcPr>
          <w:p w14:paraId="7CD15E3D" w14:textId="77777777" w:rsidR="00B50935" w:rsidRPr="009017BC" w:rsidRDefault="00B50935" w:rsidP="00427764">
            <w:pPr>
              <w:spacing w:before="60" w:after="60"/>
              <w:jc w:val="center"/>
              <w:rPr>
                <w:noProof/>
                <w:sz w:val="20"/>
              </w:rPr>
            </w:pPr>
            <w:r w:rsidRPr="009017BC">
              <w:rPr>
                <w:b/>
                <w:sz w:val="20"/>
              </w:rPr>
              <w:t>TOTAL</w:t>
            </w:r>
          </w:p>
        </w:tc>
      </w:tr>
      <w:tr w:rsidR="00B50935" w:rsidRPr="009017BC" w14:paraId="6087E397" w14:textId="77777777" w:rsidTr="00427764">
        <w:trPr>
          <w:cantSplit/>
        </w:trPr>
        <w:tc>
          <w:tcPr>
            <w:tcW w:w="2340" w:type="dxa"/>
          </w:tcPr>
          <w:p w14:paraId="6EF93288" w14:textId="77777777" w:rsidR="00B50935" w:rsidRPr="009017BC" w:rsidRDefault="00B50935" w:rsidP="00427764">
            <w:pPr>
              <w:rPr>
                <w:noProof/>
              </w:rPr>
            </w:pPr>
            <w:r w:rsidRPr="009017BC">
              <w:rPr>
                <w:sz w:val="20"/>
              </w:rPr>
              <w:t>Especifíquese el organismo de cofinanciación</w:t>
            </w:r>
            <w:r w:rsidRPr="009017BC">
              <w:rPr>
                <w:i/>
                <w:sz w:val="20"/>
              </w:rPr>
              <w:t xml:space="preserve"> </w:t>
            </w:r>
          </w:p>
        </w:tc>
        <w:tc>
          <w:tcPr>
            <w:tcW w:w="964" w:type="dxa"/>
            <w:vAlign w:val="center"/>
          </w:tcPr>
          <w:p w14:paraId="69147D72"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521D69EF"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4D75E8C4"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3F6F731B"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319FACB9"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55B20DD9"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2ACA131A" w14:textId="77777777" w:rsidR="00B50935" w:rsidRPr="009017BC" w:rsidRDefault="00B50935" w:rsidP="00427764">
            <w:pPr>
              <w:spacing w:before="60" w:after="60"/>
              <w:jc w:val="center"/>
              <w:rPr>
                <w:noProof/>
                <w:sz w:val="20"/>
              </w:rPr>
            </w:pPr>
            <w:r w:rsidRPr="009017BC">
              <w:rPr>
                <w:sz w:val="20"/>
              </w:rPr>
              <w:t>Pro memoria</w:t>
            </w:r>
          </w:p>
        </w:tc>
        <w:tc>
          <w:tcPr>
            <w:tcW w:w="1158" w:type="dxa"/>
            <w:vAlign w:val="center"/>
          </w:tcPr>
          <w:p w14:paraId="254B9B0C" w14:textId="77777777" w:rsidR="00B50935" w:rsidRPr="009017BC" w:rsidRDefault="00B50935" w:rsidP="00427764">
            <w:pPr>
              <w:spacing w:before="60" w:after="60"/>
              <w:jc w:val="center"/>
              <w:rPr>
                <w:noProof/>
                <w:sz w:val="20"/>
              </w:rPr>
            </w:pPr>
            <w:r w:rsidRPr="009017BC">
              <w:rPr>
                <w:sz w:val="20"/>
              </w:rPr>
              <w:t>Pro memoria</w:t>
            </w:r>
          </w:p>
        </w:tc>
      </w:tr>
      <w:tr w:rsidR="00B50935" w:rsidRPr="009017BC" w14:paraId="114B9150" w14:textId="77777777" w:rsidTr="00427764">
        <w:trPr>
          <w:cantSplit/>
        </w:trPr>
        <w:tc>
          <w:tcPr>
            <w:tcW w:w="2340" w:type="dxa"/>
          </w:tcPr>
          <w:p w14:paraId="5832F597" w14:textId="77777777" w:rsidR="00B50935" w:rsidRPr="009017BC" w:rsidRDefault="00B50935" w:rsidP="00427764">
            <w:pPr>
              <w:spacing w:before="60" w:after="60"/>
              <w:rPr>
                <w:noProof/>
                <w:sz w:val="20"/>
              </w:rPr>
            </w:pPr>
            <w:r w:rsidRPr="009017BC">
              <w:rPr>
                <w:sz w:val="20"/>
              </w:rPr>
              <w:t xml:space="preserve">TOTAL de los créditos cofinanciados </w:t>
            </w:r>
          </w:p>
        </w:tc>
        <w:tc>
          <w:tcPr>
            <w:tcW w:w="964" w:type="dxa"/>
            <w:vAlign w:val="center"/>
          </w:tcPr>
          <w:p w14:paraId="3604849D"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66603DF2"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15354EA0"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3915FE35"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1BC605EE"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16DE4AAA" w14:textId="77777777" w:rsidR="00B50935" w:rsidRPr="009017BC" w:rsidRDefault="00B50935" w:rsidP="00427764">
            <w:pPr>
              <w:spacing w:before="60" w:after="60"/>
              <w:jc w:val="center"/>
              <w:rPr>
                <w:noProof/>
                <w:sz w:val="20"/>
              </w:rPr>
            </w:pPr>
            <w:r w:rsidRPr="009017BC">
              <w:rPr>
                <w:sz w:val="20"/>
              </w:rPr>
              <w:t>Pro memoria</w:t>
            </w:r>
          </w:p>
        </w:tc>
        <w:tc>
          <w:tcPr>
            <w:tcW w:w="964" w:type="dxa"/>
            <w:vAlign w:val="center"/>
          </w:tcPr>
          <w:p w14:paraId="68E30F02" w14:textId="77777777" w:rsidR="00B50935" w:rsidRPr="009017BC" w:rsidRDefault="00B50935" w:rsidP="00427764">
            <w:pPr>
              <w:spacing w:before="60" w:after="60"/>
              <w:jc w:val="center"/>
              <w:rPr>
                <w:noProof/>
                <w:sz w:val="20"/>
              </w:rPr>
            </w:pPr>
            <w:r w:rsidRPr="009017BC">
              <w:rPr>
                <w:sz w:val="20"/>
              </w:rPr>
              <w:t>Pro memoria</w:t>
            </w:r>
          </w:p>
        </w:tc>
        <w:tc>
          <w:tcPr>
            <w:tcW w:w="1158" w:type="dxa"/>
            <w:vAlign w:val="center"/>
          </w:tcPr>
          <w:p w14:paraId="69C3A2DB" w14:textId="77777777" w:rsidR="00B50935" w:rsidRPr="009017BC" w:rsidRDefault="00B50935" w:rsidP="00427764">
            <w:pPr>
              <w:spacing w:before="60" w:after="60"/>
              <w:jc w:val="center"/>
              <w:rPr>
                <w:noProof/>
                <w:sz w:val="20"/>
              </w:rPr>
            </w:pPr>
            <w:r w:rsidRPr="009017BC">
              <w:rPr>
                <w:sz w:val="20"/>
              </w:rPr>
              <w:t>Pro memoria</w:t>
            </w:r>
          </w:p>
        </w:tc>
      </w:tr>
    </w:tbl>
    <w:p w14:paraId="1B12772B" w14:textId="77777777" w:rsidR="00B50935" w:rsidRPr="009017BC" w:rsidRDefault="00B50935" w:rsidP="00B50935">
      <w:pPr>
        <w:rPr>
          <w:noProof/>
        </w:rPr>
      </w:pPr>
      <w:r w:rsidRPr="009017BC">
        <w:t xml:space="preserve"> </w:t>
      </w:r>
      <w:r w:rsidRPr="009017BC">
        <w:br/>
      </w:r>
    </w:p>
    <w:p w14:paraId="2E725C94" w14:textId="77777777" w:rsidR="00B50935" w:rsidRPr="009017BC" w:rsidRDefault="00B50935" w:rsidP="00B50935">
      <w:pPr>
        <w:pStyle w:val="Heading2"/>
        <w:rPr>
          <w:bCs w:val="0"/>
          <w:noProof/>
          <w:szCs w:val="24"/>
        </w:rPr>
      </w:pPr>
      <w:r w:rsidRPr="009017BC">
        <w:br w:type="page"/>
      </w:r>
      <w:bookmarkStart w:id="80" w:name="_Toc514938691"/>
      <w:bookmarkStart w:id="81" w:name="_Toc57975647"/>
      <w:r w:rsidRPr="009017BC">
        <w:t>Incidencia estimada en los ingresos</w:t>
      </w:r>
      <w:bookmarkEnd w:id="80"/>
      <w:bookmarkEnd w:id="81"/>
      <w:r w:rsidRPr="009017BC">
        <w:t xml:space="preserve"> </w:t>
      </w:r>
    </w:p>
    <w:p w14:paraId="745656D4" w14:textId="77777777" w:rsidR="00B50935" w:rsidRPr="009017BC" w:rsidRDefault="00B50935" w:rsidP="006F7C3E">
      <w:pPr>
        <w:pStyle w:val="ListDash1"/>
        <w:rPr>
          <w:noProof/>
        </w:rPr>
      </w:pPr>
      <w:r w:rsidRPr="009017BC">
        <w:t>X</w:t>
      </w:r>
      <w:r w:rsidRPr="009017BC">
        <w:tab/>
        <w:t>La propuesta/iniciativa no tiene incidencia financiera en los ingresos.</w:t>
      </w:r>
    </w:p>
    <w:p w14:paraId="2F4E04A5" w14:textId="77777777" w:rsidR="00B50935" w:rsidRPr="009017BC" w:rsidRDefault="00B50935" w:rsidP="006F7C3E">
      <w:pPr>
        <w:pStyle w:val="ListDash1"/>
        <w:rPr>
          <w:noProof/>
        </w:rPr>
      </w:pPr>
      <w:r w:rsidRPr="009017BC">
        <w:sym w:font="Wingdings" w:char="F0A8"/>
      </w:r>
      <w:r w:rsidRPr="009017BC">
        <w:tab/>
        <w:t>La propuesta/iniciativa tiene la incidencia financiera que se indica a continuación:</w:t>
      </w:r>
    </w:p>
    <w:p w14:paraId="5F14EAB5" w14:textId="77777777" w:rsidR="00B50935" w:rsidRPr="009017BC" w:rsidRDefault="00B50935" w:rsidP="006F7C3E">
      <w:pPr>
        <w:pStyle w:val="ListNumberLevel3"/>
        <w:rPr>
          <w:noProof/>
        </w:rPr>
      </w:pPr>
      <w:r w:rsidRPr="009017BC">
        <w:sym w:font="Wingdings" w:char="F0A8"/>
      </w:r>
      <w:r w:rsidRPr="009017BC">
        <w:tab/>
        <w:t xml:space="preserve">en los recursos propios </w:t>
      </w:r>
    </w:p>
    <w:p w14:paraId="407D0782" w14:textId="77777777" w:rsidR="00B50935" w:rsidRPr="009017BC" w:rsidRDefault="00B50935" w:rsidP="006F7C3E">
      <w:pPr>
        <w:pStyle w:val="ListNumberLevel3"/>
        <w:rPr>
          <w:noProof/>
        </w:rPr>
      </w:pPr>
      <w:r w:rsidRPr="009017BC">
        <w:sym w:font="Wingdings" w:char="F0A8"/>
      </w:r>
      <w:r w:rsidRPr="009017BC">
        <w:tab/>
        <w:t xml:space="preserve">en otros ingresos </w:t>
      </w:r>
    </w:p>
    <w:p w14:paraId="1795D355" w14:textId="48BDA02F" w:rsidR="00B50935" w:rsidRPr="009017BC" w:rsidRDefault="00B50935" w:rsidP="006F7C3E">
      <w:pPr>
        <w:pStyle w:val="ListNumberLevel3"/>
        <w:rPr>
          <w:noProof/>
        </w:rPr>
      </w:pPr>
      <w:r w:rsidRPr="009017BC">
        <w:sym w:font="Wingdings" w:char="F0A8"/>
      </w:r>
      <w:r w:rsidRPr="009017BC">
        <w:t xml:space="preserve"> indíquese si los ingresos se asignan a las líneas de gasto </w:t>
      </w:r>
    </w:p>
    <w:p w14:paraId="69D913D5" w14:textId="77777777" w:rsidR="00B50935" w:rsidRPr="009017BC" w:rsidRDefault="00B50935" w:rsidP="00B50935">
      <w:pPr>
        <w:jc w:val="right"/>
        <w:rPr>
          <w:i/>
          <w:noProof/>
          <w:sz w:val="20"/>
        </w:rPr>
      </w:pPr>
      <w:r w:rsidRPr="009017BC">
        <w:rPr>
          <w:sz w:val="20"/>
        </w:rPr>
        <w:t>En millones EUR (al tercer decimal)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50935" w:rsidRPr="009017BC" w14:paraId="4C4E72A6" w14:textId="77777777" w:rsidTr="00427764">
        <w:trPr>
          <w:trHeight w:val="388"/>
        </w:trPr>
        <w:tc>
          <w:tcPr>
            <w:tcW w:w="2144" w:type="dxa"/>
            <w:vMerge w:val="restart"/>
            <w:vAlign w:val="center"/>
          </w:tcPr>
          <w:p w14:paraId="47DAB5CF" w14:textId="77777777" w:rsidR="00B50935" w:rsidRPr="009017BC" w:rsidRDefault="00B50935" w:rsidP="00427764">
            <w:pPr>
              <w:spacing w:before="40" w:after="40"/>
              <w:rPr>
                <w:noProof/>
                <w:sz w:val="18"/>
              </w:rPr>
            </w:pPr>
            <w:r w:rsidRPr="009017BC">
              <w:rPr>
                <w:sz w:val="18"/>
              </w:rPr>
              <w:t>Línea presupuestaria de ingresos:</w:t>
            </w:r>
          </w:p>
        </w:tc>
        <w:tc>
          <w:tcPr>
            <w:tcW w:w="1276" w:type="dxa"/>
            <w:vMerge w:val="restart"/>
            <w:vAlign w:val="center"/>
          </w:tcPr>
          <w:p w14:paraId="2C7DA177" w14:textId="77777777" w:rsidR="00B50935" w:rsidRPr="009017BC" w:rsidRDefault="00B50935" w:rsidP="00427764">
            <w:pPr>
              <w:jc w:val="center"/>
              <w:rPr>
                <w:noProof/>
                <w:sz w:val="18"/>
              </w:rPr>
            </w:pPr>
            <w:r w:rsidRPr="009017BC">
              <w:rPr>
                <w:sz w:val="18"/>
              </w:rPr>
              <w:t>Créditos disponibles para el ejercicio presupuestario en curso</w:t>
            </w:r>
          </w:p>
        </w:tc>
        <w:tc>
          <w:tcPr>
            <w:tcW w:w="7200" w:type="dxa"/>
            <w:gridSpan w:val="7"/>
            <w:vAlign w:val="center"/>
          </w:tcPr>
          <w:p w14:paraId="6AA80ED8" w14:textId="77777777" w:rsidR="00B50935" w:rsidRPr="009017BC" w:rsidRDefault="00B50935" w:rsidP="00427764">
            <w:pPr>
              <w:jc w:val="center"/>
              <w:rPr>
                <w:noProof/>
                <w:sz w:val="18"/>
              </w:rPr>
            </w:pPr>
            <w:r w:rsidRPr="009017BC">
              <w:rPr>
                <w:sz w:val="18"/>
              </w:rPr>
              <w:t>Incidencia de la propuesta/iniciativa</w:t>
            </w:r>
            <w:r w:rsidRPr="009017BC">
              <w:rPr>
                <w:rStyle w:val="FootnoteReference"/>
                <w:noProof/>
                <w:sz w:val="18"/>
              </w:rPr>
              <w:footnoteReference w:id="24"/>
            </w:r>
          </w:p>
        </w:tc>
      </w:tr>
      <w:tr w:rsidR="00B50935" w:rsidRPr="009017BC" w14:paraId="12E06321" w14:textId="77777777" w:rsidTr="00427764">
        <w:trPr>
          <w:trHeight w:val="388"/>
        </w:trPr>
        <w:tc>
          <w:tcPr>
            <w:tcW w:w="2144" w:type="dxa"/>
            <w:vMerge/>
            <w:vAlign w:val="center"/>
          </w:tcPr>
          <w:p w14:paraId="78911FA5" w14:textId="77777777" w:rsidR="00B50935" w:rsidRPr="009017BC" w:rsidRDefault="00B50935" w:rsidP="00427764">
            <w:pPr>
              <w:rPr>
                <w:noProof/>
                <w:sz w:val="18"/>
              </w:rPr>
            </w:pPr>
          </w:p>
        </w:tc>
        <w:tc>
          <w:tcPr>
            <w:tcW w:w="1276" w:type="dxa"/>
            <w:vMerge/>
            <w:vAlign w:val="center"/>
          </w:tcPr>
          <w:p w14:paraId="7277F8DF" w14:textId="77777777" w:rsidR="00B50935" w:rsidRPr="009017BC" w:rsidRDefault="00B50935" w:rsidP="00427764">
            <w:pPr>
              <w:rPr>
                <w:noProof/>
                <w:sz w:val="18"/>
              </w:rPr>
            </w:pPr>
          </w:p>
        </w:tc>
        <w:tc>
          <w:tcPr>
            <w:tcW w:w="1080" w:type="dxa"/>
            <w:vAlign w:val="center"/>
          </w:tcPr>
          <w:p w14:paraId="7F936DA2"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2021</w:t>
            </w:r>
          </w:p>
        </w:tc>
        <w:tc>
          <w:tcPr>
            <w:tcW w:w="900" w:type="dxa"/>
            <w:vAlign w:val="center"/>
          </w:tcPr>
          <w:p w14:paraId="55E1CBF9"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2022</w:t>
            </w:r>
          </w:p>
        </w:tc>
        <w:tc>
          <w:tcPr>
            <w:tcW w:w="900" w:type="dxa"/>
            <w:vAlign w:val="center"/>
          </w:tcPr>
          <w:p w14:paraId="525AED7E"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2023</w:t>
            </w:r>
          </w:p>
        </w:tc>
        <w:tc>
          <w:tcPr>
            <w:tcW w:w="1080" w:type="dxa"/>
            <w:vAlign w:val="center"/>
          </w:tcPr>
          <w:p w14:paraId="0555D30B" w14:textId="77777777" w:rsidR="00B50935" w:rsidRPr="009017BC" w:rsidRDefault="00B50935" w:rsidP="00427764">
            <w:pPr>
              <w:jc w:val="center"/>
              <w:rPr>
                <w:noProof/>
                <w:sz w:val="18"/>
              </w:rPr>
            </w:pPr>
            <w:r w:rsidRPr="009017BC">
              <w:rPr>
                <w:sz w:val="20"/>
              </w:rPr>
              <w:t>Año</w:t>
            </w:r>
            <w:r w:rsidRPr="009017BC">
              <w:t xml:space="preserve"> </w:t>
            </w:r>
            <w:r w:rsidRPr="009017BC">
              <w:br/>
            </w:r>
            <w:r w:rsidRPr="009017BC">
              <w:rPr>
                <w:b/>
                <w:sz w:val="20"/>
              </w:rPr>
              <w:t>2024</w:t>
            </w:r>
          </w:p>
        </w:tc>
        <w:tc>
          <w:tcPr>
            <w:tcW w:w="1080" w:type="dxa"/>
            <w:vAlign w:val="center"/>
          </w:tcPr>
          <w:p w14:paraId="488DFF6C"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2025</w:t>
            </w:r>
          </w:p>
        </w:tc>
        <w:tc>
          <w:tcPr>
            <w:tcW w:w="1080" w:type="dxa"/>
            <w:vAlign w:val="center"/>
          </w:tcPr>
          <w:p w14:paraId="0A8CB571"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2026</w:t>
            </w:r>
          </w:p>
        </w:tc>
        <w:tc>
          <w:tcPr>
            <w:tcW w:w="1080" w:type="dxa"/>
            <w:vAlign w:val="center"/>
          </w:tcPr>
          <w:p w14:paraId="53197668" w14:textId="77777777" w:rsidR="00B50935" w:rsidRPr="009017BC" w:rsidRDefault="00B50935" w:rsidP="00427764">
            <w:pPr>
              <w:jc w:val="center"/>
              <w:rPr>
                <w:b/>
                <w:noProof/>
                <w:sz w:val="18"/>
              </w:rPr>
            </w:pPr>
            <w:r w:rsidRPr="009017BC">
              <w:rPr>
                <w:sz w:val="20"/>
              </w:rPr>
              <w:t>Año</w:t>
            </w:r>
            <w:r w:rsidRPr="009017BC">
              <w:t xml:space="preserve"> </w:t>
            </w:r>
            <w:r w:rsidRPr="009017BC">
              <w:br/>
            </w:r>
            <w:r w:rsidRPr="009017BC">
              <w:rPr>
                <w:b/>
                <w:sz w:val="20"/>
              </w:rPr>
              <w:t>2027</w:t>
            </w:r>
            <w:r w:rsidRPr="009017BC">
              <w:rPr>
                <w:sz w:val="20"/>
              </w:rPr>
              <w:t xml:space="preserve"> y ss.</w:t>
            </w:r>
          </w:p>
        </w:tc>
      </w:tr>
      <w:tr w:rsidR="00B50935" w:rsidRPr="009017BC" w14:paraId="3649D6D1" w14:textId="77777777" w:rsidTr="00427764">
        <w:trPr>
          <w:trHeight w:val="388"/>
        </w:trPr>
        <w:tc>
          <w:tcPr>
            <w:tcW w:w="2144" w:type="dxa"/>
            <w:vAlign w:val="center"/>
          </w:tcPr>
          <w:p w14:paraId="45479951" w14:textId="77777777" w:rsidR="00B50935" w:rsidRPr="009017BC" w:rsidRDefault="00B50935" w:rsidP="00427764">
            <w:pPr>
              <w:spacing w:before="40" w:after="40"/>
              <w:rPr>
                <w:noProof/>
                <w:sz w:val="18"/>
              </w:rPr>
            </w:pPr>
            <w:r w:rsidRPr="009017BC">
              <w:rPr>
                <w:sz w:val="18"/>
              </w:rPr>
              <w:t>Artículo ….</w:t>
            </w:r>
          </w:p>
        </w:tc>
        <w:tc>
          <w:tcPr>
            <w:tcW w:w="1276" w:type="dxa"/>
          </w:tcPr>
          <w:p w14:paraId="66D19855" w14:textId="77777777" w:rsidR="00B50935" w:rsidRPr="009017BC" w:rsidRDefault="00B50935" w:rsidP="00427764">
            <w:pPr>
              <w:spacing w:beforeLines="40" w:before="96" w:afterLines="40" w:after="96"/>
              <w:jc w:val="center"/>
              <w:rPr>
                <w:i/>
                <w:noProof/>
                <w:sz w:val="18"/>
              </w:rPr>
            </w:pPr>
          </w:p>
        </w:tc>
        <w:tc>
          <w:tcPr>
            <w:tcW w:w="1080" w:type="dxa"/>
          </w:tcPr>
          <w:p w14:paraId="11CDE1E7" w14:textId="77777777" w:rsidR="00B50935" w:rsidRPr="009017BC" w:rsidRDefault="00B50935" w:rsidP="00427764">
            <w:pPr>
              <w:spacing w:beforeLines="40" w:before="96" w:afterLines="40" w:after="96"/>
              <w:jc w:val="center"/>
              <w:rPr>
                <w:noProof/>
                <w:sz w:val="18"/>
              </w:rPr>
            </w:pPr>
          </w:p>
        </w:tc>
        <w:tc>
          <w:tcPr>
            <w:tcW w:w="900" w:type="dxa"/>
          </w:tcPr>
          <w:p w14:paraId="22601969" w14:textId="77777777" w:rsidR="00B50935" w:rsidRPr="009017BC" w:rsidRDefault="00B50935" w:rsidP="00427764">
            <w:pPr>
              <w:spacing w:beforeLines="40" w:before="96" w:afterLines="40" w:after="96"/>
              <w:jc w:val="center"/>
              <w:rPr>
                <w:noProof/>
                <w:sz w:val="18"/>
              </w:rPr>
            </w:pPr>
          </w:p>
        </w:tc>
        <w:tc>
          <w:tcPr>
            <w:tcW w:w="900" w:type="dxa"/>
          </w:tcPr>
          <w:p w14:paraId="5BBB975A" w14:textId="77777777" w:rsidR="00B50935" w:rsidRPr="009017BC" w:rsidRDefault="00B50935" w:rsidP="00427764">
            <w:pPr>
              <w:spacing w:beforeLines="40" w:before="96" w:afterLines="40" w:after="96"/>
              <w:jc w:val="center"/>
              <w:rPr>
                <w:noProof/>
                <w:sz w:val="18"/>
              </w:rPr>
            </w:pPr>
          </w:p>
        </w:tc>
        <w:tc>
          <w:tcPr>
            <w:tcW w:w="1080" w:type="dxa"/>
          </w:tcPr>
          <w:p w14:paraId="46AA391A" w14:textId="77777777" w:rsidR="00B50935" w:rsidRPr="009017BC" w:rsidRDefault="00B50935" w:rsidP="00427764">
            <w:pPr>
              <w:spacing w:beforeLines="40" w:before="96" w:afterLines="40" w:after="96"/>
              <w:jc w:val="center"/>
              <w:rPr>
                <w:noProof/>
                <w:sz w:val="18"/>
              </w:rPr>
            </w:pPr>
          </w:p>
        </w:tc>
        <w:tc>
          <w:tcPr>
            <w:tcW w:w="1080" w:type="dxa"/>
          </w:tcPr>
          <w:p w14:paraId="0B5D7962" w14:textId="77777777" w:rsidR="00B50935" w:rsidRPr="009017BC" w:rsidRDefault="00B50935" w:rsidP="00427764">
            <w:pPr>
              <w:spacing w:beforeLines="40" w:before="96" w:afterLines="40" w:after="96"/>
              <w:jc w:val="center"/>
              <w:rPr>
                <w:noProof/>
                <w:sz w:val="18"/>
              </w:rPr>
            </w:pPr>
          </w:p>
        </w:tc>
        <w:tc>
          <w:tcPr>
            <w:tcW w:w="1080" w:type="dxa"/>
          </w:tcPr>
          <w:p w14:paraId="1C065D66" w14:textId="77777777" w:rsidR="00B50935" w:rsidRPr="009017BC" w:rsidRDefault="00B50935" w:rsidP="00427764">
            <w:pPr>
              <w:spacing w:beforeLines="40" w:before="96" w:afterLines="40" w:after="96"/>
              <w:jc w:val="center"/>
              <w:rPr>
                <w:noProof/>
                <w:sz w:val="18"/>
              </w:rPr>
            </w:pPr>
          </w:p>
        </w:tc>
        <w:tc>
          <w:tcPr>
            <w:tcW w:w="1080" w:type="dxa"/>
          </w:tcPr>
          <w:p w14:paraId="3B39DFC2" w14:textId="77777777" w:rsidR="00B50935" w:rsidRPr="009017BC" w:rsidRDefault="00B50935" w:rsidP="00427764">
            <w:pPr>
              <w:spacing w:beforeLines="40" w:before="96" w:afterLines="40" w:after="96"/>
              <w:jc w:val="center"/>
              <w:rPr>
                <w:noProof/>
                <w:sz w:val="18"/>
              </w:rPr>
            </w:pPr>
          </w:p>
        </w:tc>
      </w:tr>
    </w:tbl>
    <w:p w14:paraId="49C2D263" w14:textId="77777777" w:rsidR="00B50935" w:rsidRPr="009017BC" w:rsidRDefault="00B50935" w:rsidP="00B50935">
      <w:pPr>
        <w:pStyle w:val="Text1"/>
        <w:rPr>
          <w:sz w:val="20"/>
        </w:rPr>
      </w:pPr>
      <w:r w:rsidRPr="009017BC">
        <w:rPr>
          <w:sz w:val="20"/>
        </w:rPr>
        <w:t>En el caso de los ingresos diversos «asignados», especifíquese la línea o líneas presupuestarias de gasto en la(s) que repercutan.</w:t>
      </w:r>
    </w:p>
    <w:p w14:paraId="520DFE39" w14:textId="3F511C7E"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rPr>
      </w:pPr>
    </w:p>
    <w:p w14:paraId="7DDEBDE0" w14:textId="77777777" w:rsidR="00B50935" w:rsidRPr="009017BC" w:rsidRDefault="00B50935" w:rsidP="00B50935">
      <w:pPr>
        <w:pStyle w:val="Text1"/>
        <w:rPr>
          <w:sz w:val="20"/>
        </w:rPr>
      </w:pPr>
      <w:r w:rsidRPr="009017BC">
        <w:rPr>
          <w:sz w:val="20"/>
        </w:rPr>
        <w:t>Especifíquese el método de cálculo de la incidencia en los ingresos.</w:t>
      </w:r>
    </w:p>
    <w:p w14:paraId="65272D2A" w14:textId="17017939" w:rsidR="00B50935" w:rsidRPr="009017BC" w:rsidRDefault="00B50935" w:rsidP="00B50935">
      <w:pPr>
        <w:pStyle w:val="Text1"/>
        <w:pBdr>
          <w:top w:val="single" w:sz="4" w:space="1" w:color="auto"/>
          <w:left w:val="single" w:sz="4" w:space="4" w:color="auto"/>
          <w:bottom w:val="single" w:sz="4" w:space="1" w:color="auto"/>
          <w:right w:val="single" w:sz="4" w:space="4" w:color="auto"/>
        </w:pBdr>
        <w:rPr>
          <w:noProof/>
        </w:rPr>
      </w:pPr>
    </w:p>
    <w:p w14:paraId="2AFC8897" w14:textId="0A2F94BC" w:rsidR="00B50935" w:rsidRPr="009017BC" w:rsidRDefault="00B50935" w:rsidP="00B50935"/>
    <w:sectPr w:rsidR="00B50935" w:rsidRPr="009017BC" w:rsidSect="00DF577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B6E2" w14:textId="77777777" w:rsidR="002C02D0" w:rsidRDefault="002C02D0" w:rsidP="00B50935">
      <w:pPr>
        <w:spacing w:before="0" w:after="0"/>
      </w:pPr>
      <w:r>
        <w:separator/>
      </w:r>
    </w:p>
  </w:endnote>
  <w:endnote w:type="continuationSeparator" w:id="0">
    <w:p w14:paraId="680B706F" w14:textId="77777777" w:rsidR="002C02D0" w:rsidRDefault="002C02D0" w:rsidP="00B50935">
      <w:pPr>
        <w:spacing w:before="0" w:after="0"/>
      </w:pPr>
      <w:r>
        <w:continuationSeparator/>
      </w:r>
    </w:p>
  </w:endnote>
  <w:endnote w:type="continuationNotice" w:id="1">
    <w:p w14:paraId="0A5A3C39" w14:textId="77777777" w:rsidR="002C02D0" w:rsidRDefault="002C02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8077" w14:textId="6E19709B" w:rsidR="009017BC" w:rsidRPr="00DF5771" w:rsidRDefault="00DF5771" w:rsidP="00DF5771">
    <w:pPr>
      <w:pStyle w:val="Footer"/>
      <w:rPr>
        <w:rFonts w:ascii="Arial" w:hAnsi="Arial" w:cs="Arial"/>
        <w:b/>
        <w:sz w:val="48"/>
      </w:rPr>
    </w:pPr>
    <w:r w:rsidRPr="00DF5771">
      <w:rPr>
        <w:rFonts w:ascii="Arial" w:hAnsi="Arial" w:cs="Arial"/>
        <w:b/>
        <w:sz w:val="48"/>
      </w:rPr>
      <w:t>ES</w:t>
    </w:r>
    <w:r w:rsidRPr="00DF5771">
      <w:rPr>
        <w:rFonts w:ascii="Arial" w:hAnsi="Arial" w:cs="Arial"/>
        <w:b/>
        <w:sz w:val="48"/>
      </w:rPr>
      <w:tab/>
    </w:r>
    <w:r w:rsidRPr="00DF5771">
      <w:rPr>
        <w:rFonts w:ascii="Arial" w:hAnsi="Arial" w:cs="Arial"/>
        <w:b/>
        <w:sz w:val="48"/>
      </w:rPr>
      <w:tab/>
    </w:r>
    <w:r w:rsidRPr="00DF5771">
      <w:tab/>
    </w:r>
    <w:r w:rsidRPr="00DF5771">
      <w:rPr>
        <w:rFonts w:ascii="Arial" w:hAnsi="Arial" w:cs="Arial"/>
        <w:b/>
        <w:sz w:val="48"/>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F9E14" w14:textId="5FB75BC1" w:rsidR="009017BC" w:rsidRPr="00DF5771" w:rsidRDefault="00DF5771" w:rsidP="00DF5771">
    <w:pPr>
      <w:pStyle w:val="Footer"/>
      <w:rPr>
        <w:rFonts w:ascii="Arial" w:hAnsi="Arial" w:cs="Arial"/>
        <w:b/>
        <w:sz w:val="48"/>
      </w:rPr>
    </w:pPr>
    <w:r w:rsidRPr="00DF5771">
      <w:rPr>
        <w:rFonts w:ascii="Arial" w:hAnsi="Arial" w:cs="Arial"/>
        <w:b/>
        <w:sz w:val="48"/>
      </w:rPr>
      <w:t>ES</w:t>
    </w:r>
    <w:r w:rsidRPr="00DF5771">
      <w:rPr>
        <w:rFonts w:ascii="Arial" w:hAnsi="Arial" w:cs="Arial"/>
        <w:b/>
        <w:sz w:val="48"/>
      </w:rPr>
      <w:tab/>
    </w:r>
    <w:r>
      <w:fldChar w:fldCharType="begin"/>
    </w:r>
    <w:r>
      <w:instrText xml:space="preserve"> PAGE  \* MERGEFORMAT </w:instrText>
    </w:r>
    <w:r>
      <w:fldChar w:fldCharType="separate"/>
    </w:r>
    <w:r w:rsidR="00907235">
      <w:rPr>
        <w:noProof/>
      </w:rPr>
      <w:t>1</w:t>
    </w:r>
    <w:r>
      <w:fldChar w:fldCharType="end"/>
    </w:r>
    <w:r>
      <w:tab/>
    </w:r>
    <w:r w:rsidRPr="00DF5771">
      <w:tab/>
    </w:r>
    <w:r w:rsidRPr="00DF5771">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2A52" w14:textId="77777777" w:rsidR="00DF5771" w:rsidRPr="00DF5771" w:rsidRDefault="00DF5771" w:rsidP="00DF57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23E1" w14:textId="7FD0BD71" w:rsidR="00DF5771" w:rsidRPr="00DF5771" w:rsidRDefault="00DF5771" w:rsidP="00DF5771">
    <w:pPr>
      <w:pStyle w:val="FooterLandscape"/>
      <w:rPr>
        <w:rFonts w:ascii="Arial" w:hAnsi="Arial" w:cs="Arial"/>
        <w:b/>
        <w:sz w:val="48"/>
      </w:rPr>
    </w:pPr>
    <w:r w:rsidRPr="00DF5771">
      <w:rPr>
        <w:rFonts w:ascii="Arial" w:hAnsi="Arial" w:cs="Arial"/>
        <w:b/>
        <w:sz w:val="48"/>
      </w:rPr>
      <w:t>ES</w:t>
    </w:r>
    <w:r w:rsidRPr="00DF5771">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rsidRPr="00DF5771">
      <w:tab/>
    </w:r>
    <w:r w:rsidRPr="00DF5771">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9F50" w14:textId="77777777" w:rsidR="00DF5771" w:rsidRPr="00DF5771" w:rsidRDefault="00DF5771" w:rsidP="00DF5771">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45F7" w14:textId="3B591864" w:rsidR="00DF5771" w:rsidRPr="00DF5771" w:rsidRDefault="00DF5771" w:rsidP="00DF5771">
    <w:pPr>
      <w:pStyle w:val="FooterLandscape"/>
      <w:rPr>
        <w:rFonts w:ascii="Arial" w:hAnsi="Arial" w:cs="Arial"/>
        <w:b/>
        <w:sz w:val="48"/>
      </w:rPr>
    </w:pPr>
    <w:r w:rsidRPr="00DF5771">
      <w:rPr>
        <w:rFonts w:ascii="Arial" w:hAnsi="Arial" w:cs="Arial"/>
        <w:b/>
        <w:sz w:val="48"/>
      </w:rPr>
      <w:t>ES</w:t>
    </w:r>
    <w:r w:rsidRPr="00DF5771">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rsidRPr="00DF5771">
      <w:tab/>
    </w:r>
    <w:r w:rsidRPr="00DF5771">
      <w:rPr>
        <w:rFonts w:ascii="Arial" w:hAnsi="Arial" w:cs="Arial"/>
        <w:b/>
        <w:sz w:val="48"/>
      </w:rPr>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545B" w14:textId="77777777" w:rsidR="00DF5771" w:rsidRPr="00DF5771" w:rsidRDefault="00DF5771" w:rsidP="00DF5771">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793A" w14:textId="3A0D48BF" w:rsidR="00473217" w:rsidRPr="00DF5771" w:rsidRDefault="00DF5771" w:rsidP="00DF5771">
    <w:pPr>
      <w:pStyle w:val="Footer"/>
      <w:rPr>
        <w:rFonts w:ascii="Arial" w:hAnsi="Arial" w:cs="Arial"/>
        <w:b/>
        <w:sz w:val="48"/>
      </w:rPr>
    </w:pPr>
    <w:r w:rsidRPr="00DF5771">
      <w:rPr>
        <w:rFonts w:ascii="Arial" w:hAnsi="Arial" w:cs="Arial"/>
        <w:b/>
        <w:sz w:val="48"/>
      </w:rPr>
      <w:t>ES</w:t>
    </w:r>
    <w:r w:rsidRPr="00DF5771">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rsidRPr="00DF5771">
      <w:tab/>
    </w:r>
    <w:r w:rsidRPr="00DF5771">
      <w:rPr>
        <w:rFonts w:ascii="Arial" w:hAnsi="Arial" w:cs="Arial"/>
        <w:b/>
        <w:sz w:val="48"/>
      </w:rPr>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0378" w14:textId="77777777" w:rsidR="00DF5771" w:rsidRPr="00DF5771" w:rsidRDefault="00DF5771" w:rsidP="00DF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34C6" w14:textId="77777777" w:rsidR="002C02D0" w:rsidRDefault="002C02D0" w:rsidP="00B50935">
      <w:pPr>
        <w:spacing w:before="0" w:after="0"/>
      </w:pPr>
      <w:r>
        <w:separator/>
      </w:r>
    </w:p>
  </w:footnote>
  <w:footnote w:type="continuationSeparator" w:id="0">
    <w:p w14:paraId="5D869320" w14:textId="77777777" w:rsidR="002C02D0" w:rsidRDefault="002C02D0" w:rsidP="00B50935">
      <w:pPr>
        <w:spacing w:before="0" w:after="0"/>
      </w:pPr>
      <w:r>
        <w:continuationSeparator/>
      </w:r>
    </w:p>
  </w:footnote>
  <w:footnote w:type="continuationNotice" w:id="1">
    <w:p w14:paraId="09EA6CB8" w14:textId="77777777" w:rsidR="002C02D0" w:rsidRDefault="002C02D0">
      <w:pPr>
        <w:spacing w:before="0" w:after="0"/>
      </w:pPr>
    </w:p>
  </w:footnote>
  <w:footnote w:id="2">
    <w:p w14:paraId="77D8EC69" w14:textId="77777777" w:rsidR="0078723B" w:rsidRPr="00390107" w:rsidRDefault="0078723B" w:rsidP="00B50935">
      <w:pPr>
        <w:pStyle w:val="FootnoteText"/>
      </w:pPr>
      <w:r>
        <w:rPr>
          <w:rStyle w:val="FootnoteReference"/>
        </w:rPr>
        <w:footnoteRef/>
      </w:r>
      <w:r>
        <w:tab/>
        <w:t>DO L 142 de 30.4.2004, p. 1.</w:t>
      </w:r>
    </w:p>
  </w:footnote>
  <w:footnote w:id="3">
    <w:p w14:paraId="57F279D8" w14:textId="77777777" w:rsidR="0078723B" w:rsidRPr="00390107" w:rsidRDefault="0078723B" w:rsidP="00B50935">
      <w:pPr>
        <w:pStyle w:val="FootnoteText"/>
      </w:pPr>
      <w:r>
        <w:rPr>
          <w:rStyle w:val="FootnoteReference"/>
        </w:rPr>
        <w:footnoteRef/>
      </w:r>
      <w:r>
        <w:tab/>
        <w:t>DO L 293 de 5.11.2013, p. 1.</w:t>
      </w:r>
    </w:p>
  </w:footnote>
  <w:footnote w:id="4">
    <w:p w14:paraId="0C393D7F" w14:textId="77777777" w:rsidR="0078723B" w:rsidRPr="00390107" w:rsidRDefault="0078723B" w:rsidP="00B50935">
      <w:pPr>
        <w:pStyle w:val="FootnoteText"/>
      </w:pPr>
      <w:r>
        <w:rPr>
          <w:rStyle w:val="FootnoteReference"/>
        </w:rPr>
        <w:footnoteRef/>
      </w:r>
      <w:r>
        <w:tab/>
        <w:t>https://europa.eu/european-union/sites/europaeu/files/docs/body/joint_statement_and_common_approach_2012_en.pdf</w:t>
      </w:r>
    </w:p>
  </w:footnote>
  <w:footnote w:id="5">
    <w:p w14:paraId="0AF8E571" w14:textId="77777777" w:rsidR="0078723B" w:rsidRPr="00390107" w:rsidRDefault="0078723B" w:rsidP="00B50935">
      <w:pPr>
        <w:pStyle w:val="FootnoteText"/>
      </w:pPr>
      <w:r>
        <w:rPr>
          <w:rStyle w:val="FootnoteReference"/>
        </w:rPr>
        <w:footnoteRef/>
      </w:r>
      <w:r>
        <w:tab/>
      </w:r>
      <w:hyperlink r:id="rId1" w:history="1">
        <w:r>
          <w:rPr>
            <w:rStyle w:val="Hyperlink"/>
            <w:color w:val="000000"/>
          </w:rPr>
          <w:t>https://www.ecdc.europa.eu/en/publications-data/third-external-evaluation-ecdc-2013-2017</w:t>
        </w:r>
      </w:hyperlink>
    </w:p>
  </w:footnote>
  <w:footnote w:id="6">
    <w:p w14:paraId="0986CB4A" w14:textId="77777777" w:rsidR="0078723B" w:rsidRPr="00390107" w:rsidRDefault="0078723B" w:rsidP="00B50935">
      <w:pPr>
        <w:pStyle w:val="FootnoteText"/>
      </w:pPr>
      <w:r>
        <w:rPr>
          <w:rStyle w:val="FootnoteReference"/>
        </w:rPr>
        <w:footnoteRef/>
      </w:r>
      <w:r>
        <w:tab/>
      </w:r>
      <w:hyperlink r:id="rId2" w:history="1">
        <w:r>
          <w:rPr>
            <w:rStyle w:val="Hyperlink"/>
            <w:color w:val="000000"/>
          </w:rPr>
          <w:t>https://www.eca.europa.eu/en/Pages/DocItem.aspx?did=40126</w:t>
        </w:r>
      </w:hyperlink>
    </w:p>
  </w:footnote>
  <w:footnote w:id="7">
    <w:p w14:paraId="133181F2" w14:textId="77777777" w:rsidR="0078723B" w:rsidRPr="00390107" w:rsidRDefault="0078723B" w:rsidP="00B50935">
      <w:pPr>
        <w:pStyle w:val="FootnoteText"/>
      </w:pPr>
      <w:r>
        <w:rPr>
          <w:rStyle w:val="FootnoteReference"/>
        </w:rPr>
        <w:footnoteRef/>
      </w:r>
      <w:r>
        <w:tab/>
      </w:r>
      <w:hyperlink r:id="rId3" w:history="1">
        <w:r>
          <w:rPr>
            <w:rStyle w:val="Hyperlink"/>
          </w:rPr>
          <w:t>Declaración común y planteamiento común (Parlamento, Consejo y Comisión)</w:t>
        </w:r>
      </w:hyperlink>
      <w:r>
        <w:t>, 2012; https://europa.eu/european-union/sites/europaeu/files/docs/body/joint_statement_and_common_approach_2012_en.pdf</w:t>
      </w:r>
    </w:p>
  </w:footnote>
  <w:footnote w:id="8">
    <w:p w14:paraId="6D52CCE5" w14:textId="5FC72622" w:rsidR="0078723B" w:rsidRPr="00390107" w:rsidRDefault="0078723B" w:rsidP="00B50935">
      <w:pPr>
        <w:pStyle w:val="FootnoteText"/>
      </w:pPr>
      <w:r>
        <w:rPr>
          <w:rStyle w:val="FootnoteReference"/>
        </w:rPr>
        <w:footnoteRef/>
      </w:r>
      <w:r>
        <w:tab/>
        <w:t>DO C […] de […], p. […].</w:t>
      </w:r>
    </w:p>
  </w:footnote>
  <w:footnote w:id="9">
    <w:p w14:paraId="1C8B5EEF" w14:textId="7F9EF1C1" w:rsidR="0078723B" w:rsidRPr="00390107" w:rsidRDefault="0078723B" w:rsidP="00B50935">
      <w:pPr>
        <w:pStyle w:val="FootnoteText"/>
      </w:pPr>
      <w:r>
        <w:rPr>
          <w:rStyle w:val="FootnoteReference"/>
        </w:rPr>
        <w:footnoteRef/>
      </w:r>
      <w:r>
        <w:tab/>
        <w:t>DO C […] de […], p. […].</w:t>
      </w:r>
    </w:p>
  </w:footnote>
  <w:footnote w:id="10">
    <w:p w14:paraId="29C5C67A" w14:textId="77777777" w:rsidR="0078723B" w:rsidRPr="00390107" w:rsidRDefault="0078723B" w:rsidP="00B50935">
      <w:pPr>
        <w:pStyle w:val="FootnoteText"/>
      </w:pPr>
      <w:r>
        <w:rPr>
          <w:rStyle w:val="FootnoteReference"/>
        </w:rPr>
        <w:footnoteRef/>
      </w:r>
      <w:r>
        <w:tab/>
        <w:t>Reglamento (CE) n.º 851/2004 del Parlamento Europeo y del Consejo, de 21 de abril de 2004, por el que se crea un Centro Europeo para la Prevención y el Control de las Enfermedades (DO L 142 de 30.4.2004, p. 1).</w:t>
      </w:r>
    </w:p>
  </w:footnote>
  <w:footnote w:id="11">
    <w:p w14:paraId="235BED05" w14:textId="77777777" w:rsidR="0078723B" w:rsidRPr="00390107" w:rsidRDefault="0078723B" w:rsidP="00B50935">
      <w:pPr>
        <w:pStyle w:val="FootnoteText"/>
      </w:pPr>
      <w:r>
        <w:rPr>
          <w:rStyle w:val="FootnoteReference"/>
        </w:rPr>
        <w:footnoteRef/>
      </w:r>
      <w:r>
        <w:tab/>
        <w:t>Reglamento (UE) XXXX/XXXX del Parlamento Europeo y del Consejo, de [FECHA], sobre las amenazas transfronterizas graves para la salud y por el que se deroga la Decisión n.º 1082/2013/UE [DO: insértese el título completo y la referencia de publicación del Reglamento sobre las amenazas transfronterizas graves para la salud].</w:t>
      </w:r>
    </w:p>
  </w:footnote>
  <w:footnote w:id="12">
    <w:p w14:paraId="18A0A339" w14:textId="77777777" w:rsidR="0078723B" w:rsidRPr="00390107" w:rsidRDefault="0078723B" w:rsidP="00B50935">
      <w:pPr>
        <w:pStyle w:val="FootnoteText"/>
      </w:pPr>
      <w:r>
        <w:rPr>
          <w:rStyle w:val="FootnoteReference"/>
        </w:rPr>
        <w:footnoteRef/>
      </w:r>
      <w:r>
        <w:tab/>
        <w:t>Decisión n.º 1313/2013/UE del Parlamento Europeo y del Consejo, de 17 de diciembre de 2013, relativa a un Mecanismo de Protección Civil de la Unión (DO L 347 de 20.12.2013, p. 924).</w:t>
      </w:r>
    </w:p>
  </w:footnote>
  <w:footnote w:id="13">
    <w:p w14:paraId="40326731" w14:textId="5F162273" w:rsidR="0078723B" w:rsidRDefault="0078723B" w:rsidP="009A453B">
      <w:pPr>
        <w:pStyle w:val="FootnoteText"/>
      </w:pPr>
      <w:r>
        <w:rPr>
          <w:rStyle w:val="FootnoteReference"/>
        </w:rPr>
        <w:footnoteRef/>
      </w:r>
      <w:r>
        <w:tab/>
      </w:r>
      <w:r>
        <w:rPr>
          <w:highlight w:val="yellow"/>
        </w:rPr>
        <w:t>Reglamento (UE) n.º 233/2014 del Parlamento Europeo y del Consejo, de 11 de marzo de 2014, por el que se establece un Instrumento de Financiación de la Cooperación al Desarrollo para el período 2014-2020 (DO L 77 de 15.3.2014, p. 44).</w:t>
      </w:r>
    </w:p>
  </w:footnote>
  <w:footnote w:id="14">
    <w:p w14:paraId="76FA73D7" w14:textId="77777777" w:rsidR="0078723B" w:rsidRPr="00390107" w:rsidRDefault="0078723B" w:rsidP="00B50935">
      <w:pPr>
        <w:pStyle w:val="FootnoteText"/>
      </w:pPr>
      <w:r>
        <w:rPr>
          <w:rStyle w:val="FootnoteReference"/>
        </w:rPr>
        <w:footnoteRef/>
      </w:r>
      <w:r>
        <w:tab/>
        <w:t>Tal como se contempla en el artículo 58, apartado 2, letras a) o b), del Reglamento Financiero.</w:t>
      </w:r>
    </w:p>
  </w:footnote>
  <w:footnote w:id="15">
    <w:p w14:paraId="013AE3D0" w14:textId="77777777" w:rsidR="0078723B" w:rsidRPr="00390107" w:rsidRDefault="0078723B" w:rsidP="00B50935">
      <w:pPr>
        <w:pStyle w:val="FootnoteText"/>
      </w:pPr>
      <w:r>
        <w:rPr>
          <w:rStyle w:val="FootnoteReference"/>
        </w:rPr>
        <w:footnoteRef/>
      </w:r>
      <w:r>
        <w:tab/>
        <w:t xml:space="preserve">Las explicaciones sobre los modos de gestión y las referencias al Reglamento Financiero pueden consultarse en el sitio BudgWeb: </w:t>
      </w:r>
      <w:hyperlink r:id="rId4" w:history="1">
        <w:r>
          <w:rPr>
            <w:rStyle w:val="Hyperlink"/>
          </w:rPr>
          <w:t>https://myintracomm.ec.europa.eu/budgweb/EN/man/budgmanag/Pages/budgmanag.aspx</w:t>
        </w:r>
      </w:hyperlink>
      <w:r>
        <w:t>.</w:t>
      </w:r>
    </w:p>
  </w:footnote>
  <w:footnote w:id="16">
    <w:p w14:paraId="4B425AD5" w14:textId="77777777" w:rsidR="0078723B" w:rsidRPr="00390107" w:rsidRDefault="0078723B" w:rsidP="00B50935">
      <w:pPr>
        <w:pStyle w:val="FootnoteText"/>
      </w:pPr>
      <w:r>
        <w:rPr>
          <w:rStyle w:val="FootnoteReference"/>
        </w:rPr>
        <w:footnoteRef/>
      </w:r>
      <w:r>
        <w:tab/>
        <w:t>CD = créditos disociados / CND = créditos no disociados.</w:t>
      </w:r>
    </w:p>
  </w:footnote>
  <w:footnote w:id="17">
    <w:p w14:paraId="4BA38707" w14:textId="77777777" w:rsidR="0078723B" w:rsidRPr="00390107" w:rsidRDefault="0078723B" w:rsidP="00B50935">
      <w:pPr>
        <w:pStyle w:val="FootnoteText"/>
      </w:pPr>
      <w:r>
        <w:rPr>
          <w:rStyle w:val="FootnoteReference"/>
        </w:rPr>
        <w:footnoteRef/>
      </w:r>
      <w:r>
        <w:tab/>
        <w:t xml:space="preserve">AELC: Asociación Europea de Libre Comercio. </w:t>
      </w:r>
    </w:p>
  </w:footnote>
  <w:footnote w:id="18">
    <w:p w14:paraId="5B800131" w14:textId="77777777" w:rsidR="0078723B" w:rsidRPr="00390107" w:rsidRDefault="0078723B" w:rsidP="00B50935">
      <w:pPr>
        <w:pStyle w:val="FootnoteText"/>
      </w:pPr>
      <w:r>
        <w:rPr>
          <w:rStyle w:val="FootnoteReference"/>
        </w:rPr>
        <w:footnoteRef/>
      </w:r>
      <w:r>
        <w:tab/>
        <w:t>Países candidatos y, en su caso, candidatos potenciales de los Balcanes Occidentales.</w:t>
      </w:r>
    </w:p>
  </w:footnote>
  <w:footnote w:id="19">
    <w:p w14:paraId="58BA92FC" w14:textId="77777777" w:rsidR="0078723B" w:rsidRPr="00390107" w:rsidRDefault="0078723B" w:rsidP="00B50935">
      <w:pPr>
        <w:pStyle w:val="FootnoteText"/>
      </w:pPr>
      <w:r>
        <w:rPr>
          <w:rStyle w:val="FootnoteReference"/>
        </w:rPr>
        <w:footnoteRef/>
      </w:r>
      <w:r>
        <w:tab/>
        <w:t>Los resultados son los productos y servicios que van a suministrarse (por ejemplo, número de intercambios de estudiantes financiados, número de kilómetros de carretera construidos, etc.).</w:t>
      </w:r>
    </w:p>
  </w:footnote>
  <w:footnote w:id="20">
    <w:p w14:paraId="08A5B3C1" w14:textId="77777777" w:rsidR="0078723B" w:rsidRPr="00390107" w:rsidRDefault="0078723B" w:rsidP="00B50935">
      <w:pPr>
        <w:pStyle w:val="FootnoteText"/>
      </w:pPr>
      <w:r>
        <w:rPr>
          <w:rStyle w:val="FootnoteReference"/>
        </w:rPr>
        <w:footnoteRef/>
      </w:r>
      <w:r>
        <w:tab/>
        <w:t xml:space="preserve">AC = agente contractual; AL = agente local; ENCS = experto nacional en comisión de servicios; INT = personal de empresas de trabajo temporal («intérimaires»); JPD = joven profesional en delegación. </w:t>
      </w:r>
    </w:p>
  </w:footnote>
  <w:footnote w:id="21">
    <w:p w14:paraId="57ED9D4C" w14:textId="77777777" w:rsidR="0078723B" w:rsidRPr="00390107" w:rsidRDefault="0078723B" w:rsidP="00B50935">
      <w:pPr>
        <w:pStyle w:val="FootnoteText"/>
      </w:pPr>
      <w:r>
        <w:rPr>
          <w:rStyle w:val="FootnoteReference"/>
        </w:rPr>
        <w:footnoteRef/>
      </w:r>
      <w:r>
        <w:tab/>
        <w:t>Por debajo del límite de personal externo con cargo a créditos de operaciones (antiguas líneas «BA»).</w:t>
      </w:r>
    </w:p>
  </w:footnote>
  <w:footnote w:id="22">
    <w:p w14:paraId="51B85090" w14:textId="77777777" w:rsidR="0078723B" w:rsidRPr="00390107" w:rsidRDefault="0078723B" w:rsidP="00B50935">
      <w:pPr>
        <w:pStyle w:val="FootnoteText"/>
      </w:pPr>
      <w:r>
        <w:rPr>
          <w:rStyle w:val="FootnoteReference"/>
        </w:rPr>
        <w:footnoteRef/>
      </w:r>
      <w:r>
        <w:tab/>
        <w:t>Principalmente para los Fondos Estructurales, el Fondo Europeo Agrícola de Desarrollo Rural (FEADER) y el Fondo Europeo de Pesca (FEP).</w:t>
      </w:r>
    </w:p>
  </w:footnote>
  <w:footnote w:id="23">
    <w:p w14:paraId="26F789FE" w14:textId="77777777" w:rsidR="0078723B" w:rsidRPr="00390107" w:rsidRDefault="0078723B" w:rsidP="00B50935">
      <w:pPr>
        <w:pStyle w:val="FootnoteText"/>
      </w:pPr>
      <w:r>
        <w:rPr>
          <w:rStyle w:val="FootnoteReference"/>
        </w:rPr>
        <w:footnoteRef/>
      </w:r>
      <w:r>
        <w:tab/>
        <w:t>Véanse los artículos 11 y 17 del Reglamento (UE, Euratom) n.º 1311/2013 del Consejo, por el que se establece el marco financiero plurianual para el período 2014-2020.</w:t>
      </w:r>
    </w:p>
  </w:footnote>
  <w:footnote w:id="24">
    <w:p w14:paraId="01759B69" w14:textId="77777777" w:rsidR="0078723B" w:rsidRPr="00390107" w:rsidRDefault="0078723B" w:rsidP="00B50935">
      <w:pPr>
        <w:pStyle w:val="FootnoteText"/>
      </w:pPr>
      <w:r>
        <w:rPr>
          <w:rStyle w:val="FootnoteReference"/>
        </w:rPr>
        <w:footnoteRef/>
      </w:r>
      <w:r>
        <w:tab/>
        <w:t>Por lo que se refiere a los recursos propios tradicionales (derechos de aduana, cotizaciones sobre el azúcar), los importes indicados deben ser importes netos, es decir, importes brutos tras la deducción del 20 % de los gastos de recaudación.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2C45" w14:textId="77777777" w:rsidR="00DF5771" w:rsidRPr="00DF5771" w:rsidRDefault="00DF5771" w:rsidP="00DF5771">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38E7" w14:textId="77777777" w:rsidR="00DF5771" w:rsidRPr="00DF5771" w:rsidRDefault="00DF5771" w:rsidP="00DF5771">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2003" w14:textId="77777777" w:rsidR="00DF5771" w:rsidRPr="00DF5771" w:rsidRDefault="00DF5771" w:rsidP="00DF577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EB86" w14:textId="77777777" w:rsidR="00DF5771" w:rsidRPr="00DF5771" w:rsidRDefault="00DF5771" w:rsidP="00DF5771">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8343" w14:textId="77777777" w:rsidR="00473217" w:rsidRPr="00473217" w:rsidRDefault="00473217" w:rsidP="00DF57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C1B3" w14:textId="77777777" w:rsidR="00DF5771" w:rsidRPr="00DF5771" w:rsidRDefault="00DF5771" w:rsidP="00DF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 w:numId="34">
    <w:abstractNumId w:val="21"/>
  </w:num>
  <w:num w:numId="35">
    <w:abstractNumId w:val="11"/>
  </w:num>
  <w:num w:numId="36">
    <w:abstractNumId w:val="25"/>
  </w:num>
  <w:num w:numId="37">
    <w:abstractNumId w:val="6"/>
  </w:num>
  <w:num w:numId="38">
    <w:abstractNumId w:val="12"/>
  </w:num>
  <w:num w:numId="39">
    <w:abstractNumId w:val="4"/>
  </w:num>
  <w:num w:numId="40">
    <w:abstractNumId w:val="24"/>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ctiveWritingStyle w:appName="MSWord" w:lang="es-ES_tradnl" w:vendorID="64" w:dllVersion="131078" w:nlCheck="1" w:checkStyle="0"/>
  <w:attachedTemplate r:id="rId1"/>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2:09: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CEE3896-A10F-4106-AA2C-431E9F6DF54D"/>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lt;EMPTY&gt;"/>
    <w:docVar w:name="LW_REF.INST.NEW_TEXT" w:val="(2020) 7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que modifica el Reglamento (CE) n.º 851/2004 por el que se crea un Centro Europeo para la Prevención y el Control de las Enfermedades"/>
    <w:docVar w:name="LW_TYPE.DOC.CP" w:val="REGLAMENTO DEL PARLAMENTO EUROPEO Y DEL CONSEJO"/>
  </w:docVars>
  <w:rsids>
    <w:rsidRoot w:val="00B50935"/>
    <w:rsid w:val="00025545"/>
    <w:rsid w:val="00057558"/>
    <w:rsid w:val="000656F3"/>
    <w:rsid w:val="0007436D"/>
    <w:rsid w:val="0008563D"/>
    <w:rsid w:val="000A1FB8"/>
    <w:rsid w:val="000A7517"/>
    <w:rsid w:val="000D116A"/>
    <w:rsid w:val="000E198E"/>
    <w:rsid w:val="000E7A81"/>
    <w:rsid w:val="000F2C00"/>
    <w:rsid w:val="000F71CF"/>
    <w:rsid w:val="00117BF8"/>
    <w:rsid w:val="00147253"/>
    <w:rsid w:val="001C2816"/>
    <w:rsid w:val="001C56E5"/>
    <w:rsid w:val="001F2710"/>
    <w:rsid w:val="002028AF"/>
    <w:rsid w:val="00230919"/>
    <w:rsid w:val="0028239F"/>
    <w:rsid w:val="002B330F"/>
    <w:rsid w:val="002C02D0"/>
    <w:rsid w:val="002D7B37"/>
    <w:rsid w:val="00300289"/>
    <w:rsid w:val="0030678C"/>
    <w:rsid w:val="00361EDB"/>
    <w:rsid w:val="0036744A"/>
    <w:rsid w:val="00380BE7"/>
    <w:rsid w:val="00427764"/>
    <w:rsid w:val="00447609"/>
    <w:rsid w:val="00461817"/>
    <w:rsid w:val="00473217"/>
    <w:rsid w:val="00473ACE"/>
    <w:rsid w:val="00473C84"/>
    <w:rsid w:val="004B4CD4"/>
    <w:rsid w:val="004B7344"/>
    <w:rsid w:val="00505A29"/>
    <w:rsid w:val="00512176"/>
    <w:rsid w:val="005258FC"/>
    <w:rsid w:val="0054225A"/>
    <w:rsid w:val="0054226D"/>
    <w:rsid w:val="00556598"/>
    <w:rsid w:val="00587B87"/>
    <w:rsid w:val="005B4A89"/>
    <w:rsid w:val="005F1577"/>
    <w:rsid w:val="00605A6F"/>
    <w:rsid w:val="00611CE8"/>
    <w:rsid w:val="0062409B"/>
    <w:rsid w:val="00627B80"/>
    <w:rsid w:val="006550D3"/>
    <w:rsid w:val="00657469"/>
    <w:rsid w:val="0066240A"/>
    <w:rsid w:val="006A0673"/>
    <w:rsid w:val="006D5D7C"/>
    <w:rsid w:val="006F7C3E"/>
    <w:rsid w:val="0070128F"/>
    <w:rsid w:val="00723226"/>
    <w:rsid w:val="0078723B"/>
    <w:rsid w:val="007B2C96"/>
    <w:rsid w:val="007C06F6"/>
    <w:rsid w:val="007D5C00"/>
    <w:rsid w:val="007E3B74"/>
    <w:rsid w:val="008130A8"/>
    <w:rsid w:val="00822782"/>
    <w:rsid w:val="008776C2"/>
    <w:rsid w:val="008E6BDB"/>
    <w:rsid w:val="00900134"/>
    <w:rsid w:val="009017BC"/>
    <w:rsid w:val="00907235"/>
    <w:rsid w:val="00910B58"/>
    <w:rsid w:val="00944A8F"/>
    <w:rsid w:val="009650D7"/>
    <w:rsid w:val="00986B33"/>
    <w:rsid w:val="00987AD5"/>
    <w:rsid w:val="009A453B"/>
    <w:rsid w:val="009B7138"/>
    <w:rsid w:val="009F3E64"/>
    <w:rsid w:val="00AC00F2"/>
    <w:rsid w:val="00AD1316"/>
    <w:rsid w:val="00AE0A33"/>
    <w:rsid w:val="00B11613"/>
    <w:rsid w:val="00B50935"/>
    <w:rsid w:val="00B6520F"/>
    <w:rsid w:val="00B967EC"/>
    <w:rsid w:val="00BC00D6"/>
    <w:rsid w:val="00BE246D"/>
    <w:rsid w:val="00BF17AA"/>
    <w:rsid w:val="00C10CC0"/>
    <w:rsid w:val="00C177C7"/>
    <w:rsid w:val="00C24556"/>
    <w:rsid w:val="00C74CC6"/>
    <w:rsid w:val="00C823D2"/>
    <w:rsid w:val="00C836C1"/>
    <w:rsid w:val="00C861CA"/>
    <w:rsid w:val="00CB6BDB"/>
    <w:rsid w:val="00CC1FA9"/>
    <w:rsid w:val="00D84066"/>
    <w:rsid w:val="00DA6092"/>
    <w:rsid w:val="00DB2CE6"/>
    <w:rsid w:val="00DC6917"/>
    <w:rsid w:val="00DE5800"/>
    <w:rsid w:val="00DF5771"/>
    <w:rsid w:val="00E215F2"/>
    <w:rsid w:val="00E2254D"/>
    <w:rsid w:val="00E642AF"/>
    <w:rsid w:val="00E711A9"/>
    <w:rsid w:val="00E75B5C"/>
    <w:rsid w:val="00EB09BE"/>
    <w:rsid w:val="00EC158B"/>
    <w:rsid w:val="00EE1AA6"/>
    <w:rsid w:val="00F20062"/>
    <w:rsid w:val="00F20C2A"/>
    <w:rsid w:val="00F233D0"/>
    <w:rsid w:val="00F36FFA"/>
    <w:rsid w:val="00F60447"/>
    <w:rsid w:val="00F90E68"/>
    <w:rsid w:val="00FA14F0"/>
    <w:rsid w:val="00FA5BFB"/>
    <w:rsid w:val="00FD346F"/>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C8F558"/>
  <w15:docId w15:val="{4236B511-994E-4CC5-8DD9-0999A79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9B7138"/>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4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B50935"/>
    <w:pPr>
      <w:numPr>
        <w:numId w:val="2"/>
      </w:numPr>
    </w:pPr>
    <w:rPr>
      <w:rFonts w:eastAsia="Times New Roman"/>
      <w:lang w:eastAsia="de-DE"/>
    </w:rPr>
  </w:style>
  <w:style w:type="paragraph" w:styleId="ListNumber">
    <w:name w:val="List Number"/>
    <w:basedOn w:val="Normal"/>
    <w:rsid w:val="00B50935"/>
    <w:pPr>
      <w:numPr>
        <w:numId w:val="6"/>
      </w:numPr>
    </w:pPr>
    <w:rPr>
      <w:rFonts w:eastAsia="Times New Roman"/>
      <w:lang w:eastAsia="de-DE"/>
    </w:rPr>
  </w:style>
  <w:style w:type="paragraph" w:customStyle="1" w:styleId="ListBullet1">
    <w:name w:val="List Bullet 1"/>
    <w:basedOn w:val="Normal"/>
    <w:rsid w:val="00B50935"/>
    <w:pPr>
      <w:numPr>
        <w:numId w:val="1"/>
      </w:numPr>
    </w:pPr>
    <w:rPr>
      <w:rFonts w:eastAsia="Times New Roman"/>
      <w:lang w:eastAsia="de-DE"/>
    </w:rPr>
  </w:style>
  <w:style w:type="paragraph" w:customStyle="1" w:styleId="ListDash">
    <w:name w:val="List Dash"/>
    <w:basedOn w:val="Normal"/>
    <w:rsid w:val="00B50935"/>
    <w:pPr>
      <w:numPr>
        <w:numId w:val="3"/>
      </w:numPr>
    </w:pPr>
    <w:rPr>
      <w:rFonts w:eastAsia="Times New Roman"/>
      <w:lang w:eastAsia="de-DE"/>
    </w:rPr>
  </w:style>
  <w:style w:type="paragraph" w:customStyle="1" w:styleId="ListDash1">
    <w:name w:val="List Dash 1"/>
    <w:basedOn w:val="Normal"/>
    <w:rsid w:val="00B50935"/>
    <w:pPr>
      <w:numPr>
        <w:numId w:val="4"/>
      </w:numPr>
    </w:pPr>
    <w:rPr>
      <w:rFonts w:eastAsia="Times New Roman"/>
      <w:lang w:eastAsia="de-DE"/>
    </w:rPr>
  </w:style>
  <w:style w:type="paragraph" w:customStyle="1" w:styleId="ListDash2">
    <w:name w:val="List Dash 2"/>
    <w:basedOn w:val="Normal"/>
    <w:rsid w:val="00B50935"/>
    <w:pPr>
      <w:numPr>
        <w:numId w:val="5"/>
      </w:numPr>
    </w:pPr>
    <w:rPr>
      <w:rFonts w:eastAsia="Times New Roman"/>
      <w:lang w:eastAsia="de-DE"/>
    </w:rPr>
  </w:style>
  <w:style w:type="paragraph" w:customStyle="1" w:styleId="ListNumberLevel2">
    <w:name w:val="List Number (Level 2)"/>
    <w:basedOn w:val="Normal"/>
    <w:rsid w:val="00B50935"/>
    <w:pPr>
      <w:numPr>
        <w:ilvl w:val="1"/>
        <w:numId w:val="6"/>
      </w:numPr>
    </w:pPr>
    <w:rPr>
      <w:rFonts w:eastAsia="Times New Roman"/>
      <w:lang w:eastAsia="de-DE"/>
    </w:rPr>
  </w:style>
  <w:style w:type="paragraph" w:customStyle="1" w:styleId="ListNumberLevel3">
    <w:name w:val="List Number (Level 3)"/>
    <w:basedOn w:val="Normal"/>
    <w:rsid w:val="00B50935"/>
    <w:pPr>
      <w:numPr>
        <w:ilvl w:val="2"/>
        <w:numId w:val="6"/>
      </w:numPr>
    </w:pPr>
    <w:rPr>
      <w:rFonts w:eastAsia="Times New Roman"/>
      <w:lang w:eastAsia="de-DE"/>
    </w:rPr>
  </w:style>
  <w:style w:type="paragraph" w:customStyle="1" w:styleId="ListNumberLevel4">
    <w:name w:val="List Number (Level 4)"/>
    <w:basedOn w:val="Normal"/>
    <w:rsid w:val="00B50935"/>
    <w:pPr>
      <w:numPr>
        <w:ilvl w:val="3"/>
        <w:numId w:val="6"/>
      </w:numPr>
    </w:pPr>
    <w:rPr>
      <w:rFonts w:eastAsia="Times New Roman"/>
      <w:lang w:eastAsia="de-DE"/>
    </w:rPr>
  </w:style>
  <w:style w:type="table" w:styleId="TableGrid">
    <w:name w:val="Table Grid"/>
    <w:basedOn w:val="TableNormal"/>
    <w:uiPriority w:val="59"/>
    <w:rsid w:val="00B50935"/>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50935"/>
    <w:rPr>
      <w:color w:val="0000FF"/>
      <w:u w:val="single"/>
    </w:rPr>
  </w:style>
  <w:style w:type="paragraph" w:styleId="ListBullet">
    <w:name w:val="List Bullet"/>
    <w:basedOn w:val="Normal"/>
    <w:rsid w:val="00B50935"/>
    <w:pPr>
      <w:numPr>
        <w:numId w:val="7"/>
      </w:numPr>
    </w:pPr>
    <w:rPr>
      <w:rFonts w:eastAsia="Times New Roman"/>
      <w:lang w:val="es-ES" w:eastAsia="en-GB"/>
    </w:rPr>
  </w:style>
  <w:style w:type="paragraph" w:styleId="ListBullet2">
    <w:name w:val="List Bullet 2"/>
    <w:basedOn w:val="Normal"/>
    <w:rsid w:val="00B50935"/>
    <w:pPr>
      <w:numPr>
        <w:numId w:val="8"/>
      </w:numPr>
    </w:pPr>
    <w:rPr>
      <w:rFonts w:eastAsia="Times New Roman"/>
      <w:lang w:val="es-ES" w:eastAsia="en-GB"/>
    </w:rPr>
  </w:style>
  <w:style w:type="paragraph" w:styleId="ListBullet3">
    <w:name w:val="List Bullet 3"/>
    <w:basedOn w:val="Normal"/>
    <w:rsid w:val="00B50935"/>
    <w:pPr>
      <w:numPr>
        <w:numId w:val="9"/>
      </w:numPr>
    </w:pPr>
    <w:rPr>
      <w:rFonts w:eastAsia="Times New Roman"/>
      <w:lang w:val="es-ES" w:eastAsia="en-GB"/>
    </w:rPr>
  </w:style>
  <w:style w:type="paragraph" w:styleId="ListNumber2">
    <w:name w:val="List Number 2"/>
    <w:basedOn w:val="Normal"/>
    <w:rsid w:val="00B50935"/>
    <w:pPr>
      <w:numPr>
        <w:numId w:val="13"/>
      </w:numPr>
    </w:pPr>
    <w:rPr>
      <w:rFonts w:eastAsia="Times New Roman"/>
      <w:lang w:val="es-ES" w:eastAsia="en-GB"/>
    </w:rPr>
  </w:style>
  <w:style w:type="paragraph" w:styleId="ListNumber3">
    <w:name w:val="List Number 3"/>
    <w:basedOn w:val="Normal"/>
    <w:rsid w:val="00B50935"/>
    <w:pPr>
      <w:numPr>
        <w:numId w:val="14"/>
      </w:numPr>
    </w:pPr>
    <w:rPr>
      <w:rFonts w:eastAsia="Times New Roman"/>
      <w:lang w:val="es-ES" w:eastAsia="en-GB"/>
    </w:rPr>
  </w:style>
  <w:style w:type="paragraph" w:styleId="ListNumber4">
    <w:name w:val="List Number 4"/>
    <w:basedOn w:val="Normal"/>
    <w:rsid w:val="00B50935"/>
    <w:pPr>
      <w:numPr>
        <w:numId w:val="15"/>
      </w:numPr>
    </w:pPr>
    <w:rPr>
      <w:rFonts w:eastAsia="Times New Roman"/>
      <w:lang w:val="es-ES" w:eastAsia="en-GB"/>
    </w:rPr>
  </w:style>
  <w:style w:type="paragraph" w:customStyle="1" w:styleId="ListDash3">
    <w:name w:val="List Dash 3"/>
    <w:basedOn w:val="Normal"/>
    <w:rsid w:val="00B50935"/>
    <w:pPr>
      <w:numPr>
        <w:numId w:val="10"/>
      </w:numPr>
    </w:pPr>
    <w:rPr>
      <w:rFonts w:eastAsia="Times New Roman"/>
      <w:lang w:val="es-ES" w:eastAsia="en-GB"/>
    </w:rPr>
  </w:style>
  <w:style w:type="paragraph" w:customStyle="1" w:styleId="ListDash4">
    <w:name w:val="List Dash 4"/>
    <w:basedOn w:val="Normal"/>
    <w:rsid w:val="00B50935"/>
    <w:pPr>
      <w:numPr>
        <w:numId w:val="11"/>
      </w:numPr>
    </w:pPr>
    <w:rPr>
      <w:rFonts w:eastAsia="Times New Roman"/>
      <w:lang w:val="es-ES" w:eastAsia="en-GB"/>
    </w:rPr>
  </w:style>
  <w:style w:type="paragraph" w:customStyle="1" w:styleId="ListNumber1">
    <w:name w:val="List Number 1"/>
    <w:basedOn w:val="Text1"/>
    <w:rsid w:val="00B50935"/>
    <w:pPr>
      <w:numPr>
        <w:numId w:val="12"/>
      </w:numPr>
    </w:pPr>
    <w:rPr>
      <w:rFonts w:eastAsia="Times New Roman"/>
      <w:lang w:val="es-ES" w:eastAsia="en-GB"/>
    </w:rPr>
  </w:style>
  <w:style w:type="paragraph" w:customStyle="1" w:styleId="ListNumber1Level2">
    <w:name w:val="List Number 1 (Level 2)"/>
    <w:basedOn w:val="Text1"/>
    <w:rsid w:val="00B50935"/>
    <w:pPr>
      <w:numPr>
        <w:ilvl w:val="1"/>
        <w:numId w:val="12"/>
      </w:numPr>
    </w:pPr>
    <w:rPr>
      <w:rFonts w:eastAsia="Times New Roman"/>
      <w:lang w:val="es-ES" w:eastAsia="en-GB"/>
    </w:rPr>
  </w:style>
  <w:style w:type="paragraph" w:customStyle="1" w:styleId="ListNumber2Level2">
    <w:name w:val="List Number 2 (Level 2)"/>
    <w:basedOn w:val="Text2"/>
    <w:rsid w:val="00B50935"/>
    <w:pPr>
      <w:numPr>
        <w:ilvl w:val="1"/>
        <w:numId w:val="13"/>
      </w:numPr>
    </w:pPr>
    <w:rPr>
      <w:rFonts w:eastAsia="Times New Roman"/>
      <w:lang w:val="es-ES" w:eastAsia="en-GB"/>
    </w:rPr>
  </w:style>
  <w:style w:type="paragraph" w:customStyle="1" w:styleId="ListNumber3Level2">
    <w:name w:val="List Number 3 (Level 2)"/>
    <w:basedOn w:val="Text3"/>
    <w:rsid w:val="00B50935"/>
    <w:pPr>
      <w:numPr>
        <w:ilvl w:val="1"/>
        <w:numId w:val="14"/>
      </w:numPr>
    </w:pPr>
    <w:rPr>
      <w:rFonts w:eastAsia="Times New Roman"/>
      <w:lang w:val="es-ES" w:eastAsia="en-GB"/>
    </w:rPr>
  </w:style>
  <w:style w:type="paragraph" w:customStyle="1" w:styleId="ListNumber4Level2">
    <w:name w:val="List Number 4 (Level 2)"/>
    <w:basedOn w:val="Text4"/>
    <w:rsid w:val="00B50935"/>
    <w:pPr>
      <w:numPr>
        <w:ilvl w:val="1"/>
        <w:numId w:val="15"/>
      </w:numPr>
    </w:pPr>
    <w:rPr>
      <w:rFonts w:eastAsia="Times New Roman"/>
      <w:lang w:val="es-ES" w:eastAsia="en-GB"/>
    </w:rPr>
  </w:style>
  <w:style w:type="paragraph" w:customStyle="1" w:styleId="ListNumber1Level3">
    <w:name w:val="List Number 1 (Level 3)"/>
    <w:basedOn w:val="Text1"/>
    <w:rsid w:val="00B50935"/>
    <w:pPr>
      <w:numPr>
        <w:ilvl w:val="2"/>
        <w:numId w:val="12"/>
      </w:numPr>
    </w:pPr>
    <w:rPr>
      <w:rFonts w:eastAsia="Times New Roman"/>
      <w:lang w:val="es-ES" w:eastAsia="en-GB"/>
    </w:rPr>
  </w:style>
  <w:style w:type="paragraph" w:customStyle="1" w:styleId="ListNumber2Level3">
    <w:name w:val="List Number 2 (Level 3)"/>
    <w:basedOn w:val="Text2"/>
    <w:rsid w:val="00B50935"/>
    <w:pPr>
      <w:numPr>
        <w:ilvl w:val="2"/>
        <w:numId w:val="13"/>
      </w:numPr>
    </w:pPr>
    <w:rPr>
      <w:rFonts w:eastAsia="Times New Roman"/>
      <w:lang w:val="es-ES" w:eastAsia="en-GB"/>
    </w:rPr>
  </w:style>
  <w:style w:type="paragraph" w:customStyle="1" w:styleId="ListNumber3Level3">
    <w:name w:val="List Number 3 (Level 3)"/>
    <w:basedOn w:val="Text3"/>
    <w:rsid w:val="00B50935"/>
    <w:pPr>
      <w:numPr>
        <w:ilvl w:val="2"/>
        <w:numId w:val="14"/>
      </w:numPr>
    </w:pPr>
    <w:rPr>
      <w:rFonts w:eastAsia="Times New Roman"/>
      <w:lang w:val="es-ES" w:eastAsia="en-GB"/>
    </w:rPr>
  </w:style>
  <w:style w:type="paragraph" w:customStyle="1" w:styleId="ListNumber4Level3">
    <w:name w:val="List Number 4 (Level 3)"/>
    <w:basedOn w:val="Text4"/>
    <w:rsid w:val="00B50935"/>
    <w:pPr>
      <w:numPr>
        <w:ilvl w:val="2"/>
        <w:numId w:val="15"/>
      </w:numPr>
    </w:pPr>
    <w:rPr>
      <w:rFonts w:eastAsia="Times New Roman"/>
      <w:lang w:val="es-ES" w:eastAsia="en-GB"/>
    </w:rPr>
  </w:style>
  <w:style w:type="paragraph" w:customStyle="1" w:styleId="ListNumber1Level4">
    <w:name w:val="List Number 1 (Level 4)"/>
    <w:basedOn w:val="Text1"/>
    <w:rsid w:val="00B50935"/>
    <w:pPr>
      <w:numPr>
        <w:ilvl w:val="3"/>
        <w:numId w:val="12"/>
      </w:numPr>
    </w:pPr>
    <w:rPr>
      <w:rFonts w:eastAsia="Times New Roman"/>
      <w:lang w:val="es-ES" w:eastAsia="en-GB"/>
    </w:rPr>
  </w:style>
  <w:style w:type="paragraph" w:customStyle="1" w:styleId="ListNumber2Level4">
    <w:name w:val="List Number 2 (Level 4)"/>
    <w:basedOn w:val="Text2"/>
    <w:rsid w:val="00B50935"/>
    <w:pPr>
      <w:numPr>
        <w:ilvl w:val="3"/>
        <w:numId w:val="13"/>
      </w:numPr>
    </w:pPr>
    <w:rPr>
      <w:rFonts w:eastAsia="Times New Roman"/>
      <w:lang w:val="es-ES" w:eastAsia="en-GB"/>
    </w:rPr>
  </w:style>
  <w:style w:type="paragraph" w:customStyle="1" w:styleId="ListNumber3Level4">
    <w:name w:val="List Number 3 (Level 4)"/>
    <w:basedOn w:val="Text3"/>
    <w:rsid w:val="00B50935"/>
    <w:pPr>
      <w:numPr>
        <w:ilvl w:val="3"/>
        <w:numId w:val="14"/>
      </w:numPr>
    </w:pPr>
    <w:rPr>
      <w:rFonts w:eastAsia="Times New Roman"/>
      <w:lang w:val="es-ES" w:eastAsia="en-GB"/>
    </w:rPr>
  </w:style>
  <w:style w:type="paragraph" w:customStyle="1" w:styleId="ListNumber4Level4">
    <w:name w:val="List Number 4 (Level 4)"/>
    <w:basedOn w:val="Text4"/>
    <w:rsid w:val="00B50935"/>
    <w:pPr>
      <w:numPr>
        <w:ilvl w:val="3"/>
        <w:numId w:val="15"/>
      </w:numPr>
    </w:pPr>
    <w:rPr>
      <w:rFonts w:eastAsia="Times New Roman"/>
      <w:lang w:val="es-ES" w:eastAsia="en-GB"/>
    </w:rPr>
  </w:style>
  <w:style w:type="paragraph" w:customStyle="1" w:styleId="Annexetitreacte">
    <w:name w:val="Annexe titre (acte)"/>
    <w:basedOn w:val="Normal"/>
    <w:next w:val="Normal"/>
    <w:rsid w:val="00B50935"/>
    <w:pPr>
      <w:jc w:val="center"/>
    </w:pPr>
    <w:rPr>
      <w:rFonts w:eastAsia="Times New Roman"/>
      <w:b/>
      <w:u w:val="single"/>
      <w:lang w:val="es-ES" w:eastAsia="en-GB"/>
    </w:rPr>
  </w:style>
  <w:style w:type="paragraph" w:customStyle="1" w:styleId="Annexetitreexposglobal">
    <w:name w:val="Annexe titre (exposé global)"/>
    <w:basedOn w:val="Normal"/>
    <w:next w:val="Normal"/>
    <w:rsid w:val="00B50935"/>
    <w:pPr>
      <w:jc w:val="center"/>
    </w:pPr>
    <w:rPr>
      <w:rFonts w:eastAsia="Times New Roman"/>
      <w:b/>
      <w:u w:val="single"/>
      <w:lang w:val="es-ES" w:eastAsia="en-GB"/>
    </w:rPr>
  </w:style>
  <w:style w:type="paragraph" w:customStyle="1" w:styleId="Annexetitrefichefinacte">
    <w:name w:val="Annexe titre (fiche fin. acte)"/>
    <w:basedOn w:val="Normal"/>
    <w:next w:val="Normal"/>
    <w:rsid w:val="00B50935"/>
    <w:pPr>
      <w:jc w:val="center"/>
    </w:pPr>
    <w:rPr>
      <w:rFonts w:eastAsia="Times New Roman"/>
      <w:b/>
      <w:u w:val="single"/>
      <w:lang w:val="es-ES" w:eastAsia="en-GB"/>
    </w:rPr>
  </w:style>
  <w:style w:type="paragraph" w:customStyle="1" w:styleId="Annexetitrefichefinglobale">
    <w:name w:val="Annexe titre (fiche fin. globale)"/>
    <w:basedOn w:val="Normal"/>
    <w:next w:val="Normal"/>
    <w:rsid w:val="00B50935"/>
    <w:pPr>
      <w:jc w:val="center"/>
    </w:pPr>
    <w:rPr>
      <w:rFonts w:eastAsia="Times New Roman"/>
      <w:b/>
      <w:u w:val="single"/>
      <w:lang w:val="es-ES" w:eastAsia="en-GB"/>
    </w:rPr>
  </w:style>
  <w:style w:type="paragraph" w:customStyle="1" w:styleId="Annexetitreglobale">
    <w:name w:val="Annexe titre (globale)"/>
    <w:basedOn w:val="Normal"/>
    <w:next w:val="Normal"/>
    <w:rsid w:val="00B50935"/>
    <w:pPr>
      <w:jc w:val="center"/>
    </w:pPr>
    <w:rPr>
      <w:rFonts w:eastAsia="Times New Roman"/>
      <w:b/>
      <w:u w:val="single"/>
      <w:lang w:val="es-ES" w:eastAsia="en-GB"/>
    </w:rPr>
  </w:style>
  <w:style w:type="paragraph" w:customStyle="1" w:styleId="Exposdesmotifstitreglobal">
    <w:name w:val="Exposé des motifs titre (global)"/>
    <w:basedOn w:val="Normal"/>
    <w:next w:val="Normal"/>
    <w:rsid w:val="00B50935"/>
    <w:pPr>
      <w:jc w:val="center"/>
    </w:pPr>
    <w:rPr>
      <w:rFonts w:eastAsia="Times New Roman"/>
      <w:b/>
      <w:u w:val="single"/>
      <w:lang w:val="es-ES" w:eastAsia="en-GB"/>
    </w:rPr>
  </w:style>
  <w:style w:type="paragraph" w:customStyle="1" w:styleId="Langueoriginale">
    <w:name w:val="Langue originale"/>
    <w:basedOn w:val="Normal"/>
    <w:rsid w:val="00B50935"/>
    <w:pPr>
      <w:spacing w:before="360"/>
      <w:jc w:val="center"/>
    </w:pPr>
    <w:rPr>
      <w:rFonts w:eastAsia="Times New Roman"/>
      <w:caps/>
      <w:lang w:val="es-ES" w:eastAsia="en-GB"/>
    </w:rPr>
  </w:style>
  <w:style w:type="paragraph" w:customStyle="1" w:styleId="Phrasefinale">
    <w:name w:val="Phrase finale"/>
    <w:basedOn w:val="Normal"/>
    <w:next w:val="Normal"/>
    <w:rsid w:val="00B50935"/>
    <w:pPr>
      <w:spacing w:before="360" w:after="0"/>
      <w:jc w:val="center"/>
    </w:pPr>
    <w:rPr>
      <w:rFonts w:eastAsia="Times New Roman"/>
      <w:lang w:val="es-ES" w:eastAsia="en-GB"/>
    </w:rPr>
  </w:style>
  <w:style w:type="paragraph" w:customStyle="1" w:styleId="Prliminairetitre">
    <w:name w:val="Préliminaire titre"/>
    <w:basedOn w:val="Normal"/>
    <w:next w:val="Normal"/>
    <w:rsid w:val="00B50935"/>
    <w:pPr>
      <w:spacing w:before="360" w:after="360"/>
      <w:jc w:val="center"/>
    </w:pPr>
    <w:rPr>
      <w:rFonts w:eastAsia="Times New Roman"/>
      <w:b/>
      <w:lang w:val="es-ES" w:eastAsia="en-GB"/>
    </w:rPr>
  </w:style>
  <w:style w:type="paragraph" w:customStyle="1" w:styleId="Prliminairetype">
    <w:name w:val="Préliminaire type"/>
    <w:basedOn w:val="Normal"/>
    <w:next w:val="Normal"/>
    <w:rsid w:val="00B50935"/>
    <w:pPr>
      <w:spacing w:before="360" w:after="0"/>
      <w:jc w:val="center"/>
    </w:pPr>
    <w:rPr>
      <w:rFonts w:eastAsia="Times New Roman"/>
      <w:b/>
      <w:lang w:val="es-ES" w:eastAsia="en-GB"/>
    </w:rPr>
  </w:style>
  <w:style w:type="paragraph" w:customStyle="1" w:styleId="Rfrenceinstitutionelle">
    <w:name w:val="Référence institutionelle"/>
    <w:basedOn w:val="Normal"/>
    <w:next w:val="Statut"/>
    <w:rsid w:val="00B50935"/>
    <w:pPr>
      <w:spacing w:before="0" w:after="240"/>
      <w:ind w:left="5103"/>
      <w:jc w:val="left"/>
    </w:pPr>
    <w:rPr>
      <w:rFonts w:eastAsia="Times New Roman"/>
      <w:lang w:val="es-ES" w:eastAsia="en-GB"/>
    </w:rPr>
  </w:style>
  <w:style w:type="paragraph" w:customStyle="1" w:styleId="Rfrenceinterinstitutionelle">
    <w:name w:val="Référence interinstitutionelle"/>
    <w:basedOn w:val="Normal"/>
    <w:next w:val="Statut"/>
    <w:rsid w:val="00B50935"/>
    <w:pPr>
      <w:spacing w:before="0" w:after="0"/>
      <w:ind w:left="5103"/>
      <w:jc w:val="left"/>
    </w:pPr>
    <w:rPr>
      <w:rFonts w:eastAsia="Times New Roman"/>
      <w:lang w:val="es-ES" w:eastAsia="en-GB"/>
    </w:rPr>
  </w:style>
  <w:style w:type="paragraph" w:customStyle="1" w:styleId="Rfrenceinterinstitutionelleprliminaire">
    <w:name w:val="Référence interinstitutionelle (préliminaire)"/>
    <w:basedOn w:val="Normal"/>
    <w:next w:val="Normal"/>
    <w:rsid w:val="00B50935"/>
    <w:pPr>
      <w:spacing w:before="0" w:after="0"/>
      <w:ind w:left="5103"/>
      <w:jc w:val="left"/>
    </w:pPr>
    <w:rPr>
      <w:rFonts w:eastAsia="Times New Roman"/>
      <w:lang w:val="es-ES" w:eastAsia="en-GB"/>
    </w:rPr>
  </w:style>
  <w:style w:type="paragraph" w:customStyle="1" w:styleId="Sous-titreobjetprliminaire">
    <w:name w:val="Sous-titre objet (préliminaire)"/>
    <w:basedOn w:val="Normal"/>
    <w:rsid w:val="00B50935"/>
    <w:pPr>
      <w:spacing w:before="0" w:after="0"/>
      <w:jc w:val="center"/>
    </w:pPr>
    <w:rPr>
      <w:rFonts w:eastAsia="Times New Roman"/>
      <w:b/>
      <w:lang w:val="es-ES" w:eastAsia="en-GB"/>
    </w:rPr>
  </w:style>
  <w:style w:type="paragraph" w:customStyle="1" w:styleId="Statutprliminaire">
    <w:name w:val="Statut (préliminaire)"/>
    <w:basedOn w:val="Normal"/>
    <w:next w:val="Normal"/>
    <w:rsid w:val="00B50935"/>
    <w:pPr>
      <w:spacing w:before="360" w:after="0"/>
      <w:jc w:val="center"/>
    </w:pPr>
    <w:rPr>
      <w:rFonts w:eastAsia="Times New Roman"/>
      <w:lang w:val="es-ES" w:eastAsia="en-GB"/>
    </w:rPr>
  </w:style>
  <w:style w:type="paragraph" w:customStyle="1" w:styleId="Titreobjetprliminaire">
    <w:name w:val="Titre objet (préliminaire)"/>
    <w:basedOn w:val="Normal"/>
    <w:next w:val="Normal"/>
    <w:rsid w:val="00B50935"/>
    <w:pPr>
      <w:spacing w:before="360" w:after="360"/>
      <w:jc w:val="center"/>
    </w:pPr>
    <w:rPr>
      <w:rFonts w:eastAsia="Times New Roman"/>
      <w:b/>
      <w:lang w:val="es-ES" w:eastAsia="en-GB"/>
    </w:rPr>
  </w:style>
  <w:style w:type="paragraph" w:customStyle="1" w:styleId="Typedudocumentprliminaire">
    <w:name w:val="Type du document (préliminaire)"/>
    <w:basedOn w:val="Normal"/>
    <w:next w:val="Normal"/>
    <w:rsid w:val="00B50935"/>
    <w:pPr>
      <w:spacing w:before="360" w:after="0"/>
      <w:jc w:val="center"/>
    </w:pPr>
    <w:rPr>
      <w:rFonts w:eastAsia="Times New Roman"/>
      <w:b/>
      <w:lang w:val="es-ES" w:eastAsia="en-GB"/>
    </w:rPr>
  </w:style>
  <w:style w:type="paragraph" w:customStyle="1" w:styleId="Fichefinancirestandardtitre">
    <w:name w:val="Fiche financière (standard) titre"/>
    <w:basedOn w:val="Normal"/>
    <w:next w:val="Normal"/>
    <w:rsid w:val="00B50935"/>
    <w:pPr>
      <w:jc w:val="center"/>
    </w:pPr>
    <w:rPr>
      <w:rFonts w:eastAsia="Times New Roman"/>
      <w:b/>
      <w:u w:val="single"/>
      <w:lang w:val="es-ES" w:eastAsia="en-GB"/>
    </w:rPr>
  </w:style>
  <w:style w:type="paragraph" w:customStyle="1" w:styleId="Fichefinancirestandardtitreacte">
    <w:name w:val="Fiche financière (standard) titre (acte)"/>
    <w:basedOn w:val="Normal"/>
    <w:next w:val="Normal"/>
    <w:rsid w:val="00B50935"/>
    <w:pPr>
      <w:jc w:val="center"/>
    </w:pPr>
    <w:rPr>
      <w:rFonts w:eastAsia="Times New Roman"/>
      <w:b/>
      <w:u w:val="single"/>
      <w:lang w:val="es-ES" w:eastAsia="en-GB"/>
    </w:rPr>
  </w:style>
  <w:style w:type="paragraph" w:customStyle="1" w:styleId="Fichefinanciretravailtitre">
    <w:name w:val="Fiche financière (travail) titre"/>
    <w:basedOn w:val="Normal"/>
    <w:next w:val="Normal"/>
    <w:rsid w:val="00B50935"/>
    <w:pPr>
      <w:jc w:val="center"/>
    </w:pPr>
    <w:rPr>
      <w:rFonts w:eastAsia="Times New Roman"/>
      <w:b/>
      <w:u w:val="single"/>
      <w:lang w:val="es-ES" w:eastAsia="en-GB"/>
    </w:rPr>
  </w:style>
  <w:style w:type="paragraph" w:customStyle="1" w:styleId="Fichefinanciretravailtitreacte">
    <w:name w:val="Fiche financière (travail) titre (acte)"/>
    <w:basedOn w:val="Normal"/>
    <w:next w:val="Normal"/>
    <w:rsid w:val="00B50935"/>
    <w:pPr>
      <w:jc w:val="center"/>
    </w:pPr>
    <w:rPr>
      <w:rFonts w:eastAsia="Times New Roman"/>
      <w:b/>
      <w:u w:val="single"/>
      <w:lang w:val="es-ES" w:eastAsia="en-GB"/>
    </w:rPr>
  </w:style>
  <w:style w:type="paragraph" w:customStyle="1" w:styleId="Fichefinancireattributiontitre">
    <w:name w:val="Fiche financière (attribution) titre"/>
    <w:basedOn w:val="Normal"/>
    <w:next w:val="Normal"/>
    <w:rsid w:val="00B50935"/>
    <w:pPr>
      <w:jc w:val="center"/>
    </w:pPr>
    <w:rPr>
      <w:rFonts w:eastAsia="Times New Roman"/>
      <w:b/>
      <w:u w:val="single"/>
      <w:lang w:val="es-ES" w:eastAsia="en-GB"/>
    </w:rPr>
  </w:style>
  <w:style w:type="paragraph" w:customStyle="1" w:styleId="Fichefinancireattributiontitreacte">
    <w:name w:val="Fiche financière (attribution) titre (acte)"/>
    <w:basedOn w:val="Normal"/>
    <w:next w:val="Normal"/>
    <w:rsid w:val="00B50935"/>
    <w:pPr>
      <w:jc w:val="center"/>
    </w:pPr>
    <w:rPr>
      <w:rFonts w:eastAsia="Times New Roman"/>
      <w:b/>
      <w:u w:val="single"/>
      <w:lang w:val="es-ES" w:eastAsia="en-GB"/>
    </w:rPr>
  </w:style>
  <w:style w:type="character" w:styleId="CommentReference">
    <w:name w:val="annotation reference"/>
    <w:rsid w:val="00B50935"/>
    <w:rPr>
      <w:rFonts w:cs="Times New Roman"/>
      <w:sz w:val="16"/>
      <w:szCs w:val="16"/>
    </w:rPr>
  </w:style>
  <w:style w:type="paragraph" w:styleId="CommentText">
    <w:name w:val="annotation text"/>
    <w:basedOn w:val="Normal"/>
    <w:link w:val="CommentTextChar"/>
    <w:rsid w:val="00B50935"/>
    <w:rPr>
      <w:rFonts w:eastAsia="Times New Roman"/>
      <w:sz w:val="20"/>
      <w:szCs w:val="20"/>
      <w:lang w:val="es-ES" w:eastAsia="en-GB"/>
    </w:rPr>
  </w:style>
  <w:style w:type="character" w:customStyle="1" w:styleId="CommentTextChar">
    <w:name w:val="Comment Text Char"/>
    <w:basedOn w:val="DefaultParagraphFont"/>
    <w:link w:val="CommentText"/>
    <w:rsid w:val="00B50935"/>
    <w:rPr>
      <w:rFonts w:ascii="Times New Roman" w:eastAsia="Times New Roman" w:hAnsi="Times New Roman" w:cs="Times New Roman"/>
      <w:sz w:val="20"/>
      <w:szCs w:val="20"/>
      <w:lang w:val="es-ES" w:eastAsia="en-GB"/>
    </w:rPr>
  </w:style>
  <w:style w:type="paragraph" w:styleId="CommentSubject">
    <w:name w:val="annotation subject"/>
    <w:basedOn w:val="CommentText"/>
    <w:next w:val="CommentText"/>
    <w:link w:val="CommentSubjectChar"/>
    <w:rsid w:val="00B50935"/>
    <w:rPr>
      <w:b/>
      <w:bCs/>
    </w:rPr>
  </w:style>
  <w:style w:type="character" w:customStyle="1" w:styleId="CommentSubjectChar">
    <w:name w:val="Comment Subject Char"/>
    <w:basedOn w:val="CommentTextChar"/>
    <w:link w:val="CommentSubject"/>
    <w:rsid w:val="00B50935"/>
    <w:rPr>
      <w:rFonts w:ascii="Times New Roman" w:eastAsia="Times New Roman" w:hAnsi="Times New Roman" w:cs="Times New Roman"/>
      <w:b/>
      <w:bCs/>
      <w:sz w:val="20"/>
      <w:szCs w:val="20"/>
      <w:lang w:val="es-ES" w:eastAsia="en-GB"/>
    </w:rPr>
  </w:style>
  <w:style w:type="paragraph" w:styleId="BalloonText">
    <w:name w:val="Balloon Text"/>
    <w:basedOn w:val="Normal"/>
    <w:link w:val="BalloonTextChar"/>
    <w:rsid w:val="00B50935"/>
    <w:rPr>
      <w:rFonts w:ascii="Tahoma" w:eastAsia="Times New Roman" w:hAnsi="Tahoma" w:cs="Tahoma"/>
      <w:sz w:val="16"/>
      <w:szCs w:val="16"/>
      <w:lang w:val="es-ES" w:eastAsia="en-GB"/>
    </w:rPr>
  </w:style>
  <w:style w:type="character" w:customStyle="1" w:styleId="BalloonTextChar">
    <w:name w:val="Balloon Text Char"/>
    <w:basedOn w:val="DefaultParagraphFont"/>
    <w:link w:val="BalloonText"/>
    <w:rsid w:val="00B50935"/>
    <w:rPr>
      <w:rFonts w:ascii="Tahoma" w:eastAsia="Times New Roman" w:hAnsi="Tahoma" w:cs="Tahoma"/>
      <w:sz w:val="16"/>
      <w:szCs w:val="16"/>
      <w:lang w:val="es-ES" w:eastAsia="en-GB"/>
    </w:rPr>
  </w:style>
  <w:style w:type="paragraph" w:styleId="Caption">
    <w:name w:val="caption"/>
    <w:basedOn w:val="Normal"/>
    <w:next w:val="Normal"/>
    <w:qFormat/>
    <w:rsid w:val="00B50935"/>
    <w:rPr>
      <w:rFonts w:eastAsia="Times New Roman"/>
      <w:b/>
      <w:bCs/>
      <w:sz w:val="20"/>
      <w:szCs w:val="20"/>
      <w:lang w:val="es-ES" w:eastAsia="en-GB"/>
    </w:rPr>
  </w:style>
  <w:style w:type="paragraph" w:styleId="TableofFigures">
    <w:name w:val="table of figures"/>
    <w:basedOn w:val="Normal"/>
    <w:next w:val="Normal"/>
    <w:rsid w:val="00B50935"/>
    <w:rPr>
      <w:rFonts w:eastAsia="Times New Roman"/>
      <w:lang w:val="es-ES" w:eastAsia="en-GB"/>
    </w:rPr>
  </w:style>
  <w:style w:type="character" w:styleId="PageNumber">
    <w:name w:val="page number"/>
    <w:rsid w:val="00B50935"/>
  </w:style>
  <w:style w:type="character" w:customStyle="1" w:styleId="tw4winMark">
    <w:name w:val="tw4winMark"/>
    <w:rsid w:val="00B50935"/>
    <w:rPr>
      <w:vanish/>
      <w:color w:val="800080"/>
      <w:vertAlign w:val="subscript"/>
    </w:rPr>
  </w:style>
  <w:style w:type="character" w:styleId="FollowedHyperlink">
    <w:name w:val="FollowedHyperlink"/>
    <w:rsid w:val="00B50935"/>
    <w:rPr>
      <w:color w:val="800080"/>
      <w:u w:val="single"/>
    </w:rPr>
  </w:style>
  <w:style w:type="paragraph" w:customStyle="1" w:styleId="Sous-titreobjet">
    <w:name w:val="Sous-titre objet"/>
    <w:basedOn w:val="Normal"/>
    <w:rsid w:val="00B50935"/>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B50935"/>
  </w:style>
  <w:style w:type="paragraph" w:styleId="Revision">
    <w:name w:val="Revision"/>
    <w:hidden/>
    <w:uiPriority w:val="99"/>
    <w:semiHidden/>
    <w:rsid w:val="00B50935"/>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rsid w:val="00B50935"/>
    <w:pPr>
      <w:spacing w:before="0" w:after="200" w:line="276" w:lineRule="auto"/>
      <w:ind w:left="720"/>
      <w:contextualSpacing/>
      <w:jc w:val="left"/>
    </w:pPr>
    <w:rPr>
      <w:rFonts w:asciiTheme="minorHAnsi" w:hAnsiTheme="minorHAnsi" w:cstheme="minorBidi"/>
      <w:sz w:val="22"/>
      <w:lang w:val="es-ES"/>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sid w:val="00B50935"/>
    <w:rPr>
      <w:lang w:val="es-ES"/>
    </w:rPr>
  </w:style>
  <w:style w:type="paragraph" w:customStyle="1" w:styleId="FooterCoverPage">
    <w:name w:val="Footer Cover Page"/>
    <w:basedOn w:val="Normal"/>
    <w:link w:val="FooterCoverPageChar"/>
    <w:rsid w:val="00B50935"/>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sid w:val="00B50935"/>
    <w:rPr>
      <w:rFonts w:ascii="Times New Roman" w:hAnsi="Times New Roman" w:cs="Times New Roman"/>
      <w:b/>
      <w:sz w:val="28"/>
      <w:lang w:val="es-ES"/>
    </w:rPr>
  </w:style>
  <w:style w:type="character" w:customStyle="1" w:styleId="FooterCoverPageChar">
    <w:name w:val="Footer Cover Page Char"/>
    <w:basedOn w:val="TOCHeadingChar"/>
    <w:link w:val="FooterCoverPage"/>
    <w:rsid w:val="00B50935"/>
    <w:rPr>
      <w:rFonts w:ascii="Times New Roman" w:hAnsi="Times New Roman" w:cs="Times New Roman"/>
      <w:b w:val="0"/>
      <w:sz w:val="24"/>
      <w:lang w:val="es-ES"/>
    </w:rPr>
  </w:style>
  <w:style w:type="paragraph" w:customStyle="1" w:styleId="HeaderCoverPage">
    <w:name w:val="Header Cover Page"/>
    <w:basedOn w:val="Normal"/>
    <w:link w:val="HeaderCoverPageChar"/>
    <w:rsid w:val="00B50935"/>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sid w:val="00B50935"/>
    <w:rPr>
      <w:rFonts w:ascii="Times New Roman" w:hAnsi="Times New Roman" w:cs="Times New Roman"/>
      <w:b w:val="0"/>
      <w:sz w:val="24"/>
      <w:lang w:val="es-ES" w:eastAsia="en-GB"/>
    </w:rPr>
  </w:style>
  <w:style w:type="paragraph" w:styleId="NormalWeb">
    <w:name w:val="Normal (Web)"/>
    <w:basedOn w:val="Normal"/>
    <w:uiPriority w:val="99"/>
    <w:semiHidden/>
    <w:unhideWhenUsed/>
    <w:rsid w:val="00B50935"/>
    <w:pPr>
      <w:spacing w:before="100" w:beforeAutospacing="1" w:after="100" w:afterAutospacing="1"/>
      <w:jc w:val="left"/>
    </w:pPr>
    <w:rPr>
      <w:rFonts w:eastAsia="Times New Roman"/>
      <w:szCs w:val="24"/>
      <w:lang w:val="es-ES"/>
    </w:rPr>
  </w:style>
  <w:style w:type="character" w:styleId="Emphasis">
    <w:name w:val="Emphasis"/>
    <w:basedOn w:val="DefaultParagraphFont"/>
    <w:uiPriority w:val="20"/>
    <w:qFormat/>
    <w:rsid w:val="00B50935"/>
    <w:rPr>
      <w:i/>
      <w:iCs/>
    </w:rPr>
  </w:style>
  <w:style w:type="character" w:customStyle="1" w:styleId="acopre">
    <w:name w:val="acopre"/>
    <w:basedOn w:val="DefaultParagraphFont"/>
    <w:rsid w:val="00B50935"/>
  </w:style>
  <w:style w:type="character" w:customStyle="1" w:styleId="highlight">
    <w:name w:val="highlight"/>
    <w:basedOn w:val="DefaultParagraphFont"/>
    <w:rsid w:val="00B50935"/>
  </w:style>
  <w:style w:type="paragraph" w:customStyle="1" w:styleId="Normal1">
    <w:name w:val="Normal1"/>
    <w:basedOn w:val="Normal"/>
    <w:rsid w:val="00B50935"/>
    <w:pPr>
      <w:spacing w:before="100" w:beforeAutospacing="1" w:after="100" w:afterAutospacing="1"/>
      <w:jc w:val="left"/>
    </w:pPr>
    <w:rPr>
      <w:rFonts w:eastAsia="Times New Roman"/>
      <w:szCs w:val="24"/>
      <w:lang w:val="es-ES"/>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4"/>
      </w:numPr>
    </w:pPr>
  </w:style>
  <w:style w:type="paragraph" w:customStyle="1" w:styleId="Tiret1">
    <w:name w:val="Tiret 1"/>
    <w:basedOn w:val="Point1"/>
    <w:rsid w:val="009B7138"/>
    <w:pPr>
      <w:numPr>
        <w:numId w:val="35"/>
      </w:numPr>
    </w:pPr>
  </w:style>
  <w:style w:type="paragraph" w:customStyle="1" w:styleId="Tiret2">
    <w:name w:val="Tiret 2"/>
    <w:basedOn w:val="Point2"/>
    <w:rsid w:val="009B7138"/>
    <w:pPr>
      <w:numPr>
        <w:numId w:val="36"/>
      </w:numPr>
    </w:pPr>
  </w:style>
  <w:style w:type="paragraph" w:customStyle="1" w:styleId="Tiret3">
    <w:name w:val="Tiret 3"/>
    <w:basedOn w:val="Point3"/>
    <w:rsid w:val="009B7138"/>
    <w:pPr>
      <w:numPr>
        <w:numId w:val="37"/>
      </w:numPr>
    </w:pPr>
  </w:style>
  <w:style w:type="paragraph" w:customStyle="1" w:styleId="Tiret4">
    <w:name w:val="Tiret 4"/>
    <w:basedOn w:val="Point4"/>
    <w:rsid w:val="009B7138"/>
    <w:pPr>
      <w:numPr>
        <w:numId w:val="3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9"/>
      </w:numPr>
    </w:pPr>
  </w:style>
  <w:style w:type="paragraph" w:customStyle="1" w:styleId="NumPar2">
    <w:name w:val="NumPar 2"/>
    <w:basedOn w:val="Normal"/>
    <w:next w:val="Text1"/>
    <w:rsid w:val="009B7138"/>
    <w:pPr>
      <w:numPr>
        <w:ilvl w:val="1"/>
        <w:numId w:val="39"/>
      </w:numPr>
    </w:pPr>
  </w:style>
  <w:style w:type="paragraph" w:customStyle="1" w:styleId="NumPar3">
    <w:name w:val="NumPar 3"/>
    <w:basedOn w:val="Normal"/>
    <w:next w:val="Text1"/>
    <w:rsid w:val="009B7138"/>
    <w:pPr>
      <w:numPr>
        <w:ilvl w:val="2"/>
        <w:numId w:val="39"/>
      </w:numPr>
    </w:pPr>
  </w:style>
  <w:style w:type="paragraph" w:customStyle="1" w:styleId="NumPar4">
    <w:name w:val="NumPar 4"/>
    <w:basedOn w:val="Normal"/>
    <w:next w:val="Text1"/>
    <w:rsid w:val="009B7138"/>
    <w:pPr>
      <w:numPr>
        <w:ilvl w:val="3"/>
        <w:numId w:val="3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41"/>
      </w:numPr>
    </w:pPr>
  </w:style>
  <w:style w:type="paragraph" w:customStyle="1" w:styleId="Point1number">
    <w:name w:val="Point 1 (number)"/>
    <w:basedOn w:val="Normal"/>
    <w:rsid w:val="009B7138"/>
    <w:pPr>
      <w:numPr>
        <w:ilvl w:val="2"/>
        <w:numId w:val="41"/>
      </w:numPr>
    </w:pPr>
  </w:style>
  <w:style w:type="paragraph" w:customStyle="1" w:styleId="Point2number">
    <w:name w:val="Point 2 (number)"/>
    <w:basedOn w:val="Normal"/>
    <w:rsid w:val="009B7138"/>
    <w:pPr>
      <w:numPr>
        <w:ilvl w:val="4"/>
        <w:numId w:val="41"/>
      </w:numPr>
    </w:pPr>
  </w:style>
  <w:style w:type="paragraph" w:customStyle="1" w:styleId="Point3number">
    <w:name w:val="Point 3 (number)"/>
    <w:basedOn w:val="Normal"/>
    <w:rsid w:val="009B7138"/>
    <w:pPr>
      <w:numPr>
        <w:ilvl w:val="6"/>
        <w:numId w:val="41"/>
      </w:numPr>
    </w:pPr>
  </w:style>
  <w:style w:type="paragraph" w:customStyle="1" w:styleId="Point0letter">
    <w:name w:val="Point 0 (letter)"/>
    <w:basedOn w:val="Normal"/>
    <w:rsid w:val="009B7138"/>
    <w:pPr>
      <w:numPr>
        <w:ilvl w:val="1"/>
        <w:numId w:val="41"/>
      </w:numPr>
    </w:pPr>
  </w:style>
  <w:style w:type="paragraph" w:customStyle="1" w:styleId="Point1letter">
    <w:name w:val="Point 1 (letter)"/>
    <w:basedOn w:val="Normal"/>
    <w:rsid w:val="009B7138"/>
    <w:pPr>
      <w:numPr>
        <w:ilvl w:val="3"/>
        <w:numId w:val="41"/>
      </w:numPr>
    </w:pPr>
  </w:style>
  <w:style w:type="paragraph" w:customStyle="1" w:styleId="Point2letter">
    <w:name w:val="Point 2 (letter)"/>
    <w:basedOn w:val="Normal"/>
    <w:rsid w:val="009B7138"/>
    <w:pPr>
      <w:numPr>
        <w:ilvl w:val="5"/>
        <w:numId w:val="41"/>
      </w:numPr>
    </w:pPr>
  </w:style>
  <w:style w:type="paragraph" w:customStyle="1" w:styleId="Point3letter">
    <w:name w:val="Point 3 (letter)"/>
    <w:basedOn w:val="Normal"/>
    <w:rsid w:val="009B7138"/>
    <w:pPr>
      <w:numPr>
        <w:ilvl w:val="7"/>
        <w:numId w:val="41"/>
      </w:numPr>
    </w:pPr>
  </w:style>
  <w:style w:type="paragraph" w:customStyle="1" w:styleId="Point4letter">
    <w:name w:val="Point 4 (letter)"/>
    <w:basedOn w:val="Normal"/>
    <w:rsid w:val="009B7138"/>
    <w:pPr>
      <w:numPr>
        <w:ilvl w:val="8"/>
        <w:numId w:val="41"/>
      </w:numPr>
    </w:pPr>
  </w:style>
  <w:style w:type="paragraph" w:customStyle="1" w:styleId="Bullet0">
    <w:name w:val="Bullet 0"/>
    <w:basedOn w:val="Normal"/>
    <w:rsid w:val="009B7138"/>
    <w:pPr>
      <w:numPr>
        <w:numId w:val="42"/>
      </w:numPr>
    </w:pPr>
  </w:style>
  <w:style w:type="paragraph" w:customStyle="1" w:styleId="Bullet1">
    <w:name w:val="Bullet 1"/>
    <w:basedOn w:val="Normal"/>
    <w:rsid w:val="009B7138"/>
    <w:pPr>
      <w:numPr>
        <w:numId w:val="43"/>
      </w:numPr>
    </w:pPr>
  </w:style>
  <w:style w:type="paragraph" w:customStyle="1" w:styleId="Bullet2">
    <w:name w:val="Bullet 2"/>
    <w:basedOn w:val="Normal"/>
    <w:rsid w:val="009B7138"/>
    <w:pPr>
      <w:numPr>
        <w:numId w:val="44"/>
      </w:numPr>
    </w:pPr>
  </w:style>
  <w:style w:type="paragraph" w:customStyle="1" w:styleId="Bullet3">
    <w:name w:val="Bullet 3"/>
    <w:basedOn w:val="Normal"/>
    <w:rsid w:val="009B7138"/>
    <w:pPr>
      <w:numPr>
        <w:numId w:val="45"/>
      </w:numPr>
    </w:pPr>
  </w:style>
  <w:style w:type="paragraph" w:customStyle="1" w:styleId="Bullet4">
    <w:name w:val="Bullet 4"/>
    <w:basedOn w:val="Normal"/>
    <w:rsid w:val="009B7138"/>
    <w:pPr>
      <w:numPr>
        <w:numId w:val="4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en.pdf" TargetMode="External"/><Relationship Id="rId2" Type="http://schemas.openxmlformats.org/officeDocument/2006/relationships/hyperlink" Target="https://www.eca.europa.eu/en/Pages/DocItem.aspx?did=40126" TargetMode="External"/><Relationship Id="rId1" Type="http://schemas.openxmlformats.org/officeDocument/2006/relationships/hyperlink" Target="https://www.ecdc.europa.eu/en/publications-data/third-external-evaluation-ecdc-2013-2017"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2</Pages>
  <Words>17943</Words>
  <Characters>97485</Characters>
  <Application>Microsoft Office Word</Application>
  <DocSecurity>0</DocSecurity>
  <Lines>2838</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JAMRICHOVA Martina (SANTE)</dc:creator>
  <cp:keywords/>
  <dc:description/>
  <cp:lastModifiedBy>BELTRAN POVEDA Montserrat (DGT)</cp:lastModifiedBy>
  <cp:revision>3</cp:revision>
  <dcterms:created xsi:type="dcterms:W3CDTF">2020-12-04T11:09:00Z</dcterms:created>
  <dcterms:modified xsi:type="dcterms:W3CDTF">2020-12-04T11:09:00Z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