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4770" w14:textId="4583DF2B" w:rsidR="00B50935" w:rsidRPr="007B62AA" w:rsidRDefault="003701E7" w:rsidP="005B53A8">
      <w:pPr>
        <w:pStyle w:val="Pagedecouverture"/>
      </w:pPr>
      <w:bookmarkStart w:id="0" w:name="_GoBack"/>
      <w:bookmarkEnd w:id="0"/>
      <w:r>
        <w:pict w14:anchorId="382C7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79A1219-6FA2-4AED-8B92-2EDF11F14CFD" style="width:452.5pt;height:349pt">
            <v:imagedata r:id="rId8" o:title=""/>
          </v:shape>
        </w:pict>
      </w:r>
    </w:p>
    <w:p w14:paraId="2E6D602E" w14:textId="77777777" w:rsidR="00B50935" w:rsidRPr="007B62AA" w:rsidRDefault="00B50935" w:rsidP="00B50935">
      <w:pPr>
        <w:sectPr w:rsidR="00B50935" w:rsidRPr="007B62AA" w:rsidSect="00CA0925">
          <w:footerReference w:type="default" r:id="rId9"/>
          <w:pgSz w:w="11907" w:h="16839"/>
          <w:pgMar w:top="1134" w:right="1417" w:bottom="1134" w:left="1417" w:header="709" w:footer="709" w:gutter="0"/>
          <w:pgNumType w:start="0"/>
          <w:cols w:space="720"/>
          <w:docGrid w:linePitch="360"/>
        </w:sectPr>
      </w:pPr>
    </w:p>
    <w:p w14:paraId="350F817B" w14:textId="77777777" w:rsidR="00B50935" w:rsidRPr="007B62AA" w:rsidRDefault="00B50935" w:rsidP="00427764">
      <w:pPr>
        <w:pStyle w:val="Exposdesmotifstitre"/>
      </w:pPr>
      <w:r w:rsidRPr="007B62AA">
        <w:lastRenderedPageBreak/>
        <w:t>DÔVODOVÁ SPRÁVA</w:t>
      </w:r>
    </w:p>
    <w:p w14:paraId="2EE70B13" w14:textId="77777777" w:rsidR="00B50935" w:rsidRPr="007B62AA" w:rsidRDefault="00B50935" w:rsidP="00B50935">
      <w:pPr>
        <w:pStyle w:val="ManualHeading1"/>
      </w:pPr>
      <w:bookmarkStart w:id="1" w:name="_Toc58230707"/>
      <w:r w:rsidRPr="007B62AA">
        <w:t>1.</w:t>
      </w:r>
      <w:r w:rsidRPr="007B62AA">
        <w:tab/>
        <w:t>KONTEXT NÁVRHU</w:t>
      </w:r>
      <w:bookmarkEnd w:id="1"/>
    </w:p>
    <w:p w14:paraId="70A0A500" w14:textId="77777777" w:rsidR="00B50935" w:rsidRPr="007B62AA" w:rsidRDefault="00B50935" w:rsidP="00B50935">
      <w:pPr>
        <w:pStyle w:val="ManualHeading2"/>
        <w:rPr>
          <w:rFonts w:eastAsia="Arial Unicode MS"/>
        </w:rPr>
      </w:pPr>
      <w:bookmarkStart w:id="2" w:name="_Toc58230708"/>
      <w:r w:rsidRPr="007B62AA">
        <w:rPr>
          <w:color w:val="000000"/>
          <w:u w:color="000000"/>
          <w:bdr w:val="nil"/>
        </w:rPr>
        <w:t>•</w:t>
      </w:r>
      <w:r w:rsidRPr="007B62AA">
        <w:tab/>
        <w:t>Dôvody a ciele návrhu</w:t>
      </w:r>
      <w:bookmarkEnd w:id="2"/>
    </w:p>
    <w:p w14:paraId="5DE6EDAE" w14:textId="77777777" w:rsidR="00B50935" w:rsidRPr="007B62AA" w:rsidRDefault="00B50935" w:rsidP="00B50935">
      <w:pPr>
        <w:pStyle w:val="Text1"/>
      </w:pPr>
      <w:r w:rsidRPr="007B62AA">
        <w:t>Tento návrh ako základný prvok európskej zdravotnej únie posilňuje mandát Európskeho centra pre prevenciu a kontrolu chorôb (ďalej len „centrum“) v oblasti dohľadu, pripravenosti, včasného varovania a reakcie v medziach posilneného rámca EÚ pre zdravotnú bezpečnosť. Pandémia COVID-19 odhalila nedostatky v mechanizmoch Únie na riadenie ohrození zdravia, ktoré si vzhľadom na budúce zdravotné krízy vyžadujú štruktúrovanejší prístup na úrovni Únie založený aj na európskej hodnote solidarity. Súčasťou tohto prístupu by malo byť posilnenie úlohy centra. Spolu s ďalšími príslušnými agentúrami EÚ by centrum v tejto otázke malo uplatniť aj prístup „jedno zdravie“, pričom zoberie do úvahy interakcie medzi ľuďmi, zvieratami a životným prostredím.</w:t>
      </w:r>
    </w:p>
    <w:p w14:paraId="7F390FA3" w14:textId="77777777" w:rsidR="00B50935" w:rsidRPr="007B62AA" w:rsidRDefault="00B50935" w:rsidP="00B50935">
      <w:pPr>
        <w:pStyle w:val="Text1"/>
        <w:rPr>
          <w:rFonts w:eastAsia="Times New Roman"/>
          <w:szCs w:val="20"/>
        </w:rPr>
      </w:pPr>
      <w:r w:rsidRPr="007B62AA">
        <w:t>Mandát centra stanovený nariadením Európskeho parlamentu a Rady (ES) č. 851/2004</w:t>
      </w:r>
      <w:r w:rsidRPr="007B62AA">
        <w:rPr>
          <w:rStyle w:val="FootnoteReference"/>
          <w:rFonts w:eastAsia="Times New Roman"/>
          <w:szCs w:val="20"/>
        </w:rPr>
        <w:footnoteReference w:id="2"/>
      </w:r>
      <w:r w:rsidRPr="007B62AA">
        <w:t xml:space="preserve"> bol prijatý pred zavedením mechanizmov a štruktúr v medziach súčasného rámca EÚ pre zdravotnú bezpečnosť podľa rozhodnutia 1082/2013/EÚ o závažných cezhraničných ohrozeniach zdravia</w:t>
      </w:r>
      <w:r w:rsidRPr="007B62AA">
        <w:rPr>
          <w:rStyle w:val="FootnoteReference"/>
          <w:rFonts w:eastAsia="Times New Roman"/>
          <w:szCs w:val="20"/>
        </w:rPr>
        <w:footnoteReference w:id="3"/>
      </w:r>
      <w:r w:rsidRPr="007B62AA">
        <w:t>.</w:t>
      </w:r>
    </w:p>
    <w:p w14:paraId="4B19E1D7" w14:textId="77777777" w:rsidR="00B50935" w:rsidRPr="007B62AA" w:rsidRDefault="00B50935" w:rsidP="00B50935">
      <w:pPr>
        <w:pStyle w:val="Text1"/>
        <w:rPr>
          <w:rFonts w:eastAsia="Times New Roman"/>
          <w:szCs w:val="20"/>
        </w:rPr>
      </w:pPr>
      <w:r w:rsidRPr="007B62AA">
        <w:t>Vzhľadom na preskúmanie tohto rámca je potrebné nariadenie o zriadení centra zmeniť, aby sa zabezpečil súlad s ostatnými nástrojmi Únie a s návrhom pozmeňujúceho nariadenia o závažných cezhraničných ohrozeniach zdravia. Preskúmaním sa takisto zabezpečí, aby bolo centrum v úplnom súlade so „spoločným prístupom“ k decentralizovaným agentúram, ako sa stanovuje v Spoločnom vyhlásení Európskeho parlamentu, Rady EÚ a Európskej komisie o decentralizovaných agentúrach</w:t>
      </w:r>
      <w:r w:rsidRPr="007B62AA">
        <w:rPr>
          <w:rStyle w:val="FootnoteReference"/>
          <w:rFonts w:eastAsia="Times New Roman"/>
          <w:szCs w:val="20"/>
        </w:rPr>
        <w:footnoteReference w:id="4"/>
      </w:r>
      <w:r w:rsidRPr="007B62AA">
        <w:t>.</w:t>
      </w:r>
    </w:p>
    <w:p w14:paraId="3AF9D83C" w14:textId="77777777" w:rsidR="00B50935" w:rsidRPr="007B62AA" w:rsidRDefault="00B50935" w:rsidP="00B50935">
      <w:pPr>
        <w:pStyle w:val="ManualHeading2"/>
        <w:rPr>
          <w:rFonts w:eastAsia="Arial Unicode MS"/>
          <w:color w:val="000000"/>
          <w:u w:color="000000"/>
          <w:bdr w:val="nil"/>
        </w:rPr>
      </w:pPr>
      <w:bookmarkStart w:id="3" w:name="_Toc58230709"/>
      <w:r w:rsidRPr="007B62AA">
        <w:rPr>
          <w:color w:val="000000"/>
          <w:u w:color="000000"/>
          <w:bdr w:val="nil"/>
        </w:rPr>
        <w:t>•</w:t>
      </w:r>
      <w:r w:rsidRPr="007B62AA">
        <w:tab/>
        <w:t>Súlad s existujúcimi opatreniami Únie v tejto oblasti</w:t>
      </w:r>
      <w:bookmarkEnd w:id="3"/>
    </w:p>
    <w:p w14:paraId="1DE95B8D" w14:textId="77777777" w:rsidR="00B50935" w:rsidRPr="007B62AA" w:rsidRDefault="00B50935" w:rsidP="00B50935">
      <w:pPr>
        <w:pStyle w:val="Text1"/>
      </w:pPr>
      <w:r w:rsidRPr="007B62AA">
        <w:t xml:space="preserve">Návrh je súčasťou balíka úzko súvisiacich opatrení a zároveň tvorí súčasť celkovej zdravotnej reakcie Únie na COVID-19, ako aj zlepšeného rámca krízového riadenia. </w:t>
      </w:r>
    </w:p>
    <w:p w14:paraId="1C69FD54" w14:textId="77777777" w:rsidR="00B50935" w:rsidRPr="007B62AA" w:rsidRDefault="00B50935" w:rsidP="00B50935">
      <w:pPr>
        <w:pStyle w:val="Text1"/>
      </w:pPr>
      <w:r w:rsidRPr="007B62AA">
        <w:t xml:space="preserve">Navrhované zmeny budú preto v súlade so „spoločným prístupom“ k decentralizovaným agentúram z roku 2012. </w:t>
      </w:r>
    </w:p>
    <w:p w14:paraId="29282F79" w14:textId="77777777" w:rsidR="00B50935" w:rsidRPr="007B62AA" w:rsidRDefault="00B50935" w:rsidP="00B50935">
      <w:pPr>
        <w:pStyle w:val="ManualHeading2"/>
        <w:rPr>
          <w:rFonts w:eastAsia="Arial Unicode MS"/>
        </w:rPr>
      </w:pPr>
      <w:bookmarkStart w:id="4" w:name="_Toc58230710"/>
      <w:r w:rsidRPr="007B62AA">
        <w:rPr>
          <w:color w:val="000000"/>
          <w:u w:color="000000"/>
          <w:bdr w:val="nil"/>
        </w:rPr>
        <w:t>•</w:t>
      </w:r>
      <w:r w:rsidRPr="007B62AA">
        <w:tab/>
        <w:t>Súlad s ostatnými politikami Únie</w:t>
      </w:r>
      <w:bookmarkEnd w:id="4"/>
    </w:p>
    <w:p w14:paraId="05B1F207" w14:textId="77777777" w:rsidR="00B50935" w:rsidRPr="007B62AA" w:rsidRDefault="00B50935" w:rsidP="00B50935">
      <w:pPr>
        <w:pStyle w:val="Text1"/>
      </w:pPr>
      <w:r w:rsidRPr="007B62AA">
        <w:t xml:space="preserve">Tento návrh je v súlade so všeobecnými cieľmi Únie vrátane cieľa vybudovať silnejšiu zdravotnú úniu, dosiahnuť hladké fungovanie jednotného trhu, komplementaritu s mechanizmom Únie v oblasti civilnej ochrany, vytvoriť udržateľné a odolné systémy zdravotnej starostlivosti a vykonávať ambiciózny program v oblasti výskumu a inovácií. Okrem toho poskytne užitočný príspevok k programu EÚ pre digitálny jednotný trh a k budúcemu európskemu priestoru pre údaje týkajúce sa zdravia, ako aj synergie s týmito nástrojmi, podporí inovácie a výskum, uľahčí výmenu informácií (vrátane údajov v reálnom čase) a podporí rozvoj IT infraštruktúry na epidemiologický dohľad a monitorovanie na úrovni EÚ. </w:t>
      </w:r>
    </w:p>
    <w:p w14:paraId="169EAB72" w14:textId="77777777" w:rsidR="00B50935" w:rsidRPr="007B62AA" w:rsidRDefault="00B50935" w:rsidP="00B50935">
      <w:pPr>
        <w:pStyle w:val="ManualHeading1"/>
      </w:pPr>
      <w:bookmarkStart w:id="5" w:name="_Toc58230711"/>
      <w:r w:rsidRPr="007B62AA">
        <w:lastRenderedPageBreak/>
        <w:t>2.</w:t>
      </w:r>
      <w:r w:rsidRPr="007B62AA">
        <w:tab/>
        <w:t>PRÁVNY ZÁKLAD, SUBSIDIARITA A PROPORCIONALITA</w:t>
      </w:r>
      <w:bookmarkEnd w:id="5"/>
    </w:p>
    <w:p w14:paraId="6023F108" w14:textId="77777777" w:rsidR="00B50935" w:rsidRPr="007B62AA" w:rsidRDefault="00B50935" w:rsidP="00B50935">
      <w:pPr>
        <w:pStyle w:val="ManualHeading2"/>
        <w:rPr>
          <w:rFonts w:eastAsia="Arial Unicode MS"/>
          <w:u w:color="000000"/>
          <w:bdr w:val="nil"/>
        </w:rPr>
      </w:pPr>
      <w:bookmarkStart w:id="6" w:name="_Toc58230712"/>
      <w:r w:rsidRPr="007B62AA">
        <w:rPr>
          <w:u w:color="000000"/>
          <w:bdr w:val="nil"/>
        </w:rPr>
        <w:t>•</w:t>
      </w:r>
      <w:r w:rsidRPr="007B62AA">
        <w:tab/>
      </w:r>
      <w:r w:rsidRPr="007B62AA">
        <w:rPr>
          <w:u w:color="000000"/>
          <w:bdr w:val="nil"/>
        </w:rPr>
        <w:t>Právny základ</w:t>
      </w:r>
      <w:bookmarkEnd w:id="6"/>
    </w:p>
    <w:p w14:paraId="5DE297B9" w14:textId="77777777" w:rsidR="00B50935" w:rsidRPr="007B62AA" w:rsidRDefault="00B50935" w:rsidP="00B50935">
      <w:pPr>
        <w:pStyle w:val="Text1"/>
      </w:pPr>
      <w:r w:rsidRPr="007B62AA">
        <w:t>Návrh nariadenia je založený na článku 168 ods. 5 Zmluvy o fungovaní Európskej únie (ZFEÚ). Tento prístup vychádza zo špecifických cieľov návrhu, ktoré spočívajú v prijatí opatrení na ochranu a zlepšenie ľudského zdravia, a najmä v boji proti závažným cezhraničným ohrozeniam zdravia, a to predovšetkým využitím monitorovania a včasného varovania.</w:t>
      </w:r>
    </w:p>
    <w:p w14:paraId="58E3698D" w14:textId="77777777" w:rsidR="00B50935" w:rsidRPr="007B62AA" w:rsidRDefault="00B50935" w:rsidP="00025545">
      <w:pPr>
        <w:pStyle w:val="ManualHeading2"/>
        <w:rPr>
          <w:rFonts w:eastAsia="Arial Unicode MS"/>
          <w:u w:color="000000"/>
          <w:bdr w:val="nil"/>
        </w:rPr>
      </w:pPr>
      <w:bookmarkStart w:id="7" w:name="_Toc58230713"/>
      <w:r w:rsidRPr="007B62AA">
        <w:rPr>
          <w:u w:color="000000"/>
          <w:bdr w:val="nil"/>
        </w:rPr>
        <w:t>•</w:t>
      </w:r>
      <w:r w:rsidRPr="007B62AA">
        <w:tab/>
      </w:r>
      <w:r w:rsidRPr="007B62AA">
        <w:rPr>
          <w:u w:color="000000"/>
          <w:bdr w:val="nil"/>
        </w:rPr>
        <w:t>Subsidiarita (v prípade inej ako výlučnej právomoci)</w:t>
      </w:r>
      <w:bookmarkEnd w:id="7"/>
      <w:r w:rsidRPr="007B62AA">
        <w:rPr>
          <w:u w:color="000000"/>
          <w:bdr w:val="nil"/>
        </w:rPr>
        <w:t xml:space="preserve"> </w:t>
      </w:r>
    </w:p>
    <w:p w14:paraId="27551BCB" w14:textId="77777777" w:rsidR="00B50935" w:rsidRPr="007B62AA" w:rsidRDefault="00B50935" w:rsidP="00B50935">
      <w:pPr>
        <w:pStyle w:val="Text1"/>
      </w:pPr>
      <w:r w:rsidRPr="007B62AA">
        <w:t>Hoci za riadenie kríz v oblasti verejného zdravia na vnútroštátnej úrovni sú zodpovedné členské štáty, cezhraničnú krízu v oblasti verejného zdravia nedokáže sama vyriešiť žiadna krajina. Podľa článku 2 ods. 5 ZFEÚ má Únia právomoc vykonávať opatrenia na podporu, koordináciu alebo doplnenie činností členských štátov bez toho, aby tým nahradila ich právomoc v tejto oblasti.</w:t>
      </w:r>
    </w:p>
    <w:p w14:paraId="0717FEDC" w14:textId="0D1AEDA6" w:rsidR="00B50935" w:rsidRPr="007B62AA" w:rsidRDefault="00B50935" w:rsidP="00B50935">
      <w:pPr>
        <w:pStyle w:val="Text1"/>
      </w:pPr>
      <w:r w:rsidRPr="007B62AA">
        <w:t>Z povahy závažných cezhraničných ohrození zdravia vyplýva, že ich dôsledky majú nadnárodný charakter. V globalizovanej spoločnosti sa cez hranice pohybuje veľké množstvo ľudí a tovaru, čo uľahčuje rýchle šírenie chorôb a kontaminovaných výrobkov po celom svete. Aby sa zabránilo ďalšiemu šíreniu týchto hrozieb a aby sa minimalizovali ich dôsledky, musia byť opatrenia v oblasti verejného zdravia na vnútroštátnej úrovni navzájom konzistentné a koordinované.</w:t>
      </w:r>
    </w:p>
    <w:p w14:paraId="3E98F5AB" w14:textId="77777777" w:rsidR="00B50935" w:rsidRPr="007B62AA" w:rsidRDefault="00B50935" w:rsidP="00B50935">
      <w:pPr>
        <w:pStyle w:val="Text1"/>
      </w:pPr>
      <w:r w:rsidRPr="007B62AA">
        <w:t>Núdzové situácie v oblasti verejného zdravia v rozsahu, aký vyvolalo ochorenie COVID-19, majú vplyv na všetky členské štáty. Návrh vychádza zo skúseností získaných počas krízy spôsobenej ochorením COVID-19 a na zlepšenie úrovne ochrany, prevencie, pripravenosti a reakcie na všetky zdravotné riziká v celej EÚ sa v ňom navrhuje posilniť existujúce štruktúry a mechanizmy na úrovni Únie.</w:t>
      </w:r>
    </w:p>
    <w:p w14:paraId="0D15805C" w14:textId="77777777" w:rsidR="00B50935" w:rsidRPr="007B62AA" w:rsidRDefault="00B50935" w:rsidP="00B50935">
      <w:pPr>
        <w:pStyle w:val="Text1"/>
      </w:pPr>
      <w:r w:rsidRPr="007B62AA">
        <w:t>Keďže z dôvodu cezhraničného rozmeru uvedených ohrození nemožno ciele tohto nariadenia uspokojivo dosiahnuť na úrovni jednotlivých členských štátov, a preto ich možno lepšie dosiahnuť na úrovni Únie, môže Únia prijať opatrenia v súlade so zásadou subsidiarity stanovenou v článku 5 ods. 3 Zmluvy o Európskej únii.</w:t>
      </w:r>
    </w:p>
    <w:p w14:paraId="0CE9F7BB" w14:textId="77777777" w:rsidR="00B50935" w:rsidRPr="007B62AA" w:rsidRDefault="00B50935" w:rsidP="00B50935">
      <w:pPr>
        <w:pStyle w:val="ManualHeading2"/>
        <w:rPr>
          <w:rFonts w:eastAsia="Arial Unicode MS"/>
          <w:u w:color="000000"/>
          <w:bdr w:val="nil"/>
        </w:rPr>
      </w:pPr>
      <w:bookmarkStart w:id="8" w:name="_Toc58230714"/>
      <w:r w:rsidRPr="007B62AA">
        <w:rPr>
          <w:u w:color="000000"/>
          <w:bdr w:val="nil"/>
        </w:rPr>
        <w:t>•</w:t>
      </w:r>
      <w:r w:rsidRPr="007B62AA">
        <w:tab/>
      </w:r>
      <w:r w:rsidRPr="007B62AA">
        <w:rPr>
          <w:u w:color="000000"/>
          <w:bdr w:val="nil"/>
        </w:rPr>
        <w:t>Proporcionalita</w:t>
      </w:r>
      <w:bookmarkEnd w:id="8"/>
    </w:p>
    <w:p w14:paraId="06D17E27" w14:textId="77777777" w:rsidR="00B50935" w:rsidRPr="007B62AA" w:rsidRDefault="00B50935" w:rsidP="00B50935">
      <w:pPr>
        <w:pStyle w:val="Text1"/>
        <w:rPr>
          <w:rFonts w:eastAsia="Arial Unicode MS"/>
        </w:rPr>
      </w:pPr>
      <w:r w:rsidRPr="007B62AA">
        <w:t>Návrh predstavuje primeranú a potrebnú reakciu na problémy opísané v oddiele 1. V súlade so zásadou proporcionality stanovenou v článku 5 ods. 4 ZEÚ neprekračuje toto nariadenie rámec nevyhnutný na dosiahnutie uvedených cieľov.</w:t>
      </w:r>
    </w:p>
    <w:p w14:paraId="2DE16101" w14:textId="77777777" w:rsidR="00B50935" w:rsidRPr="007B62AA" w:rsidRDefault="00B50935" w:rsidP="00B50935">
      <w:pPr>
        <w:pStyle w:val="ManualHeading2"/>
        <w:rPr>
          <w:rFonts w:eastAsia="Arial Unicode MS"/>
          <w:u w:color="000000"/>
          <w:bdr w:val="nil"/>
        </w:rPr>
      </w:pPr>
      <w:bookmarkStart w:id="9" w:name="_Toc58230715"/>
      <w:r w:rsidRPr="007B62AA">
        <w:rPr>
          <w:u w:color="000000"/>
          <w:bdr w:val="nil"/>
        </w:rPr>
        <w:t>•</w:t>
      </w:r>
      <w:r w:rsidRPr="007B62AA">
        <w:tab/>
      </w:r>
      <w:r w:rsidRPr="007B62AA">
        <w:rPr>
          <w:u w:color="000000"/>
          <w:bdr w:val="nil"/>
        </w:rPr>
        <w:t>Výber nástroja</w:t>
      </w:r>
      <w:bookmarkEnd w:id="9"/>
    </w:p>
    <w:p w14:paraId="3A533E1A" w14:textId="526BD0BD" w:rsidR="00B50935" w:rsidRPr="007B62AA" w:rsidRDefault="00B50935" w:rsidP="00B50935">
      <w:pPr>
        <w:pStyle w:val="Text1"/>
        <w:rPr>
          <w:rFonts w:eastAsia="Arial Unicode MS"/>
        </w:rPr>
      </w:pPr>
      <w:r w:rsidRPr="007B62AA">
        <w:t xml:space="preserve">Návrh má formu zmeny existujúceho nariadenia. Vzhľadom na to, že kľúčovým prvkom návrhu je vytvoriť dobre zosúladené postupy a štruktúry pre spoločné fungovanie na úrovni Únie so zameraním na pridelenie dodatočných úloh centru, sa tento typ nástroja považuje za najvhodnejší. Opatrenia si nevyžadujú vykonávanie vnútroštátnych opatrení a môžu sa uplatňovať priamo. </w:t>
      </w:r>
    </w:p>
    <w:p w14:paraId="26824403" w14:textId="77777777" w:rsidR="00B50935" w:rsidRPr="007B62AA" w:rsidRDefault="00B50935" w:rsidP="00B50935">
      <w:pPr>
        <w:pStyle w:val="ManualHeading1"/>
      </w:pPr>
      <w:bookmarkStart w:id="10" w:name="_Toc58230716"/>
      <w:r w:rsidRPr="007B62AA">
        <w:t>3.</w:t>
      </w:r>
      <w:r w:rsidRPr="007B62AA">
        <w:tab/>
        <w:t xml:space="preserve">VÝSLEDKY HODNOTENÍ </w:t>
      </w:r>
      <w:r w:rsidRPr="007B62AA">
        <w:rPr>
          <w:i/>
          <w:iCs/>
        </w:rPr>
        <w:t>EX POST</w:t>
      </w:r>
      <w:r w:rsidRPr="007B62AA">
        <w:t>, KONZULTÁCIÍ SO ZAINTERESOVANÝMI STRANAMI A POSÚDENÍ VPLYVU</w:t>
      </w:r>
      <w:bookmarkEnd w:id="10"/>
    </w:p>
    <w:p w14:paraId="6E77F563" w14:textId="77777777" w:rsidR="00B50935" w:rsidRPr="007B62AA" w:rsidRDefault="00B50935" w:rsidP="00B50935">
      <w:pPr>
        <w:pStyle w:val="ManualHeading2"/>
        <w:rPr>
          <w:rFonts w:eastAsia="Arial Unicode MS"/>
          <w:u w:color="000000"/>
          <w:bdr w:val="nil"/>
        </w:rPr>
      </w:pPr>
      <w:bookmarkStart w:id="11" w:name="_Toc58230717"/>
      <w:r w:rsidRPr="007B62AA">
        <w:rPr>
          <w:u w:color="000000"/>
          <w:bdr w:val="nil"/>
        </w:rPr>
        <w:t>•</w:t>
      </w:r>
      <w:r w:rsidRPr="007B62AA">
        <w:tab/>
      </w:r>
      <w:r w:rsidRPr="007B62AA">
        <w:rPr>
          <w:u w:color="000000"/>
          <w:bdr w:val="nil"/>
        </w:rPr>
        <w:t xml:space="preserve">Hodnotenia </w:t>
      </w:r>
      <w:r w:rsidRPr="007B62AA">
        <w:rPr>
          <w:i/>
          <w:iCs/>
          <w:u w:color="000000"/>
          <w:bdr w:val="nil"/>
        </w:rPr>
        <w:t>ex post</w:t>
      </w:r>
      <w:r w:rsidRPr="007B62AA">
        <w:rPr>
          <w:u w:color="000000"/>
          <w:bdr w:val="nil"/>
        </w:rPr>
        <w:t>/kontroly vhodnosti existujúcich právnych predpisov</w:t>
      </w:r>
      <w:bookmarkEnd w:id="11"/>
    </w:p>
    <w:p w14:paraId="0B0DD00D" w14:textId="77777777" w:rsidR="00B50935" w:rsidRPr="007B62AA" w:rsidRDefault="00B50935" w:rsidP="00B50935">
      <w:pPr>
        <w:pStyle w:val="Text1"/>
        <w:rPr>
          <w:rFonts w:eastAsia="Arial Unicode MS"/>
        </w:rPr>
      </w:pPr>
      <w:r w:rsidRPr="007B62AA">
        <w:t>Ako súčasť balíka naliehavých opatrení vychádzajúcich z doterajších skúseností z boja proti ochoreniu COVID-19 sa iniciatíva opiera o zistenia nedávneho hodnotenia fungovania centra</w:t>
      </w:r>
      <w:r w:rsidRPr="007B62AA">
        <w:rPr>
          <w:rStyle w:val="FootnoteReference"/>
          <w:szCs w:val="24"/>
        </w:rPr>
        <w:footnoteReference w:id="5"/>
      </w:r>
      <w:r w:rsidRPr="007B62AA">
        <w:t>, posúdenie zozbieraných údajov a o výmeny informácií s verejnými a súkromnými zainteresovanými stranami o problémoch, ktoré sa vyskytli počas pandémie COVID-19, a možných prostriedkoch na ich riešenie. Náležitá pozornosť sa venuje aj zisteniam uvedeným v správe Dvora audítorov o rámci EÚ pre zdravotnú bezpečnosť</w:t>
      </w:r>
      <w:r w:rsidRPr="007B62AA">
        <w:rPr>
          <w:rStyle w:val="FootnoteReference"/>
          <w:szCs w:val="24"/>
        </w:rPr>
        <w:footnoteReference w:id="6"/>
      </w:r>
      <w:r w:rsidRPr="007B62AA">
        <w:t xml:space="preserve">. Tieto informácie sú zhrnuté v oznámení Komisie, ktoré je sprievodným dokumentom k celému balíku. Vzhľadom na to, že v iniciatíve sa navrhuje rozšíriť rozsah pôsobnosti existujúcich právnych predpisov, nebude sa zakladať na hodnotení </w:t>
      </w:r>
      <w:r w:rsidRPr="007B62AA">
        <w:rPr>
          <w:i/>
          <w:iCs/>
        </w:rPr>
        <w:t>ex post</w:t>
      </w:r>
      <w:r w:rsidRPr="007B62AA">
        <w:t>, keďže identifikované potreby sa v existujúcom rámci neriešia.</w:t>
      </w:r>
    </w:p>
    <w:p w14:paraId="2BF34A95" w14:textId="77777777" w:rsidR="00B50935" w:rsidRPr="007B62AA" w:rsidRDefault="00B50935" w:rsidP="00B50935">
      <w:pPr>
        <w:pStyle w:val="Text1"/>
        <w:rPr>
          <w:rFonts w:eastAsia="Arial Unicode MS"/>
        </w:rPr>
      </w:pPr>
      <w:r w:rsidRPr="007B62AA">
        <w:t>Navrhuje sa, aby Komisia do roku 2023 podala správu o činnosti centra, ktorá má obsahovať analýzu spôsobu vykonávania zmeneného mandátu, interakcie a konzistentnosti činností centra s navrhovaným nariadením o závažných cezhraničných ohrozeniach zdravia, a aby do roku 2028 podala správu o možných zmenách mandátu centra. Súčasťou správy bude aj analýza významu centra vzhľadom na medzinárodné priority, priority Únie a vnútroštátne priority v oblasti zdravia, ako aj vzťahu medzi výstupmi centra a kapacitami členských štátov. Komisia zadá uskutočnenie štúdie, ktorá sa priloží k tejto správe. Komisia navyše v súlade so svojimi usmerneniami o lepšej právnej regulácii každých päť rokov zhodnotí výsledky činnosti centra vo vzťahu k jeho cieľom, mandátu, úlohám, postupom a umiestneniu.</w:t>
      </w:r>
    </w:p>
    <w:p w14:paraId="2F80F106" w14:textId="77777777" w:rsidR="00B50935" w:rsidRPr="007B62AA" w:rsidRDefault="00B50935" w:rsidP="00B50935">
      <w:pPr>
        <w:pStyle w:val="ManualHeading2"/>
        <w:rPr>
          <w:rFonts w:eastAsia="Arial Unicode MS"/>
          <w:u w:color="000000"/>
          <w:bdr w:val="nil"/>
        </w:rPr>
      </w:pPr>
      <w:bookmarkStart w:id="12" w:name="_Toc58230718"/>
      <w:r w:rsidRPr="007B62AA">
        <w:rPr>
          <w:u w:color="000000"/>
          <w:bdr w:val="nil"/>
        </w:rPr>
        <w:t>•</w:t>
      </w:r>
      <w:r w:rsidRPr="007B62AA">
        <w:tab/>
      </w:r>
      <w:r w:rsidRPr="007B62AA">
        <w:rPr>
          <w:u w:color="000000"/>
          <w:bdr w:val="nil"/>
        </w:rPr>
        <w:t>Konzultácie so zainteresovanými stranami</w:t>
      </w:r>
      <w:bookmarkEnd w:id="12"/>
    </w:p>
    <w:p w14:paraId="00AB442E" w14:textId="77777777" w:rsidR="00B50935" w:rsidRPr="007B62AA" w:rsidRDefault="00B50935" w:rsidP="00B50935">
      <w:pPr>
        <w:pStyle w:val="Text1"/>
        <w:rPr>
          <w:rFonts w:eastAsia="Arial Unicode MS"/>
        </w:rPr>
      </w:pPr>
      <w:r w:rsidRPr="007B62AA">
        <w:t xml:space="preserve">O posilnení centra sa rokovalo na neformálnom zasadnutí Rady pre zdravie 16. júla 2020 pod vedením nemeckého predsedníctva Rady EÚ. Členské štáty podporili takto zameranú iniciatívu ako súčasť celkového mechanizmu pripravenosti a reakcie EÚ na krízy v oblasti zdravia. Iniciatíva predpokladá zmenu nariadenia o zriadení centra. Neformálna pracovná skupina pre verejné zdravie, ktorá pracuje v rámci Rady pre zdravie, ďalej 29. októbra 2020 rokovala o návrhu záverov Rady o skúsenostiach získaných v oblasti zdravia pri boji proti ochoreniu COVID-19. Konali sa aj dvojstranné stretnutia na politickej a technickej úrovni a 29. októbra sa uskutočnil verejný webinár s cieľom diskutovať o tomto balíku. </w:t>
      </w:r>
    </w:p>
    <w:p w14:paraId="456359C0" w14:textId="77777777" w:rsidR="00B50935" w:rsidRPr="007B62AA" w:rsidRDefault="00B50935" w:rsidP="00B50935">
      <w:pPr>
        <w:pStyle w:val="ManualHeading2"/>
        <w:rPr>
          <w:rFonts w:eastAsia="Arial Unicode MS"/>
          <w:u w:color="000000"/>
          <w:bdr w:val="nil"/>
        </w:rPr>
      </w:pPr>
      <w:bookmarkStart w:id="13" w:name="_Toc58230719"/>
      <w:r w:rsidRPr="007B62AA">
        <w:rPr>
          <w:u w:color="000000"/>
          <w:bdr w:val="nil"/>
        </w:rPr>
        <w:t>•</w:t>
      </w:r>
      <w:r w:rsidRPr="007B62AA">
        <w:tab/>
      </w:r>
      <w:r w:rsidRPr="007B62AA">
        <w:rPr>
          <w:u w:color="000000"/>
          <w:bdr w:val="nil"/>
        </w:rPr>
        <w:t>Posúdenie vplyvu</w:t>
      </w:r>
      <w:bookmarkEnd w:id="13"/>
    </w:p>
    <w:p w14:paraId="0F76E7B5" w14:textId="3E0D2D60" w:rsidR="00B50935" w:rsidRPr="007B62AA" w:rsidRDefault="00B50935" w:rsidP="00B50935">
      <w:pPr>
        <w:pStyle w:val="Text1"/>
        <w:rPr>
          <w:rFonts w:eastAsia="Arial Unicode MS"/>
        </w:rPr>
      </w:pPr>
      <w:r w:rsidRPr="007B62AA">
        <w:rPr>
          <w:shd w:val="clear" w:color="auto" w:fill="FFFFFF"/>
        </w:rPr>
        <w:t>K tomuto návrhu vzhľadom na jeho naliehavosť nie je priložené formálne posúdenie vplyvu.</w:t>
      </w:r>
      <w:r w:rsidRPr="007B62AA">
        <w:t xml:space="preserve"> Zmeny sú založené najmä na posúdení údajov zozbieraných počas prvých mesiacov pandémie a na výmenách informácií s verejnými a súkromnými zainteresovanými stranami o otázkach súvisiacich s ochorením COVID-19 a možných prostriedkoch na ich riešenie, a okrem toho vychádzajú zo zistení nedávneho hodnotenia.</w:t>
      </w:r>
      <w:r w:rsidRPr="007B62AA">
        <w:rPr>
          <w:shd w:val="clear" w:color="auto" w:fill="FFFFFF"/>
        </w:rPr>
        <w:t xml:space="preserve"> Keďže v časovom rámci, ktorý bol k dispozícii pred prijatím tohto návrhu, nebolo možné uskutočniť verejnú konzultáciu a posúdenie vplyvu, tieto informácie boli zhrnuté v oznámení Komisie, ktoré je sprievodným dokumentom k celkovému balíku návrhov a ktoré poskytuje všetky dostupné dôkazy alebo na ne odkazuje. </w:t>
      </w:r>
    </w:p>
    <w:p w14:paraId="5FA3B83C" w14:textId="77777777" w:rsidR="00B50935" w:rsidRPr="007B62AA" w:rsidRDefault="00B50935" w:rsidP="00B50935">
      <w:pPr>
        <w:pStyle w:val="ManualHeading2"/>
        <w:rPr>
          <w:rFonts w:eastAsia="Arial Unicode MS"/>
          <w:u w:color="000000"/>
          <w:bdr w:val="nil"/>
        </w:rPr>
      </w:pPr>
      <w:bookmarkStart w:id="14" w:name="_Toc58230720"/>
      <w:r w:rsidRPr="007B62AA">
        <w:rPr>
          <w:u w:color="000000"/>
          <w:bdr w:val="nil"/>
        </w:rPr>
        <w:t>•</w:t>
      </w:r>
      <w:r w:rsidRPr="007B62AA">
        <w:tab/>
      </w:r>
      <w:r w:rsidRPr="007B62AA">
        <w:rPr>
          <w:u w:color="000000"/>
          <w:bdr w:val="nil"/>
        </w:rPr>
        <w:t>Základné práva</w:t>
      </w:r>
      <w:bookmarkEnd w:id="14"/>
    </w:p>
    <w:p w14:paraId="26DFB974" w14:textId="77777777" w:rsidR="00B50935" w:rsidRPr="007B62AA" w:rsidRDefault="00B50935" w:rsidP="00B50935">
      <w:pPr>
        <w:pStyle w:val="Text1"/>
      </w:pPr>
      <w:r w:rsidRPr="007B62AA">
        <w:t xml:space="preserve">Návrh prispieva k dosiahnutiu vysokej úrovne ochrany zdravia ľudí zohľadňujúcej rodové hľadisko, ako aj k dodržiavaniu najprísnejších noriem v oblasti ochrany ľudských práv a občianskych slobôd, ako sú zakotvené v Charte základných práv a v Európskom pilieri sociálnych práv, počas zdravotnej krízy. Spracovanie osobných údajov podľa tohto nariadenia v znení jeho návrhu sa bude uskutočňovať v súlade s príslušnými právnymi predpismi Únie o ochrane osobných údajov, najmä s nariadením (EÚ) 2018/1725 a nariadením (EÚ) 2016/679. </w:t>
      </w:r>
    </w:p>
    <w:p w14:paraId="6FDA60F1" w14:textId="77777777" w:rsidR="00B50935" w:rsidRPr="007B62AA" w:rsidRDefault="00B50935" w:rsidP="00B50935">
      <w:pPr>
        <w:pStyle w:val="ManualHeading1"/>
      </w:pPr>
      <w:bookmarkStart w:id="15" w:name="_Toc58230721"/>
      <w:r w:rsidRPr="007B62AA">
        <w:t>4.</w:t>
      </w:r>
      <w:r w:rsidRPr="007B62AA">
        <w:tab/>
        <w:t>VPLYV NA ROZPOČET</w:t>
      </w:r>
      <w:bookmarkEnd w:id="15"/>
    </w:p>
    <w:p w14:paraId="27C5FA88" w14:textId="77777777" w:rsidR="00B50935" w:rsidRPr="007B62AA" w:rsidRDefault="00B50935" w:rsidP="00B50935">
      <w:pPr>
        <w:pStyle w:val="Text1"/>
      </w:pPr>
      <w:r w:rsidRPr="007B62AA">
        <w:t xml:space="preserve">Vykonávanie tohto návrhu nemá žiadny vplyv na súčasný viacročný finančný rámec na roky 2014 – 2020. </w:t>
      </w:r>
    </w:p>
    <w:p w14:paraId="71290C58" w14:textId="77777777" w:rsidR="00B50935" w:rsidRPr="007B62AA" w:rsidRDefault="00B50935" w:rsidP="00B50935">
      <w:pPr>
        <w:pStyle w:val="Text1"/>
      </w:pPr>
      <w:r w:rsidRPr="007B62AA">
        <w:t xml:space="preserve">Finančný vplyv tohto návrhu na rozpočet Únie sa prejaví v budúcom viacročnom finančnom rámci na roky 2021 – 2027. </w:t>
      </w:r>
    </w:p>
    <w:p w14:paraId="4ECB7D1C" w14:textId="77777777" w:rsidR="00B50935" w:rsidRPr="007B62AA" w:rsidRDefault="00B50935" w:rsidP="00B50935">
      <w:pPr>
        <w:pStyle w:val="Text1"/>
      </w:pPr>
      <w:r w:rsidRPr="007B62AA">
        <w:t>Vplyv na rozpočet súvisí najmä s týmito cieľmi:</w:t>
      </w:r>
    </w:p>
    <w:p w14:paraId="6F8B7FCC" w14:textId="7AF42DD9" w:rsidR="00B50935" w:rsidRPr="007B62AA" w:rsidRDefault="00B50935" w:rsidP="00B50935">
      <w:pPr>
        <w:pStyle w:val="Point1"/>
      </w:pPr>
      <w:r w:rsidRPr="007B62AA">
        <w:t>●</w:t>
      </w:r>
      <w:r w:rsidRPr="007B62AA">
        <w:tab/>
        <w:t>vytvorenie novej platformy na monitorovanie vakcín, ktorú bude centrum prevádzkovať spolu s Európskou agentúrou pre lieky,</w:t>
      </w:r>
    </w:p>
    <w:p w14:paraId="55B2B323" w14:textId="77777777" w:rsidR="00B50935" w:rsidRPr="007B62AA" w:rsidRDefault="00B50935" w:rsidP="00B50935">
      <w:pPr>
        <w:pStyle w:val="Point1"/>
        <w:rPr>
          <w:rFonts w:eastAsia="Arial Unicode MS"/>
        </w:rPr>
      </w:pPr>
      <w:r w:rsidRPr="007B62AA">
        <w:t>●</w:t>
      </w:r>
      <w:r w:rsidRPr="007B62AA">
        <w:tab/>
        <w:t xml:space="preserve">činnosti plánovania pripravenosti a reakcie vrátane modelovania, predvídania, monitorovania a posudzovania, </w:t>
      </w:r>
    </w:p>
    <w:p w14:paraId="438F33A2" w14:textId="77777777" w:rsidR="00B50935" w:rsidRPr="007B62AA" w:rsidRDefault="00B50935" w:rsidP="00B50935">
      <w:pPr>
        <w:pStyle w:val="Point1"/>
        <w:rPr>
          <w:rFonts w:eastAsia="Arial Unicode MS"/>
        </w:rPr>
      </w:pPr>
      <w:r w:rsidRPr="007B62AA">
        <w:t>●</w:t>
      </w:r>
      <w:r w:rsidRPr="007B62AA">
        <w:tab/>
        <w:t xml:space="preserve">nové siete referenčných laboratórií Únie a siete v oblasti transfúzie, transplantácie a medicínsky asistovanej reprodukcie, </w:t>
      </w:r>
    </w:p>
    <w:p w14:paraId="67BCB999" w14:textId="3FD10C24" w:rsidR="00B50935" w:rsidRPr="007B62AA" w:rsidRDefault="00B50935" w:rsidP="00B50935">
      <w:pPr>
        <w:pStyle w:val="Point1"/>
        <w:rPr>
          <w:rFonts w:eastAsia="Arial Unicode MS"/>
        </w:rPr>
      </w:pPr>
      <w:r w:rsidRPr="007B62AA">
        <w:t>●</w:t>
      </w:r>
      <w:r w:rsidRPr="007B62AA">
        <w:tab/>
        <w:t xml:space="preserve">posilnenie systémov dohľadu a systému včasného varovania a reakcie, </w:t>
      </w:r>
    </w:p>
    <w:p w14:paraId="4E290410" w14:textId="77777777" w:rsidR="00B50935" w:rsidRPr="007B62AA" w:rsidRDefault="00B50935" w:rsidP="00B50935">
      <w:pPr>
        <w:pStyle w:val="Point1"/>
      </w:pPr>
      <w:r w:rsidRPr="007B62AA">
        <w:t>●</w:t>
      </w:r>
      <w:r w:rsidRPr="007B62AA">
        <w:tab/>
        <w:t>monitorovanie a posudzovanie kapacity systémov zdravotnej starostlivosti a identifikácia rizikových skupín obyvateľstva a takých skupín obyvateľstva, ktoré potrebujú cielené preventívne a reakčné opatrenia,</w:t>
      </w:r>
    </w:p>
    <w:p w14:paraId="168DBFB8" w14:textId="7FEEEA26" w:rsidR="00B50935" w:rsidRPr="007B62AA" w:rsidRDefault="00B50935" w:rsidP="00B50935">
      <w:pPr>
        <w:pStyle w:val="Point1"/>
        <w:rPr>
          <w:rFonts w:eastAsia="Arial Unicode MS"/>
        </w:rPr>
      </w:pPr>
      <w:r w:rsidRPr="007B62AA">
        <w:t>●</w:t>
      </w:r>
      <w:r w:rsidRPr="007B62AA">
        <w:tab/>
        <w:t>vytvorenie „osobitnej skupiny EÚ pre oblasť zdravia“, ktorá podporí krajiny posilnením pripravenosti a rýchlo zasiahne v prípade krízy v oblasti zdravia,</w:t>
      </w:r>
    </w:p>
    <w:p w14:paraId="5700AA84" w14:textId="0B999D88" w:rsidR="00B50935" w:rsidRPr="007B62AA" w:rsidRDefault="00B50935" w:rsidP="00B50935">
      <w:pPr>
        <w:pStyle w:val="Point1"/>
        <w:rPr>
          <w:rFonts w:eastAsia="Arial Unicode MS"/>
        </w:rPr>
      </w:pPr>
      <w:r w:rsidRPr="007B62AA">
        <w:t>●</w:t>
      </w:r>
      <w:r w:rsidRPr="007B62AA">
        <w:tab/>
        <w:t>zlepšenie medzinárodnej spolupráce a zhromažďovanie regionálnych/vnútroštátnych informácií.</w:t>
      </w:r>
    </w:p>
    <w:p w14:paraId="4F9A7E64" w14:textId="77777777" w:rsidR="00B50935" w:rsidRPr="007B62AA" w:rsidRDefault="00B50935" w:rsidP="00B50935">
      <w:pPr>
        <w:pStyle w:val="ManualHeading1"/>
      </w:pPr>
      <w:bookmarkStart w:id="16" w:name="_Toc58230722"/>
      <w:r w:rsidRPr="007B62AA">
        <w:t>5.</w:t>
      </w:r>
      <w:r w:rsidRPr="007B62AA">
        <w:tab/>
        <w:t>ĎALŠIE PRVKY</w:t>
      </w:r>
      <w:bookmarkEnd w:id="16"/>
    </w:p>
    <w:p w14:paraId="74EFA681" w14:textId="77777777" w:rsidR="00B50935" w:rsidRPr="007B62AA" w:rsidRDefault="00B50935" w:rsidP="00B50935">
      <w:pPr>
        <w:pStyle w:val="ManualHeading2"/>
        <w:rPr>
          <w:rFonts w:eastAsia="Arial Unicode MS"/>
          <w:u w:color="000000"/>
          <w:bdr w:val="nil"/>
        </w:rPr>
      </w:pPr>
      <w:bookmarkStart w:id="17" w:name="_Toc58230723"/>
      <w:r w:rsidRPr="007B62AA">
        <w:rPr>
          <w:u w:color="000000"/>
          <w:bdr w:val="nil"/>
        </w:rPr>
        <w:t>•</w:t>
      </w:r>
      <w:r w:rsidRPr="007B62AA">
        <w:tab/>
      </w:r>
      <w:r w:rsidRPr="007B62AA">
        <w:rPr>
          <w:u w:color="000000"/>
          <w:bdr w:val="nil"/>
        </w:rPr>
        <w:t>Podrobné vysvetlenie konkrétnych ustanovení návrhu</w:t>
      </w:r>
      <w:bookmarkEnd w:id="17"/>
    </w:p>
    <w:p w14:paraId="28D39D73" w14:textId="77777777" w:rsidR="00B50935" w:rsidRPr="007B62AA" w:rsidRDefault="00B50935" w:rsidP="00B50935">
      <w:pPr>
        <w:pStyle w:val="Text1"/>
      </w:pPr>
      <w:r w:rsidRPr="007B62AA">
        <w:t xml:space="preserve">Cieľom návrhu je posilniť kapacity centra na podporu pripravenosti, dohľadu, hodnotenia rizík a včasného varovania a reakcie v prípade budúcich cezhraničných ohrození zdravia. </w:t>
      </w:r>
    </w:p>
    <w:p w14:paraId="594BFE8C" w14:textId="77777777" w:rsidR="00B50935" w:rsidRPr="007B62AA" w:rsidRDefault="00B50935" w:rsidP="00B50935">
      <w:pPr>
        <w:pStyle w:val="Text1"/>
      </w:pPr>
      <w:r w:rsidRPr="007B62AA">
        <w:t>Kľúčové oblasti návrhu:</w:t>
      </w:r>
    </w:p>
    <w:p w14:paraId="53711C6C" w14:textId="541C610D" w:rsidR="00B50935" w:rsidRPr="007B62AA" w:rsidRDefault="00B50935" w:rsidP="00B50935">
      <w:pPr>
        <w:pStyle w:val="Point1"/>
        <w:rPr>
          <w:rFonts w:eastAsia="Times New Roman"/>
          <w:szCs w:val="20"/>
        </w:rPr>
      </w:pPr>
      <w:r w:rsidRPr="007B62AA">
        <w:t>●</w:t>
      </w:r>
      <w:r w:rsidRPr="007B62AA">
        <w:tab/>
        <w:t xml:space="preserve">situačné povedomie: rýchla digitalizácia integrovaných systémov dohľadu, </w:t>
      </w:r>
    </w:p>
    <w:p w14:paraId="355C33BA" w14:textId="77777777" w:rsidR="00B50935" w:rsidRPr="007B62AA" w:rsidRDefault="00B50935" w:rsidP="00B50935">
      <w:pPr>
        <w:pStyle w:val="Point1"/>
        <w:rPr>
          <w:rFonts w:eastAsia="Times New Roman"/>
          <w:szCs w:val="20"/>
        </w:rPr>
      </w:pPr>
      <w:r w:rsidRPr="007B62AA">
        <w:t>●</w:t>
      </w:r>
      <w:r w:rsidRPr="007B62AA">
        <w:tab/>
        <w:t>lepšia pripravenosť v členských štátoch: vypracovanie plánov prevencie budúcich epidémií a reakcie na ne a posilnenie kapacít na integrovanú rýchlu reakciu na epidémie a ich šírenie,</w:t>
      </w:r>
    </w:p>
    <w:p w14:paraId="2D392DE7" w14:textId="77777777" w:rsidR="00B50935" w:rsidRPr="007B62AA" w:rsidRDefault="00B50935" w:rsidP="00B50935">
      <w:pPr>
        <w:pStyle w:val="Point1"/>
        <w:rPr>
          <w:rFonts w:eastAsia="Times New Roman"/>
          <w:szCs w:val="20"/>
        </w:rPr>
      </w:pPr>
      <w:r w:rsidRPr="007B62AA">
        <w:t>●</w:t>
      </w:r>
      <w:r w:rsidRPr="007B62AA">
        <w:tab/>
        <w:t>posilnenie opatrení na kontrolu epidémií a ich šírenia: poskytovanie nezáväzných odporúčaní na riadenie rizík,</w:t>
      </w:r>
    </w:p>
    <w:p w14:paraId="05A2CDC4" w14:textId="2D6946E5" w:rsidR="00B50935" w:rsidRPr="007B62AA" w:rsidRDefault="00B50935" w:rsidP="00B50935">
      <w:pPr>
        <w:pStyle w:val="Point1"/>
        <w:rPr>
          <w:rFonts w:eastAsia="Times New Roman"/>
          <w:szCs w:val="20"/>
        </w:rPr>
      </w:pPr>
      <w:r w:rsidRPr="007B62AA">
        <w:t>●</w:t>
      </w:r>
      <w:r w:rsidRPr="007B62AA">
        <w:tab/>
        <w:t>rozšírenie kapacity na mobilizáciu a nasadenie osobitnej skupiny EÚ pre oblasť zdravia s cieľom pomôcť pri reakcii v členských štátoch,</w:t>
      </w:r>
    </w:p>
    <w:p w14:paraId="51BC7952" w14:textId="77777777" w:rsidR="00B50935" w:rsidRPr="007B62AA" w:rsidRDefault="00B50935" w:rsidP="00025545">
      <w:pPr>
        <w:pStyle w:val="Point1"/>
        <w:rPr>
          <w:rFonts w:eastAsia="Times New Roman"/>
          <w:szCs w:val="20"/>
        </w:rPr>
      </w:pPr>
      <w:r w:rsidRPr="007B62AA">
        <w:t>●</w:t>
      </w:r>
      <w:r w:rsidRPr="007B62AA">
        <w:tab/>
        <w:t>posilnenie kapacity a budovanie kľúčových kompetencií na monitorovanie a posudzovanie kapacít systémov zdravotnej starostlivosti v oblasti diagnostiky, prevencie a liečby konkrétnych prenosných chorôb, ako aj bezpečnosti pacientov,</w:t>
      </w:r>
    </w:p>
    <w:p w14:paraId="46872391" w14:textId="77777777" w:rsidR="00B50935" w:rsidRPr="007B62AA" w:rsidRDefault="00B50935" w:rsidP="00B50935">
      <w:pPr>
        <w:pStyle w:val="Point1"/>
        <w:ind w:hanging="566"/>
        <w:rPr>
          <w:rFonts w:eastAsia="Times New Roman"/>
          <w:szCs w:val="20"/>
        </w:rPr>
      </w:pPr>
      <w:r w:rsidRPr="007B62AA">
        <w:t>●</w:t>
      </w:r>
      <w:r w:rsidRPr="007B62AA">
        <w:tab/>
        <w:t>posilnenie kapacity na identifikáciu rizikových skupín obyvateľstva a takých skupín obyvateľstva, ktoré potrebujú cielené preventívne a reakčné opatrenia,</w:t>
      </w:r>
    </w:p>
    <w:p w14:paraId="496C5747" w14:textId="77777777" w:rsidR="00B50935" w:rsidRPr="007B62AA" w:rsidRDefault="00B50935" w:rsidP="00B50935">
      <w:pPr>
        <w:pStyle w:val="Point1"/>
      </w:pPr>
      <w:r w:rsidRPr="007B62AA">
        <w:t>●</w:t>
      </w:r>
      <w:r w:rsidRPr="007B62AA">
        <w:tab/>
        <w:t>prepojenie výskumu na jednej a pripravenosti a reakcie na druhej strane: vytvorenie prepojenia medzi verejným zdravotníctvom a výskumnými komunitami, prispievanie k vymedzeniu výskumných priorít týkajúcich sa pripravenosti a reakcie, zabezpečenie integrácie výsledkov výskumu do politických odporúčaní,</w:t>
      </w:r>
    </w:p>
    <w:p w14:paraId="5C5D2452" w14:textId="77777777" w:rsidR="00B50935" w:rsidRPr="007B62AA" w:rsidRDefault="00B50935" w:rsidP="00B50935">
      <w:pPr>
        <w:pStyle w:val="Point1"/>
        <w:rPr>
          <w:rFonts w:eastAsia="Times New Roman"/>
          <w:szCs w:val="20"/>
        </w:rPr>
      </w:pPr>
      <w:r w:rsidRPr="007B62AA">
        <w:t>●</w:t>
      </w:r>
      <w:r w:rsidRPr="007B62AA">
        <w:tab/>
        <w:t>budovanie kľúčových kompetencií v oblasti ochrany zdravia v členských štátoch: centrum bude poverené koordináciou novej siete referenčných laboratórií Únie pre verejné zdravie a novej siete vnútroštátnych služieb na podporu transfúzie, transplantácie a medicínsky asistovanej reprodukcie,</w:t>
      </w:r>
    </w:p>
    <w:p w14:paraId="7C473C58" w14:textId="77777777" w:rsidR="00B50935" w:rsidRPr="007B62AA" w:rsidRDefault="00B50935" w:rsidP="00B50935">
      <w:pPr>
        <w:pStyle w:val="Point1"/>
        <w:rPr>
          <w:rFonts w:eastAsia="Times New Roman"/>
          <w:szCs w:val="20"/>
        </w:rPr>
      </w:pPr>
      <w:r w:rsidRPr="007B62AA">
        <w:t>●</w:t>
      </w:r>
      <w:r w:rsidRPr="007B62AA">
        <w:tab/>
        <w:t>rozšírenie úsilia pri prevencii prenosných chorôb a riešenia osobitných zdravotných problémov, ako sú antimikrobiálna rezistencia, vakcinácia a biologická bezpečnosť,</w:t>
      </w:r>
    </w:p>
    <w:p w14:paraId="53E30503" w14:textId="77777777" w:rsidR="00B50935" w:rsidRPr="007B62AA" w:rsidRDefault="00B50935" w:rsidP="00B50935">
      <w:pPr>
        <w:pStyle w:val="Point1"/>
        <w:rPr>
          <w:rFonts w:eastAsia="Times New Roman"/>
          <w:szCs w:val="20"/>
        </w:rPr>
      </w:pPr>
      <w:r w:rsidRPr="007B62AA">
        <w:t>●</w:t>
      </w:r>
      <w:r w:rsidRPr="007B62AA">
        <w:tab/>
        <w:t>posilnenie príspevku k medzinárodnej spolupráci EÚ, ako aj k medzinárodnému rozvoju a k záväzku EÚ v oblasti globálnej pripravenosti, pokiaľ ide o zdravotnú bezpečnosť.</w:t>
      </w:r>
    </w:p>
    <w:p w14:paraId="47442678" w14:textId="77777777" w:rsidR="00B50935" w:rsidRPr="007B62AA" w:rsidRDefault="00B50935" w:rsidP="00B50935">
      <w:pPr>
        <w:pStyle w:val="Text1"/>
        <w:rPr>
          <w:rFonts w:eastAsia="Times New Roman"/>
          <w:szCs w:val="20"/>
        </w:rPr>
      </w:pPr>
      <w:r w:rsidRPr="007B62AA">
        <w:t xml:space="preserve">Návrh má takisto zabezpečiť hladkú spoluprácu medzi centrom a ostatnými decentralizovanými agentúrami EÚ, najmä s Európskou agentúrou pre lieky, počas takýchto núdzových situácií. </w:t>
      </w:r>
    </w:p>
    <w:p w14:paraId="1C84B664" w14:textId="0BCDF641" w:rsidR="00B50935" w:rsidRPr="007B62AA" w:rsidRDefault="00B50935" w:rsidP="00B50935">
      <w:pPr>
        <w:pStyle w:val="Text1"/>
      </w:pPr>
      <w:r w:rsidRPr="007B62AA">
        <w:t>Tento návrh je v súlade so spoločným prístupom</w:t>
      </w:r>
      <w:r w:rsidRPr="007B62AA">
        <w:rPr>
          <w:rStyle w:val="FootnoteReference"/>
        </w:rPr>
        <w:footnoteReference w:id="7"/>
      </w:r>
      <w:r w:rsidRPr="007B62AA">
        <w:t>, pokiaľ ide o štruktúru a riadenie, fungovanie, programovanie a zodpovednosť centra.</w:t>
      </w:r>
    </w:p>
    <w:p w14:paraId="2A55EA47" w14:textId="77777777" w:rsidR="00B50935" w:rsidRPr="007B62AA" w:rsidRDefault="00B50935" w:rsidP="00B50935">
      <w:pPr>
        <w:sectPr w:rsidR="00B50935" w:rsidRPr="007B62AA" w:rsidSect="00CA0925">
          <w:footerReference w:type="default" r:id="rId10"/>
          <w:footerReference w:type="first" r:id="rId11"/>
          <w:pgSz w:w="11907" w:h="16839"/>
          <w:pgMar w:top="1134" w:right="1417" w:bottom="1134" w:left="1417" w:header="709" w:footer="709" w:gutter="0"/>
          <w:cols w:space="708"/>
          <w:docGrid w:linePitch="360"/>
        </w:sectPr>
      </w:pPr>
    </w:p>
    <w:p w14:paraId="6B802FA5" w14:textId="75E8F616" w:rsidR="00E2254D" w:rsidRPr="007B62AA" w:rsidRDefault="005B53A8" w:rsidP="005B53A8">
      <w:pPr>
        <w:pStyle w:val="Rfrenceinterinstitutionnelle"/>
      </w:pPr>
      <w:r w:rsidRPr="007B62AA">
        <w:t>2020/0320 (COD)</w:t>
      </w:r>
    </w:p>
    <w:p w14:paraId="3D09785D" w14:textId="7017CEB3" w:rsidR="00B50935" w:rsidRPr="007B62AA" w:rsidRDefault="005B53A8" w:rsidP="005B53A8">
      <w:pPr>
        <w:pStyle w:val="Statut"/>
      </w:pPr>
      <w:r w:rsidRPr="007B62AA">
        <w:t>Návrh</w:t>
      </w:r>
    </w:p>
    <w:p w14:paraId="2F5B6812" w14:textId="1B98C6F0" w:rsidR="00B50935" w:rsidRPr="007B62AA" w:rsidRDefault="005B53A8" w:rsidP="005B53A8">
      <w:pPr>
        <w:pStyle w:val="Typedudocument"/>
      </w:pPr>
      <w:r w:rsidRPr="007B62AA">
        <w:t>NARIADENIE EURÓPSKEHO PARLAMENTU A RADY</w:t>
      </w:r>
    </w:p>
    <w:p w14:paraId="60B43DAC" w14:textId="6AE9DFDC" w:rsidR="00B50935" w:rsidRPr="007B62AA" w:rsidRDefault="005B53A8" w:rsidP="005B53A8">
      <w:pPr>
        <w:pStyle w:val="Titreobjet"/>
      </w:pPr>
      <w:r w:rsidRPr="007B62AA">
        <w:t>o zmene nariadenia (ES) č. 851/2004, ktorým sa zriaďuje Európske centrum pre prevenciu a kontrolu chorôb</w:t>
      </w:r>
    </w:p>
    <w:p w14:paraId="7DAEE618" w14:textId="77777777" w:rsidR="00B50935" w:rsidRPr="007B62AA" w:rsidRDefault="00B50935" w:rsidP="00B50935">
      <w:pPr>
        <w:pStyle w:val="Institutionquiagit"/>
      </w:pPr>
      <w:r w:rsidRPr="007B62AA">
        <w:t>EURÓPSKY PARLAMENT A RADA EURÓPSKEJ ÚNIE,</w:t>
      </w:r>
    </w:p>
    <w:p w14:paraId="39BE152A" w14:textId="77777777" w:rsidR="00B50935" w:rsidRPr="007B62AA" w:rsidRDefault="00B50935" w:rsidP="00B50935">
      <w:r w:rsidRPr="007B62AA">
        <w:t>so zreteľom na Zmluvu o fungovaní Európskej únie, a najmä na jej článok 168 ods. 5,</w:t>
      </w:r>
    </w:p>
    <w:p w14:paraId="4C3EBC35" w14:textId="77777777" w:rsidR="00B50935" w:rsidRPr="007B62AA" w:rsidRDefault="00B50935" w:rsidP="00B50935">
      <w:r w:rsidRPr="007B62AA">
        <w:t>so zreteľom na návrh Európskej komisie,</w:t>
      </w:r>
    </w:p>
    <w:p w14:paraId="1DC70FD4" w14:textId="77777777" w:rsidR="00B50935" w:rsidRPr="007B62AA" w:rsidRDefault="00B50935" w:rsidP="00B50935">
      <w:r w:rsidRPr="007B62AA">
        <w:t>po postúpení návrhu legislatívneho aktu národným parlamentom,</w:t>
      </w:r>
    </w:p>
    <w:p w14:paraId="78B6F1EF" w14:textId="77777777" w:rsidR="00B50935" w:rsidRPr="007B62AA" w:rsidRDefault="00B50935" w:rsidP="00B50935">
      <w:r w:rsidRPr="007B62AA">
        <w:t>so zreteľom na stanovisko Európskeho hospodárskeho a sociálneho výboru</w:t>
      </w:r>
      <w:r w:rsidRPr="007B62AA">
        <w:rPr>
          <w:rStyle w:val="FootnoteReference"/>
        </w:rPr>
        <w:footnoteReference w:id="8"/>
      </w:r>
      <w:r w:rsidRPr="007B62AA">
        <w:t xml:space="preserve">, </w:t>
      </w:r>
    </w:p>
    <w:p w14:paraId="1D6C4753" w14:textId="77777777" w:rsidR="00B50935" w:rsidRPr="007B62AA" w:rsidRDefault="00B50935" w:rsidP="00B50935">
      <w:r w:rsidRPr="007B62AA">
        <w:t>so zreteľom na stanovisko Výboru regiónov</w:t>
      </w:r>
      <w:r w:rsidRPr="007B62AA">
        <w:rPr>
          <w:rStyle w:val="FootnoteReference"/>
        </w:rPr>
        <w:footnoteReference w:id="9"/>
      </w:r>
      <w:r w:rsidRPr="007B62AA">
        <w:t xml:space="preserve">, </w:t>
      </w:r>
    </w:p>
    <w:p w14:paraId="5DF90B66" w14:textId="77777777" w:rsidR="00B50935" w:rsidRPr="007B62AA" w:rsidRDefault="00B50935" w:rsidP="00B50935">
      <w:r w:rsidRPr="007B62AA">
        <w:t>konajúc v súlade s riadnym legislatívnym postupom,</w:t>
      </w:r>
    </w:p>
    <w:p w14:paraId="36373680" w14:textId="77777777" w:rsidR="00B50935" w:rsidRPr="007B62AA" w:rsidRDefault="00B50935" w:rsidP="00B50935">
      <w:r w:rsidRPr="007B62AA">
        <w:t>keďže:</w:t>
      </w:r>
    </w:p>
    <w:p w14:paraId="7F329C4C" w14:textId="242EF895" w:rsidR="00B50935" w:rsidRPr="007B62AA" w:rsidRDefault="00B50935" w:rsidP="00F36FFA">
      <w:pPr>
        <w:pStyle w:val="Considrant"/>
        <w:numPr>
          <w:ilvl w:val="0"/>
          <w:numId w:val="18"/>
        </w:numPr>
      </w:pPr>
      <w:r w:rsidRPr="007B62AA">
        <w:t xml:space="preserve">Únia sa zaviazala chrániť a zlepšovať ľudské zdravie, najmä bojovať proti závažným cezhraničným zdravotným pohromám, a prijímať opatrenia týkajúce sa monitorovania závažných cezhraničných ohrození zdravia, včasného varovania pred nimi a boja proti nim. </w:t>
      </w:r>
    </w:p>
    <w:p w14:paraId="53A2FA9B" w14:textId="497E3C5B" w:rsidR="00B50935" w:rsidRPr="007B62AA" w:rsidRDefault="00B50935" w:rsidP="00F36FFA">
      <w:pPr>
        <w:pStyle w:val="Considrant"/>
        <w:numPr>
          <w:ilvl w:val="0"/>
          <w:numId w:val="18"/>
        </w:numPr>
      </w:pPr>
      <w:r w:rsidRPr="007B62AA">
        <w:t>Nariadením Európskeho parlamentu a Rady (ES) č. 851/2004</w:t>
      </w:r>
      <w:r w:rsidRPr="007B62AA">
        <w:rPr>
          <w:rStyle w:val="FootnoteReference"/>
        </w:rPr>
        <w:footnoteReference w:id="10"/>
      </w:r>
      <w:r w:rsidRPr="007B62AA">
        <w:t xml:space="preserve"> sa zriadila nezávislá európska agentúra – Európske centrum pre prevenciu a kontrolu chorôb (ďalej len „centrum“), ktorého poslaním je identifikovať, posudzovať a oznamovať aktuálne a vznikajúce ohrozenia ľudského zdravia prenosnými chorobami. </w:t>
      </w:r>
    </w:p>
    <w:p w14:paraId="2E74F4D6" w14:textId="0ADE5CD5" w:rsidR="00B50935" w:rsidRPr="007B62AA" w:rsidRDefault="00B50935" w:rsidP="00B50935">
      <w:pPr>
        <w:pStyle w:val="Considrant"/>
      </w:pPr>
      <w:r w:rsidRPr="007B62AA">
        <w:t xml:space="preserve">Svetová zdravotnícka organizácia (WHO) 11. marca 2020 vyhlásila šírenie ochorenia COVID-19 spôsobeného novým koronavírusom za globálnu pandémiu. Problémy, ktoré sa vyskytli pri reakcii na pandémiu, ukázali, že úloha centra v rámci Únie pre pripravenosť a reakciu na krízy v oblasti zdravia by sa mala posilniť. </w:t>
      </w:r>
    </w:p>
    <w:p w14:paraId="57E17821" w14:textId="604CFFD5" w:rsidR="00B50935" w:rsidRPr="007B62AA" w:rsidRDefault="00B50935" w:rsidP="00B50935">
      <w:pPr>
        <w:pStyle w:val="Considrant"/>
      </w:pPr>
      <w:r w:rsidRPr="007B62AA">
        <w:t>V spoločnom stanovisku skupiny hlavných vedeckých poradcov Európskej komisie, Európskej skupiny pre etiku vo vede a nových technológiách a osobitného poradcu predsedníčky Európskej komisie k reakcii na COVID-19 sa odporúča „zriadiť stály poradný orgán EÚ pre ohrozenia zdravia a zdravotné krízy“.</w:t>
      </w:r>
    </w:p>
    <w:p w14:paraId="7FCA6147" w14:textId="77777777" w:rsidR="00B50935" w:rsidRPr="007B62AA" w:rsidRDefault="00B50935" w:rsidP="00B50935">
      <w:pPr>
        <w:pStyle w:val="Considrant"/>
      </w:pPr>
      <w:r w:rsidRPr="007B62AA">
        <w:t>Týmto nariadením sa preto rozširujú poslanie a úlohy centra s cieľom posilniť jeho schopnosť poskytovať požadované vedecké odborné znalosti a podporovať opatrenia, ktoré sú relevantné pre prevenciu závažných cezhraničných ohrození zdravia v Únii, pripravenosť na ne, plánovanie reakcie na tieto ohrozenia a boj proti nim v súlade s nariadením Európskeho parlamentu a Rady (EÚ).../...</w:t>
      </w:r>
      <w:r w:rsidRPr="007B62AA">
        <w:rPr>
          <w:rStyle w:val="FootnoteReference"/>
        </w:rPr>
        <w:footnoteReference w:id="11"/>
      </w:r>
      <w:r w:rsidRPr="007B62AA">
        <w:t xml:space="preserve"> [ISC/2020/12524]. </w:t>
      </w:r>
    </w:p>
    <w:p w14:paraId="1202D216" w14:textId="4FDCD3D7" w:rsidR="00B50935" w:rsidRPr="007B62AA" w:rsidRDefault="00B50935" w:rsidP="00B50935">
      <w:pPr>
        <w:pStyle w:val="Considrant"/>
      </w:pPr>
      <w:r w:rsidRPr="007B62AA">
        <w:t>V tejto súvislosti by centrum malo byť poverené poskytovaním epidemiologických informácií a ich analýz, epidemiologických modelov, predpovedí a prognóz, hodnotení príslušných rizík a odporúčaní, v ktorých sa uvádzajú možnosti prevencie a kontroly prenosných chorôb. Jeho opatrenia by mali byť v súlade s prístupom „jedno zdravie“ a mali by sa pri nich brať do úvahy prepojenia medzi zdravím ľudí a zvierat a životným prostredím. Malo by monitorovať schopnosť vnútroštátnych systémov zdravotnej starostlivosti reagovať na ohrozenia prenosnými chorobami, najmä vzhľadom na význam týchto informácií pri príprave národných plánov pripravenosti a reakcie. Centrum by malo podporovať vykonávanie opatrení financovaných z príslušných programov a nástrojov financovania Únie a súvisiacich s prenosnými chorobami, poskytovať usmernenia pre liečbu a sledovanie prípadov na základe dôkladného posúdenia najnovších dôkazov, podporovať reakcie na epidémie a šírenie nákaz v členských štátoch a tretích krajinách vrátane reakcie v teréne a poskytovať verejnosti včasné objektívne, spoľahlivé a ľahko dostupné informácie o prenosných chorobách. Centrum by takisto malo stanoviť jasné postupy spolupráce s aktérmi v oblasti verejného zdravia v tretích krajinách, ako aj s medzinárodnými organizáciami príslušnými v oblasti verejného zdravia, a tým prispieť k plneniu záväzku EÚ posilniť pripravenosť partnerov a ich schopnosť reagovať.</w:t>
      </w:r>
    </w:p>
    <w:p w14:paraId="1142620C" w14:textId="1C3265BC" w:rsidR="00B50935" w:rsidRPr="007B62AA" w:rsidRDefault="00B50935" w:rsidP="00F36FFA">
      <w:pPr>
        <w:pStyle w:val="Considrant"/>
        <w:numPr>
          <w:ilvl w:val="0"/>
          <w:numId w:val="18"/>
        </w:numPr>
      </w:pPr>
      <w:r w:rsidRPr="007B62AA">
        <w:t>S cieľom účinne podporovať prácu centra a zabezpečiť plnenie jeho poslania by členské štáty mali mať za úlohu oznamovať centru údaje o dohľade nad prenosnými chorobami a inými osobitnými zdravotnými problémami, ako sú antimikrobiálna rezistencia a infekcie spojené so zdravotnou starostlivosťou súvisiace s prenosnými chorobami, dostupné vedecké a technické údaje a informácie relevantné pre poslanie centra, oznamovať centru všetky závažné cezhraničné ohrozenia zdravia, informácie o plánovaní pripravenosti a reakcie a o kapacite systému zdravotnej starostlivosti a poskytovať relevantné informácie, ktoré môžu byť užitočné na koordináciu reakcie, a takisto by mali určiť uznané príslušné subjekty a expertov v oblasti verejného zdravia, ktorí sú k dispozícii na pomoc pri reakciách Únie na ohrozenia zdravia.</w:t>
      </w:r>
    </w:p>
    <w:p w14:paraId="3AB827D9" w14:textId="04FF824C" w:rsidR="00B50935" w:rsidRPr="007B62AA" w:rsidRDefault="00B50935" w:rsidP="00B50935">
      <w:pPr>
        <w:pStyle w:val="Considrant"/>
      </w:pPr>
      <w:r w:rsidRPr="007B62AA">
        <w:t xml:space="preserve">Na posilnenie činností </w:t>
      </w:r>
      <w:r w:rsidRPr="007B62AA">
        <w:rPr>
          <w:rStyle w:val="Emphasis"/>
        </w:rPr>
        <w:t>plánovania</w:t>
      </w:r>
      <w:r w:rsidRPr="007B62AA">
        <w:t xml:space="preserve"> pripravenosti a </w:t>
      </w:r>
      <w:r w:rsidRPr="007B62AA">
        <w:rPr>
          <w:rStyle w:val="Emphasis"/>
        </w:rPr>
        <w:t>reakcie</w:t>
      </w:r>
      <w:r w:rsidRPr="007B62AA">
        <w:t xml:space="preserve"> v Únii by sa prevádzkovanie špecializovaných sietí zo strany centra a jeho činnosti v oblasti vytvárania sietí mali rozšíriť tak, aby odrážali rozsah pôsobnosti nariadenia (EÚ) .../.... [Ú. v. EÚ: </w:t>
      </w:r>
      <w:r w:rsidRPr="007B62AA">
        <w:rPr>
          <w:i/>
        </w:rPr>
        <w:t>vložte odkaz</w:t>
      </w:r>
      <w:r w:rsidRPr="007B62AA">
        <w:t xml:space="preserve"> na nariadenie SCBTH [ISC/2020/12524]]. Na tento účel by centrum prostredníctvom špecializovaných sietí s príslušnými koordinujúcimi subjektmi vrátane novovytvorených sietí pre laboratóriá a na podporu transfúzie, transplantácie a medicínsky asistovanej reprodukcie malo koordinovať a poskytovať Komisii a členským štátom technické a vedecké odborné znalosti.</w:t>
      </w:r>
    </w:p>
    <w:p w14:paraId="45DD803B" w14:textId="2056DF93" w:rsidR="00B50935" w:rsidRPr="007B62AA" w:rsidRDefault="00B50935" w:rsidP="00B50935">
      <w:pPr>
        <w:pStyle w:val="Considrant"/>
      </w:pPr>
      <w:r w:rsidRPr="007B62AA">
        <w:t>Aby sa zvýšila účinnosť epidemiologického dohľadu nad prenosnými chorobami a súvisiacimi osobitnými zdravotnými problémami v Únii, by centrum malo byť poverené ďalším vývojom digitálnych platforiem a aplikácií, podporou epidemiologického dohľadu na úrovni Únie, umožňovaním využívania digitálnych technológií, ako je umelá inteligencia, pri zostavovaní a analýze údajov a poskytovaním technického a vedeckého poradenstva členským štátom pri vytváraní integrovaných systémov epidemiologického dohľadu. Takéto digitálne platformy a aplikácie by sa mali vyvíjať tak, aby do nich boli integrované údaje EÚ získané v kozmickom priestore, s úmyslom začleniť ich do budúceho európskeho priestoru pre údaje týkajúce sa zdravia, ako ho upravujú právne predpisy Únie.</w:t>
      </w:r>
    </w:p>
    <w:p w14:paraId="5D8D2D73" w14:textId="13CEAACC" w:rsidR="00B50935" w:rsidRPr="007B62AA" w:rsidRDefault="00B50935" w:rsidP="00B50935">
      <w:pPr>
        <w:pStyle w:val="Considrant"/>
      </w:pPr>
      <w:r w:rsidRPr="007B62AA">
        <w:t>S cieľom posilniť schopnosť Únie a členských štátov posudzovať epidemiologickú situáciu a vykonávať presné hodnotenie rizika a reakciu by centrum malo predovšetkým monitorovať trendy v oblasti prenosných chorôb a podávať o nich správy, podporovať a uľahčovať opatrenia v oblasti reakcie založené na dôkazoch, poskytovať odporúčania na zlepšenie programov prevencie a kontroly prenosných chorôb ustanovených na vnútroštátnej úrovni a na úrovni Únie, monitorovať a posudzovať kapacitu vnútroštátnych systémov zdravotnej starostlivosti z hľadiska diagnostiky, prevencie a liečby prenosných chorôb, a to aj rodovo citlivým spôsobom, identifikovať rizikové skupiny obyvateľstva, ktoré si vyžadujú osobitné opatrenia, analyzovať koreláciu výskytu chorôb so spoločenskými a environmentálnymi faktormi a identifikovať rizikové faktory prenosu a závažnosti prenosných chorôb, ako aj potreby a priority výskumu. Centrum by malo spolupracovať s určenými národnými kontaktnými miestami pre dohľad, ktoré vytvoria sieť poskytujúcu centru strategické poradenstvo v týchto otázkach, a podporovať využívanie podporných sektorov, ako je napríklad sektor satelitných údajov a služieb EÚ.</w:t>
      </w:r>
    </w:p>
    <w:p w14:paraId="0C1582B3" w14:textId="77777777" w:rsidR="00B50935" w:rsidRPr="007B62AA" w:rsidRDefault="00B50935" w:rsidP="00B50935">
      <w:pPr>
        <w:pStyle w:val="Considrant"/>
      </w:pPr>
      <w:r w:rsidRPr="007B62AA">
        <w:t xml:space="preserve">V rámci Únie by centrum malo pomôcť posilniť kapacitu diagnostikovať, zisťovať, identifikovať a charakterizovať infekčné agensy, ktoré môžu ohroziť verejné zdravie, a to zabezpečením fungovania siete referenčných laboratórií Únie v súlade s nariadením (EÚ) .../... [Ú. v. EÚ: </w:t>
      </w:r>
      <w:r w:rsidRPr="007B62AA">
        <w:rPr>
          <w:i/>
        </w:rPr>
        <w:t>vložte odkaz na nariadenie SCBTH</w:t>
      </w:r>
      <w:r w:rsidRPr="007B62AA">
        <w:t xml:space="preserve"> [ISC/2020/12524]]. Táto sieť zodpovedá za presadzovanie osvedčených postupov a zosúladenie v oblasti diagnostiky, testovacích metód a používania testov s cieľom zabezpečiť jednotný dohľad, oznamovanie a podávanie správ o chorobách, ako aj posilnenie kvality testovania a dohľadu. </w:t>
      </w:r>
    </w:p>
    <w:p w14:paraId="3043D26A" w14:textId="77777777" w:rsidR="00B50935" w:rsidRPr="007B62AA" w:rsidRDefault="00B50935" w:rsidP="00B50935">
      <w:pPr>
        <w:pStyle w:val="Considrant"/>
      </w:pPr>
      <w:r w:rsidRPr="007B62AA">
        <w:t xml:space="preserve">V prípade cezhraničných ohrození zdravia, aké predstavujú prenosné choroby, môžu transfúzne a transplantačné služby v členských štátoch poskytnúť prostriedky na rýchle testovanie darcovskej populácie a posúdenie expozície celkovej populácie určitej chorobe a imunity voči nej. Schopnosť týchto služieb chrániť pred prenosom takejto prenosnej choroby pacientov, ktorí potrebujú liečbu látkou ľudského pôvodu, závisí od rýchleho hodnotenia rizika zo strany centra. Takéto hodnotenia rizík slúžia ako základ pre primerané prispôsobenie opatrení, ktorými sa stanovujú normy kvality a bezpečnosti látok ľudského pôvodu. Na tento účel by preto centrum malo zriadiť a prevádzkovať sieť vnútroštátnych transfúznych a transplantačných služieb a ich orgánov. </w:t>
      </w:r>
    </w:p>
    <w:p w14:paraId="34EBE7A1" w14:textId="3A0142E7" w:rsidR="00B50935" w:rsidRPr="007B62AA" w:rsidRDefault="00B50935" w:rsidP="00B50935">
      <w:pPr>
        <w:pStyle w:val="Considrant"/>
      </w:pPr>
      <w:r w:rsidRPr="007B62AA">
        <w:t xml:space="preserve">S cieľom znížiť výskyt epidémií a posilniť kapacity prevencie prenosných chorôb v Únii by centrum malo vytvoriť rámec na prevenciu prenosných chorôb, ktorý sa bude zaoberať takými otázkami, ako sú choroby, ktorým sa dá predchádzať očkovaním, antimikrobiálna rezistencia, zdravotná výchova, zdravotná gramotnosť a zmena správania. </w:t>
      </w:r>
    </w:p>
    <w:p w14:paraId="5921CB07" w14:textId="0F9C0ED4" w:rsidR="00B50935" w:rsidRPr="007B62AA" w:rsidRDefault="00B50935" w:rsidP="00B50935">
      <w:pPr>
        <w:pStyle w:val="Considrant"/>
      </w:pPr>
      <w:r w:rsidRPr="007B62AA">
        <w:t xml:space="preserve">Centrum by malo posilniť spôsobilosti v oblasti pripravenosti a reakcie na vnútroštátnej úrovni a na úrovni Únie tým, že členským štátom a Komisii poskytne vedecké a technické odborné znalosti. V tejto súvislosti by centrum malo v úzkej spolupráci s členskými štátmi a Komisiou vykonávať rôzne opatrenia vrátane vypracovania plánov pripravenosti a reakcie na úrovni Únie a členských štátov a rámcov monitorovania a hodnotenia pripravenosti, poskytovať odporúčania týkajúce sa kapacít na prevenciu výskytu chorôb, prípravu a reakciu na tento výskyt a posilnenia vnútroštátnych systémov zdravotnej starostlivosti. Centrum by malo rozšíriť zber a analýzu údajov, pokiaľ ide o epidemiologický dohľad a súvisiace osobitné zdravotné problémy, vývoj epidemických situácií, nezvyčajné epidemické javy alebo nové choroby neznámeho pôvodu, a to aj v tretích krajinách, údajov o molekulárnych patogénoch a údajov o systémoch zdravotnej starostlivosti. Na tento účel by centrum malo zabezpečiť vhodné súbory údajov, ako aj postupy na uľahčenie konzultácií a prenosu údajov a prístupu k nim, vykonávať vedecké a technické hodnotenie preventívnych a kontrolných opatrení na úrovni Únie a spolupracovať s agentúrami, príslušnými orgánmi a organizáciami pôsobiacimi v oblasti zberu údajov. </w:t>
      </w:r>
    </w:p>
    <w:p w14:paraId="0076A696" w14:textId="42C1CB56" w:rsidR="00B50935" w:rsidRPr="007B62AA" w:rsidRDefault="00B50935" w:rsidP="00B50935">
      <w:pPr>
        <w:pStyle w:val="Considrant"/>
      </w:pPr>
      <w:r w:rsidRPr="007B62AA">
        <w:t>V nariadení .../... [</w:t>
      </w:r>
      <w:r w:rsidRPr="007B62AA">
        <w:rPr>
          <w:i/>
          <w:iCs/>
        </w:rPr>
        <w:t>Ú. v. EÚ:</w:t>
      </w:r>
      <w:r w:rsidRPr="007B62AA">
        <w:rPr>
          <w:i/>
        </w:rPr>
        <w:t xml:space="preserve"> vložte odkaz na nariadenie SCBTH</w:t>
      </w:r>
      <w:r w:rsidRPr="007B62AA">
        <w:t xml:space="preserve"> [ISC/2020/12524]] sa ustanovuje systém včasného varovania a reakcie, ktorý umožňuje oznamovanie výstrah týkajúcich sa závažných cezhraničných ohrození zdravia na úrovni Únie a ktorý aj naďalej prevádzkuje ECDC. Vzhľadom na to, že moderné technológie môžu významne prispieť k boju proti ohrozeniam zdravia a k obmedzeniu šírenia epidémií a ich zvráteniu, malo by ECDC pracovať na aktualizácii tohto systému s cieľom umožniť využívanie technológií umelej inteligencie a interoperabilných digitálnych nástrojov, ako sú mobilné aplikácie, ktoré chránia súkromie a zároveň ponúkajú funkcie vyhľadávania na identifikáciu rizikových jednotlivcov.</w:t>
      </w:r>
    </w:p>
    <w:p w14:paraId="62E17034" w14:textId="3DE2CFFC" w:rsidR="00B50935" w:rsidRPr="007B62AA" w:rsidRDefault="00B50935" w:rsidP="00B50935">
      <w:pPr>
        <w:pStyle w:val="Considrant"/>
      </w:pPr>
      <w:r w:rsidRPr="007B62AA">
        <w:t>Centrum by malo vytvoriť vhodné kapacity na podporu medzinárodnej reakcie a reakcie v teréne v súlade s nariadením .../... [</w:t>
      </w:r>
      <w:r w:rsidRPr="007B62AA">
        <w:rPr>
          <w:i/>
          <w:iCs/>
        </w:rPr>
        <w:t>Ú. v. EÚ:</w:t>
      </w:r>
      <w:r w:rsidRPr="007B62AA">
        <w:rPr>
          <w:i/>
        </w:rPr>
        <w:t xml:space="preserve"> vložte odkaz na nariadenie SCBTH</w:t>
      </w:r>
      <w:r w:rsidRPr="007B62AA">
        <w:t xml:space="preserve"> [ISC/2020/12524]]. Tieto kapacity by mali centru umožniť mobilizovať a nasadzovať tímy pomoci pri vypuknutí epidémií známe ako „osobitná skupina EÚ pre oblasť zdravia“, ktoré pomôžu pri miestnych reakciách na vypuknutie chorôb. Centrum by preto malo zabezpečiť kapacitu na vykonávanie misií v členských štátoch, ako aj v tretích krajinách a na poskytovanie odporúčaní týkajúcich sa reakcie na ohrozenia zdravia. Tieto tímy bude s podporou Koordinačného centra pre reakcie na núdzové situácie možné nasadiť aj v rámci mechanizmu Únie v oblasti civilnej ochrany. V záujme riešenia závažných cezhraničných ohrození zdravia a ich dôsledkov by centrum malo podporovať aj posilňovanie kapacít pripravenosti podľa medzinárodných zdravotných predpisov (MZP) v tretích krajinách.</w:t>
      </w:r>
    </w:p>
    <w:p w14:paraId="7D9A5F11" w14:textId="4A33CC53" w:rsidR="00B50935" w:rsidRPr="007B62AA" w:rsidRDefault="00B50935" w:rsidP="00B50935">
      <w:pPr>
        <w:pStyle w:val="Considrant"/>
      </w:pPr>
      <w:r w:rsidRPr="007B62AA">
        <w:t>S cieľom pomôcť pri reakciách na výskyt nákaz, ktoré sa môžu šíriť v rámci Únie alebo do nej, má centrum v súlade s rozhodnutím Európskeho parlamentu a Rady č. 1313/2013/EÚ</w:t>
      </w:r>
      <w:r w:rsidRPr="007B62AA">
        <w:rPr>
          <w:rStyle w:val="FootnoteReference"/>
        </w:rPr>
        <w:footnoteReference w:id="12"/>
      </w:r>
      <w:r w:rsidRPr="007B62AA">
        <w:t xml:space="preserve"> vytvoriť rámec na mobilizáciu osobitnej skupiny EÚ pre oblasť zdravia a na podporu mechanizmu Únie v oblasti civilnej ochrany uľahčiť účasť expertov Únie na reakciu v teréne v medzinárodných reakčných tímoch. Centrum by malo posilniť schopnosť svojich zamestnancov, ako aj expertov z Únie a krajín EHP, kandidátskych krajín a potenciálnych kandidátskych krajín, ako aj krajín európskej susedskej politiky a partnerských krajín EÚ uvedených v nariadení Európskeho parlamentu a Rady (EÚ) č. 233/2014</w:t>
      </w:r>
      <w:r w:rsidRPr="007B62AA">
        <w:rPr>
          <w:rStyle w:val="FootnoteReference"/>
        </w:rPr>
        <w:footnoteReference w:id="13"/>
      </w:r>
      <w:r w:rsidRPr="007B62AA">
        <w:t xml:space="preserve"> účinne sa zúčastňovať na misiách v teréne a na krízovom riadení.</w:t>
      </w:r>
    </w:p>
    <w:p w14:paraId="263E1539" w14:textId="77777777" w:rsidR="00B50935" w:rsidRPr="007B62AA" w:rsidRDefault="00B50935" w:rsidP="00B50935">
      <w:pPr>
        <w:pStyle w:val="Considrant"/>
      </w:pPr>
      <w:r w:rsidRPr="007B62AA">
        <w:t xml:space="preserve">Na posúdenie účinnosti a efektívnosti právnych ustanovení, ktoré sa vzťahujú na centrum, je vhodné zabezpečiť, aby Komisia pravidelne hodnotila výsledky jeho činnosti. </w:t>
      </w:r>
    </w:p>
    <w:p w14:paraId="36C103E6" w14:textId="77777777" w:rsidR="00B50935" w:rsidRPr="007B62AA" w:rsidRDefault="00B50935" w:rsidP="00B50935">
      <w:pPr>
        <w:pStyle w:val="Considrant"/>
      </w:pPr>
      <w:r w:rsidRPr="007B62AA">
        <w:t>Týmto nariadením by sa centru nemali udeliť žiadne regulačné právomoci.</w:t>
      </w:r>
    </w:p>
    <w:p w14:paraId="25BF6061" w14:textId="77777777" w:rsidR="00B50935" w:rsidRPr="007B62AA" w:rsidRDefault="00B50935" w:rsidP="00B50935">
      <w:pPr>
        <w:pStyle w:val="Considrant"/>
        <w:rPr>
          <w:szCs w:val="24"/>
        </w:rPr>
      </w:pPr>
      <w:r w:rsidRPr="007B62AA">
        <w:t>Centrum by malo zaviesť informačný systém schopný vymieňať utajované a citlivé neutajované informácie, aby sa zabezpečilo, že sa takéto informácie budú spravovať s čo najväčšou diskrétnosťou.</w:t>
      </w:r>
    </w:p>
    <w:p w14:paraId="39E12A34" w14:textId="77777777" w:rsidR="00B50935" w:rsidRPr="007B62AA" w:rsidRDefault="00B50935" w:rsidP="00B50935">
      <w:pPr>
        <w:pStyle w:val="Considrant"/>
      </w:pPr>
      <w:r w:rsidRPr="007B62AA">
        <w:t>Vzhľadom na naliehavosť spôsobenú výnimočnými okolnosťami v dôsledku pandémie ochorenia COVID-19 sa považuje za vhodné uplatniť výnimku z osemtýždňovej lehoty uvedenej v článku 4 Protokolu č. 1 o úlohe národných parlamentov v Európskej únii, ktorý tvorí prílohu k Zmluve o Európskej únii, Zmluve o fungovaní Európskej únie a Zmluve o založení Európskeho spoločenstva pre atómovú energiu.</w:t>
      </w:r>
    </w:p>
    <w:p w14:paraId="0E1CD2E1" w14:textId="77777777" w:rsidR="00B50935" w:rsidRPr="007B62AA" w:rsidRDefault="00B50935" w:rsidP="00B50935">
      <w:pPr>
        <w:pStyle w:val="Considrant"/>
      </w:pPr>
      <w:r w:rsidRPr="007B62AA">
        <w:t>Keďže ciele tohto nariadenia rozšíriť poslanie a úlohy centra, aby sa posilnila jeho schopnosť poskytovať požadované vedecké odborné znalosti a podporovať opatrenia na boj proti závažným cezhraničným ohrozeniam zdravia v Únii, nie je možné uspokojivo dosiahnuť na úrovni členských štátov, ale z dôvodu cezhraničnej povahy ohrození zdravia a potreby rýchlej, koordinovanej a jednotnej reakcie ich možno dosiahnuť na úrovni Únie, môže Únia prijať opatrenia v súlade so zásadou subsidiarity podľa článku 5 Zmluvy o Európskej únii. V súlade so zásadou proporcionality podľa uvedeného článku toto nariadenie neprekračuje rámec nevyhnutný na dosiahnutie týchto cieľov.</w:t>
      </w:r>
    </w:p>
    <w:p w14:paraId="02D2A7E1" w14:textId="77777777" w:rsidR="00B50935" w:rsidRPr="007B62AA" w:rsidRDefault="00B50935" w:rsidP="00B50935">
      <w:pPr>
        <w:pStyle w:val="Considrant"/>
      </w:pPr>
      <w:r w:rsidRPr="007B62AA">
        <w:t>Nariadenie (ES) č. 851/2004 by sa preto malo zmeniť,</w:t>
      </w:r>
    </w:p>
    <w:p w14:paraId="667F27AC" w14:textId="77777777" w:rsidR="00B50935" w:rsidRPr="007B62AA" w:rsidRDefault="00B50935" w:rsidP="00B50935">
      <w:pPr>
        <w:pStyle w:val="Formuledadoption"/>
      </w:pPr>
      <w:r w:rsidRPr="007B62AA">
        <w:t>PRIJALI TOTO NARIADENIE:</w:t>
      </w:r>
    </w:p>
    <w:p w14:paraId="3721CF86" w14:textId="77777777" w:rsidR="00B50935" w:rsidRPr="007B62AA" w:rsidRDefault="00B50935" w:rsidP="00B50935">
      <w:pPr>
        <w:pStyle w:val="Titrearticle"/>
        <w:rPr>
          <w:i w:val="0"/>
        </w:rPr>
      </w:pPr>
      <w:r w:rsidRPr="007B62AA">
        <w:t>Článok 1</w:t>
      </w:r>
    </w:p>
    <w:p w14:paraId="27231096" w14:textId="77777777" w:rsidR="00B50935" w:rsidRPr="007B62AA" w:rsidRDefault="00B50935" w:rsidP="00B50935">
      <w:pPr>
        <w:jc w:val="left"/>
      </w:pPr>
      <w:r w:rsidRPr="007B62AA">
        <w:t>Nariadenie (ES) č. 851/2004 sa mení takto:</w:t>
      </w:r>
    </w:p>
    <w:p w14:paraId="07401A38" w14:textId="77777777" w:rsidR="00B50935" w:rsidRPr="007B62AA" w:rsidRDefault="00B50935" w:rsidP="00B50935">
      <w:pPr>
        <w:pStyle w:val="Point0"/>
      </w:pPr>
      <w:r w:rsidRPr="007B62AA">
        <w:t>1.</w:t>
      </w:r>
      <w:r w:rsidRPr="007B62AA">
        <w:tab/>
        <w:t>Článok 2 sa nahrádza takto:</w:t>
      </w:r>
    </w:p>
    <w:p w14:paraId="413A9403" w14:textId="01A2255D" w:rsidR="00B50935" w:rsidRPr="007B62AA" w:rsidRDefault="00B50935" w:rsidP="00B50935">
      <w:pPr>
        <w:pStyle w:val="Text1"/>
        <w:rPr>
          <w:i/>
        </w:rPr>
      </w:pPr>
      <w:r w:rsidRPr="007B62AA">
        <w:t>„</w:t>
      </w:r>
    </w:p>
    <w:p w14:paraId="7F4CFD5E" w14:textId="77777777" w:rsidR="00B50935" w:rsidRPr="007B62AA" w:rsidRDefault="00B50935" w:rsidP="00B50935">
      <w:pPr>
        <w:pStyle w:val="Titrearticle"/>
      </w:pPr>
      <w:r w:rsidRPr="007B62AA">
        <w:t>Článok 2</w:t>
      </w:r>
    </w:p>
    <w:p w14:paraId="47A10DE3" w14:textId="77777777" w:rsidR="00B50935" w:rsidRPr="007B62AA" w:rsidRDefault="00B50935" w:rsidP="00B50935">
      <w:pPr>
        <w:jc w:val="center"/>
        <w:rPr>
          <w:b/>
        </w:rPr>
      </w:pPr>
      <w:r w:rsidRPr="007B62AA">
        <w:rPr>
          <w:b/>
        </w:rPr>
        <w:t>Vymedzenie pojmov</w:t>
      </w:r>
    </w:p>
    <w:p w14:paraId="089E985B" w14:textId="77777777" w:rsidR="00B50935" w:rsidRPr="007B62AA" w:rsidRDefault="00B50935" w:rsidP="00B50935">
      <w:pPr>
        <w:pStyle w:val="Text1"/>
      </w:pPr>
      <w:r w:rsidRPr="007B62AA">
        <w:t>Na účely tohto nariadenia sa uplatňuje toto vymedzenie pojmov:</w:t>
      </w:r>
    </w:p>
    <w:p w14:paraId="47479B32" w14:textId="77777777" w:rsidR="00B50935" w:rsidRPr="007B62AA" w:rsidRDefault="00B50935" w:rsidP="00B50935">
      <w:pPr>
        <w:pStyle w:val="Point1"/>
      </w:pPr>
      <w:r w:rsidRPr="007B62AA">
        <w:t>1.</w:t>
      </w:r>
      <w:r w:rsidRPr="007B62AA">
        <w:tab/>
        <w:t xml:space="preserve">„príslušný subjekt“ je akákoľvek štruktúra, inštitút, zástupca alebo iný vedecký subjekt uznaný orgánmi členských štátov za subjekt poskytujúci nezávislé vedecké a technické poradenstvo alebo majúci schopnosť konať v oblasti prevencie a kontroly ľudských chorôb; </w:t>
      </w:r>
    </w:p>
    <w:p w14:paraId="2119B996" w14:textId="77777777" w:rsidR="00B50935" w:rsidRPr="007B62AA" w:rsidRDefault="00B50935" w:rsidP="00B50935">
      <w:pPr>
        <w:pStyle w:val="Point1"/>
      </w:pPr>
      <w:r w:rsidRPr="007B62AA">
        <w:t>2.</w:t>
      </w:r>
      <w:r w:rsidRPr="007B62AA">
        <w:tab/>
        <w:t xml:space="preserve">„koordinujúci príslušný subjekt“ je subjekt v každom členskom štáte, ktorý má určeného národného koordinátora zodpovedného za inštitucionálne kontakty s centrom, ako aj s národnými kontaktnými miestami a operačnými kontaktnými miestami zodpovednými za strategickú a operačnú spoluprácu v technických a vedeckých otázkach týkajúcich sa oblastí konkrétnych ochorení a funkcií v oblasti verejného zdravia; </w:t>
      </w:r>
    </w:p>
    <w:p w14:paraId="72F182F6" w14:textId="70F19E60" w:rsidR="00B50935" w:rsidRPr="007B62AA" w:rsidRDefault="00B50935" w:rsidP="00B50935">
      <w:pPr>
        <w:pStyle w:val="Point1"/>
      </w:pPr>
      <w:r w:rsidRPr="007B62AA">
        <w:t>3.</w:t>
      </w:r>
      <w:r w:rsidRPr="007B62AA">
        <w:tab/>
        <w:t xml:space="preserve">„špecializovaná sieť“ je akákoľvek osobitná sieť pre choroby, osobitné zdravotné problémy alebo funkcie v oblasti verejného zdravia určená na zabezpečenie spolupráce medzi koordinujúcimi príslušnými subjektmi členských štátov; </w:t>
      </w:r>
    </w:p>
    <w:p w14:paraId="3639FE8B" w14:textId="77777777" w:rsidR="00B50935" w:rsidRPr="007B62AA" w:rsidRDefault="00B50935" w:rsidP="00B50935">
      <w:pPr>
        <w:pStyle w:val="Point1"/>
        <w:rPr>
          <w:color w:val="FF0000"/>
        </w:rPr>
      </w:pPr>
      <w:r w:rsidRPr="007B62AA">
        <w:t>4.</w:t>
      </w:r>
      <w:r w:rsidRPr="007B62AA">
        <w:tab/>
        <w:t xml:space="preserve">„prenosná choroba“ je prenosná choroba v zmysle vymedzenia v článku 3 bode 2 </w:t>
      </w:r>
      <w:r w:rsidRPr="007B62AA">
        <w:rPr>
          <w:color w:val="FF0000"/>
        </w:rPr>
        <w:t>nariadenia (EÚ) .../... [</w:t>
      </w:r>
      <w:r w:rsidRPr="007B62AA">
        <w:rPr>
          <w:i/>
          <w:color w:val="FF0000"/>
        </w:rPr>
        <w:t>Ú. v. EÚ: vložte číslo nariadenia SCBTH</w:t>
      </w:r>
      <w:r w:rsidRPr="007B62AA">
        <w:rPr>
          <w:color w:val="FF0000"/>
        </w:rPr>
        <w:t xml:space="preserve"> [ISC/2020/12524]]</w:t>
      </w:r>
      <w:r w:rsidRPr="007B62AA">
        <w:t>;</w:t>
      </w:r>
    </w:p>
    <w:p w14:paraId="69E6F8FA" w14:textId="77777777" w:rsidR="00B50935" w:rsidRPr="007B62AA" w:rsidRDefault="00B50935" w:rsidP="00B50935">
      <w:pPr>
        <w:pStyle w:val="Point1"/>
      </w:pPr>
      <w:r w:rsidRPr="007B62AA">
        <w:t>5.</w:t>
      </w:r>
      <w:r w:rsidRPr="007B62AA">
        <w:tab/>
        <w:t xml:space="preserve">„závažné cezhraničné ohrozenie zdravia“ je závažné cezhraničné ohrozenie zdravia v zmysle vymedzenia v článku 3 bode 7 </w:t>
      </w:r>
      <w:r w:rsidRPr="007B62AA">
        <w:rPr>
          <w:color w:val="FF0000"/>
        </w:rPr>
        <w:t>nariadenia (EÚ) .../... [</w:t>
      </w:r>
      <w:r w:rsidRPr="007B62AA">
        <w:rPr>
          <w:i/>
          <w:color w:val="FF0000"/>
        </w:rPr>
        <w:t>Ú. v. EÚ: vložte číslo nariadenia SCBTH</w:t>
      </w:r>
      <w:r w:rsidRPr="007B62AA">
        <w:rPr>
          <w:color w:val="FF0000"/>
        </w:rPr>
        <w:t xml:space="preserve"> [ISC/2020/12524]]</w:t>
      </w:r>
      <w:r w:rsidRPr="007B62AA">
        <w:t>;</w:t>
      </w:r>
    </w:p>
    <w:p w14:paraId="5CEA90E5" w14:textId="37A7417E" w:rsidR="00B50935" w:rsidRPr="007B62AA" w:rsidRDefault="00B50935" w:rsidP="00B50935">
      <w:pPr>
        <w:pStyle w:val="Point1"/>
      </w:pPr>
      <w:r w:rsidRPr="007B62AA">
        <w:t>6.</w:t>
      </w:r>
      <w:r w:rsidRPr="007B62AA">
        <w:tab/>
        <w:t xml:space="preserve">„epidemiologický dohľad“ je epidemiologický dohľad v zmysle vymedzenia v článku 3 bode 4 </w:t>
      </w:r>
      <w:r w:rsidRPr="007B62AA">
        <w:rPr>
          <w:color w:val="FF0000"/>
        </w:rPr>
        <w:t>nariadenia (EÚ) .../... [</w:t>
      </w:r>
      <w:r w:rsidRPr="007B62AA">
        <w:rPr>
          <w:i/>
          <w:color w:val="FF0000"/>
        </w:rPr>
        <w:t>Ú. v. EÚ: vložte číslo nariadenia SCBTH</w:t>
      </w:r>
      <w:r w:rsidRPr="007B62AA">
        <w:rPr>
          <w:color w:val="FF0000"/>
        </w:rPr>
        <w:t xml:space="preserve"> [ISC/2020/12524]]</w:t>
      </w:r>
      <w:r w:rsidRPr="007B62AA">
        <w:t>. “;</w:t>
      </w:r>
    </w:p>
    <w:p w14:paraId="0DF09DDB" w14:textId="6F347A1B" w:rsidR="00B50935" w:rsidRPr="007B62AA" w:rsidRDefault="00B50935" w:rsidP="00B50935">
      <w:pPr>
        <w:pStyle w:val="Point0"/>
      </w:pPr>
      <w:r w:rsidRPr="007B62AA">
        <w:t>2.</w:t>
      </w:r>
      <w:r w:rsidRPr="007B62AA">
        <w:tab/>
        <w:t xml:space="preserve">Článok 3 sa nahrádza takto: </w:t>
      </w:r>
    </w:p>
    <w:p w14:paraId="62E48BC9" w14:textId="77777777" w:rsidR="00B50935" w:rsidRPr="007B62AA" w:rsidRDefault="00B50935" w:rsidP="00B50935">
      <w:pPr>
        <w:pStyle w:val="Titrearticle"/>
        <w:rPr>
          <w:b/>
          <w:i w:val="0"/>
        </w:rPr>
      </w:pPr>
      <w:r w:rsidRPr="007B62AA">
        <w:t>„Článok 3</w:t>
      </w:r>
    </w:p>
    <w:p w14:paraId="74D384D1" w14:textId="77777777" w:rsidR="00B50935" w:rsidRPr="007B62AA" w:rsidRDefault="00B50935" w:rsidP="00B50935">
      <w:pPr>
        <w:jc w:val="center"/>
      </w:pPr>
      <w:r w:rsidRPr="007B62AA">
        <w:rPr>
          <w:b/>
        </w:rPr>
        <w:t>Poslanie a úlohy centra</w:t>
      </w:r>
    </w:p>
    <w:p w14:paraId="719B4E38" w14:textId="2C2D1D98" w:rsidR="00B50935" w:rsidRPr="007B62AA" w:rsidRDefault="00B50935" w:rsidP="00B50935">
      <w:pPr>
        <w:pStyle w:val="Point1"/>
      </w:pPr>
      <w:r w:rsidRPr="007B62AA">
        <w:t>1.</w:t>
      </w:r>
      <w:r w:rsidRPr="007B62AA">
        <w:tab/>
        <w:t xml:space="preserve">S cieľom posilniť schopnosť Únie a členských štátov chrániť ľudské zdravie prostredníctvom prevencie a kontroly prenosných chorôb u ľudí a súvisiacich osobitných zdravotných problémov uvedených v článku 2 nariadenia </w:t>
      </w:r>
      <w:r w:rsidRPr="007B62AA">
        <w:rPr>
          <w:color w:val="FF0000"/>
        </w:rPr>
        <w:t>(EÚ) .../... [</w:t>
      </w:r>
      <w:r w:rsidRPr="007B62AA">
        <w:rPr>
          <w:i/>
          <w:color w:val="FF0000"/>
        </w:rPr>
        <w:t>Ú. v. EÚ: vložte číslo nariadenia SCBTH</w:t>
      </w:r>
      <w:r w:rsidRPr="007B62AA">
        <w:rPr>
          <w:color w:val="FF0000"/>
        </w:rPr>
        <w:t xml:space="preserve"> [ISC/2020/12524]]</w:t>
      </w:r>
      <w:r w:rsidRPr="007B62AA">
        <w:t xml:space="preserve"> je poslaním centra identifikovať a posudzovať súčasné a vznikajúce ohrozenia ľudského zdravia prenosnými chorobami a podávať správy o takýchto ohrozeniach, ako aj poskytovať odporúčania na reakciu na úrovni Únie a na vnútroštátnej úrovni, v prípade potreby aj na regionálnej úrovni. </w:t>
      </w:r>
    </w:p>
    <w:p w14:paraId="6E14A3C4" w14:textId="73247495" w:rsidR="00B50935" w:rsidRPr="007B62AA" w:rsidRDefault="00B50935" w:rsidP="00B50935">
      <w:pPr>
        <w:pStyle w:val="Text2"/>
      </w:pPr>
      <w:r w:rsidRPr="007B62AA">
        <w:t xml:space="preserve">V prípade vypuknutia chorôb neznámeho pôvodu, ktoré sa môžu šíriť v rámci Únie alebo do nej, centrum koná z vlastnej iniciatívy, až kým sa nezistí zdroj vypuknutia nákazy. V prípade vypuknutia nákazy, ktoré zjavne nie je spôsobené prenosnou chorobou, centrum koná výlučne v spolupráci s príslušným subjektom a na jeho požiadanie. </w:t>
      </w:r>
    </w:p>
    <w:p w14:paraId="28DB85EC" w14:textId="77777777" w:rsidR="00B50935" w:rsidRPr="007B62AA" w:rsidRDefault="00B50935" w:rsidP="00B50935">
      <w:pPr>
        <w:pStyle w:val="Text2"/>
      </w:pPr>
      <w:r w:rsidRPr="007B62AA">
        <w:t>V záujme zabezpečenia úplnosti, koherentnosti a komplementárnosti opatrení centrum pri napĺňaní svojho poslania v plnej miere zohľadňuje zodpovednosť členských štátov, Komisie a iných orgánov alebo agentúr Únie a zodpovednosť medzinárodných organizácií pôsobiacich v oblasti verejného zdravia.</w:t>
      </w:r>
    </w:p>
    <w:p w14:paraId="08AD81FC" w14:textId="77777777" w:rsidR="00B50935" w:rsidRPr="007B62AA" w:rsidRDefault="00B50935" w:rsidP="00B50935">
      <w:pPr>
        <w:pStyle w:val="Point1"/>
      </w:pPr>
      <w:r w:rsidRPr="007B62AA">
        <w:t>2.</w:t>
      </w:r>
      <w:r w:rsidRPr="007B62AA">
        <w:tab/>
        <w:t xml:space="preserve">Centrum v rámci svojej finančnej kapacity a mandátu plní tieto úlohy: </w:t>
      </w:r>
    </w:p>
    <w:p w14:paraId="03604C75" w14:textId="77777777" w:rsidR="00B50935" w:rsidRPr="007B62AA" w:rsidRDefault="00B50935" w:rsidP="00B50935">
      <w:pPr>
        <w:pStyle w:val="Point2"/>
      </w:pPr>
      <w:r w:rsidRPr="007B62AA">
        <w:t>a)</w:t>
      </w:r>
      <w:r w:rsidRPr="007B62AA">
        <w:tab/>
        <w:t>vyhľadáva, zbiera, spracúva, hodnotí a šíri relevantné vedecké a technické údaje a informácie, pričom prihliada na najnovšie technológie;</w:t>
      </w:r>
    </w:p>
    <w:p w14:paraId="2061E8EA" w14:textId="5B373B5D" w:rsidR="00B50935" w:rsidRPr="007B62AA" w:rsidRDefault="00B50935" w:rsidP="00B50935">
      <w:pPr>
        <w:pStyle w:val="Point2"/>
      </w:pPr>
      <w:r w:rsidRPr="007B62AA">
        <w:t>b)</w:t>
      </w:r>
      <w:r w:rsidRPr="007B62AA">
        <w:tab/>
        <w:t>poskytuje analýzy, vedecké poradenstvo, stanoviská a podporu opatreniam Únie a členských štátov v oblasti cezhraničných ohrození zdravia vrátane hodnotenia rizík, analýzy epidemiologických informácií, epidemiologického modelovania, predpovedania a prognózovania, ako aj odporúčania na opatrenia na prevenciu a kontrolu ohrození prenosnými chorobami a iných osobitných zdravotných problémov, prispieva k vymedzeniu výskumných priorít a poskytuje vedeckú a technickú pomoc, ktorá zahŕňa odbornú prípravu a ďalšie činnosti spadajúce do mandátu centra;</w:t>
      </w:r>
    </w:p>
    <w:p w14:paraId="67312CA0" w14:textId="10E59D49" w:rsidR="00B50935" w:rsidRPr="007B62AA" w:rsidRDefault="00B50935" w:rsidP="00B50935">
      <w:pPr>
        <w:pStyle w:val="Point2"/>
      </w:pPr>
      <w:r w:rsidRPr="007B62AA">
        <w:t>c)</w:t>
      </w:r>
      <w:r w:rsidRPr="007B62AA">
        <w:tab/>
        <w:t>koordinuje vytváranie európskych sietí subjektov pôsobiacich v oblastiach, ktoré patria do rozsahu poslania centra, vrátane sietí vznikajúcich pri činnostiach v oblasti verejného zdravia podporovaných Komisiou a prevádzkujúcich špecializované siete;</w:t>
      </w:r>
    </w:p>
    <w:p w14:paraId="6489EB3C" w14:textId="77777777" w:rsidR="00B50935" w:rsidRPr="007B62AA" w:rsidRDefault="00B50935" w:rsidP="00B50935">
      <w:pPr>
        <w:pStyle w:val="Point2"/>
      </w:pPr>
      <w:r w:rsidRPr="007B62AA">
        <w:t>d)</w:t>
      </w:r>
      <w:r w:rsidRPr="007B62AA">
        <w:tab/>
        <w:t xml:space="preserve">vymieňa informácie, odborné znalosti a najlepšie postupy; </w:t>
      </w:r>
    </w:p>
    <w:p w14:paraId="1A125955" w14:textId="77777777" w:rsidR="00B50935" w:rsidRPr="007B62AA" w:rsidRDefault="00B50935" w:rsidP="00B50935">
      <w:pPr>
        <w:pStyle w:val="Point2"/>
      </w:pPr>
      <w:r w:rsidRPr="007B62AA">
        <w:t>e)</w:t>
      </w:r>
      <w:r w:rsidRPr="007B62AA">
        <w:tab/>
        <w:t>monitoruje kapacity systémov zdravotnej starostlivosti relevantné pre riadenie ohrození prenosnými chorobami a iných osobitných zdravotných problémov;</w:t>
      </w:r>
    </w:p>
    <w:p w14:paraId="4CF9C102" w14:textId="77777777" w:rsidR="00B50935" w:rsidRPr="007B62AA" w:rsidRDefault="00B50935" w:rsidP="00B50935">
      <w:pPr>
        <w:pStyle w:val="Point2"/>
      </w:pPr>
      <w:r w:rsidRPr="007B62AA">
        <w:t>f)</w:t>
      </w:r>
      <w:r w:rsidRPr="007B62AA">
        <w:tab/>
        <w:t>uľahčuje vývoj a vykonávanie akcií financovaných z príslušných programov a nástrojov financovania Únie vrátane vykonávania jednotných akcií;</w:t>
      </w:r>
    </w:p>
    <w:p w14:paraId="246E4D3C" w14:textId="77777777" w:rsidR="00B50935" w:rsidRPr="007B62AA" w:rsidRDefault="00B50935" w:rsidP="00B50935">
      <w:pPr>
        <w:pStyle w:val="Point2"/>
      </w:pPr>
      <w:r w:rsidRPr="007B62AA">
        <w:t>g)</w:t>
      </w:r>
      <w:r w:rsidRPr="007B62AA">
        <w:tab/>
        <w:t>na žiadosť Komisie alebo Výboru pre zdravotnú bezpečnosť alebo z vlastnej iniciatívy v spolupráci s príslušnými spoločnosťami poskytuje usmernenia na liečbu a sledovanie prípadov prenosných chorôb a iných osobitných zdravotných problémov relevantných z hľadiska verejného zdravia;</w:t>
      </w:r>
    </w:p>
    <w:p w14:paraId="3695B2AA" w14:textId="77777777" w:rsidR="00B50935" w:rsidRPr="007B62AA" w:rsidRDefault="00B50935" w:rsidP="00B50935">
      <w:pPr>
        <w:pStyle w:val="Point2"/>
      </w:pPr>
      <w:r w:rsidRPr="007B62AA">
        <w:t>h)</w:t>
      </w:r>
      <w:r w:rsidRPr="007B62AA">
        <w:tab/>
        <w:t xml:space="preserve">v súčinnosti s inými nástrojmi Únie v oblasti reakcie na núdzové situácie, najmä s mechanizmom Únie v oblasti civilnej ochrany, podporuje reakcie na epidémiu a vypuknutie nákazy v členských štátoch a v tretích krajinách; </w:t>
      </w:r>
    </w:p>
    <w:p w14:paraId="27F4029E" w14:textId="53CFC07A" w:rsidR="00B50935" w:rsidRPr="007B62AA" w:rsidRDefault="00B50935" w:rsidP="00B50935">
      <w:pPr>
        <w:pStyle w:val="Point2"/>
      </w:pPr>
      <w:r w:rsidRPr="007B62AA">
        <w:t>i)</w:t>
      </w:r>
      <w:r w:rsidRPr="007B62AA">
        <w:tab/>
        <w:t>prispieva k posilňovaniu kapacít pripravenosti podľa MZP v tretích krajinách, najmä v partnerských krajinách EÚ;</w:t>
      </w:r>
    </w:p>
    <w:p w14:paraId="57153F97" w14:textId="1625B582" w:rsidR="00B50935" w:rsidRPr="007B62AA" w:rsidRDefault="00B50935" w:rsidP="00B50935">
      <w:pPr>
        <w:pStyle w:val="Point2"/>
      </w:pPr>
      <w:r w:rsidRPr="007B62AA">
        <w:t>j)</w:t>
      </w:r>
      <w:r w:rsidRPr="007B62AA">
        <w:tab/>
        <w:t>na žiadosť Komisie alebo Výboru pre zdravotnú bezpečnosť poskytuje verejnosti komunikačný obsah založený na dôkazoch týkajúci sa prenosných chorôb, ohrození zdravia, ktoré predstavujú, a príslušných preventívnych a kontrolných opatrení.</w:t>
      </w:r>
    </w:p>
    <w:p w14:paraId="653555AD" w14:textId="73E491FB" w:rsidR="00B50935" w:rsidRPr="007B62AA" w:rsidRDefault="00B50935" w:rsidP="00B50935">
      <w:pPr>
        <w:pStyle w:val="Point1"/>
      </w:pPr>
      <w:r w:rsidRPr="007B62AA">
        <w:t>3.</w:t>
      </w:r>
      <w:r w:rsidRPr="007B62AA">
        <w:tab/>
        <w:t>Centrum, Komisia, príslušné orgány Únie alebo agentúry EÚ a členské štáty spolupracujú v záujme podpory účinnej koherentnosti svojich príslušných činností.“;</w:t>
      </w:r>
    </w:p>
    <w:p w14:paraId="4A24B52C" w14:textId="77777777" w:rsidR="00B50935" w:rsidRPr="007B62AA" w:rsidRDefault="00B50935" w:rsidP="00B50935">
      <w:pPr>
        <w:pStyle w:val="Point0"/>
      </w:pPr>
      <w:r w:rsidRPr="007B62AA">
        <w:t>3.</w:t>
      </w:r>
      <w:r w:rsidRPr="007B62AA">
        <w:tab/>
        <w:t>Článok 4 sa nahrádza takto:</w:t>
      </w:r>
    </w:p>
    <w:p w14:paraId="7D474554" w14:textId="77777777" w:rsidR="00B50935" w:rsidRPr="007B62AA" w:rsidRDefault="00B50935" w:rsidP="00B50935">
      <w:pPr>
        <w:pStyle w:val="Titrearticle"/>
        <w:rPr>
          <w:b/>
        </w:rPr>
      </w:pPr>
      <w:r w:rsidRPr="007B62AA">
        <w:t>„Článok 4</w:t>
      </w:r>
    </w:p>
    <w:p w14:paraId="323B9A62" w14:textId="77777777" w:rsidR="00B50935" w:rsidRPr="007B62AA" w:rsidRDefault="00B50935" w:rsidP="00B50935">
      <w:pPr>
        <w:jc w:val="center"/>
        <w:rPr>
          <w:b/>
        </w:rPr>
      </w:pPr>
      <w:r w:rsidRPr="007B62AA">
        <w:rPr>
          <w:b/>
        </w:rPr>
        <w:t>Povinnosti členských štátov</w:t>
      </w:r>
    </w:p>
    <w:p w14:paraId="339E669D" w14:textId="77777777" w:rsidR="00B50935" w:rsidRPr="007B62AA" w:rsidRDefault="00B50935" w:rsidP="00B50935">
      <w:pPr>
        <w:pStyle w:val="Text1"/>
      </w:pPr>
      <w:r w:rsidRPr="007B62AA">
        <w:t>Členské štáty:</w:t>
      </w:r>
    </w:p>
    <w:p w14:paraId="5ED353AC" w14:textId="06D2A7F6" w:rsidR="00B50935" w:rsidRPr="007B62AA" w:rsidRDefault="00B50935" w:rsidP="00B50935">
      <w:pPr>
        <w:pStyle w:val="Point1"/>
      </w:pPr>
      <w:r w:rsidRPr="007B62AA">
        <w:t>a)</w:t>
      </w:r>
      <w:r w:rsidRPr="007B62AA">
        <w:tab/>
        <w:t xml:space="preserve">včas a v súlade s dohodnutými definíciami prípadov chorôb, ukazovateľmi, normami, protokolmi a postupmi poskytujú centru údaje týkajúce sa dohľadu nad prenosnými chorobami a inými osobitnými zdravotnými problémami vykonávaného v súlade s článkom 13 </w:t>
      </w:r>
      <w:r w:rsidRPr="007B62AA">
        <w:rPr>
          <w:color w:val="FF0000"/>
        </w:rPr>
        <w:t>nariadenia (EÚ) .../... [</w:t>
      </w:r>
      <w:r w:rsidRPr="007B62AA">
        <w:rPr>
          <w:i/>
          <w:color w:val="FF0000"/>
        </w:rPr>
        <w:t>Ú. v. EÚ: vložte číslo nariadenia SCBTH</w:t>
      </w:r>
      <w:r w:rsidRPr="007B62AA">
        <w:rPr>
          <w:color w:val="FF0000"/>
        </w:rPr>
        <w:t xml:space="preserve"> [ISC/2020/12524]]</w:t>
      </w:r>
      <w:r w:rsidRPr="007B62AA">
        <w:t xml:space="preserve"> a dostupné vedecké a technické údaje a informácie relevantné pre poslanie centra vrátane informácií o pripravenosti a kapacitách systémov zdravotnej starostlivosti na zisťovanie a prevenciu ohnísk prenosných chorôb, reakciu na ne a zotavovanie sa z týchto nákaz; </w:t>
      </w:r>
    </w:p>
    <w:p w14:paraId="6C3DE7FD" w14:textId="77777777" w:rsidR="00B50935" w:rsidRPr="007B62AA" w:rsidRDefault="00B50935" w:rsidP="00B50935">
      <w:pPr>
        <w:pStyle w:val="Point1"/>
      </w:pPr>
      <w:r w:rsidRPr="007B62AA">
        <w:t>b)</w:t>
      </w:r>
      <w:r w:rsidRPr="007B62AA">
        <w:tab/>
        <w:t xml:space="preserve">prostredníctvom systému včasného varovania a reakcie informujú centrum o všetkých závažných cezhraničných ohrozeniach zdravia hneď po ich zistení a bezodkladne oznamujú prijaté reakčné opatrenia, ako aj všetky relevantné informácie, ktoré môžu byť užitočné na koordináciu reakcie, ako sa uvádza v článku 21 </w:t>
      </w:r>
      <w:r w:rsidRPr="007B62AA">
        <w:rPr>
          <w:color w:val="FF0000"/>
        </w:rPr>
        <w:t>nariadenia (EÚ) .../... [</w:t>
      </w:r>
      <w:r w:rsidRPr="007B62AA">
        <w:rPr>
          <w:i/>
          <w:iCs/>
          <w:color w:val="FF0000"/>
        </w:rPr>
        <w:t>Ú. v. EÚ:</w:t>
      </w:r>
      <w:r w:rsidRPr="007B62AA">
        <w:rPr>
          <w:i/>
          <w:color w:val="FF0000"/>
        </w:rPr>
        <w:t xml:space="preserve"> vložte číslo nariadenia SCBTH</w:t>
      </w:r>
      <w:r w:rsidRPr="007B62AA">
        <w:rPr>
          <w:color w:val="FF0000"/>
        </w:rPr>
        <w:t xml:space="preserve"> [ISC/2020/12524]]</w:t>
      </w:r>
      <w:r w:rsidRPr="007B62AA">
        <w:t xml:space="preserve">, a </w:t>
      </w:r>
    </w:p>
    <w:p w14:paraId="1DF9D471" w14:textId="0B0F1BE0" w:rsidR="00B50935" w:rsidRPr="007B62AA" w:rsidRDefault="00B50935" w:rsidP="00B50935">
      <w:pPr>
        <w:pStyle w:val="Point1"/>
      </w:pPr>
      <w:r w:rsidRPr="007B62AA">
        <w:t>c)</w:t>
      </w:r>
      <w:r w:rsidRPr="007B62AA">
        <w:tab/>
        <w:t>v rámci rozsahu poslania centra určujú uznané príslušné subjekty a expertov v oblasti verejného zdravia, ktorí by mohli byť k dispozícii na pomoc pri reakciách Únie na ohrozenia zdravia, napr. tak, že budú vykonávať misie v členských štátoch s cieľom poskytovať odborné poradenstvo a uskutočňovať vyšetrovanie v teréne v prípade výskytu klastrov alebo ohnísk ochorení.“;</w:t>
      </w:r>
    </w:p>
    <w:p w14:paraId="1457AC86" w14:textId="77777777" w:rsidR="00B50935" w:rsidRPr="007B62AA" w:rsidRDefault="00B50935" w:rsidP="00B50935">
      <w:pPr>
        <w:pStyle w:val="Point0"/>
      </w:pPr>
      <w:r w:rsidRPr="007B62AA">
        <w:t>4.</w:t>
      </w:r>
      <w:r w:rsidRPr="007B62AA">
        <w:tab/>
        <w:t>Článok 5 sa nahrádza takto:</w:t>
      </w:r>
    </w:p>
    <w:p w14:paraId="0282505F" w14:textId="77777777" w:rsidR="00B50935" w:rsidRPr="007B62AA" w:rsidRDefault="00B50935" w:rsidP="00B50935">
      <w:pPr>
        <w:pStyle w:val="Titrearticle"/>
      </w:pPr>
      <w:r w:rsidRPr="007B62AA">
        <w:t>„Článok 5</w:t>
      </w:r>
    </w:p>
    <w:p w14:paraId="5C520F1F" w14:textId="77777777" w:rsidR="00B50935" w:rsidRPr="007B62AA" w:rsidRDefault="00B50935" w:rsidP="00B50935">
      <w:pPr>
        <w:jc w:val="center"/>
        <w:rPr>
          <w:b/>
        </w:rPr>
      </w:pPr>
      <w:r w:rsidRPr="007B62AA">
        <w:rPr>
          <w:b/>
        </w:rPr>
        <w:t>Prevádzka špecializovaných sietí a činnosti v oblasti vytvárania sietí</w:t>
      </w:r>
    </w:p>
    <w:p w14:paraId="531B0476" w14:textId="77777777" w:rsidR="00B50935" w:rsidRPr="007B62AA" w:rsidRDefault="00B50935" w:rsidP="00B50935">
      <w:pPr>
        <w:pStyle w:val="Point1"/>
      </w:pPr>
      <w:r w:rsidRPr="007B62AA">
        <w:t>1.</w:t>
      </w:r>
      <w:r w:rsidRPr="007B62AA">
        <w:tab/>
        <w:t>Centrum podporuje činnosti v oblasti vytvárania sietí príslušných subjektov uznaných členskými štátmi poskytovaním koordinácie a technických a vedeckých odborných znalostí Komisii a členským štátom a prevádzkovaním špecializovaných sietí.</w:t>
      </w:r>
    </w:p>
    <w:p w14:paraId="4E86F86F" w14:textId="77777777" w:rsidR="00B50935" w:rsidRPr="007B62AA" w:rsidRDefault="00B50935" w:rsidP="00B50935">
      <w:pPr>
        <w:pStyle w:val="Point1"/>
      </w:pPr>
      <w:r w:rsidRPr="007B62AA">
        <w:t>2.</w:t>
      </w:r>
      <w:r w:rsidRPr="007B62AA">
        <w:tab/>
        <w:t xml:space="preserve">Centrum zabezpečuje integrovanú prevádzku siete pre epidemiologický dohľad nad prenosnými chorobami a súvisiacimi osobitnými zdravotnými problémami uvedenými v článku 2 ods. 1 písm. a) bodoch i) a ii) </w:t>
      </w:r>
      <w:r w:rsidRPr="007B62AA">
        <w:rPr>
          <w:color w:val="FF0000"/>
        </w:rPr>
        <w:t>nariadenia (EÚ) .../... [</w:t>
      </w:r>
      <w:r w:rsidRPr="007B62AA">
        <w:rPr>
          <w:i/>
          <w:color w:val="FF0000"/>
        </w:rPr>
        <w:t>Ú. v. EÚ: vložte číslo nariadenia SCBTH</w:t>
      </w:r>
      <w:r w:rsidRPr="007B62AA">
        <w:rPr>
          <w:color w:val="FF0000"/>
        </w:rPr>
        <w:t xml:space="preserve"> [ISC/2020/12524]]</w:t>
      </w:r>
      <w:r w:rsidRPr="007B62AA">
        <w:t>.</w:t>
      </w:r>
    </w:p>
    <w:p w14:paraId="2AF5A4CD" w14:textId="77777777" w:rsidR="00B50935" w:rsidRPr="007B62AA" w:rsidRDefault="00B50935" w:rsidP="00B50935">
      <w:pPr>
        <w:pStyle w:val="Text2"/>
      </w:pPr>
      <w:r w:rsidRPr="007B62AA">
        <w:t>Najmä:</w:t>
      </w:r>
    </w:p>
    <w:p w14:paraId="2CC00439" w14:textId="77777777" w:rsidR="00B50935" w:rsidRPr="007B62AA" w:rsidRDefault="00B50935" w:rsidP="00B50935">
      <w:pPr>
        <w:pStyle w:val="Point2"/>
      </w:pPr>
      <w:r w:rsidRPr="007B62AA">
        <w:t>a)</w:t>
      </w:r>
      <w:r w:rsidRPr="007B62AA">
        <w:tab/>
        <w:t xml:space="preserve">zabezpečuje ďalší rozvoj digitálnych platforiem a aplikácií na podporu epidemiologického dohľadu na úrovni Únie a podporuje členské štáty technickým a vedeckým poradenstvom pri vytváraní integrovaných systémov dohľadu, ktoré v prípade potreby umožňujú dohľad v reálnom čase, využívajúc pritom existujúce vesmírne infraštruktúry a služby EÚ; </w:t>
      </w:r>
    </w:p>
    <w:p w14:paraId="5D6EB793" w14:textId="77777777" w:rsidR="00B50935" w:rsidRPr="007B62AA" w:rsidRDefault="00B50935" w:rsidP="00B50935">
      <w:pPr>
        <w:pStyle w:val="Point2"/>
      </w:pPr>
      <w:r w:rsidRPr="007B62AA">
        <w:t>b)</w:t>
      </w:r>
      <w:r w:rsidRPr="007B62AA">
        <w:tab/>
        <w:t>zabezpečuje kvalitu monitorovaním a hodnotením činností epidemiologického dohľadu (vrátane stanovenia noriem dohľadu a úplnosti údajov z monitorovania) špecializovaných sietí dohľadu s cieľom zaistiť ich optimálnu prevádzku;</w:t>
      </w:r>
    </w:p>
    <w:p w14:paraId="7B857D6E" w14:textId="5A8245BB" w:rsidR="00B50935" w:rsidRPr="007B62AA" w:rsidRDefault="00B50935" w:rsidP="00B50935">
      <w:pPr>
        <w:pStyle w:val="Point2"/>
      </w:pPr>
      <w:r w:rsidRPr="007B62AA">
        <w:t>c)</w:t>
      </w:r>
      <w:r w:rsidRPr="007B62AA">
        <w:tab/>
        <w:t>udržiava databázy pre takýto epidemiologický dohľad, koordinuje svoju činnosť s hostiteľmi iných relevantných databáz a pracuje na harmonizácii prístupov k zberu údajov a modelovaniu;</w:t>
      </w:r>
    </w:p>
    <w:p w14:paraId="4B29EEE7" w14:textId="77777777" w:rsidR="00B50935" w:rsidRPr="007B62AA" w:rsidRDefault="00B50935" w:rsidP="00B50935">
      <w:pPr>
        <w:pStyle w:val="Point2"/>
      </w:pPr>
      <w:r w:rsidRPr="007B62AA">
        <w:t>d)</w:t>
      </w:r>
      <w:r w:rsidRPr="007B62AA">
        <w:tab/>
        <w:t xml:space="preserve">oznamuje výsledky analýzy údajov Komisii a členským štátom; </w:t>
      </w:r>
    </w:p>
    <w:p w14:paraId="22BEFD32" w14:textId="77777777" w:rsidR="00B50935" w:rsidRPr="007B62AA" w:rsidRDefault="00B50935" w:rsidP="00B50935">
      <w:pPr>
        <w:pStyle w:val="Point2"/>
      </w:pPr>
      <w:r w:rsidRPr="007B62AA">
        <w:t>e)</w:t>
      </w:r>
      <w:r w:rsidRPr="007B62AA">
        <w:tab/>
        <w:t>zosúlaďuje a racionalizuje prevádzkové metodiky;</w:t>
      </w:r>
    </w:p>
    <w:p w14:paraId="14042283" w14:textId="64F95A5C" w:rsidR="00B50935" w:rsidRPr="007B62AA" w:rsidRDefault="00B50935" w:rsidP="00B50935">
      <w:pPr>
        <w:pStyle w:val="Point2"/>
      </w:pPr>
      <w:r w:rsidRPr="007B62AA">
        <w:t>f)</w:t>
      </w:r>
      <w:r w:rsidRPr="007B62AA">
        <w:tab/>
        <w:t xml:space="preserve">zabezpečuje interoperabilitu automatizovaných aplikácií vyvinutých na vnútroštátnej úrovni, medzi nimi aj aplikácií na vyhľadávanie kontaktov; </w:t>
      </w:r>
    </w:p>
    <w:p w14:paraId="78187139" w14:textId="1810250A" w:rsidR="00F233D0" w:rsidRPr="007B62AA" w:rsidRDefault="00B50935" w:rsidP="00B50935">
      <w:pPr>
        <w:pStyle w:val="Point2"/>
      </w:pPr>
      <w:r w:rsidRPr="007B62AA">
        <w:t>g)</w:t>
      </w:r>
      <w:r w:rsidRPr="007B62AA">
        <w:tab/>
        <w:t>zabezpečuje interoperabilitu digitálnych platforiem pre dohľad s digitálnymi infraštruktúrami umožňujúcimi využívanie zdravotných údajov na účely zdravotnej starostlivosti, výskumu, tvorby politík a regulácie s cieľom integrovať tieto platformy a infraštruktúry do európskeho priestoru pre údaje týkajúce sa zdravia, ako sa upravuje v právnych predpisoch Únie, a využíva ďalšie relevantné údaje, napríklad environmentálne faktory.</w:t>
      </w:r>
    </w:p>
    <w:p w14:paraId="63F5FA28" w14:textId="4E9097C7" w:rsidR="00B50935" w:rsidRPr="007B62AA" w:rsidRDefault="00B50935" w:rsidP="00B50935">
      <w:pPr>
        <w:pStyle w:val="Point1"/>
      </w:pPr>
      <w:r w:rsidRPr="007B62AA">
        <w:t>3.</w:t>
      </w:r>
      <w:r w:rsidRPr="007B62AA">
        <w:tab/>
        <w:t>Centrum v rámci svojho mandátu podporuje prácu Výboru pre zdravotnú bezpečnosť, Rady a iných štruktúr Únie pri koordinácii reakcií na závažné cezhraničné ohrozenia zdravia.</w:t>
      </w:r>
    </w:p>
    <w:p w14:paraId="6E8AC63E" w14:textId="77777777" w:rsidR="00B50935" w:rsidRPr="007B62AA" w:rsidRDefault="00B50935" w:rsidP="00B50935">
      <w:pPr>
        <w:pStyle w:val="Point1"/>
      </w:pPr>
      <w:r w:rsidRPr="007B62AA">
        <w:t>4.</w:t>
      </w:r>
      <w:r w:rsidRPr="007B62AA">
        <w:tab/>
        <w:t>Prostredníctvom prevádzky siete pre epidemiologický dohľad centrum:</w:t>
      </w:r>
    </w:p>
    <w:p w14:paraId="5CE42013" w14:textId="77777777" w:rsidR="00B50935" w:rsidRPr="007B62AA" w:rsidRDefault="00B50935" w:rsidP="00B50935">
      <w:pPr>
        <w:pStyle w:val="Point2"/>
      </w:pPr>
      <w:r w:rsidRPr="007B62AA">
        <w:t>a)</w:t>
      </w:r>
      <w:r w:rsidRPr="007B62AA">
        <w:tab/>
        <w:t xml:space="preserve">na základe dohodnutých ukazovateľov monitoruje trendy v oblasti prenosných chorôb v priebehu času a vo všetkých členských štátoch a v tretích krajinách a podáva o nich správy s cieľom posúdiť súčasnú situáciu a uľahčiť vhodné opatrenia založené na dôkazoch, a to aj určením špecifikácií harmonizovaného zberu údajov z členských štátov; </w:t>
      </w:r>
    </w:p>
    <w:p w14:paraId="36AF53F1" w14:textId="52BA0E12" w:rsidR="00B50935" w:rsidRPr="007B62AA" w:rsidRDefault="00B50935" w:rsidP="00B50935">
      <w:pPr>
        <w:pStyle w:val="Point2"/>
      </w:pPr>
      <w:r w:rsidRPr="007B62AA">
        <w:t>b)</w:t>
      </w:r>
      <w:r w:rsidRPr="007B62AA">
        <w:tab/>
        <w:t xml:space="preserve">V prípade ohrozenia uvedeného v článku 2 ods. 1 písm. a) bodoch i) a ii) </w:t>
      </w:r>
      <w:r w:rsidRPr="007B62AA">
        <w:rPr>
          <w:color w:val="FF0000"/>
        </w:rPr>
        <w:t>nariadenia (EÚ) .../... [</w:t>
      </w:r>
      <w:r w:rsidRPr="007B62AA">
        <w:rPr>
          <w:i/>
          <w:iCs/>
          <w:color w:val="FF0000"/>
        </w:rPr>
        <w:t>Ú. v. EÚ:</w:t>
      </w:r>
      <w:r w:rsidRPr="007B62AA">
        <w:rPr>
          <w:i/>
          <w:color w:val="FF0000"/>
        </w:rPr>
        <w:t xml:space="preserve"> vložte číslo nariadenia SCBTH</w:t>
      </w:r>
      <w:r w:rsidRPr="007B62AA">
        <w:rPr>
          <w:color w:val="FF0000"/>
        </w:rPr>
        <w:t xml:space="preserve"> [ISC/2020/12524]]</w:t>
      </w:r>
      <w:r w:rsidRPr="007B62AA">
        <w:t xml:space="preserve"> vrátane ohrozenia pre látky ľudského pôvodu, ako sú krv, orgány, tkanivá a bunky, ktoré môžu byť postihnuté prenosnými chorobami, alebo v článku 2 ods. 1 písm. d) uvedeného nariadenia, zisťuje a monitoruje závažné cezhraničné ohrozenia zdravia a s cieľom poskytnúť odôvodnenie pre opatrenia v oblasti verejného zdravia o nich podáva správy, pokiaľ ide o zdroj, čas, populáciu a miesto;</w:t>
      </w:r>
    </w:p>
    <w:p w14:paraId="7F34129F" w14:textId="6F83E0AE" w:rsidR="00B50935" w:rsidRPr="007B62AA" w:rsidRDefault="00B50935" w:rsidP="00B50935">
      <w:pPr>
        <w:pStyle w:val="Point2"/>
      </w:pPr>
      <w:r w:rsidRPr="007B62AA">
        <w:t>c)</w:t>
      </w:r>
      <w:r w:rsidRPr="007B62AA">
        <w:tab/>
        <w:t xml:space="preserve">prispieva k hodnoteniu a monitorovaniu programov prevencie a kontroly prenosných chorôb s cieľom poskytnúť dôkazy pre odporúčania na posilnenie a zlepšenie týchto programov na vnútroštátnej úrovni a na úrovni Únie; </w:t>
      </w:r>
    </w:p>
    <w:p w14:paraId="0BBB684F" w14:textId="46BA9B09" w:rsidR="00B50935" w:rsidRPr="007B62AA" w:rsidRDefault="00B50935" w:rsidP="00B50935">
      <w:pPr>
        <w:pStyle w:val="Point2"/>
      </w:pPr>
      <w:r w:rsidRPr="007B62AA">
        <w:t>d)</w:t>
      </w:r>
      <w:r w:rsidRPr="007B62AA">
        <w:tab/>
        <w:t>monitoruje a posudzuje kapacitu systémov zdravotnej starostlivosti v oblasti diagnostiky, prevencie a liečby konkrétnych prenosných chorôb, ako aj bezpečnosti pacientov;</w:t>
      </w:r>
    </w:p>
    <w:p w14:paraId="2F9D4CA2" w14:textId="77777777" w:rsidR="00B50935" w:rsidRPr="007B62AA" w:rsidRDefault="00B50935" w:rsidP="00B50935">
      <w:pPr>
        <w:pStyle w:val="Point2"/>
      </w:pPr>
      <w:r w:rsidRPr="007B62AA">
        <w:t>e)</w:t>
      </w:r>
      <w:r w:rsidRPr="007B62AA">
        <w:tab/>
        <w:t xml:space="preserve">identifikuje rizikové skupiny obyvateľstva a také skupiny obyvateľstva, ktoré potrebujú cielené preventívne a reakčné opatrenia, a zabezpečuje, aby boli tieto opatrenia dostupné pre osoby so zdravotným postihnutím; </w:t>
      </w:r>
    </w:p>
    <w:p w14:paraId="4091A397" w14:textId="77777777" w:rsidR="00B50935" w:rsidRPr="007B62AA" w:rsidRDefault="00B50935" w:rsidP="00B50935">
      <w:pPr>
        <w:pStyle w:val="Point2"/>
      </w:pPr>
      <w:r w:rsidRPr="007B62AA">
        <w:t>f)</w:t>
      </w:r>
      <w:r w:rsidRPr="007B62AA">
        <w:tab/>
        <w:t xml:space="preserve">prispieva k posudzovaniu zaťaženia obyvateľstva prenosnými chorobami pomocou údajov, ako sú prevalencia ochorení, komplikácie, hospitalizácia a úmrtnosť, a zabezpečuje, aby boli tieto údaje rozčlenené podľa veku, rodu a zdravotného postihnutia; </w:t>
      </w:r>
    </w:p>
    <w:p w14:paraId="2E3DAF4C" w14:textId="0055AE08" w:rsidR="00B50935" w:rsidRPr="007B62AA" w:rsidRDefault="00B50935" w:rsidP="00B50935">
      <w:pPr>
        <w:pStyle w:val="Point2"/>
      </w:pPr>
      <w:r w:rsidRPr="007B62AA">
        <w:t>g)</w:t>
      </w:r>
      <w:r w:rsidRPr="007B62AA">
        <w:tab/>
        <w:t xml:space="preserve">vykonáva epidemiologické modelovanie, vypracúva predpovede a scenáre na účely reakcie a koordinuje takéto úsilie s cieľom vymieňať si najlepšie postupy a zlepšovať modelovaciu kapacitu v celej Únii a </w:t>
      </w:r>
    </w:p>
    <w:p w14:paraId="0F7ACF7A" w14:textId="7CAA1EBF" w:rsidR="00B50935" w:rsidRPr="007B62AA" w:rsidRDefault="00B50935" w:rsidP="00B50935">
      <w:pPr>
        <w:pStyle w:val="Point2"/>
      </w:pPr>
      <w:r w:rsidRPr="007B62AA">
        <w:t>h)</w:t>
      </w:r>
      <w:r w:rsidRPr="007B62AA">
        <w:tab/>
        <w:t>identifikuje rizikové faktory prenosu chorôb a najrizikovejšie skupiny vrátane korelácie výskytu a závažnosti ochorení so spoločenskými a environmentálnymi faktormi, ako aj priority a potreby výskumu.</w:t>
      </w:r>
    </w:p>
    <w:p w14:paraId="75763F21" w14:textId="77777777" w:rsidR="00B50935" w:rsidRPr="007B62AA" w:rsidRDefault="00B50935" w:rsidP="00B50935">
      <w:pPr>
        <w:pStyle w:val="Point1"/>
      </w:pPr>
      <w:r w:rsidRPr="007B62AA">
        <w:t>5.</w:t>
      </w:r>
      <w:r w:rsidRPr="007B62AA">
        <w:tab/>
        <w:t xml:space="preserve">Každý členský štát určí koordinujúci príslušný subjekt a vymenuje národné kontaktné miesto a operačné kontaktné miesta relevantné pre funkcie v oblasti verejného zdravia vrátane epidemiologického dohľadu, ako aj pre rôzne skupiny ochorení a jednotlivé ochorenia. </w:t>
      </w:r>
    </w:p>
    <w:p w14:paraId="5460BD96" w14:textId="77777777" w:rsidR="00B50935" w:rsidRPr="007B62AA" w:rsidRDefault="00B50935" w:rsidP="00B50935">
      <w:pPr>
        <w:pStyle w:val="Text2"/>
      </w:pPr>
      <w:r w:rsidRPr="007B62AA">
        <w:t xml:space="preserve">Národné kontaktné miesta vytvoria siete, ktoré centru poskytujú strategické poradenstvo. </w:t>
      </w:r>
    </w:p>
    <w:p w14:paraId="1E561336" w14:textId="77777777" w:rsidR="00B50935" w:rsidRPr="007B62AA" w:rsidRDefault="00B50935" w:rsidP="00B50935">
      <w:pPr>
        <w:pStyle w:val="Text2"/>
      </w:pPr>
      <w:r w:rsidRPr="007B62AA">
        <w:t xml:space="preserve">Národné kontaktné miesta a operačné kontaktné miesta určené na interakcie s centrom týkajúce sa konkrétnych ochorení vytvoria siete špecifické pre jednotlivé ochorenia alebo skupiny ochorení, ktorých úlohy zahŕňajú zasielanie údajov vnútroštátneho dohľadu centru. </w:t>
      </w:r>
    </w:p>
    <w:p w14:paraId="672BD1C9" w14:textId="77777777" w:rsidR="00B50935" w:rsidRPr="007B62AA" w:rsidRDefault="00B50935" w:rsidP="00B50935">
      <w:pPr>
        <w:pStyle w:val="Text2"/>
      </w:pPr>
      <w:r w:rsidRPr="007B62AA">
        <w:t>Príslušné subjekty určené a kontaktné miesta vymenované podľa tohto odseku a všetky ich zmeny oznámia členské štáty centru a ostatným členským štátom.</w:t>
      </w:r>
    </w:p>
    <w:p w14:paraId="171BFDB0" w14:textId="77777777" w:rsidR="00B50935" w:rsidRPr="007B62AA" w:rsidRDefault="00B50935" w:rsidP="00B50935">
      <w:pPr>
        <w:pStyle w:val="Point1"/>
      </w:pPr>
      <w:r w:rsidRPr="007B62AA">
        <w:t>6.</w:t>
      </w:r>
      <w:r w:rsidRPr="007B62AA">
        <w:tab/>
        <w:t xml:space="preserve">Centrum zabezpečuje prevádzku siete referenčných laboratórií EÚ uvedenej v článku 15 </w:t>
      </w:r>
      <w:r w:rsidRPr="007B62AA">
        <w:rPr>
          <w:color w:val="FF0000"/>
        </w:rPr>
        <w:t>nariadenia (EÚ) .../... [</w:t>
      </w:r>
      <w:r w:rsidRPr="007B62AA">
        <w:rPr>
          <w:i/>
          <w:iCs/>
          <w:color w:val="FF0000"/>
        </w:rPr>
        <w:t>Ú. v. EÚ:</w:t>
      </w:r>
      <w:r w:rsidRPr="007B62AA">
        <w:rPr>
          <w:i/>
          <w:color w:val="FF0000"/>
        </w:rPr>
        <w:t xml:space="preserve"> </w:t>
      </w:r>
      <w:r w:rsidRPr="007B62AA">
        <w:rPr>
          <w:i/>
          <w:iCs/>
          <w:color w:val="FF0000"/>
        </w:rPr>
        <w:t>vložte číslo nariadenia SCBTH</w:t>
      </w:r>
      <w:r w:rsidRPr="007B62AA">
        <w:rPr>
          <w:color w:val="FF0000"/>
        </w:rPr>
        <w:t xml:space="preserve"> [ISC/2020/12524]]</w:t>
      </w:r>
      <w:r w:rsidRPr="007B62AA">
        <w:t xml:space="preserve"> na diagnostiku, zisťovanie, identifikáciu a charakterizáciu infekčných mikroorganizmov, ktoré môžu predstavovať ohrozenie verejného zdravia. </w:t>
      </w:r>
    </w:p>
    <w:p w14:paraId="27E01178" w14:textId="77777777" w:rsidR="00B50935" w:rsidRPr="007B62AA" w:rsidRDefault="00B50935" w:rsidP="00B50935">
      <w:pPr>
        <w:pStyle w:val="Point1"/>
      </w:pPr>
      <w:r w:rsidRPr="007B62AA">
        <w:t>7.</w:t>
      </w:r>
      <w:r w:rsidRPr="007B62AA">
        <w:tab/>
        <w:t>Podnecovaním spolupráce medzi odbornými a referenčnými laboratóriami centrum v rámci Únie presadzuje rozvoj dostatočnej kapacity na diagnostiku, zisťovanie, identifikáciu a charakterizáciu infekčných agensov, ktoré môžu ohrozovať verejné zdravie. Centrum udržiava a rozširuje takúto spoluprácu a podporuje zavádzanie systémov zabezpečenia kvality.</w:t>
      </w:r>
    </w:p>
    <w:p w14:paraId="5A0AFBD6" w14:textId="011854AD" w:rsidR="00B50935" w:rsidRPr="007B62AA" w:rsidRDefault="00B50935" w:rsidP="00B50935">
      <w:pPr>
        <w:pStyle w:val="Point1"/>
      </w:pPr>
      <w:r w:rsidRPr="007B62AA">
        <w:t>8.</w:t>
      </w:r>
      <w:r w:rsidRPr="007B62AA">
        <w:tab/>
        <w:t xml:space="preserve">Centrum zabezpečuje prevádzku siete služieb členských štátov podporujúcich transfúziu, transplantáciu a medicínsky asistovanú reprodukciu, čo umožňuje nepretržitý a rýchly prístup k séroepidemiologickým údajom prostredníctvom séroepidemiologických štúdií populácie vrátane posúdenia expozície darcovskej populácie a jej imunity. </w:t>
      </w:r>
    </w:p>
    <w:p w14:paraId="726C3960" w14:textId="1D7531BD" w:rsidR="00B50935" w:rsidRPr="007B62AA" w:rsidRDefault="00B50935" w:rsidP="00B50935">
      <w:pPr>
        <w:pStyle w:val="Text2"/>
      </w:pPr>
      <w:r w:rsidRPr="007B62AA">
        <w:t xml:space="preserve">Sieť uvedená v prvom pododseku poskytuje centru podporu monitorovaním ohnísk ochorení, ktoré sú relevantné pre látky ľudského pôvodu a ich dodávanie pacientom, ako aj vypracúvaním usmernení pre bezpečnosť a kvalitu krvi, tkanív a buniek. </w:t>
      </w:r>
    </w:p>
    <w:p w14:paraId="3CE202A6" w14:textId="75ADF75C" w:rsidR="00B50935" w:rsidRPr="007B62AA" w:rsidRDefault="00B50935" w:rsidP="00B50935">
      <w:pPr>
        <w:pStyle w:val="Point1"/>
      </w:pPr>
      <w:r w:rsidRPr="007B62AA">
        <w:t>9.</w:t>
      </w:r>
      <w:r w:rsidRPr="007B62AA">
        <w:tab/>
        <w:t>Centrum spolupracuje s príslušnými subjektmi uznanými členskými štátmi, a to najmä pri príprave vedeckých stanovísk, pri vedeckej a technickej pomoci, zbere porovnateľných údajov na základe spoločných formátov, ktoré umožňujú jednoduchú agregáciu, a pri identifikácii vznikajúcich ohrození zdravia.“;</w:t>
      </w:r>
    </w:p>
    <w:p w14:paraId="458C6E00" w14:textId="77777777" w:rsidR="00B50935" w:rsidRPr="007B62AA" w:rsidRDefault="00B50935" w:rsidP="00B50935">
      <w:pPr>
        <w:pStyle w:val="Point0"/>
      </w:pPr>
      <w:r w:rsidRPr="007B62AA">
        <w:t>5.</w:t>
      </w:r>
      <w:r w:rsidRPr="007B62AA">
        <w:tab/>
        <w:t>Vkladá sa tento článok 5a:</w:t>
      </w:r>
    </w:p>
    <w:p w14:paraId="3764CBB8" w14:textId="77777777" w:rsidR="00B50935" w:rsidRPr="007B62AA" w:rsidRDefault="00B50935" w:rsidP="00B50935">
      <w:pPr>
        <w:pStyle w:val="Titrearticle"/>
      </w:pPr>
      <w:r w:rsidRPr="007B62AA">
        <w:t>„Článok 5a</w:t>
      </w:r>
    </w:p>
    <w:p w14:paraId="30E823E4" w14:textId="77777777" w:rsidR="00B50935" w:rsidRPr="007B62AA" w:rsidRDefault="00B50935" w:rsidP="00B50935">
      <w:pPr>
        <w:jc w:val="center"/>
        <w:rPr>
          <w:b/>
        </w:rPr>
      </w:pPr>
      <w:r w:rsidRPr="007B62AA">
        <w:rPr>
          <w:b/>
        </w:rPr>
        <w:t>Prevencia prenosných chorôb</w:t>
      </w:r>
    </w:p>
    <w:p w14:paraId="54B5B7B2" w14:textId="77777777" w:rsidR="00B50935" w:rsidRPr="007B62AA" w:rsidRDefault="00B50935" w:rsidP="00B50935">
      <w:pPr>
        <w:pStyle w:val="Point1"/>
      </w:pPr>
      <w:r w:rsidRPr="007B62AA">
        <w:t>1.</w:t>
      </w:r>
      <w:r w:rsidRPr="007B62AA">
        <w:tab/>
        <w:t xml:space="preserve">Centrum podporuje členské štáty pri posilňovaní ich systémov prevencie a kontroly prenosných chorôb. </w:t>
      </w:r>
    </w:p>
    <w:p w14:paraId="5A5507A5" w14:textId="5632C299" w:rsidR="00B50935" w:rsidRPr="007B62AA" w:rsidRDefault="00B50935" w:rsidP="00B50935">
      <w:pPr>
        <w:pStyle w:val="Point1"/>
      </w:pPr>
      <w:r w:rsidRPr="007B62AA">
        <w:t>2.</w:t>
      </w:r>
      <w:r w:rsidRPr="007B62AA">
        <w:tab/>
        <w:t xml:space="preserve">Centrum vypracuje rámec pre prevenciu prenosných chorôb a osobitných problémov vrátane chorôb, ktorým sa dá predchádzať očkovaním, antimikrobiálnej rezistencie, zdravotnej výchovy, zdravotnej gramotnosti a zmeny správania. </w:t>
      </w:r>
    </w:p>
    <w:p w14:paraId="0B1338EF" w14:textId="58264DC4" w:rsidR="00B50935" w:rsidRPr="007B62AA" w:rsidRDefault="00B50935" w:rsidP="00B50935">
      <w:pPr>
        <w:pStyle w:val="Point1"/>
      </w:pPr>
      <w:r w:rsidRPr="007B62AA">
        <w:t>3.</w:t>
      </w:r>
      <w:r w:rsidRPr="007B62AA">
        <w:tab/>
        <w:t>Centrum hodnotí a monitoruje programy prevencie a kontroly prenosných chorôb s cieľom poskytnúť dôkazy pre odporúčania na posilnenie a zlepšenie týchto programov na vnútroštátnej úrovni a na úrovni Únie, a prípadne na medzinárodnej úrovni.</w:t>
      </w:r>
    </w:p>
    <w:p w14:paraId="7B7BE331" w14:textId="3401DEAD" w:rsidR="00B50935" w:rsidRPr="007B62AA" w:rsidRDefault="00B50935" w:rsidP="00B50935">
      <w:pPr>
        <w:pStyle w:val="Point1"/>
      </w:pPr>
      <w:r w:rsidRPr="007B62AA">
        <w:t>4.</w:t>
      </w:r>
      <w:r w:rsidRPr="007B62AA">
        <w:tab/>
        <w:t>Centrum koordinuje nezávislé štúdie o monitorovaní účinnosti a bezpečnosti vakcín po uvedení na trh, ktoré zbierajú nové informácie a/alebo využívajú relevantné údaje zozbierané príslušnými subjektmi. Túto činnosť vykonáva spoločne s Európskou agentúrou pre lieky, a to najmä prostredníctvom novej platformy na monitorovanie vakcín.“;</w:t>
      </w:r>
    </w:p>
    <w:p w14:paraId="5AC7BBBF" w14:textId="77777777" w:rsidR="00B50935" w:rsidRPr="007B62AA" w:rsidRDefault="00B50935" w:rsidP="00B50935">
      <w:pPr>
        <w:pStyle w:val="Point0"/>
      </w:pPr>
      <w:r w:rsidRPr="007B62AA">
        <w:t>6.</w:t>
      </w:r>
      <w:r w:rsidRPr="007B62AA">
        <w:tab/>
        <w:t>Vkladá sa tento článok 5b:</w:t>
      </w:r>
    </w:p>
    <w:p w14:paraId="3B7A6C6C" w14:textId="77777777" w:rsidR="00B50935" w:rsidRPr="007B62AA" w:rsidRDefault="00B50935" w:rsidP="00B50935">
      <w:pPr>
        <w:pStyle w:val="Titrearticle"/>
      </w:pPr>
      <w:r w:rsidRPr="007B62AA">
        <w:t>„Článok 5b</w:t>
      </w:r>
    </w:p>
    <w:p w14:paraId="629E4380" w14:textId="77777777" w:rsidR="00B50935" w:rsidRPr="007B62AA" w:rsidRDefault="00B50935" w:rsidP="00B50935">
      <w:pPr>
        <w:jc w:val="center"/>
        <w:rPr>
          <w:b/>
        </w:rPr>
      </w:pPr>
      <w:r w:rsidRPr="007B62AA">
        <w:rPr>
          <w:b/>
        </w:rPr>
        <w:t>Plánovanie pripravenosti a reakcie</w:t>
      </w:r>
    </w:p>
    <w:p w14:paraId="6C905E4A" w14:textId="77777777" w:rsidR="00B50935" w:rsidRPr="007B62AA" w:rsidRDefault="00B50935" w:rsidP="00B50935">
      <w:pPr>
        <w:pStyle w:val="Point1"/>
      </w:pPr>
      <w:r w:rsidRPr="007B62AA">
        <w:t>1.</w:t>
      </w:r>
      <w:r w:rsidRPr="007B62AA">
        <w:tab/>
        <w:t>Centrum v spolupráci s príslušnými orgánmi a agentúrami Únie a medzinárodnými organizáciami v súlade s príslušnými dohodami o pracovných podmienkach uzavretými s Komisiou v oblasti plánovania pripravenosti a reakcie poskytuje členským štátom a Komisii vedecké a technické odborné znalosti.</w:t>
      </w:r>
    </w:p>
    <w:p w14:paraId="797E2016" w14:textId="77777777" w:rsidR="00B50935" w:rsidRPr="007B62AA" w:rsidRDefault="00B50935" w:rsidP="00B50935">
      <w:pPr>
        <w:pStyle w:val="Text2"/>
      </w:pPr>
      <w:r w:rsidRPr="007B62AA">
        <w:t xml:space="preserve">Centrum v úzkej spolupráci s členskými štátmi a Komisiou: </w:t>
      </w:r>
    </w:p>
    <w:p w14:paraId="76A1D8B6" w14:textId="77777777" w:rsidR="00B50935" w:rsidRPr="007B62AA" w:rsidRDefault="00B50935" w:rsidP="00B50935">
      <w:pPr>
        <w:pStyle w:val="Point2"/>
      </w:pPr>
      <w:r w:rsidRPr="007B62AA">
        <w:t>a)</w:t>
      </w:r>
      <w:r w:rsidRPr="007B62AA">
        <w:tab/>
        <w:t>prispieva k vypracúvaniu, pravidelnému preskúmaniu a aktualizácii plánov pripravenosti a koncepcií plánov pripravenosti špecifických pre jednotlivé ohrozenia, ktoré má prijať Výbor pre zdravotnú bezpečnosť;</w:t>
      </w:r>
    </w:p>
    <w:p w14:paraId="3A03AD89" w14:textId="77777777" w:rsidR="00B50935" w:rsidRPr="007B62AA" w:rsidRDefault="00B50935" w:rsidP="00B50935">
      <w:pPr>
        <w:pStyle w:val="Point2"/>
      </w:pPr>
      <w:r w:rsidRPr="007B62AA">
        <w:t>b)</w:t>
      </w:r>
      <w:r w:rsidRPr="007B62AA">
        <w:tab/>
        <w:t>vypracúva rámce monitorovania a hodnotenia pripravenosti a ukazovatele pripravenosti;</w:t>
      </w:r>
    </w:p>
    <w:p w14:paraId="5F7CC0F5" w14:textId="7A404F5B" w:rsidR="00DB2CE6" w:rsidRPr="007B62AA" w:rsidRDefault="00B50935" w:rsidP="00B50935">
      <w:pPr>
        <w:pStyle w:val="Point2"/>
      </w:pPr>
      <w:r w:rsidRPr="007B62AA">
        <w:t>c)</w:t>
      </w:r>
      <w:r w:rsidRPr="007B62AA">
        <w:tab/>
        <w:t xml:space="preserve">uľahčuje sebahodnotenie a externé hodnotenie plánovania pripravenosti a reakcie členských štátov a prispieva k podávaniu správ o plánovaní pripravenosti a reakcie a k jeho auditu podľa článkov 7 a 8 </w:t>
      </w:r>
      <w:r w:rsidRPr="007B62AA">
        <w:rPr>
          <w:color w:val="FF0000"/>
        </w:rPr>
        <w:t>nariadenia (EÚ) .../... [</w:t>
      </w:r>
      <w:r w:rsidRPr="007B62AA">
        <w:rPr>
          <w:i/>
          <w:color w:val="FF0000"/>
        </w:rPr>
        <w:t>Ú. v. EÚ: vložte číslo nariadenia SCBTH</w:t>
      </w:r>
      <w:r w:rsidRPr="007B62AA">
        <w:rPr>
          <w:color w:val="FF0000"/>
        </w:rPr>
        <w:t xml:space="preserve"> [ISC/2020/12524]]</w:t>
      </w:r>
      <w:r w:rsidRPr="007B62AA">
        <w:t>;</w:t>
      </w:r>
    </w:p>
    <w:p w14:paraId="41DBBD9E" w14:textId="77777777" w:rsidR="00B50935" w:rsidRPr="007B62AA" w:rsidRDefault="00B50935" w:rsidP="00B50935">
      <w:pPr>
        <w:pStyle w:val="Point2"/>
      </w:pPr>
      <w:r w:rsidRPr="007B62AA">
        <w:t>d)</w:t>
      </w:r>
      <w:r w:rsidRPr="007B62AA">
        <w:tab/>
        <w:t xml:space="preserve">zabezpečuje monitorovanie nedostatkov v pripravenosti a poskytovanie cielenej podpory členským štátom EÚ a tretím krajinám v prípade potreby; </w:t>
      </w:r>
    </w:p>
    <w:p w14:paraId="26063FAD" w14:textId="46C86EF9" w:rsidR="00B50935" w:rsidRPr="007B62AA" w:rsidRDefault="00B50935" w:rsidP="00B50935">
      <w:pPr>
        <w:pStyle w:val="Point2"/>
      </w:pPr>
      <w:r w:rsidRPr="007B62AA">
        <w:t>e)</w:t>
      </w:r>
      <w:r w:rsidRPr="007B62AA">
        <w:tab/>
        <w:t xml:space="preserve">vypracúva cvičenia, preskúmania počas opatrení a po uplynutí opatrení a organizuje opatrenia na budovanie kapacít v záujme riešenia zistených nedostatkov kapacít a spôsobilostí v oblasti pripravenosti; </w:t>
      </w:r>
    </w:p>
    <w:p w14:paraId="58C58B31" w14:textId="77777777" w:rsidR="00B50935" w:rsidRPr="007B62AA" w:rsidRDefault="00B50935" w:rsidP="00B50935">
      <w:pPr>
        <w:pStyle w:val="Point2"/>
      </w:pPr>
      <w:r w:rsidRPr="007B62AA">
        <w:t>f)</w:t>
      </w:r>
      <w:r w:rsidRPr="007B62AA">
        <w:tab/>
        <w:t>v súlade s prioritami Komisie a na základe zistených nedostatkov rozvíja osobitné činnosti v oblasti pripravenosti zamerané na choroby, ktorým sa dá predchádzať očkovaním, antimikrobiálnu rezistenciu, laboratórnu kapacitu a biologickú bezpečnosť;</w:t>
      </w:r>
    </w:p>
    <w:p w14:paraId="2D79AB3F" w14:textId="77777777" w:rsidR="00B50935" w:rsidRPr="007B62AA" w:rsidRDefault="00B50935" w:rsidP="00B50935">
      <w:pPr>
        <w:pStyle w:val="Point2"/>
      </w:pPr>
      <w:r w:rsidRPr="007B62AA">
        <w:t>g)</w:t>
      </w:r>
      <w:r w:rsidRPr="007B62AA">
        <w:tab/>
        <w:t>podporuje integráciu pripravenosti v oblasti výskumu do plánov pripravenosti a reakcie;</w:t>
      </w:r>
    </w:p>
    <w:p w14:paraId="2FAB5E90" w14:textId="77777777" w:rsidR="00B50935" w:rsidRPr="007B62AA" w:rsidRDefault="00B50935" w:rsidP="00B50935">
      <w:pPr>
        <w:pStyle w:val="Point2"/>
      </w:pPr>
      <w:r w:rsidRPr="007B62AA">
        <w:t>h)</w:t>
      </w:r>
      <w:r w:rsidRPr="007B62AA">
        <w:tab/>
        <w:t xml:space="preserve">rozvíja cielené činnosti zamerané na rizikové skupiny a pripravenosť komunít; </w:t>
      </w:r>
    </w:p>
    <w:p w14:paraId="5C578983" w14:textId="125619AB" w:rsidR="00B50935" w:rsidRPr="007B62AA" w:rsidRDefault="00B50935" w:rsidP="00B50935">
      <w:pPr>
        <w:pStyle w:val="Point2"/>
      </w:pPr>
      <w:r w:rsidRPr="007B62AA">
        <w:t>i)</w:t>
      </w:r>
      <w:r w:rsidRPr="007B62AA">
        <w:tab/>
        <w:t>posudzuje schopnosť systémov zdravotnej starostlivosti zisťovať výskyt ohnísk prenosných chorôb, predchádzať im, reagovať na ne a zotaviť sa z nich, identifikuje nedostatky a poskytuje odporúčania na posilnenie systémov zdravotnej starostlivosti, ktoré sa majú podľa potreby vykonávať s podporou Únie;</w:t>
      </w:r>
    </w:p>
    <w:p w14:paraId="25434035" w14:textId="77777777" w:rsidR="00B50935" w:rsidRPr="007B62AA" w:rsidRDefault="00B50935" w:rsidP="00B50935">
      <w:pPr>
        <w:pStyle w:val="Point2"/>
      </w:pPr>
      <w:r w:rsidRPr="007B62AA">
        <w:t>j)</w:t>
      </w:r>
      <w:r w:rsidRPr="007B62AA">
        <w:tab/>
        <w:t xml:space="preserve">posilňuje svoju kapacitu v oblasti modelovania, predpovedí a prognóz a </w:t>
      </w:r>
    </w:p>
    <w:p w14:paraId="2002EE06" w14:textId="14487553" w:rsidR="00B50935" w:rsidRPr="007B62AA" w:rsidRDefault="00B50935" w:rsidP="00B50935">
      <w:pPr>
        <w:pStyle w:val="Point2"/>
      </w:pPr>
      <w:r w:rsidRPr="007B62AA">
        <w:t>k)</w:t>
      </w:r>
      <w:r w:rsidRPr="007B62AA">
        <w:tab/>
        <w:t>udržiava riadne mechanizmy vysielania expertov medzi centrom, Komisiou a členskými štátmi.“;</w:t>
      </w:r>
    </w:p>
    <w:p w14:paraId="2B721B92" w14:textId="77777777" w:rsidR="00B50935" w:rsidRPr="007B62AA" w:rsidRDefault="00B50935" w:rsidP="00B50935">
      <w:pPr>
        <w:pStyle w:val="Point0"/>
      </w:pPr>
      <w:r w:rsidRPr="007B62AA">
        <w:t>7.</w:t>
      </w:r>
      <w:r w:rsidRPr="007B62AA">
        <w:tab/>
        <w:t>Článok 6 sa mení takto:</w:t>
      </w:r>
    </w:p>
    <w:p w14:paraId="53987D24" w14:textId="77777777" w:rsidR="00B50935" w:rsidRPr="007B62AA" w:rsidRDefault="00B50935" w:rsidP="00B50935">
      <w:pPr>
        <w:pStyle w:val="Point1"/>
      </w:pPr>
      <w:r w:rsidRPr="007B62AA">
        <w:t>a)</w:t>
      </w:r>
      <w:r w:rsidRPr="007B62AA">
        <w:tab/>
        <w:t xml:space="preserve">vkladá sa tento odsek 1a: </w:t>
      </w:r>
    </w:p>
    <w:p w14:paraId="1C05A466" w14:textId="77777777" w:rsidR="00B50935" w:rsidRPr="007B62AA" w:rsidRDefault="00B50935" w:rsidP="00B50935">
      <w:pPr>
        <w:pStyle w:val="Point2"/>
      </w:pPr>
      <w:r w:rsidRPr="007B62AA">
        <w:t>„1a.</w:t>
      </w:r>
      <w:r w:rsidRPr="007B62AA">
        <w:tab/>
        <w:t>Na žiadosť Komisie centrum poskytuje konkrétne analýzy a odporúčania na opatrenia na prevenciu a kontrolu ohrození prenosnými chorobami.“;</w:t>
      </w:r>
    </w:p>
    <w:p w14:paraId="1F809A20" w14:textId="77777777" w:rsidR="00B50935" w:rsidRPr="007B62AA" w:rsidRDefault="00B50935" w:rsidP="00B50935">
      <w:pPr>
        <w:pStyle w:val="Point1"/>
      </w:pPr>
      <w:r w:rsidRPr="007B62AA">
        <w:t>b)</w:t>
      </w:r>
      <w:r w:rsidRPr="007B62AA">
        <w:tab/>
        <w:t>odsek 3 sa nahrádza takto:</w:t>
      </w:r>
    </w:p>
    <w:p w14:paraId="23A57287" w14:textId="0C2370C4" w:rsidR="00B50935" w:rsidRPr="007B62AA" w:rsidRDefault="00B50935" w:rsidP="00B50935">
      <w:pPr>
        <w:pStyle w:val="Point2"/>
      </w:pPr>
      <w:r w:rsidRPr="007B62AA">
        <w:t>„3.</w:t>
      </w:r>
      <w:r w:rsidRPr="007B62AA">
        <w:tab/>
        <w:t>Centrum môže podporovať a iniciovať vedecké štúdie potrebné na vykonávanie jeho poslania a aplikované vedecké štúdie a projekty týkajúce sa uskutočniteľnosti, vývoja a prípravy jeho činností. Centrum predchádza duplicite s programami Komisie, členských štátov a Únie v oblasti výskumu a zdravia a v prípade potreby vytvorí prepojenie medzi verejným zdravotníctvom a výskumným sektorom.</w:t>
      </w:r>
    </w:p>
    <w:p w14:paraId="1D2761AA" w14:textId="46A9D928" w:rsidR="00B50935" w:rsidRPr="007B62AA" w:rsidRDefault="00B50935" w:rsidP="00B50935">
      <w:pPr>
        <w:pStyle w:val="Text3"/>
      </w:pPr>
      <w:r w:rsidRPr="007B62AA">
        <w:t>Na vykonávanie štúdií uvedených v prvom odseku má centrum v súlade s pravidlami ochrany údajov prístup k zdravotným údajom sprístupneným alebo vymieňaným prostredníctvom digitálnych infraštruktúr a aplikácií, čím sa umožňuje, aby sa zdravotné údaje použili na účely zdravotnej starostlivosti, výskumu, tvorby politík a regulácie. Na účely štúdií podľa prvého odseku centrum využíva aj iné relevantné údaje, napríklad údaje o environmentálnych a sociálno-ekonomických faktoroch.“;</w:t>
      </w:r>
    </w:p>
    <w:p w14:paraId="0ADA6837" w14:textId="77777777" w:rsidR="00B50935" w:rsidRPr="007B62AA" w:rsidRDefault="00B50935" w:rsidP="00B50935">
      <w:pPr>
        <w:pStyle w:val="Point1"/>
      </w:pPr>
      <w:r w:rsidRPr="007B62AA">
        <w:t>c)</w:t>
      </w:r>
      <w:r w:rsidRPr="007B62AA">
        <w:tab/>
        <w:t xml:space="preserve">odsek 4 sa nahrádza takto: </w:t>
      </w:r>
    </w:p>
    <w:p w14:paraId="77DCB4F5" w14:textId="77777777" w:rsidR="00B50935" w:rsidRPr="007B62AA" w:rsidRDefault="00B50935" w:rsidP="00B50935">
      <w:pPr>
        <w:pStyle w:val="Point2"/>
      </w:pPr>
      <w:r w:rsidRPr="007B62AA">
        <w:t>„4.</w:t>
      </w:r>
      <w:r w:rsidRPr="007B62AA">
        <w:tab/>
        <w:t>Pokiaľ ide o plánovanie a stanovovanie priorít výskumných štúdií a štúdií v oblasti verejného zdravia, uskutočňuje centrum konzultácie s Komisiou a ďalšími orgánmi alebo agentúrami Únie.“;</w:t>
      </w:r>
    </w:p>
    <w:p w14:paraId="691716EF" w14:textId="77777777" w:rsidR="00B50935" w:rsidRPr="007B62AA" w:rsidRDefault="00B50935" w:rsidP="00B50935">
      <w:pPr>
        <w:pStyle w:val="Point0"/>
      </w:pPr>
      <w:r w:rsidRPr="007B62AA">
        <w:t>8.</w:t>
      </w:r>
      <w:r w:rsidRPr="007B62AA">
        <w:tab/>
        <w:t xml:space="preserve">Článok 7 sa nahrádza takto: </w:t>
      </w:r>
    </w:p>
    <w:p w14:paraId="35D7B973" w14:textId="77777777" w:rsidR="00B50935" w:rsidRPr="007B62AA" w:rsidRDefault="00B50935" w:rsidP="00B50935">
      <w:pPr>
        <w:pStyle w:val="Titrearticle"/>
      </w:pPr>
      <w:r w:rsidRPr="007B62AA">
        <w:t>„Článok 7</w:t>
      </w:r>
    </w:p>
    <w:p w14:paraId="2FF23676" w14:textId="77777777" w:rsidR="00B50935" w:rsidRPr="007B62AA" w:rsidRDefault="00B50935" w:rsidP="00B50935">
      <w:pPr>
        <w:jc w:val="center"/>
        <w:rPr>
          <w:b/>
        </w:rPr>
      </w:pPr>
      <w:r w:rsidRPr="007B62AA">
        <w:rPr>
          <w:b/>
        </w:rPr>
        <w:t>Postup pre vedecké stanoviská</w:t>
      </w:r>
    </w:p>
    <w:p w14:paraId="7A2023DB" w14:textId="77777777" w:rsidR="00B50935" w:rsidRPr="007B62AA" w:rsidRDefault="00B50935" w:rsidP="00B50935">
      <w:pPr>
        <w:pStyle w:val="Point1"/>
      </w:pPr>
      <w:r w:rsidRPr="007B62AA">
        <w:t>1.</w:t>
      </w:r>
      <w:r w:rsidRPr="007B62AA">
        <w:tab/>
        <w:t>Centrum vydáva vedecké stanoviská k záležitostiam, ktoré spadajú do rozsahu jeho poslania:</w:t>
      </w:r>
    </w:p>
    <w:p w14:paraId="3E0C8457" w14:textId="77777777" w:rsidR="00B50935" w:rsidRPr="007B62AA" w:rsidRDefault="00B50935" w:rsidP="00B50935">
      <w:pPr>
        <w:pStyle w:val="Point2"/>
      </w:pPr>
      <w:r w:rsidRPr="007B62AA">
        <w:t>a)</w:t>
      </w:r>
      <w:r w:rsidRPr="007B62AA">
        <w:tab/>
        <w:t>vo všetkých prípadoch, v ktorých sa v právnych predpisoch Únie stanovuje, že sa majú s centrom vykonať konzultácie;</w:t>
      </w:r>
    </w:p>
    <w:p w14:paraId="013DDA25" w14:textId="77777777" w:rsidR="00B50935" w:rsidRPr="007B62AA" w:rsidRDefault="00B50935" w:rsidP="00B50935">
      <w:pPr>
        <w:pStyle w:val="Point2"/>
      </w:pPr>
      <w:r w:rsidRPr="007B62AA">
        <w:t>b)</w:t>
      </w:r>
      <w:r w:rsidRPr="007B62AA">
        <w:tab/>
        <w:t xml:space="preserve">na žiadosť Európskeho parlamentu alebo členského štátu; </w:t>
      </w:r>
    </w:p>
    <w:p w14:paraId="3CE67D6E" w14:textId="7CFCB815" w:rsidR="00B50935" w:rsidRPr="007B62AA" w:rsidRDefault="00B50935" w:rsidP="00B50935">
      <w:pPr>
        <w:pStyle w:val="Point2"/>
      </w:pPr>
      <w:r w:rsidRPr="007B62AA">
        <w:t>c)</w:t>
      </w:r>
      <w:r w:rsidRPr="007B62AA">
        <w:tab/>
        <w:t>na žiadosť Komisie a</w:t>
      </w:r>
    </w:p>
    <w:p w14:paraId="7166C372" w14:textId="062EF4B2" w:rsidR="00B50935" w:rsidRPr="007B62AA" w:rsidRDefault="00B50935" w:rsidP="00B50935">
      <w:pPr>
        <w:pStyle w:val="Point2"/>
      </w:pPr>
      <w:r w:rsidRPr="007B62AA">
        <w:t>d)</w:t>
      </w:r>
      <w:r w:rsidRPr="007B62AA">
        <w:tab/>
        <w:t>z vlastnej iniciatívy.</w:t>
      </w:r>
    </w:p>
    <w:p w14:paraId="0E64D398" w14:textId="77777777" w:rsidR="00B50935" w:rsidRPr="007B62AA" w:rsidRDefault="00B50935" w:rsidP="00B50935">
      <w:pPr>
        <w:pStyle w:val="Point1"/>
      </w:pPr>
      <w:r w:rsidRPr="007B62AA">
        <w:t>2.</w:t>
      </w:r>
      <w:r w:rsidRPr="007B62AA">
        <w:tab/>
        <w:t>V žiadostiach o vedecké stanovisko uvedených v odseku 1 sa musí jasne vysvetliť vedecký problém, ktorý sa má riešiť, ako aj záujem Únie a musia k nim byť priložené dostatočné podkladové informácie týkajúce sa uvedeného problému.</w:t>
      </w:r>
    </w:p>
    <w:p w14:paraId="4D162657" w14:textId="77777777" w:rsidR="00B50935" w:rsidRPr="007B62AA" w:rsidRDefault="00B50935" w:rsidP="00B50935">
      <w:pPr>
        <w:pStyle w:val="Point1"/>
      </w:pPr>
      <w:r w:rsidRPr="007B62AA">
        <w:t>3.</w:t>
      </w:r>
      <w:r w:rsidRPr="007B62AA">
        <w:tab/>
        <w:t>Vedecké stanoviská centrum vydáva vo vzájomne dohodnutej časovej lehote.</w:t>
      </w:r>
    </w:p>
    <w:p w14:paraId="65C9B351" w14:textId="77777777" w:rsidR="00B50935" w:rsidRPr="007B62AA" w:rsidRDefault="00B50935" w:rsidP="00B50935">
      <w:pPr>
        <w:pStyle w:val="Point1"/>
      </w:pPr>
      <w:r w:rsidRPr="007B62AA">
        <w:t>4.</w:t>
      </w:r>
      <w:r w:rsidRPr="007B62AA">
        <w:tab/>
        <w:t xml:space="preserve">Ak sa rôzne žiadosti týkajú toho istého problému alebo ak žiadosť nie je v súlade s odsekom 2, centrum môže odmietnuť vydať vedecké stanovisko alebo môže po konzultácii s inštitúciou alebo členským štátom, ktoré žiadosť podali, navrhnúť zmeny uvedenej žiadosti. Ak sa žiadosť zamietne, inštitúcia alebo členský štát, ktoré žiadosť podali, dostanú odôvodnenie zamietnutia. </w:t>
      </w:r>
    </w:p>
    <w:p w14:paraId="05F110DB" w14:textId="77777777" w:rsidR="00B50935" w:rsidRPr="007B62AA" w:rsidRDefault="00B50935" w:rsidP="00B50935">
      <w:pPr>
        <w:pStyle w:val="Point1"/>
      </w:pPr>
      <w:r w:rsidRPr="007B62AA">
        <w:t>5.</w:t>
      </w:r>
      <w:r w:rsidRPr="007B62AA">
        <w:tab/>
        <w:t>Ak už centrum vydalo vedecké stanovisko ku konkrétnemu problému, ktorého sa žiadosť týka, a dospeje k záveru, že neexistujú vedecké dôvody opodstatňujúce opätovné preskúmanie problému, oznámi informácie, o ktoré sa jeho záver opiera, inštitúcii alebo členskému štátu, ktoré žiadosť podali.</w:t>
      </w:r>
    </w:p>
    <w:p w14:paraId="0C2060A7" w14:textId="77777777" w:rsidR="00B50935" w:rsidRPr="007B62AA" w:rsidRDefault="00B50935" w:rsidP="00B50935">
      <w:pPr>
        <w:pStyle w:val="Point1"/>
      </w:pPr>
      <w:r w:rsidRPr="007B62AA">
        <w:t>6.</w:t>
      </w:r>
      <w:r w:rsidRPr="007B62AA">
        <w:tab/>
        <w:t>Požiadavky na formát, vysvetľujúce podkladové informácie a uverejnenie vedeckého stanoviska sa upravia v interných pravidlách centra.“;</w:t>
      </w:r>
    </w:p>
    <w:p w14:paraId="512897E5" w14:textId="77777777" w:rsidR="00B50935" w:rsidRPr="007B62AA" w:rsidRDefault="00B50935" w:rsidP="00025545">
      <w:pPr>
        <w:pStyle w:val="Point0"/>
      </w:pPr>
      <w:r w:rsidRPr="007B62AA">
        <w:t>9.</w:t>
      </w:r>
      <w:r w:rsidRPr="007B62AA">
        <w:tab/>
        <w:t>Článok 8 sa nahrádza takto:</w:t>
      </w:r>
    </w:p>
    <w:p w14:paraId="1D5812FF" w14:textId="77777777" w:rsidR="00B50935" w:rsidRPr="007B62AA" w:rsidRDefault="00B50935" w:rsidP="00B50935">
      <w:pPr>
        <w:pStyle w:val="Titrearticle"/>
      </w:pPr>
      <w:r w:rsidRPr="007B62AA">
        <w:t>„Článok 8</w:t>
      </w:r>
    </w:p>
    <w:p w14:paraId="56DD7C34" w14:textId="77777777" w:rsidR="00B50935" w:rsidRPr="007B62AA" w:rsidRDefault="00B50935" w:rsidP="00B50935">
      <w:pPr>
        <w:jc w:val="center"/>
        <w:rPr>
          <w:b/>
        </w:rPr>
      </w:pPr>
      <w:r w:rsidRPr="007B62AA">
        <w:rPr>
          <w:b/>
        </w:rPr>
        <w:t>Prevádzka systému včasného varovania a reakcie</w:t>
      </w:r>
    </w:p>
    <w:p w14:paraId="09F2C03E" w14:textId="77777777" w:rsidR="00B50935" w:rsidRPr="007B62AA" w:rsidRDefault="00B50935" w:rsidP="00B50935">
      <w:pPr>
        <w:pStyle w:val="Point1"/>
      </w:pPr>
      <w:r w:rsidRPr="007B62AA">
        <w:t>1.</w:t>
      </w:r>
      <w:r w:rsidRPr="007B62AA">
        <w:tab/>
        <w:t>Centrum podporuje Komisiu a pomáha jej tým, že prevádzkuje systém včasného varovania a reakcie a spolu s členskými štátmi zabezpečuje schopnosť koordinovanej reakcie.</w:t>
      </w:r>
    </w:p>
    <w:p w14:paraId="40C5CCD6" w14:textId="77777777" w:rsidR="00B50935" w:rsidRPr="007B62AA" w:rsidRDefault="00B50935" w:rsidP="00B50935">
      <w:pPr>
        <w:pStyle w:val="Point1"/>
      </w:pPr>
      <w:r w:rsidRPr="007B62AA">
        <w:t>2.</w:t>
      </w:r>
      <w:r w:rsidRPr="007B62AA">
        <w:tab/>
        <w:t>Centrum:</w:t>
      </w:r>
    </w:p>
    <w:p w14:paraId="7F4FFE10" w14:textId="77777777" w:rsidR="00B50935" w:rsidRPr="007B62AA" w:rsidRDefault="00B50935" w:rsidP="00B50935">
      <w:pPr>
        <w:pStyle w:val="Point2"/>
      </w:pPr>
      <w:r w:rsidRPr="007B62AA">
        <w:t>a)</w:t>
      </w:r>
      <w:r w:rsidRPr="007B62AA">
        <w:tab/>
        <w:t>analyzuje obsah správ, ktoré prijíma prostredníctvom systému včasného varovania a reakcie;</w:t>
      </w:r>
    </w:p>
    <w:p w14:paraId="3AD2A13A" w14:textId="77777777" w:rsidR="00B50935" w:rsidRPr="007B62AA" w:rsidRDefault="00B50935" w:rsidP="00B50935">
      <w:pPr>
        <w:pStyle w:val="Point2"/>
      </w:pPr>
      <w:r w:rsidRPr="007B62AA">
        <w:t>b)</w:t>
      </w:r>
      <w:r w:rsidRPr="007B62AA">
        <w:tab/>
        <w:t>poskytuje členským štátom a Komisii informácie, odborné znalosti, poradenstvo a hodnotenie rizika a</w:t>
      </w:r>
    </w:p>
    <w:p w14:paraId="3D7FF9D3" w14:textId="77777777" w:rsidR="00B50935" w:rsidRPr="007B62AA" w:rsidRDefault="00B50935" w:rsidP="00B50935">
      <w:pPr>
        <w:pStyle w:val="Point2"/>
      </w:pPr>
      <w:r w:rsidRPr="007B62AA">
        <w:t>c)</w:t>
      </w:r>
      <w:r w:rsidRPr="007B62AA">
        <w:tab/>
        <w:t>zabezpečuje, aby bol systém včasného varovania a reakcie efektívne a účinne prepojený s inými výstražnými systémami Únie.</w:t>
      </w:r>
    </w:p>
    <w:p w14:paraId="719FDFA0" w14:textId="45AF0BD5" w:rsidR="00B50935" w:rsidRPr="007B62AA" w:rsidRDefault="00B50935" w:rsidP="00B50935">
      <w:pPr>
        <w:pStyle w:val="Point1"/>
      </w:pPr>
      <w:r w:rsidRPr="007B62AA">
        <w:t>3.</w:t>
      </w:r>
      <w:r w:rsidRPr="007B62AA">
        <w:tab/>
        <w:t>Centrum spolupracuje s Komisiou a Výborom pre zdravotnú bezpečnosť na aktualizáciách systému včasného varovania a reakcie vrátane aktualizácií zameraných na využívanie moderných technológií, ako sú digitálne mobilné aplikácie, modely umelej inteligencie alebo iné technológie na automatizované vyhľadávanie kontaktov, pričom vychádza z technológií vyhľadávania kontaktov vyvinutých členskými štátmi, a na vymedzovaní funkčných požiadaviek systému včasného varovania a reakcie.</w:t>
      </w:r>
    </w:p>
    <w:p w14:paraId="1D53045F" w14:textId="526DF5E7" w:rsidR="00B50935" w:rsidRPr="007B62AA" w:rsidRDefault="00B50935" w:rsidP="00B50935">
      <w:pPr>
        <w:pStyle w:val="Point1"/>
      </w:pPr>
      <w:r w:rsidRPr="007B62AA">
        <w:t>4.</w:t>
      </w:r>
      <w:r w:rsidRPr="007B62AA">
        <w:tab/>
        <w:t>Centrum spolupracuje s Komisiou, Výborom pre zdravotnú bezpečnosť a sieťou elektronického zdravotníctva s cieľom podrobnejšie vymedziť funkčné požiadavky na aplikácie na vyhľadávanie kontaktov a ich interoperabilitu, pričom zohľadňuje existujúce infraštruktúry a služby, ako sú geolokalizačné služby poskytované Vesmírnym programom Únie.</w:t>
      </w:r>
    </w:p>
    <w:p w14:paraId="14DB851C" w14:textId="61FCA42A" w:rsidR="00B50935" w:rsidRPr="007B62AA" w:rsidRDefault="00B50935" w:rsidP="00B50935">
      <w:pPr>
        <w:pStyle w:val="Point1"/>
      </w:pPr>
      <w:r w:rsidRPr="007B62AA">
        <w:t>5.</w:t>
      </w:r>
      <w:r w:rsidRPr="007B62AA">
        <w:tab/>
        <w:t xml:space="preserve">V súlade s povinnosťami stanovenými v článku 33, článku 34 ods. 2 a článku 36 nariadenia Európskeho parlamentu a Rady (EÚ) 2018/1725* centrum ako sprostredkovateľ nesie zodpovednosť za zaistenie bezpečnosti a dôvernosti operácií spracúvania osobných údajov vykonávaných v rámci systému včasného varovania a reakcie a v kontexte interoperability aplikácií na vyhľadávanie kontaktov. </w:t>
      </w:r>
    </w:p>
    <w:p w14:paraId="448E396C" w14:textId="77777777" w:rsidR="00B50935" w:rsidRPr="007B62AA" w:rsidRDefault="00B50935" w:rsidP="00B50935">
      <w:pPr>
        <w:pStyle w:val="Text1"/>
      </w:pPr>
      <w:r w:rsidRPr="007B62AA">
        <w:t>________________</w:t>
      </w:r>
    </w:p>
    <w:p w14:paraId="1F3DAB32" w14:textId="77777777" w:rsidR="00B50935" w:rsidRPr="007B62AA" w:rsidRDefault="00B50935" w:rsidP="00B50935">
      <w:pPr>
        <w:pStyle w:val="Point1"/>
      </w:pPr>
      <w:r w:rsidRPr="007B62AA">
        <w:t>*</w:t>
      </w:r>
      <w:r w:rsidRPr="007B62AA">
        <w:tab/>
        <w:t>Nariadenie Európskeho parlamentu a Rady (EÚ) 2018/1725 z 23. októbra 2018 o ochrane fyzických osôb pri spracúvaní osobných údajov inštitúciami, orgánmi, úradmi a agentúrami Únie a o voľnom pohybe takýchto údajov, ktorým sa zrušuje nariadenie (ES) č. 45/2001 a rozhodnutie č. 1247/2002/ES (Ú. v. EÚ L 295, 21.11.2018, s. 39).“;</w:t>
      </w:r>
    </w:p>
    <w:p w14:paraId="1BDD512B" w14:textId="77777777" w:rsidR="00B50935" w:rsidRPr="007B62AA" w:rsidRDefault="00B50935" w:rsidP="00B50935">
      <w:pPr>
        <w:pStyle w:val="Point0"/>
      </w:pPr>
      <w:r w:rsidRPr="007B62AA">
        <w:t>10.</w:t>
      </w:r>
      <w:r w:rsidRPr="007B62AA">
        <w:tab/>
        <w:t>Vkladá sa tento článok 8a:</w:t>
      </w:r>
    </w:p>
    <w:p w14:paraId="147F9459" w14:textId="77777777" w:rsidR="00B50935" w:rsidRPr="007B62AA" w:rsidRDefault="00B50935" w:rsidP="00B50935">
      <w:pPr>
        <w:pStyle w:val="Titrearticle"/>
      </w:pPr>
      <w:r w:rsidRPr="007B62AA">
        <w:t>„Článok 8a</w:t>
      </w:r>
    </w:p>
    <w:p w14:paraId="7D6AD6DF" w14:textId="77777777" w:rsidR="00B50935" w:rsidRPr="007B62AA" w:rsidRDefault="00B50935" w:rsidP="00B50935">
      <w:pPr>
        <w:jc w:val="center"/>
        <w:rPr>
          <w:b/>
        </w:rPr>
      </w:pPr>
      <w:r w:rsidRPr="007B62AA">
        <w:rPr>
          <w:b/>
        </w:rPr>
        <w:t>Hodnotenie rizika</w:t>
      </w:r>
    </w:p>
    <w:p w14:paraId="06C2203A" w14:textId="015EF20B" w:rsidR="00B50935" w:rsidRPr="007B62AA" w:rsidRDefault="00B50935" w:rsidP="00B50935">
      <w:pPr>
        <w:pStyle w:val="Point1"/>
      </w:pPr>
      <w:r w:rsidRPr="007B62AA">
        <w:t>1.</w:t>
      </w:r>
      <w:r w:rsidRPr="007B62AA">
        <w:tab/>
        <w:t xml:space="preserve">V prípade ohrozenia uvedeného v článku 2 ods. 1 písm. a) bodoch i) a ii) </w:t>
      </w:r>
      <w:r w:rsidRPr="007B62AA">
        <w:rPr>
          <w:color w:val="FF0000"/>
        </w:rPr>
        <w:t>nariadenia (EÚ) .../... [</w:t>
      </w:r>
      <w:r w:rsidRPr="007B62AA">
        <w:rPr>
          <w:i/>
          <w:iCs/>
          <w:color w:val="FF0000"/>
        </w:rPr>
        <w:t>Ú. v. EÚ:</w:t>
      </w:r>
      <w:r w:rsidRPr="007B62AA">
        <w:rPr>
          <w:i/>
          <w:color w:val="FF0000"/>
        </w:rPr>
        <w:t xml:space="preserve"> vložte číslo nariadenia SCBTH</w:t>
      </w:r>
      <w:r w:rsidRPr="007B62AA">
        <w:rPr>
          <w:color w:val="FF0000"/>
        </w:rPr>
        <w:t xml:space="preserve"> [ISC/2020/12524]]</w:t>
      </w:r>
      <w:r w:rsidRPr="007B62AA">
        <w:t xml:space="preserve"> vrátane ohrozenia látok ľudského pôvodu, ako sú krv, orgány, tkanivá a bunky, ktoré môžu byť postihnuté prenosnými chorobami, alebo v článku 2 ods. 1 písm. d) uvedeného nariadenia centrum v súlade s článkom 20 uvedeného nariadenia včas poskytuje rýchle hodnotenia rizík.</w:t>
      </w:r>
    </w:p>
    <w:p w14:paraId="605B043F" w14:textId="77777777" w:rsidR="00B50935" w:rsidRPr="007B62AA" w:rsidRDefault="00B50935" w:rsidP="00B50935">
      <w:pPr>
        <w:pStyle w:val="Point1"/>
      </w:pPr>
      <w:r w:rsidRPr="007B62AA">
        <w:t>2.</w:t>
      </w:r>
      <w:r w:rsidRPr="007B62AA">
        <w:tab/>
        <w:t xml:space="preserve">Ako základ pre koordináciu vo Výbore pre zdravotnú bezpečnosť hodnotenie rizika zahŕňa všeobecné a cielené odporúčania na reakciu. </w:t>
      </w:r>
    </w:p>
    <w:p w14:paraId="1EBEC10D" w14:textId="77777777" w:rsidR="00B50935" w:rsidRPr="007B62AA" w:rsidRDefault="00B50935" w:rsidP="00B50935">
      <w:pPr>
        <w:pStyle w:val="Point1"/>
      </w:pPr>
      <w:r w:rsidRPr="007B62AA">
        <w:t>3.</w:t>
      </w:r>
      <w:r w:rsidRPr="007B62AA">
        <w:tab/>
        <w:t>Na účely odseku 1 centrum koordinuje prípravu rýchlych hodnotení rizík tak, že v prípade potreby zapojí expertov z členských štátov a príslušných agentúr.</w:t>
      </w:r>
    </w:p>
    <w:p w14:paraId="1700D33C" w14:textId="39DDC9EA" w:rsidR="00B50935" w:rsidRPr="007B62AA" w:rsidRDefault="00B50935" w:rsidP="00B50935">
      <w:pPr>
        <w:pStyle w:val="Point1"/>
      </w:pPr>
      <w:r w:rsidRPr="007B62AA">
        <w:t>4.</w:t>
      </w:r>
      <w:r w:rsidRPr="007B62AA">
        <w:tab/>
        <w:t>Ak hodnotenie rizika nespadá do jeho mandátu, centrum poskytne agentúre alebo orgánu, ktoré vykonávajú hodnotenie rizika v rámci svojho mandátu, na ich žiadosť bez zbytočného odkladu všetky relevantné informácie a údaje, ktoré má k dispozícii.“;</w:t>
      </w:r>
    </w:p>
    <w:p w14:paraId="15B47187" w14:textId="77777777" w:rsidR="00B50935" w:rsidRPr="007B62AA" w:rsidRDefault="00B50935" w:rsidP="00B50935">
      <w:pPr>
        <w:pStyle w:val="Point0"/>
      </w:pPr>
      <w:r w:rsidRPr="007B62AA">
        <w:t>11.</w:t>
      </w:r>
      <w:r w:rsidRPr="007B62AA">
        <w:tab/>
        <w:t>Vkladá sa tento článok 8b:</w:t>
      </w:r>
    </w:p>
    <w:p w14:paraId="4673FB85" w14:textId="77777777" w:rsidR="00B50935" w:rsidRPr="007B62AA" w:rsidRDefault="00B50935" w:rsidP="00B50935">
      <w:pPr>
        <w:pStyle w:val="Titrearticle"/>
      </w:pPr>
      <w:r w:rsidRPr="007B62AA">
        <w:t>„Článok 8b</w:t>
      </w:r>
    </w:p>
    <w:p w14:paraId="6A84EEFC" w14:textId="77777777" w:rsidR="00B50935" w:rsidRPr="007B62AA" w:rsidRDefault="00B50935" w:rsidP="00B50935">
      <w:pPr>
        <w:jc w:val="center"/>
        <w:rPr>
          <w:b/>
        </w:rPr>
      </w:pPr>
      <w:r w:rsidRPr="007B62AA">
        <w:rPr>
          <w:b/>
        </w:rPr>
        <w:t>Koordinácia reakcie</w:t>
      </w:r>
    </w:p>
    <w:p w14:paraId="08D1394E" w14:textId="2732F6A1" w:rsidR="00B50935" w:rsidRPr="007B62AA" w:rsidRDefault="00B50935" w:rsidP="00B50935">
      <w:pPr>
        <w:pStyle w:val="Point1"/>
      </w:pPr>
      <w:r w:rsidRPr="007B62AA">
        <w:t>1.</w:t>
      </w:r>
      <w:r w:rsidRPr="007B62AA">
        <w:tab/>
        <w:t xml:space="preserve">Centrum poskytuje podporu pre koordináciu reakcie vo Výbore pre zdravotnú bezpečnosť uvedenú v článku 21 </w:t>
      </w:r>
      <w:r w:rsidRPr="007B62AA">
        <w:rPr>
          <w:color w:val="FF0000"/>
        </w:rPr>
        <w:t>nariadenia (EÚ) .../... [</w:t>
      </w:r>
      <w:r w:rsidRPr="007B62AA">
        <w:rPr>
          <w:i/>
          <w:iCs/>
          <w:color w:val="FF0000"/>
        </w:rPr>
        <w:t>Ú. v. EÚ:</w:t>
      </w:r>
      <w:r w:rsidRPr="007B62AA">
        <w:rPr>
          <w:i/>
          <w:color w:val="FF0000"/>
        </w:rPr>
        <w:t xml:space="preserve"> vložte číslo nariadenia SCBTH </w:t>
      </w:r>
      <w:r w:rsidRPr="007B62AA">
        <w:rPr>
          <w:color w:val="FF0000"/>
        </w:rPr>
        <w:t>[ISC/2020/12524]]</w:t>
      </w:r>
      <w:r w:rsidRPr="007B62AA">
        <w:t xml:space="preserve">, a to najmä tak, že dáva odporúčania na reakčné opatrenia v prípade: </w:t>
      </w:r>
    </w:p>
    <w:p w14:paraId="5D900D32" w14:textId="77777777" w:rsidR="00B50935" w:rsidRPr="007B62AA" w:rsidRDefault="00B50935" w:rsidP="00B50935">
      <w:pPr>
        <w:pStyle w:val="Point2"/>
      </w:pPr>
      <w:r w:rsidRPr="007B62AA">
        <w:t>a)</w:t>
      </w:r>
      <w:r w:rsidRPr="007B62AA">
        <w:tab/>
        <w:t>vnútroštátnych reakcií na závažné cezhraničné ohrozenie zdravia;</w:t>
      </w:r>
    </w:p>
    <w:p w14:paraId="7A572947" w14:textId="77777777" w:rsidR="00B50935" w:rsidRPr="007B62AA" w:rsidRDefault="00B50935" w:rsidP="00B50935">
      <w:pPr>
        <w:pStyle w:val="Point2"/>
      </w:pPr>
      <w:r w:rsidRPr="007B62AA">
        <w:t>b)</w:t>
      </w:r>
      <w:r w:rsidRPr="007B62AA">
        <w:tab/>
        <w:t>prijímania usmernení pre členské štáty v oblasti prevencie a kontroly závažného cezhraničného ohrozenia zdravia.</w:t>
      </w:r>
    </w:p>
    <w:p w14:paraId="7CD77B21" w14:textId="0C97E9C8" w:rsidR="00B50935" w:rsidRPr="007B62AA" w:rsidRDefault="00B50935" w:rsidP="00B50935">
      <w:pPr>
        <w:pStyle w:val="Point1"/>
      </w:pPr>
      <w:r w:rsidRPr="007B62AA">
        <w:t>2.</w:t>
      </w:r>
      <w:r w:rsidRPr="007B62AA">
        <w:tab/>
        <w:t xml:space="preserve">Podporu pre koordinovanú reakciu Únie centrum poskytuje na žiadosť členského štátu, Rady, Komisie, orgánov alebo agentúr Únie.“; </w:t>
      </w:r>
    </w:p>
    <w:p w14:paraId="719BA862" w14:textId="77777777" w:rsidR="00B50935" w:rsidRPr="007B62AA" w:rsidRDefault="00B50935" w:rsidP="00B50935">
      <w:pPr>
        <w:pStyle w:val="Point0"/>
      </w:pPr>
      <w:r w:rsidRPr="007B62AA">
        <w:t>12.</w:t>
      </w:r>
      <w:r w:rsidRPr="007B62AA">
        <w:tab/>
        <w:t>Článok 9 sa mení takto:</w:t>
      </w:r>
    </w:p>
    <w:p w14:paraId="7B979A21" w14:textId="77777777" w:rsidR="00B50935" w:rsidRPr="007B62AA" w:rsidRDefault="00B50935" w:rsidP="00B50935">
      <w:pPr>
        <w:pStyle w:val="Point1"/>
      </w:pPr>
      <w:r w:rsidRPr="007B62AA">
        <w:t>a)</w:t>
      </w:r>
      <w:r w:rsidRPr="007B62AA">
        <w:tab/>
        <w:t>odseky 1, 2 a 3 sa nahrádzajú takto:</w:t>
      </w:r>
    </w:p>
    <w:p w14:paraId="0200DECD" w14:textId="30D2921C" w:rsidR="00B50935" w:rsidRPr="007B62AA" w:rsidRDefault="00B50935" w:rsidP="00B50935">
      <w:pPr>
        <w:pStyle w:val="Point2"/>
      </w:pPr>
      <w:r w:rsidRPr="007B62AA">
        <w:t>„1.</w:t>
      </w:r>
      <w:r w:rsidRPr="007B62AA">
        <w:tab/>
        <w:t>Centrum v rozsahu svojho poslania poskytuje členským štátom, Komisii a ostatným orgánom alebo agentúram Únie vedecké a technické odborné znalosti pri vypracúvaní, pravidelnom preskúmavaní a aktualizácii plánov pripravenosti a takisto pri vypracúvaní stratégií intervencie.</w:t>
      </w:r>
    </w:p>
    <w:p w14:paraId="767006DB" w14:textId="77777777" w:rsidR="00B50935" w:rsidRPr="007B62AA" w:rsidRDefault="00B50935" w:rsidP="00B50935">
      <w:pPr>
        <w:pStyle w:val="Point2"/>
      </w:pPr>
      <w:r w:rsidRPr="007B62AA">
        <w:t>2.</w:t>
      </w:r>
      <w:r w:rsidRPr="007B62AA">
        <w:tab/>
        <w:t>Komisia, členské štáty, tretie krajiny, najmä partnerské krajiny EÚ, a medzinárodné organizácie (najmä WHO) môžu požiadať centrum o poskytnutie vedeckej alebo technickej pomoci v akejkoľvek oblasti v rozsahu jeho poslania. Jej súčasťou môže byť pomoc Komisii a členským štátom pri vypracúvaní technických usmernení k osvedčeným postupom a ochranným opatreniam, ktoré sa majú prijať v reakcii na ohrozenia ľudského zdravia, poskytovanie odbornej pomoci, mobilizácia a koordinácia vyšetrovacích tímov. Vedecké a technické odborné znalosti a pomoc centrum poskytuje v rámci svojej finančnej kapacity a mandátu a v súlade s príslušnými dohodami o pracovných podmienkach uzavretými s Komisiou.</w:t>
      </w:r>
    </w:p>
    <w:p w14:paraId="42C3FC18" w14:textId="77777777" w:rsidR="00B50935" w:rsidRPr="007B62AA" w:rsidRDefault="00B50935" w:rsidP="00B50935">
      <w:pPr>
        <w:pStyle w:val="Point2"/>
      </w:pPr>
      <w:r w:rsidRPr="007B62AA">
        <w:t>3.</w:t>
      </w:r>
      <w:r w:rsidRPr="007B62AA">
        <w:tab/>
        <w:t>V žiadosti o vedeckú alebo technickú pomoc centra sa musí uviesť lehota, ktorá je výsledkom vzájomnej dohody s centrom.“;</w:t>
      </w:r>
    </w:p>
    <w:p w14:paraId="73AAEAEC" w14:textId="77777777" w:rsidR="00B50935" w:rsidRPr="007B62AA" w:rsidRDefault="00B50935" w:rsidP="00B50935">
      <w:pPr>
        <w:pStyle w:val="Point1"/>
      </w:pPr>
      <w:r w:rsidRPr="007B62AA">
        <w:t>b)</w:t>
      </w:r>
      <w:r w:rsidRPr="007B62AA">
        <w:tab/>
        <w:t xml:space="preserve">odsek 5 sa vypúšťa; </w:t>
      </w:r>
    </w:p>
    <w:p w14:paraId="7F036780" w14:textId="77777777" w:rsidR="00B50935" w:rsidRPr="007B62AA" w:rsidRDefault="00B50935" w:rsidP="00B50935">
      <w:pPr>
        <w:pStyle w:val="Point1"/>
      </w:pPr>
      <w:r w:rsidRPr="007B62AA">
        <w:t>c)</w:t>
      </w:r>
      <w:r w:rsidRPr="007B62AA">
        <w:tab/>
        <w:t>odsek 6 sa nahrádza takto:</w:t>
      </w:r>
    </w:p>
    <w:p w14:paraId="40A69ECC" w14:textId="77777777" w:rsidR="00B50935" w:rsidRPr="007B62AA" w:rsidRDefault="00B50935" w:rsidP="00B50935">
      <w:pPr>
        <w:pStyle w:val="Point2"/>
      </w:pPr>
      <w:r w:rsidRPr="007B62AA">
        <w:t>„6.</w:t>
      </w:r>
      <w:r w:rsidRPr="007B62AA">
        <w:tab/>
        <w:t>Centrum podľa potreby podporuje a koordinuje programy odbornej prípravy, najmä v oblasti epidemiologického dohľadu, vyšetrovania v teréne, pripravenosti a prevencie, ako aj výskumu v oblasti verejného zdravia.“;</w:t>
      </w:r>
    </w:p>
    <w:p w14:paraId="5326D758" w14:textId="77777777" w:rsidR="00B50935" w:rsidRPr="007B62AA" w:rsidRDefault="00B50935" w:rsidP="00B50935">
      <w:pPr>
        <w:pStyle w:val="Point0"/>
      </w:pPr>
      <w:r w:rsidRPr="007B62AA">
        <w:t>13.</w:t>
      </w:r>
      <w:r w:rsidRPr="007B62AA">
        <w:tab/>
        <w:t>Článok 11 sa mení takto:</w:t>
      </w:r>
    </w:p>
    <w:p w14:paraId="14201FA4" w14:textId="77777777" w:rsidR="00B50935" w:rsidRPr="007B62AA" w:rsidRDefault="00B50935" w:rsidP="00B50935">
      <w:pPr>
        <w:pStyle w:val="Point1"/>
      </w:pPr>
      <w:r w:rsidRPr="007B62AA">
        <w:t>a)</w:t>
      </w:r>
      <w:r w:rsidRPr="007B62AA">
        <w:tab/>
        <w:t>odsek 1 sa nahrádza takto:</w:t>
      </w:r>
    </w:p>
    <w:p w14:paraId="2F6A93CC" w14:textId="77777777" w:rsidR="00B50935" w:rsidRPr="007B62AA" w:rsidRDefault="00B50935" w:rsidP="00B50935">
      <w:pPr>
        <w:pStyle w:val="Point2"/>
      </w:pPr>
      <w:r w:rsidRPr="007B62AA">
        <w:t>„1.</w:t>
      </w:r>
      <w:r w:rsidRPr="007B62AA">
        <w:tab/>
        <w:t xml:space="preserve">Centrum koordinuje zber údajov, overovanie, analýzu a šírenie údajov na úrovni Únie.“; </w:t>
      </w:r>
    </w:p>
    <w:p w14:paraId="26B4BBF3" w14:textId="77777777" w:rsidR="00B50935" w:rsidRPr="007B62AA" w:rsidRDefault="00B50935" w:rsidP="00B50935">
      <w:pPr>
        <w:pStyle w:val="Point1"/>
      </w:pPr>
      <w:r w:rsidRPr="007B62AA">
        <w:t>b)</w:t>
      </w:r>
      <w:r w:rsidRPr="007B62AA">
        <w:tab/>
        <w:t>vkladá sa tento odsek 1a:</w:t>
      </w:r>
    </w:p>
    <w:p w14:paraId="7E9B0DA6" w14:textId="77777777" w:rsidR="00B50935" w:rsidRPr="007B62AA" w:rsidRDefault="00B50935" w:rsidP="00B50935">
      <w:pPr>
        <w:pStyle w:val="Point2"/>
      </w:pPr>
      <w:r w:rsidRPr="007B62AA">
        <w:t>„1a.</w:t>
      </w:r>
      <w:r w:rsidRPr="007B62AA">
        <w:tab/>
        <w:t>Centrum zbiera údaje a informácie a zabezpečuje prepojenia s príslušnými výskumnými údajmi a výstupmi, ktoré sa týkajú:</w:t>
      </w:r>
    </w:p>
    <w:p w14:paraId="1D67983C" w14:textId="77777777" w:rsidR="00B50935" w:rsidRPr="007B62AA" w:rsidRDefault="00B50935" w:rsidP="00B50935">
      <w:pPr>
        <w:pStyle w:val="Point3"/>
      </w:pPr>
      <w:r w:rsidRPr="007B62AA">
        <w:t>a)</w:t>
      </w:r>
      <w:r w:rsidRPr="007B62AA">
        <w:tab/>
        <w:t xml:space="preserve">epidemiologického dohľadu nad prenosnými chorobami a súvisiacimi osobitnými zdravotnými problémami uvedenými v článku 2 ods. 1 písm. a) bodoch i) a ii) </w:t>
      </w:r>
      <w:r w:rsidRPr="007B62AA">
        <w:rPr>
          <w:color w:val="FF0000"/>
        </w:rPr>
        <w:t>nariadenia (EÚ) .../... [</w:t>
      </w:r>
      <w:r w:rsidRPr="007B62AA">
        <w:rPr>
          <w:i/>
          <w:color w:val="FF0000"/>
        </w:rPr>
        <w:t>Ú. v. EÚ: vložte číslo nariadenia SCBTH</w:t>
      </w:r>
      <w:r w:rsidRPr="007B62AA">
        <w:rPr>
          <w:color w:val="FF0000"/>
        </w:rPr>
        <w:t xml:space="preserve"> [ISC/2020/12524]]</w:t>
      </w:r>
      <w:r w:rsidRPr="007B62AA">
        <w:t>;</w:t>
      </w:r>
    </w:p>
    <w:p w14:paraId="2A480440" w14:textId="77777777" w:rsidR="00B50935" w:rsidRPr="007B62AA" w:rsidRDefault="00B50935" w:rsidP="00B50935">
      <w:pPr>
        <w:pStyle w:val="Point3"/>
      </w:pPr>
      <w:r w:rsidRPr="007B62AA">
        <w:t>b)</w:t>
      </w:r>
      <w:r w:rsidRPr="007B62AA">
        <w:tab/>
        <w:t>vývoja epidemických situácií, a to vrátane údajov pre modelovanie, predpovedanie a vypracúvanie scenárov;</w:t>
      </w:r>
    </w:p>
    <w:p w14:paraId="27D7C58C" w14:textId="77777777" w:rsidR="00B50935" w:rsidRPr="007B62AA" w:rsidRDefault="00B50935" w:rsidP="00B50935">
      <w:pPr>
        <w:pStyle w:val="Point3"/>
      </w:pPr>
      <w:r w:rsidRPr="007B62AA">
        <w:t>c)</w:t>
      </w:r>
      <w:r w:rsidRPr="007B62AA">
        <w:tab/>
        <w:t>neobvyklých epidemických javov alebo nových prenosných chorôb neznámeho pôvodu, medzi nimi aj chorôb v tretích krajinách;</w:t>
      </w:r>
    </w:p>
    <w:p w14:paraId="1BC24B7A" w14:textId="77777777" w:rsidR="00B50935" w:rsidRPr="007B62AA" w:rsidRDefault="00B50935" w:rsidP="00B50935">
      <w:pPr>
        <w:pStyle w:val="Point3"/>
      </w:pPr>
      <w:r w:rsidRPr="007B62AA">
        <w:t>d)</w:t>
      </w:r>
      <w:r w:rsidRPr="007B62AA">
        <w:tab/>
        <w:t>údajov o molekulárnych patogénoch, ak sú potrebné na zisťovanie alebo vyšetrovanie cezhraničných ohrození zdravia, a</w:t>
      </w:r>
    </w:p>
    <w:p w14:paraId="07D642F8" w14:textId="77777777" w:rsidR="00B50935" w:rsidRPr="007B62AA" w:rsidRDefault="00B50935" w:rsidP="00B50935">
      <w:pPr>
        <w:pStyle w:val="Point3"/>
      </w:pPr>
      <w:r w:rsidRPr="007B62AA">
        <w:t>e)</w:t>
      </w:r>
      <w:r w:rsidRPr="007B62AA">
        <w:tab/>
        <w:t>údajov zo systémov zdravotnej starostlivosti potrebných na riadenie cezhraničných ohrození zdravia.“;</w:t>
      </w:r>
    </w:p>
    <w:p w14:paraId="41D3C7AF" w14:textId="77777777" w:rsidR="00B50935" w:rsidRPr="007B62AA" w:rsidRDefault="00B50935" w:rsidP="00B50935">
      <w:pPr>
        <w:pStyle w:val="Point1"/>
      </w:pPr>
      <w:r w:rsidRPr="007B62AA">
        <w:t>c)</w:t>
      </w:r>
      <w:r w:rsidRPr="007B62AA">
        <w:tab/>
        <w:t xml:space="preserve">odsek 2 sa nahrádza takto: </w:t>
      </w:r>
    </w:p>
    <w:p w14:paraId="74A06920" w14:textId="77777777" w:rsidR="00B50935" w:rsidRPr="007B62AA" w:rsidRDefault="00B50935" w:rsidP="00B50935">
      <w:pPr>
        <w:pStyle w:val="Point2"/>
      </w:pPr>
      <w:r w:rsidRPr="007B62AA">
        <w:t>„2.</w:t>
      </w:r>
      <w:r w:rsidRPr="007B62AA">
        <w:tab/>
        <w:t>Na účely odseku 1 centrum:</w:t>
      </w:r>
    </w:p>
    <w:p w14:paraId="48EDE7B0" w14:textId="22355D6D" w:rsidR="00B50935" w:rsidRPr="007B62AA" w:rsidRDefault="00B50935" w:rsidP="00B50935">
      <w:pPr>
        <w:pStyle w:val="Point3"/>
      </w:pPr>
      <w:r w:rsidRPr="007B62AA">
        <w:t>a)</w:t>
      </w:r>
      <w:r w:rsidRPr="007B62AA">
        <w:tab/>
        <w:t>spolu s príslušnými subjektmi členských štátov a Komisiou vypracúva vhodné postupy na uľahčenie konzultácií, prenosu údajov a prístupu k nim;</w:t>
      </w:r>
    </w:p>
    <w:p w14:paraId="69DE168A" w14:textId="77777777" w:rsidR="00B50935" w:rsidRPr="007B62AA" w:rsidRDefault="00B50935" w:rsidP="00B50935">
      <w:pPr>
        <w:pStyle w:val="Point3"/>
      </w:pPr>
      <w:r w:rsidRPr="007B62AA">
        <w:t>b)</w:t>
      </w:r>
      <w:r w:rsidRPr="007B62AA">
        <w:tab/>
        <w:t>vykonáva technické a vedecké hodnotenie preventívnych a kontrolných opatrení na úrovni Únie;</w:t>
      </w:r>
    </w:p>
    <w:p w14:paraId="0813908A" w14:textId="77777777" w:rsidR="00B50935" w:rsidRPr="007B62AA" w:rsidRDefault="00B50935" w:rsidP="00B50935">
      <w:pPr>
        <w:pStyle w:val="Point3"/>
      </w:pPr>
      <w:r w:rsidRPr="007B62AA">
        <w:t>c)</w:t>
      </w:r>
      <w:r w:rsidRPr="007B62AA">
        <w:tab/>
        <w:t>pracuje v úzkej spolupráci s príslušnými subjektmi organizácií pôsobiacich v oblasti zberu údajov z Únie, tretích krajín, WHO a iných medzinárodných organizácií a</w:t>
      </w:r>
    </w:p>
    <w:p w14:paraId="719CC0E4" w14:textId="193C126B" w:rsidR="00B50935" w:rsidRPr="007B62AA" w:rsidRDefault="00B50935" w:rsidP="00B50935">
      <w:pPr>
        <w:pStyle w:val="Point3"/>
      </w:pPr>
      <w:r w:rsidRPr="007B62AA">
        <w:t>d)</w:t>
      </w:r>
      <w:r w:rsidRPr="007B62AA">
        <w:tab/>
        <w:t>v súlade s pravidlami ochrany údajov vyvíja riešenia na prístup k relevantným zdravotným údajom sprístupňovaným alebo vymieňaným prostredníctvom digitálnych infraštruktúr, čím sa umožňuje, aby sa zdravotné údaje použili na účely zdravotnej starostlivosti, výskumu, tvorby politík a regulácie, a na podporu výskumu v oblasti verejného zdravia poskytuje a uľahčuje kontrolovaný prístup k zdravotným údajom.“;</w:t>
      </w:r>
    </w:p>
    <w:p w14:paraId="25A0E4F7" w14:textId="77777777" w:rsidR="00B50935" w:rsidRPr="007B62AA" w:rsidRDefault="00B50935" w:rsidP="00B50935">
      <w:pPr>
        <w:pStyle w:val="Point1"/>
      </w:pPr>
      <w:r w:rsidRPr="007B62AA">
        <w:t>d)</w:t>
      </w:r>
      <w:r w:rsidRPr="007B62AA">
        <w:tab/>
        <w:t>dopĺňajú sa tieto odseky 4 a 5:</w:t>
      </w:r>
    </w:p>
    <w:p w14:paraId="287C8E35" w14:textId="77777777" w:rsidR="00B50935" w:rsidRPr="007B62AA" w:rsidRDefault="00B50935" w:rsidP="00B50935">
      <w:pPr>
        <w:pStyle w:val="Point2"/>
      </w:pPr>
      <w:r w:rsidRPr="007B62AA">
        <w:t>„4.</w:t>
      </w:r>
      <w:r w:rsidRPr="007B62AA">
        <w:tab/>
        <w:t>V naliehavých situáciách súvisiacich so závažnosťou alebo novosťou závažného cezhraničného ohrozenia zdravia alebo s rýchlosťou jeho šírenia v členských štátoch centrum na žiadosť Európskej agentúry pre lieky objektívnym, spoľahlivým a ľahko dostupným spôsobom a na základe najlepších dostupných informácií sprístupňuje epidemiologické prognózy uvedené v článku 5 ods. 4 písm. g).</w:t>
      </w:r>
    </w:p>
    <w:p w14:paraId="4D683CC1" w14:textId="77777777" w:rsidR="00B50935" w:rsidRPr="007B62AA" w:rsidRDefault="00B50935" w:rsidP="00B50935">
      <w:pPr>
        <w:pStyle w:val="Point2"/>
      </w:pPr>
      <w:r w:rsidRPr="007B62AA">
        <w:t>5.</w:t>
      </w:r>
      <w:r w:rsidRPr="007B62AA">
        <w:tab/>
        <w:t>V naliehavých situáciách súvisiacich so závažnosťou alebo novosťou závažného cezhraničného ohrozenia zdravia alebo s rýchlosťou jeho šírenia v členských štátoch centrum na základe najlepších dostupných informácií poskytuje údaje a príslušné analýzy.“;</w:t>
      </w:r>
    </w:p>
    <w:p w14:paraId="32EF861D" w14:textId="0896A6C1" w:rsidR="00B50935" w:rsidRPr="007B62AA" w:rsidRDefault="00B50935" w:rsidP="00B50935">
      <w:pPr>
        <w:pStyle w:val="Point0"/>
      </w:pPr>
      <w:r w:rsidRPr="007B62AA">
        <w:t>14.</w:t>
      </w:r>
      <w:r w:rsidRPr="007B62AA">
        <w:tab/>
        <w:t>Vkladá sa tento článok 11a:</w:t>
      </w:r>
    </w:p>
    <w:p w14:paraId="29F8E3BF" w14:textId="77777777" w:rsidR="00B50935" w:rsidRPr="007B62AA" w:rsidRDefault="00B50935" w:rsidP="00B50935">
      <w:pPr>
        <w:pStyle w:val="Titrearticle"/>
      </w:pPr>
      <w:r w:rsidRPr="007B62AA">
        <w:t>„Článok 11a</w:t>
      </w:r>
    </w:p>
    <w:p w14:paraId="4C45EEBA" w14:textId="77777777" w:rsidR="00B50935" w:rsidRPr="007B62AA" w:rsidRDefault="00B50935" w:rsidP="00B50935">
      <w:pPr>
        <w:jc w:val="center"/>
        <w:rPr>
          <w:b/>
        </w:rPr>
      </w:pPr>
      <w:r w:rsidRPr="007B62AA">
        <w:rPr>
          <w:b/>
        </w:rPr>
        <w:t>Podpora medzinárodnej reakcie a reakcie v teréne</w:t>
      </w:r>
    </w:p>
    <w:p w14:paraId="31E43554" w14:textId="309B48F8" w:rsidR="00B50935" w:rsidRPr="007B62AA" w:rsidRDefault="00B50935" w:rsidP="00B50935">
      <w:pPr>
        <w:pStyle w:val="Point1"/>
      </w:pPr>
      <w:r w:rsidRPr="007B62AA">
        <w:t>1.</w:t>
      </w:r>
      <w:r w:rsidRPr="007B62AA">
        <w:tab/>
        <w:t xml:space="preserve">Na pomoc miestnej reakcii na výskyt prenosných chorôb v členských štátoch </w:t>
      </w:r>
      <w:r w:rsidRPr="007B62AA">
        <w:rPr>
          <w:color w:val="FF0000"/>
        </w:rPr>
        <w:t>a v tretích krajinách</w:t>
      </w:r>
      <w:r w:rsidRPr="007B62AA">
        <w:t xml:space="preserve"> centrum vytvorí kapacity na mobilizáciu a nasadenie osobitnej skupiny EÚ pre zdravie vrátane zamestnancov centra a expertov z členských štátov a štipendijných programov. </w:t>
      </w:r>
    </w:p>
    <w:p w14:paraId="1ADEB69A" w14:textId="257B0285" w:rsidR="00B50935" w:rsidRPr="007B62AA" w:rsidRDefault="00B50935" w:rsidP="00B50935">
      <w:pPr>
        <w:pStyle w:val="Point1"/>
      </w:pPr>
      <w:r w:rsidRPr="007B62AA">
        <w:t>2.</w:t>
      </w:r>
      <w:r w:rsidRPr="007B62AA">
        <w:tab/>
        <w:t xml:space="preserve">Centrum s Komisiou vytvorí rámec a stanoví postupy na mobilizáciu osobitnej skupiny EÚ pre zdravie. </w:t>
      </w:r>
    </w:p>
    <w:p w14:paraId="6D0FF8AD" w14:textId="22C97BDE" w:rsidR="00B50935" w:rsidRPr="007B62AA" w:rsidRDefault="00B50935" w:rsidP="00B50935">
      <w:pPr>
        <w:pStyle w:val="Point1"/>
      </w:pPr>
      <w:r w:rsidRPr="007B62AA">
        <w:t>3.</w:t>
      </w:r>
      <w:r w:rsidRPr="007B62AA">
        <w:tab/>
        <w:t xml:space="preserve">Centrum zabezpečí, aby osobitná skupina EÚ pre zdravie bola koordinovaná s kapacitami, ktoré integrujú Európsky zdravotnícky zbor a ďalšie relevantné kapacity v rámci mechanizmu Únie v oblasti civilnej ochrany, a aby tieto kapacity dopĺňala. </w:t>
      </w:r>
    </w:p>
    <w:p w14:paraId="18C3F0AC" w14:textId="380CABEE" w:rsidR="00B50935" w:rsidRPr="007B62AA" w:rsidRDefault="00B50935" w:rsidP="00B50935">
      <w:pPr>
        <w:pStyle w:val="Point1"/>
      </w:pPr>
      <w:r w:rsidRPr="007B62AA">
        <w:t>4.</w:t>
      </w:r>
      <w:r w:rsidRPr="007B62AA">
        <w:tab/>
        <w:t xml:space="preserve">So zreteľom na opatrenia podľa rozhodnutia č. 1313/2013/EÚ* vytvorí centrum spolu s Komisiou rámec na mobilizáciu osobitnej skupiny EÚ pre zdravie. </w:t>
      </w:r>
    </w:p>
    <w:p w14:paraId="2FF4B8A6" w14:textId="14F37BB0" w:rsidR="00B50935" w:rsidRPr="007B62AA" w:rsidRDefault="00B50935" w:rsidP="00B50935">
      <w:pPr>
        <w:pStyle w:val="Text2"/>
      </w:pPr>
      <w:r w:rsidRPr="007B62AA">
        <w:t xml:space="preserve">Centrum zabezpečuje príspevky expertov Únie v oblasti reakcie v teréne v medzinárodných reakčných tímoch mobilizovaných v rámci mechanizmu programu WHO pre núdzové situácie v oblasti zdravia a globálnej siete na varovanie pred vypuknutím ochorení a reakciu na ne (Global Outbreak Alert and Response Network, GOARN) a v súlade s príslušnými dohodami o pracovných podmienkach uzavretými s Komisiou. </w:t>
      </w:r>
    </w:p>
    <w:p w14:paraId="5A5C7AB1" w14:textId="77777777" w:rsidR="00B50935" w:rsidRPr="007B62AA" w:rsidRDefault="00B50935" w:rsidP="00B50935">
      <w:pPr>
        <w:pStyle w:val="Point1"/>
      </w:pPr>
      <w:r w:rsidRPr="007B62AA">
        <w:t>5.</w:t>
      </w:r>
      <w:r w:rsidRPr="007B62AA">
        <w:tab/>
        <w:t>Na žiadosť Komisie centrum uľahčuje rozvoj spôsobilostí reakcie v teréne a odborných znalostí potrebných na krízové riadenie medzi zamestnancami centra a expertmi z EÚ a krajín EHP, kandidátskych krajín a potenciálnych kandidátskych krajín EÚ, ako aj krajín európskej susedskej politiky a partnerských krajín EÚ.</w:t>
      </w:r>
    </w:p>
    <w:p w14:paraId="28DBAF98" w14:textId="77777777" w:rsidR="00B50935" w:rsidRPr="007B62AA" w:rsidRDefault="00B50935" w:rsidP="00B50935">
      <w:pPr>
        <w:pStyle w:val="Point1"/>
      </w:pPr>
      <w:r w:rsidRPr="007B62AA">
        <w:t>6.</w:t>
      </w:r>
      <w:r w:rsidRPr="007B62AA">
        <w:tab/>
        <w:t>Centrum udržiava kapacity na vykonávanie misií v členských štátoch na žiadosť Komisie a členských štátov s cieľom poskytovať v rámci svojho mandátu odporúčania týkajúce sa reakcie na ohrozenia zdravia.</w:t>
      </w:r>
    </w:p>
    <w:p w14:paraId="0EEC2526" w14:textId="6FB5F7EC" w:rsidR="00B50935" w:rsidRPr="007B62AA" w:rsidRDefault="00B50935" w:rsidP="00B50935">
      <w:pPr>
        <w:pStyle w:val="Point1"/>
      </w:pPr>
      <w:r w:rsidRPr="007B62AA">
        <w:t>7.</w:t>
      </w:r>
      <w:r w:rsidRPr="007B62AA">
        <w:tab/>
        <w:t>Na žiadosť Komisie a členských štátov sa centrum zapojí do dlhodobých projektov budovania kapacít zameraných na posilnenie kapacít v oblasti pripravenosti podľa MZP v neeurópskych tretích krajinách, najmä v partnerských krajinách.</w:t>
      </w:r>
    </w:p>
    <w:p w14:paraId="1459EEDC" w14:textId="77777777" w:rsidR="00B50935" w:rsidRPr="007B62AA" w:rsidDel="00906570" w:rsidRDefault="00B50935" w:rsidP="00B50935">
      <w:pPr>
        <w:pStyle w:val="Text1"/>
      </w:pPr>
      <w:r w:rsidRPr="007B62AA">
        <w:t>_______________</w:t>
      </w:r>
    </w:p>
    <w:p w14:paraId="592D2F68" w14:textId="77777777" w:rsidR="00B50935" w:rsidRPr="007B62AA" w:rsidRDefault="00B50935" w:rsidP="00B50935">
      <w:pPr>
        <w:pStyle w:val="Point1"/>
      </w:pPr>
      <w:r w:rsidRPr="007B62AA">
        <w:t>*</w:t>
      </w:r>
      <w:r w:rsidRPr="007B62AA">
        <w:tab/>
        <w:t>Rozhodnutie Európskeho parlamentu a Rady č. 1313/2013/EÚ zo 17. decembra 2013 o mechanizme Únie v oblasti civilnej ochrany (Ú. v. EÚ L 347, 20.12.2013, s. 924).“;</w:t>
      </w:r>
    </w:p>
    <w:p w14:paraId="35809F8B" w14:textId="77777777" w:rsidR="00B50935" w:rsidRPr="007B62AA" w:rsidRDefault="00B50935" w:rsidP="00B50935">
      <w:pPr>
        <w:pStyle w:val="Point0"/>
      </w:pPr>
      <w:r w:rsidRPr="007B62AA">
        <w:t>15.</w:t>
      </w:r>
      <w:r w:rsidRPr="007B62AA">
        <w:tab/>
        <w:t>Článok 12 sa mení takto:</w:t>
      </w:r>
    </w:p>
    <w:p w14:paraId="22756D84" w14:textId="77777777" w:rsidR="00B50935" w:rsidRPr="007B62AA" w:rsidRDefault="00B50935" w:rsidP="00B50935">
      <w:pPr>
        <w:pStyle w:val="Point1"/>
      </w:pPr>
      <w:r w:rsidRPr="007B62AA">
        <w:t>a)</w:t>
      </w:r>
      <w:r w:rsidRPr="007B62AA">
        <w:tab/>
        <w:t>odsek 1 sa nahrádza takto:</w:t>
      </w:r>
    </w:p>
    <w:p w14:paraId="0DF72883" w14:textId="77777777" w:rsidR="00B50935" w:rsidRPr="007B62AA" w:rsidRDefault="00B50935" w:rsidP="00B50935">
      <w:pPr>
        <w:pStyle w:val="Point2"/>
      </w:pPr>
      <w:r w:rsidRPr="007B62AA">
        <w:t>„1.</w:t>
      </w:r>
      <w:r w:rsidRPr="007B62AA">
        <w:tab/>
        <w:t xml:space="preserve">Po tom, ako centrum poskytne členským štátom a Komisii predbežné informácie, komunikuje v rozsahu svojho poslania z vlastnej iniciatívy. </w:t>
      </w:r>
    </w:p>
    <w:p w14:paraId="5DD9EEF9" w14:textId="77777777" w:rsidR="00B50935" w:rsidRPr="007B62AA" w:rsidRDefault="00B50935" w:rsidP="00B50935">
      <w:pPr>
        <w:pStyle w:val="Text3"/>
      </w:pPr>
      <w:r w:rsidRPr="007B62AA">
        <w:t>Zabezpečí, aby sa verejnosti alebo akejkoľvek zainteresovanej strane rýchlo poskytli objektívne, spoľahlivé a ľahko dostupné informácie o výsledkoch jeho práce založené na dôkazoch. Centrum sprístupní informácie širokej verejnosti, a to aj prostredníctvom osobitného webového sídla. Uverejní aj svoje stanoviská vypracované v súlade s článkom 6.“;</w:t>
      </w:r>
    </w:p>
    <w:p w14:paraId="0CB1A7F1" w14:textId="77777777" w:rsidR="00B50935" w:rsidRPr="007B62AA" w:rsidRDefault="00B50935" w:rsidP="00B50935">
      <w:pPr>
        <w:pStyle w:val="Point1"/>
      </w:pPr>
      <w:r w:rsidRPr="007B62AA">
        <w:t>b)</w:t>
      </w:r>
      <w:r w:rsidRPr="007B62AA">
        <w:tab/>
        <w:t>odsek 2 sa vypúšťa;</w:t>
      </w:r>
    </w:p>
    <w:p w14:paraId="16848818" w14:textId="77777777" w:rsidR="00B50935" w:rsidRPr="007B62AA" w:rsidRDefault="00B50935" w:rsidP="00B50935">
      <w:pPr>
        <w:pStyle w:val="Point1"/>
      </w:pPr>
      <w:r w:rsidRPr="007B62AA">
        <w:t>c)</w:t>
      </w:r>
      <w:r w:rsidRPr="007B62AA">
        <w:tab/>
        <w:t>odsek 3 sa nahrádza takto:</w:t>
      </w:r>
    </w:p>
    <w:p w14:paraId="7565B564" w14:textId="77777777" w:rsidR="00B50935" w:rsidRPr="007B62AA" w:rsidRDefault="00B50935" w:rsidP="00B50935">
      <w:pPr>
        <w:pStyle w:val="Point2"/>
      </w:pPr>
      <w:r w:rsidRPr="007B62AA">
        <w:t>„3.</w:t>
      </w:r>
      <w:r w:rsidRPr="007B62AA">
        <w:tab/>
        <w:t>Pokiaľ ide o verejné informačné kampane, centrum podľa potreby spolupracuje s príslušnými subjektmi v členských štátoch a ostatnými zainteresovanými stranami.“;</w:t>
      </w:r>
    </w:p>
    <w:p w14:paraId="59ECB1C4" w14:textId="77777777" w:rsidR="00B50935" w:rsidRPr="007B62AA" w:rsidRDefault="00B50935" w:rsidP="00B50935">
      <w:pPr>
        <w:pStyle w:val="Point0"/>
      </w:pPr>
      <w:r w:rsidRPr="007B62AA">
        <w:t>16.</w:t>
      </w:r>
      <w:r w:rsidRPr="007B62AA">
        <w:tab/>
        <w:t xml:space="preserve">Článok 14 sa mení takto: </w:t>
      </w:r>
    </w:p>
    <w:p w14:paraId="686C9088" w14:textId="77777777" w:rsidR="00B50935" w:rsidRPr="007B62AA" w:rsidRDefault="00B50935" w:rsidP="00B50935">
      <w:pPr>
        <w:pStyle w:val="Point1"/>
      </w:pPr>
      <w:r w:rsidRPr="007B62AA">
        <w:t>a)</w:t>
      </w:r>
      <w:r w:rsidRPr="007B62AA">
        <w:tab/>
        <w:t xml:space="preserve">v odseku 2 sa tretí pododsek nahrádza takto: </w:t>
      </w:r>
    </w:p>
    <w:p w14:paraId="27F19390" w14:textId="77777777" w:rsidR="00B50935" w:rsidRPr="007B62AA" w:rsidRDefault="00B50935" w:rsidP="00B50935">
      <w:pPr>
        <w:pStyle w:val="Text2"/>
      </w:pPr>
      <w:r w:rsidRPr="007B62AA">
        <w:t>„Funkčné obdobie členov je tri roky a môže sa predĺžiť.“;</w:t>
      </w:r>
    </w:p>
    <w:p w14:paraId="79B6D333" w14:textId="77777777" w:rsidR="00B50935" w:rsidRPr="007B62AA" w:rsidRDefault="00B50935" w:rsidP="00B50935">
      <w:pPr>
        <w:pStyle w:val="Point1"/>
      </w:pPr>
      <w:r w:rsidRPr="007B62AA">
        <w:t>b)</w:t>
      </w:r>
      <w:r w:rsidRPr="007B62AA">
        <w:tab/>
        <w:t xml:space="preserve">v odseku 5 sa písmená d), e) a f) nahrádzajú takto: </w:t>
      </w:r>
    </w:p>
    <w:p w14:paraId="75D14E33" w14:textId="77777777" w:rsidR="00B50935" w:rsidRPr="007B62AA" w:rsidRDefault="00B50935" w:rsidP="00B50935">
      <w:pPr>
        <w:pStyle w:val="Point2"/>
      </w:pPr>
      <w:r w:rsidRPr="007B62AA">
        <w:t>„d)</w:t>
      </w:r>
      <w:r w:rsidRPr="007B62AA">
        <w:tab/>
        <w:t xml:space="preserve">každý rok pred 31. januárom prijíma program práce centra na nasledujúci rok; </w:t>
      </w:r>
    </w:p>
    <w:p w14:paraId="79B1F256" w14:textId="0003FE5A" w:rsidR="00B50935" w:rsidRPr="007B62AA" w:rsidRDefault="00B50935" w:rsidP="00B50935">
      <w:pPr>
        <w:pStyle w:val="Point2"/>
      </w:pPr>
      <w:r w:rsidRPr="007B62AA">
        <w:t>e)</w:t>
      </w:r>
      <w:r w:rsidRPr="007B62AA">
        <w:tab/>
        <w:t xml:space="preserve">prijíma návrh jednotného programového dokumentu v súlade s článkom 32 delegovaného nariadenia Komisie (EÚ) 2019/715* a súvisiacimi usmerneniami Komisie pre jednotný programový dokument**; </w:t>
      </w:r>
    </w:p>
    <w:p w14:paraId="3AAAB82A" w14:textId="77777777" w:rsidR="00B50935" w:rsidRPr="007B62AA" w:rsidRDefault="00B50935" w:rsidP="00B50935">
      <w:pPr>
        <w:pStyle w:val="Point2"/>
      </w:pPr>
      <w:r w:rsidRPr="007B62AA">
        <w:t>f)</w:t>
      </w:r>
      <w:r w:rsidRPr="007B62AA">
        <w:tab/>
        <w:t xml:space="preserve">zabezpečuje, aby pracovný program na nasledujúci rok a viacročné programy boli v súlade s legislatívnymi a politickými prioritami Únie v oblasti poslania a úloh centra a aby sa riadili odporúčaniami prijatými vo výročnom stanovisku Komisie; </w:t>
      </w:r>
    </w:p>
    <w:p w14:paraId="426804E4" w14:textId="77777777" w:rsidR="00B50935" w:rsidRPr="007B62AA" w:rsidRDefault="00B50935" w:rsidP="00B50935">
      <w:pPr>
        <w:pStyle w:val="Point2"/>
      </w:pPr>
      <w:r w:rsidRPr="007B62AA">
        <w:t>g)</w:t>
      </w:r>
      <w:r w:rsidRPr="007B62AA">
        <w:tab/>
        <w:t xml:space="preserve">každý rok pred 30. marcom prijíma všeobecnú správu o činnosti centra za predchádzajúci rok; </w:t>
      </w:r>
    </w:p>
    <w:p w14:paraId="2B906C4E" w14:textId="77777777" w:rsidR="00B50935" w:rsidRPr="007B62AA" w:rsidRDefault="00B50935" w:rsidP="00B50935">
      <w:pPr>
        <w:pStyle w:val="Point2"/>
        <w:rPr>
          <w:sz w:val="22"/>
        </w:rPr>
      </w:pPr>
      <w:r w:rsidRPr="007B62AA">
        <w:t>h)</w:t>
      </w:r>
      <w:r w:rsidRPr="007B62AA">
        <w:tab/>
        <w:t xml:space="preserve">po uskutočnení konzultácií s Komisiou prijíma rozpočtové pravidlá platné pre centrum; </w:t>
      </w:r>
    </w:p>
    <w:p w14:paraId="5E97BF21" w14:textId="77777777" w:rsidR="00B50935" w:rsidRPr="007B62AA" w:rsidRDefault="00B50935" w:rsidP="00B50935">
      <w:pPr>
        <w:pStyle w:val="Point2"/>
      </w:pPr>
      <w:r w:rsidRPr="007B62AA">
        <w:t>i)</w:t>
      </w:r>
      <w:r w:rsidRPr="007B62AA">
        <w:tab/>
        <w:t>určuje pravidlá upravujúce používanie jazykov v centre, a to aj možnú odlišnosť v ich používaní pri interných činnostiach centra a pri externej komunikácii, pričom zohľadní potrebu zabezpečiť v oboch prípadoch prístup k práci centra a účasť na nej pre všetky zainteresované strany.</w:t>
      </w:r>
    </w:p>
    <w:p w14:paraId="7E8C4A2C" w14:textId="344176FF" w:rsidR="00B50935" w:rsidRPr="007B62AA" w:rsidRDefault="00B50935" w:rsidP="00B50935">
      <w:pPr>
        <w:pStyle w:val="Text3"/>
      </w:pPr>
      <w:r w:rsidRPr="007B62AA">
        <w:t>Pokiaľ to nie je osobitne potrebné na prevádzku centra, a bez predchádzajúceho súhlasu Komisie sa rozpočtové pravidlá platné pre centrum uvedené v prvom pododseku písm. h) sa nesmú odchyľovať od delegovaného nariadenia Komisie (EÚ) 2019/715.</w:t>
      </w:r>
    </w:p>
    <w:p w14:paraId="67067D7B" w14:textId="77777777" w:rsidR="00B50935" w:rsidRPr="007B62AA" w:rsidRDefault="00B50935" w:rsidP="00B50935">
      <w:pPr>
        <w:pStyle w:val="Text3"/>
      </w:pPr>
      <w:r w:rsidRPr="007B62AA">
        <w:t>________________</w:t>
      </w:r>
    </w:p>
    <w:p w14:paraId="7F08CF7E" w14:textId="77777777" w:rsidR="00B50935" w:rsidRPr="007B62AA" w:rsidRDefault="00B50935" w:rsidP="00B50935">
      <w:pPr>
        <w:pStyle w:val="Point3"/>
        <w:rPr>
          <w:sz w:val="22"/>
        </w:rPr>
      </w:pPr>
      <w:r w:rsidRPr="007B62AA">
        <w:t>*</w:t>
      </w:r>
      <w:r w:rsidRPr="007B62AA">
        <w:tab/>
        <w:t>Delegované nariadenie Komisie (EÚ) 2019/715 z 18. decembra 2018 o rámcovom nariadení o rozpočtových pravidlách pre subjekty zriadené podľa ZFEÚ a Zmluvy o Euratome a uvedené v článku 70 nariadenia Európskeho parlamentu a Rady (EÚ, Euratom) 2018/1046 (Ú. v. EÚ L 122, 10.5.2019, s. 1).“;</w:t>
      </w:r>
    </w:p>
    <w:p w14:paraId="100CFFA0" w14:textId="77777777" w:rsidR="00B50935" w:rsidRPr="007B62AA" w:rsidRDefault="00B50935" w:rsidP="00B50935">
      <w:pPr>
        <w:pStyle w:val="Point0"/>
      </w:pPr>
      <w:r w:rsidRPr="007B62AA">
        <w:t>17.</w:t>
      </w:r>
      <w:r w:rsidRPr="007B62AA">
        <w:tab/>
        <w:t>V článku 16 ods. 2 sa písmeno b) nahrádza takto:</w:t>
      </w:r>
    </w:p>
    <w:p w14:paraId="5DB75180" w14:textId="77777777" w:rsidR="00B50935" w:rsidRPr="007B62AA" w:rsidRDefault="00B50935" w:rsidP="00B50935">
      <w:pPr>
        <w:pStyle w:val="Point1"/>
      </w:pPr>
      <w:r w:rsidRPr="007B62AA">
        <w:t>„b)</w:t>
      </w:r>
      <w:r w:rsidRPr="007B62AA">
        <w:tab/>
        <w:t>vypracúvanie návrhov pracovných programov s prihliadnutím na odporúčania prijaté vo výročnom stanovisku Komisie k jednotnému programovému dokumentu;“</w:t>
      </w:r>
    </w:p>
    <w:p w14:paraId="5CBE7410" w14:textId="4E7EE63C" w:rsidR="00B50935" w:rsidRPr="007B62AA" w:rsidRDefault="00B50935" w:rsidP="00B50935">
      <w:pPr>
        <w:pStyle w:val="Point0"/>
      </w:pPr>
      <w:r w:rsidRPr="007B62AA">
        <w:t>18.</w:t>
      </w:r>
      <w:r w:rsidRPr="007B62AA">
        <w:tab/>
        <w:t>Článok 17 sa nahrádza takto:</w:t>
      </w:r>
    </w:p>
    <w:p w14:paraId="11777E7B" w14:textId="57499ECA" w:rsidR="00B50935" w:rsidRPr="007B62AA" w:rsidRDefault="00C74CC6" w:rsidP="00C74CC6">
      <w:pPr>
        <w:pStyle w:val="Point1"/>
      </w:pPr>
      <w:r w:rsidRPr="007B62AA">
        <w:t>„1.</w:t>
      </w:r>
      <w:r w:rsidRPr="007B62AA">
        <w:tab/>
        <w:t xml:space="preserve">Bez toho, aby bol dotknutý článok 3 ods. 2, riaditeľa menuje správna rada na základe zoznamu kandidátov navrhovaných Komisiou po uskutočnení verejnej súťaže v nadväznosti na výzvu na vyjadrenie záujmu uverejnenú v </w:t>
      </w:r>
      <w:r w:rsidRPr="007B62AA">
        <w:rPr>
          <w:i/>
        </w:rPr>
        <w:t>Úradnom vestníku Európskej únie</w:t>
      </w:r>
      <w:r w:rsidRPr="007B62AA">
        <w:t xml:space="preserve"> a inde, a to na obdobie piatich rokov, ktoré môže byť jedenkrát predĺžené o ďalšie obdobie maximálne piatich rokov.“; </w:t>
      </w:r>
    </w:p>
    <w:p w14:paraId="303BE10B" w14:textId="77777777" w:rsidR="00B50935" w:rsidRPr="007B62AA" w:rsidRDefault="00B50935" w:rsidP="00B50935">
      <w:pPr>
        <w:pStyle w:val="Point0"/>
      </w:pPr>
      <w:r w:rsidRPr="007B62AA">
        <w:t>19.</w:t>
      </w:r>
      <w:r w:rsidRPr="007B62AA">
        <w:tab/>
        <w:t>Článok 18 sa mení takto:</w:t>
      </w:r>
    </w:p>
    <w:p w14:paraId="04352ADB" w14:textId="77777777" w:rsidR="00B50935" w:rsidRPr="007B62AA" w:rsidRDefault="00B50935" w:rsidP="00B50935">
      <w:pPr>
        <w:pStyle w:val="Point1"/>
      </w:pPr>
      <w:r w:rsidRPr="007B62AA">
        <w:t>a)</w:t>
      </w:r>
      <w:r w:rsidRPr="007B62AA">
        <w:tab/>
        <w:t>odsek 2 sa nahrádza takto:</w:t>
      </w:r>
    </w:p>
    <w:p w14:paraId="06B9CE75" w14:textId="77777777" w:rsidR="00B50935" w:rsidRPr="007B62AA" w:rsidRDefault="00B50935" w:rsidP="00B50935">
      <w:pPr>
        <w:pStyle w:val="Point2"/>
      </w:pPr>
      <w:r w:rsidRPr="007B62AA">
        <w:t>„2.</w:t>
      </w:r>
      <w:r w:rsidRPr="007B62AA">
        <w:tab/>
        <w:t>Členovia poradného fóra nesmú byť členmi správnej rady. Funkčné obdobie členov je tri roky a môže sa predĺžiť.“;</w:t>
      </w:r>
    </w:p>
    <w:p w14:paraId="21320924" w14:textId="77777777" w:rsidR="00B50935" w:rsidRPr="007B62AA" w:rsidRDefault="00B50935" w:rsidP="00B50935">
      <w:pPr>
        <w:pStyle w:val="Point1"/>
      </w:pPr>
      <w:r w:rsidRPr="007B62AA">
        <w:t>b)</w:t>
      </w:r>
      <w:r w:rsidRPr="007B62AA">
        <w:tab/>
        <w:t>v odseku 4 sa písmeno f) nahrádza takto:</w:t>
      </w:r>
    </w:p>
    <w:p w14:paraId="17956B1E" w14:textId="77777777" w:rsidR="00B50935" w:rsidRPr="007B62AA" w:rsidRDefault="00B50935" w:rsidP="00B50935">
      <w:pPr>
        <w:pStyle w:val="Point2"/>
      </w:pPr>
      <w:r w:rsidRPr="007B62AA">
        <w:t>„f)</w:t>
      </w:r>
      <w:r w:rsidRPr="007B62AA">
        <w:tab/>
        <w:t>vedecké priority a priority v oblasti verejného zdravia, ktorými sa má zaoberať pracovný program, a</w:t>
      </w:r>
    </w:p>
    <w:p w14:paraId="5A3B2AD9" w14:textId="77777777" w:rsidR="00B50935" w:rsidRPr="007B62AA" w:rsidRDefault="00B50935" w:rsidP="00B50935">
      <w:pPr>
        <w:pStyle w:val="Point2"/>
      </w:pPr>
      <w:r w:rsidRPr="007B62AA">
        <w:t>g)</w:t>
      </w:r>
      <w:r w:rsidRPr="007B62AA">
        <w:tab/>
        <w:t>kľúčové publikácie, ktoré centrum pripravuje, ako napríklad prognostické štúdie.“;</w:t>
      </w:r>
    </w:p>
    <w:p w14:paraId="2AE7B594" w14:textId="77777777" w:rsidR="00B50935" w:rsidRPr="007B62AA" w:rsidRDefault="00B50935" w:rsidP="00B50935">
      <w:pPr>
        <w:pStyle w:val="Point1"/>
      </w:pPr>
      <w:r w:rsidRPr="007B62AA">
        <w:t>c)</w:t>
      </w:r>
      <w:r w:rsidRPr="007B62AA">
        <w:tab/>
        <w:t>odsek 8 sa nahrádza takto:</w:t>
      </w:r>
    </w:p>
    <w:p w14:paraId="162DB414" w14:textId="77777777" w:rsidR="00B50935" w:rsidRPr="007B62AA" w:rsidRDefault="00B50935" w:rsidP="00B50935">
      <w:pPr>
        <w:pStyle w:val="Point2"/>
      </w:pPr>
      <w:r w:rsidRPr="007B62AA">
        <w:t>„8.</w:t>
      </w:r>
      <w:r w:rsidRPr="007B62AA">
        <w:tab/>
        <w:t xml:space="preserve">Na účely spolupráce na konkrétnych úlohách a účasti na relevantných činnostiach poradného fóra môže riaditeľ prizvať expertov alebo zástupcov profesijných alebo vedeckých subjektov alebo mimovládnych organizácií s uznávanými skúsenosťami v odboroch súvisiacich s prácou centra. Komisia okrem toho môže riaditeľovi navrhnúť expertov alebo zástupcov profesijných alebo vedeckých subjektov alebo mimovládnych organizácií, ktorí majú byť prizvaní </w:t>
      </w:r>
      <w:r w:rsidRPr="007B62AA">
        <w:rPr>
          <w:i/>
          <w:iCs/>
        </w:rPr>
        <w:t>ad hoc</w:t>
      </w:r>
      <w:r w:rsidRPr="007B62AA">
        <w:t>.“;</w:t>
      </w:r>
    </w:p>
    <w:p w14:paraId="7262176A" w14:textId="77777777" w:rsidR="00B50935" w:rsidRPr="007B62AA" w:rsidRDefault="00B50935" w:rsidP="00B50935">
      <w:pPr>
        <w:pStyle w:val="Point0"/>
      </w:pPr>
      <w:r w:rsidRPr="007B62AA">
        <w:t>20.</w:t>
      </w:r>
      <w:r w:rsidRPr="007B62AA">
        <w:tab/>
        <w:t xml:space="preserve">V článku 20 sa odsek 3 nahrádza takto: </w:t>
      </w:r>
    </w:p>
    <w:p w14:paraId="38292788" w14:textId="77777777" w:rsidR="00B50935" w:rsidRPr="007B62AA" w:rsidRDefault="00B50935" w:rsidP="00B50935">
      <w:pPr>
        <w:pStyle w:val="Point1"/>
      </w:pPr>
      <w:r w:rsidRPr="007B62AA">
        <w:t>„3.</w:t>
      </w:r>
      <w:r w:rsidRPr="007B62AA">
        <w:tab/>
        <w:t>Proti rozhodnutiam, ktoré centrum prijalo podľa článku 8 nariadenia (ES) č. 1049/2001 je možné podať sťažnosť ombudsmanovi podľa podmienok stanovených v článku 228 ZFEÚ alebo žalobu na Súdnom dvore Európskej únie (ďalej len „Súdny dvor“) podľa podmienok stanovených v článku 230 ZFEÚ.“;</w:t>
      </w:r>
    </w:p>
    <w:p w14:paraId="1DDE6726" w14:textId="77777777" w:rsidR="00B50935" w:rsidRPr="007B62AA" w:rsidRDefault="00B50935" w:rsidP="00B50935">
      <w:pPr>
        <w:pStyle w:val="Point0"/>
        <w:rPr>
          <w:b/>
        </w:rPr>
      </w:pPr>
      <w:r w:rsidRPr="007B62AA">
        <w:t>21.</w:t>
      </w:r>
      <w:r w:rsidRPr="007B62AA">
        <w:tab/>
        <w:t>Článok 21 sa nahrádza takto:</w:t>
      </w:r>
    </w:p>
    <w:p w14:paraId="7827CF01" w14:textId="77777777" w:rsidR="00B50935" w:rsidRPr="007B62AA" w:rsidRDefault="00B50935" w:rsidP="00B50935">
      <w:pPr>
        <w:pStyle w:val="Titrearticle"/>
        <w:rPr>
          <w:iCs/>
        </w:rPr>
      </w:pPr>
      <w:r w:rsidRPr="007B62AA">
        <w:t>„Článok 21</w:t>
      </w:r>
    </w:p>
    <w:p w14:paraId="2A3D4E07" w14:textId="77777777" w:rsidR="00B50935" w:rsidRPr="007B62AA" w:rsidRDefault="00B50935" w:rsidP="00B50935">
      <w:pPr>
        <w:jc w:val="center"/>
        <w:rPr>
          <w:b/>
        </w:rPr>
      </w:pPr>
      <w:r w:rsidRPr="007B62AA">
        <w:rPr>
          <w:b/>
        </w:rPr>
        <w:t>Služobné tajomstvo a dôvernosť informácií</w:t>
      </w:r>
    </w:p>
    <w:p w14:paraId="0CE73558" w14:textId="77777777" w:rsidR="00B50935" w:rsidRPr="007B62AA" w:rsidRDefault="00B50935" w:rsidP="00B50935">
      <w:pPr>
        <w:pStyle w:val="Point1"/>
      </w:pPr>
      <w:r w:rsidRPr="007B62AA">
        <w:t>1.</w:t>
      </w:r>
      <w:r w:rsidRPr="007B62AA">
        <w:tab/>
        <w:t>Bez toho, aby bol dotknutý článok 20, centrum neposkytne tretím stranám dôverné informácie, ktoré dostane a v prípade ktorých sa požaduje a je opodstatnené dôverné zaobchádzanie, okrem informácií, ktorých zverejnenie na účely ochrany verejného zdravia si vyžadujú okolnosti. Ak dôverné informácie predložil členský štát, tieto informácie sa nemôžu prezradiť bez predchádzajúceho súhlasu tohto členského štátu.</w:t>
      </w:r>
    </w:p>
    <w:p w14:paraId="1CF6196F" w14:textId="09AD8BAF" w:rsidR="00B50935" w:rsidRPr="007B62AA" w:rsidRDefault="00B50935" w:rsidP="00B50935">
      <w:pPr>
        <w:pStyle w:val="Text2"/>
      </w:pPr>
      <w:r w:rsidRPr="007B62AA">
        <w:t>Na prácu centra a jeho zamestnancov sa vzťahujú bezpečnostné predpisy Komisie týkajúce sa ochrany utajovaných skutočností Únie stanovené v rozhodnutiach Komisie (EÚ, Euratom) 2015/443* a (EÚ, Euratom) 2015/444**.</w:t>
      </w:r>
    </w:p>
    <w:p w14:paraId="283A6E19" w14:textId="77777777" w:rsidR="00B50935" w:rsidRPr="007B62AA" w:rsidRDefault="00B50935" w:rsidP="00B50935">
      <w:pPr>
        <w:pStyle w:val="Point1"/>
      </w:pPr>
      <w:r w:rsidRPr="007B62AA">
        <w:t>2.</w:t>
      </w:r>
      <w:r w:rsidRPr="007B62AA">
        <w:tab/>
        <w:t xml:space="preserve">Členovia správnej rady, riaditeľ, členovia poradného fóra, ako aj externí experti zúčastňujúci sa na vedeckých paneloch a zamestnanci centra podliehajú povinnosti dodržiavať služobné tajomstvo podľa článku 339 ZFEÚ, a to aj po skončení výkonu svojich úloh. </w:t>
      </w:r>
    </w:p>
    <w:p w14:paraId="649E8674" w14:textId="77777777" w:rsidR="00B50935" w:rsidRPr="007B62AA" w:rsidRDefault="00B50935" w:rsidP="00B50935">
      <w:pPr>
        <w:pStyle w:val="Point1"/>
      </w:pPr>
      <w:r w:rsidRPr="007B62AA">
        <w:t>3.</w:t>
      </w:r>
      <w:r w:rsidRPr="007B62AA">
        <w:tab/>
        <w:t>Závery vedeckých stanovísk centra, ktoré sa týkajú predvídateľných účinkov na zdravie, sa v žiadnom prípade nesmú považovať za dôverné.</w:t>
      </w:r>
    </w:p>
    <w:p w14:paraId="3098F405" w14:textId="77777777" w:rsidR="00B50935" w:rsidRPr="007B62AA" w:rsidRDefault="00B50935" w:rsidP="00B50935">
      <w:pPr>
        <w:pStyle w:val="Point1"/>
      </w:pPr>
      <w:r w:rsidRPr="007B62AA">
        <w:t>4.</w:t>
      </w:r>
      <w:r w:rsidRPr="007B62AA">
        <w:tab/>
        <w:t xml:space="preserve">Praktické úpravy uplatňovania pravidiel dôvernosti uvedených v odsekoch 1 a 2 stanoví centrum vo svojich vnútorných pravidlách. </w:t>
      </w:r>
    </w:p>
    <w:p w14:paraId="76D64286" w14:textId="42B44DCF" w:rsidR="00B50935" w:rsidRPr="007B62AA" w:rsidRDefault="00B50935" w:rsidP="00B50935">
      <w:pPr>
        <w:pStyle w:val="Point1"/>
      </w:pPr>
      <w:r w:rsidRPr="007B62AA">
        <w:t>5.</w:t>
      </w:r>
      <w:r w:rsidRPr="007B62AA">
        <w:tab/>
        <w:t xml:space="preserve">Centrum v súlade s príslušnými dohodami o pracovných podmienkach uzavretými s Komisiou prijme všetky potrebné opatrenia na uľahčenie výmeny informácií týkajúcich sa jeho úloh s Komisiou, členskými štátmi a prípadne inými inštitúciami, orgánmi, úradmi a agentúrami Únie, medzinárodnými organizáciami a tretími krajinami. </w:t>
      </w:r>
    </w:p>
    <w:p w14:paraId="14C2FF4D" w14:textId="77777777" w:rsidR="00B50935" w:rsidRPr="007B62AA" w:rsidRDefault="00B50935" w:rsidP="00B50935">
      <w:pPr>
        <w:pStyle w:val="Point1"/>
      </w:pPr>
      <w:r w:rsidRPr="007B62AA">
        <w:t>6.</w:t>
      </w:r>
      <w:r w:rsidRPr="007B62AA">
        <w:tab/>
        <w:t xml:space="preserve">Centrum vyvinie, zavedie a prevádzkuje informačný systém, ktorý umožňuje výmenu utajovaných a citlivých neutajovaných skutočností uvedených v tomto článku. </w:t>
      </w:r>
    </w:p>
    <w:p w14:paraId="17C8E0C0" w14:textId="77777777" w:rsidR="00B50935" w:rsidRPr="007B62AA" w:rsidRDefault="00B50935" w:rsidP="00B50935">
      <w:pPr>
        <w:pStyle w:val="Text1"/>
      </w:pPr>
      <w:r w:rsidRPr="007B62AA">
        <w:t>__________________</w:t>
      </w:r>
    </w:p>
    <w:p w14:paraId="1062ECEF" w14:textId="77777777" w:rsidR="00B50935" w:rsidRPr="007B62AA" w:rsidRDefault="00B50935" w:rsidP="00B50935">
      <w:pPr>
        <w:pStyle w:val="Point1"/>
      </w:pPr>
      <w:r w:rsidRPr="007B62AA">
        <w:t>*</w:t>
      </w:r>
      <w:r w:rsidRPr="007B62AA">
        <w:tab/>
        <w:t>Rozhodnutie Komisie (EÚ, Euratom) 2015/443 z 13. marca 2015 o bezpečnosti v Komisii (Ú. v. EÚ L 72, 17.3.2015, s. 41).</w:t>
      </w:r>
    </w:p>
    <w:p w14:paraId="3E2855BB" w14:textId="77777777" w:rsidR="00B50935" w:rsidRPr="007B62AA" w:rsidRDefault="00B50935" w:rsidP="00B50935">
      <w:pPr>
        <w:pStyle w:val="Point1"/>
      </w:pPr>
      <w:r w:rsidRPr="007B62AA">
        <w:t>**</w:t>
      </w:r>
      <w:r w:rsidRPr="007B62AA">
        <w:tab/>
        <w:t>Rozhodnutie Komisie (EÚ, Euratom) 2015/444 z 13. marca 2015 o bezpečnostných predpisoch na ochranu utajovaných skutočností EÚ (Ú. v. EÚ L 72, 17.3.2015, s. 53).“;</w:t>
      </w:r>
    </w:p>
    <w:p w14:paraId="2C6DB6A9" w14:textId="77777777" w:rsidR="00B50935" w:rsidRPr="007B62AA" w:rsidRDefault="00B50935" w:rsidP="00B50935">
      <w:pPr>
        <w:pStyle w:val="Point0"/>
      </w:pPr>
      <w:r w:rsidRPr="007B62AA">
        <w:t>22.</w:t>
      </w:r>
      <w:r w:rsidRPr="007B62AA">
        <w:tab/>
        <w:t>Článok 22 sa mení takto:</w:t>
      </w:r>
    </w:p>
    <w:p w14:paraId="08052F10" w14:textId="77777777" w:rsidR="00B50935" w:rsidRPr="007B62AA" w:rsidRDefault="00B50935" w:rsidP="00B50935">
      <w:pPr>
        <w:pStyle w:val="Point1"/>
      </w:pPr>
      <w:r w:rsidRPr="007B62AA">
        <w:t>a)</w:t>
      </w:r>
      <w:r w:rsidRPr="007B62AA">
        <w:tab/>
        <w:t>v odseku 3 sa písmeno d) nahrádza takto:</w:t>
      </w:r>
    </w:p>
    <w:p w14:paraId="49EB3F18" w14:textId="77777777" w:rsidR="00B50935" w:rsidRPr="007B62AA" w:rsidRDefault="00B50935" w:rsidP="00B50935">
      <w:pPr>
        <w:pStyle w:val="Point2"/>
      </w:pPr>
      <w:r w:rsidRPr="007B62AA">
        <w:t>„d)</w:t>
      </w:r>
      <w:r w:rsidRPr="007B62AA">
        <w:tab/>
        <w:t>všetky dobrovoľné príspevky členských štátov a</w:t>
      </w:r>
    </w:p>
    <w:p w14:paraId="60E06418" w14:textId="77777777" w:rsidR="00B50935" w:rsidRPr="007B62AA" w:rsidRDefault="00B50935" w:rsidP="00B50935">
      <w:pPr>
        <w:pStyle w:val="Point2"/>
      </w:pPr>
      <w:r w:rsidRPr="007B62AA">
        <w:t>e)</w:t>
      </w:r>
      <w:r w:rsidRPr="007B62AA">
        <w:tab/>
        <w:t>všetky príjmy z dohôd o príspevku alebo dohôd o grante, ktoré boli výnimočne uzavreté medzi Komisiou a centrom.“;</w:t>
      </w:r>
    </w:p>
    <w:p w14:paraId="1B6CC789" w14:textId="77777777" w:rsidR="00B50935" w:rsidRPr="007B62AA" w:rsidRDefault="00B50935" w:rsidP="00B50935">
      <w:pPr>
        <w:pStyle w:val="Point1"/>
      </w:pPr>
      <w:r w:rsidRPr="007B62AA">
        <w:t>b)</w:t>
      </w:r>
      <w:r w:rsidRPr="007B62AA">
        <w:tab/>
        <w:t>vkladá sa tento odsek 3a:</w:t>
      </w:r>
    </w:p>
    <w:p w14:paraId="372F8BF1" w14:textId="1A19C7B5" w:rsidR="00B50935" w:rsidRPr="007B62AA" w:rsidRDefault="00B50935" w:rsidP="00B50935">
      <w:pPr>
        <w:pStyle w:val="Point2"/>
      </w:pPr>
      <w:r w:rsidRPr="007B62AA">
        <w:t>„3a.</w:t>
      </w:r>
      <w:r w:rsidRPr="007B62AA">
        <w:tab/>
        <w:t xml:space="preserve">Na pokrytie nákladov, ktoré centru vzniknú pri vykonávaní jeho pracovného programu a ktoré boli stanovené v zhode s cieľmi a prioritami pracovných programov prijatých Komisiou v súlade s </w:t>
      </w:r>
      <w:r w:rsidRPr="007B62AA">
        <w:rPr>
          <w:color w:val="FF0000"/>
        </w:rPr>
        <w:t>nariadením Európskeho parlamentu a Rady (EÚ) .../...*</w:t>
      </w:r>
      <w:r w:rsidRPr="007B62AA">
        <w:t xml:space="preserve"> a programov EÚ pre výskum a inovácie, sa centru môže prideliť financovanie z rozpočtu Únie. Toto financovanie nesmie pokrývať výdavky, ktoré sú už pokryté zo všeobecného rozpočtu Európskej únie alebo z akéhokoľvek iného zdroja centra vymedzeného v odseku 3 tohto článku.“;</w:t>
      </w:r>
    </w:p>
    <w:p w14:paraId="361866BB" w14:textId="77777777" w:rsidR="00B50935" w:rsidRPr="007B62AA" w:rsidRDefault="00B50935" w:rsidP="00B50935">
      <w:pPr>
        <w:pStyle w:val="Point1"/>
      </w:pPr>
      <w:r w:rsidRPr="007B62AA">
        <w:t>c)</w:t>
      </w:r>
      <w:r w:rsidRPr="007B62AA">
        <w:tab/>
        <w:t>odsek 5 sa nahrádza takto:</w:t>
      </w:r>
    </w:p>
    <w:p w14:paraId="6129E707" w14:textId="42B7F798" w:rsidR="00B50935" w:rsidRPr="007B62AA" w:rsidRDefault="00B50935" w:rsidP="00B50935">
      <w:pPr>
        <w:pStyle w:val="Point2"/>
      </w:pPr>
      <w:r w:rsidRPr="007B62AA">
        <w:t>„5.</w:t>
      </w:r>
      <w:r w:rsidRPr="007B62AA">
        <w:tab/>
        <w:t>Správna rada na základe návrhu riaditeľa každý rok zostaví odhad príjmov a výdavkov centra na nasledujúci rozpočtový rok. Tento odhad vrátane návrhu plánu pracovných miest sa zahrnie do návrhu jednotného programového dokumentu. V súlade s článkom 40 nariadenia Európskeho parlamentu a Rady (EÚ, Euratom) 2018/1046** centrum každoročne do 31. januára zašle Európskemu parlamentu, Rade a Komisii svoj návrh jednotného programového dokumentu schválený správnou radou.“;</w:t>
      </w:r>
    </w:p>
    <w:p w14:paraId="1F90E23E" w14:textId="77777777" w:rsidR="00B50935" w:rsidRPr="007B62AA" w:rsidRDefault="00B50935" w:rsidP="00B50935">
      <w:pPr>
        <w:pStyle w:val="Point1"/>
      </w:pPr>
      <w:r w:rsidRPr="007B62AA">
        <w:t>d)</w:t>
      </w:r>
      <w:r w:rsidRPr="007B62AA">
        <w:tab/>
        <w:t>odsek 7 sa nahrádza takto:</w:t>
      </w:r>
    </w:p>
    <w:p w14:paraId="1444312E" w14:textId="77777777" w:rsidR="00B50935" w:rsidRPr="007B62AA" w:rsidRDefault="00B50935" w:rsidP="00B50935">
      <w:pPr>
        <w:pStyle w:val="Point2"/>
      </w:pPr>
      <w:r w:rsidRPr="007B62AA">
        <w:t>„7.</w:t>
      </w:r>
      <w:r w:rsidRPr="007B62AA">
        <w:tab/>
        <w:t>Na základe tohto odhadu Komisia do predbežného návrhu všeobecného rozpočtu Únie, ktorý v súlade s článkom 314 ZFEÚ predloží rozpočtovému orgánu, zahrnie odhady, ktoré pokladá za potrebné pre plán pracovných miest, a sumu dotácie, ktorá sa má pripísať na vrub všeobecného rozpočtu.</w:t>
      </w:r>
    </w:p>
    <w:p w14:paraId="171F5E39" w14:textId="77777777" w:rsidR="00B50935" w:rsidRPr="007B62AA" w:rsidRDefault="00B50935" w:rsidP="00B50935">
      <w:pPr>
        <w:pStyle w:val="Text1"/>
      </w:pPr>
      <w:r w:rsidRPr="007B62AA">
        <w:t>________________________</w:t>
      </w:r>
    </w:p>
    <w:p w14:paraId="296E6023" w14:textId="77777777" w:rsidR="00B50935" w:rsidRPr="007B62AA" w:rsidRDefault="00B50935" w:rsidP="00B50935">
      <w:pPr>
        <w:pStyle w:val="Point1"/>
      </w:pPr>
      <w:r w:rsidRPr="007B62AA">
        <w:t>*</w:t>
      </w:r>
      <w:r w:rsidRPr="007B62AA">
        <w:tab/>
        <w:t>Nariadenie Európskeho parlamentu a Rady (EÚ) .../... z ... o zriadení akčného programu Únie v oblasti zdravia na obdobie 2021 – 2027 (programu EU4Health) a o zrušení nariadenia (EÚ) č. 282/2014 (Ú. v. EÚ ...).</w:t>
      </w:r>
    </w:p>
    <w:p w14:paraId="0A6AF7BC" w14:textId="7FF2BFD0" w:rsidR="00B50935" w:rsidRPr="007B62AA" w:rsidRDefault="00B50935" w:rsidP="00B50935">
      <w:pPr>
        <w:pStyle w:val="Point1"/>
      </w:pPr>
      <w:r w:rsidRPr="007B62AA">
        <w:t>**</w:t>
      </w:r>
      <w:r w:rsidRPr="007B62AA">
        <w:tab/>
        <w:t>Nariadenie Európskeho parlamentu a Rady (EÚ, Euratom)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(Ú. v. EÚ L 193, 30.7.2018, s. 1).“;</w:t>
      </w:r>
    </w:p>
    <w:p w14:paraId="44AE92AE" w14:textId="77777777" w:rsidR="00B50935" w:rsidRPr="007B62AA" w:rsidRDefault="00B50935" w:rsidP="00B50935">
      <w:pPr>
        <w:pStyle w:val="Point0"/>
      </w:pPr>
      <w:r w:rsidRPr="007B62AA">
        <w:t>23.</w:t>
      </w:r>
      <w:r w:rsidRPr="007B62AA">
        <w:tab/>
        <w:t>Článok 23 sa mení takto:</w:t>
      </w:r>
    </w:p>
    <w:p w14:paraId="783DFD91" w14:textId="77777777" w:rsidR="00B50935" w:rsidRPr="007B62AA" w:rsidRDefault="00B50935" w:rsidP="00B50935">
      <w:pPr>
        <w:pStyle w:val="Point1"/>
      </w:pPr>
      <w:r w:rsidRPr="007B62AA">
        <w:t>a)</w:t>
      </w:r>
      <w:r w:rsidRPr="007B62AA">
        <w:tab/>
        <w:t>odsek 2 sa nahrádza takto:</w:t>
      </w:r>
    </w:p>
    <w:p w14:paraId="7D359424" w14:textId="77777777" w:rsidR="00B50935" w:rsidRPr="007B62AA" w:rsidRDefault="00B50935" w:rsidP="00B50935">
      <w:pPr>
        <w:pStyle w:val="Point2"/>
      </w:pPr>
      <w:r w:rsidRPr="007B62AA">
        <w:t>„2.</w:t>
      </w:r>
      <w:r w:rsidRPr="007B62AA">
        <w:tab/>
        <w:t>Najneskôr do 1. marca po každom rozpočtovom roku zašle účtovník centra účtovníkovi Komisie predbežnú účtovnú závierku spolu so správou o rozpočtovom a finančnom riadení za uvedený rozpočtový rok. Účtovník Komisie v súlade s článkom 245 nariadenia (EÚ, Euratom) 2018/1046 skonsoliduje predbežné účtovné závierky inštitúcií a decentralizovaných orgánov.“;</w:t>
      </w:r>
    </w:p>
    <w:p w14:paraId="0B811BA6" w14:textId="77777777" w:rsidR="00B50935" w:rsidRPr="007B62AA" w:rsidRDefault="00B50935" w:rsidP="00B50935">
      <w:pPr>
        <w:pStyle w:val="Point1"/>
      </w:pPr>
      <w:r w:rsidRPr="007B62AA">
        <w:t>b)</w:t>
      </w:r>
      <w:r w:rsidRPr="007B62AA">
        <w:tab/>
        <w:t>odsek 4 sa nahrádza takto:</w:t>
      </w:r>
    </w:p>
    <w:p w14:paraId="730E5870" w14:textId="1A34F05E" w:rsidR="00B50935" w:rsidRPr="007B62AA" w:rsidRDefault="00B50935" w:rsidP="00B50935">
      <w:pPr>
        <w:pStyle w:val="Point2"/>
      </w:pPr>
      <w:r w:rsidRPr="007B62AA">
        <w:t>„4.</w:t>
      </w:r>
      <w:r w:rsidRPr="007B62AA">
        <w:tab/>
        <w:t>Po prijatí pripomienok Dvora audítorov k predbežnej účtovnej závierke centra podľa článku 246 nariadenia (EÚ, Euratom) 2018/1046 vypracuje riaditeľ na vlastnú zodpovednosť konečnú účtovnú závierku centra a predloží ju správnej rade na vyjadrenie stanoviska.</w:t>
      </w:r>
    </w:p>
    <w:p w14:paraId="0863B62E" w14:textId="4CD2DADF" w:rsidR="00B50935" w:rsidRPr="007B62AA" w:rsidRDefault="00B50935" w:rsidP="00B50935">
      <w:pPr>
        <w:pStyle w:val="Text3"/>
      </w:pPr>
      <w:r w:rsidRPr="007B62AA">
        <w:t>Centrum bezodkladne a bez toho, aby bola ohrozená dôvernosť vyšetrovaní, informuje Komisiu o prípadoch údajných podvodov a iných finančných nezrovnalostí, o všetkých dokončených alebo prebiehajúcich vyšetrovaniach zo strany Európskej prokuratúry (EPPO) alebo Európskeho úradu pre boj proti podvodom (OLAF) a o akýchkoľvek auditoch alebo kontrolách vykonaných Dvorom audítorov alebo Útvarom pre vnútorný audit (IAS).“;</w:t>
      </w:r>
    </w:p>
    <w:p w14:paraId="7450AEFE" w14:textId="77777777" w:rsidR="00B50935" w:rsidRPr="007B62AA" w:rsidRDefault="00B50935" w:rsidP="00B50935">
      <w:pPr>
        <w:pStyle w:val="Point1"/>
      </w:pPr>
      <w:r w:rsidRPr="007B62AA">
        <w:t>c)</w:t>
      </w:r>
      <w:r w:rsidRPr="007B62AA">
        <w:tab/>
        <w:t>odseky 8 a 9 sa nahrádzajú takto:</w:t>
      </w:r>
    </w:p>
    <w:p w14:paraId="56562D86" w14:textId="77777777" w:rsidR="00B50935" w:rsidRPr="007B62AA" w:rsidRDefault="00B50935" w:rsidP="00B50935">
      <w:pPr>
        <w:pStyle w:val="Point2"/>
      </w:pPr>
      <w:r w:rsidRPr="007B62AA">
        <w:t>„8.</w:t>
      </w:r>
      <w:r w:rsidRPr="007B62AA">
        <w:tab/>
        <w:t>Riaditeľ zašle Dvoru audítorov odpoveď na jeho pripomienky najneskôr do 30. septembra. Riaditeľ túto odpoveď zašle aj správnej rade a Komisii.</w:t>
      </w:r>
    </w:p>
    <w:p w14:paraId="431D5335" w14:textId="77777777" w:rsidR="00B50935" w:rsidRPr="007B62AA" w:rsidRDefault="00B50935" w:rsidP="00B50935">
      <w:pPr>
        <w:pStyle w:val="Point2"/>
      </w:pPr>
      <w:r w:rsidRPr="007B62AA">
        <w:t>9.</w:t>
      </w:r>
      <w:r w:rsidRPr="007B62AA">
        <w:tab/>
        <w:t>V súlade s článkom 261 ods. 3 nariadenia (EÚ, Euratom) 2018/1046 riaditeľ predloží Európskemu parlamentu na jeho žiadosť všetky informácie potrebné na hladké uplatnenie postupu udelenia absolutória za príslušný rozpočtový rok.“;</w:t>
      </w:r>
    </w:p>
    <w:p w14:paraId="570DF6D0" w14:textId="77777777" w:rsidR="00B50935" w:rsidRPr="007B62AA" w:rsidRDefault="00B50935" w:rsidP="00B50935">
      <w:pPr>
        <w:pStyle w:val="Point0"/>
      </w:pPr>
      <w:r w:rsidRPr="007B62AA">
        <w:t>24.</w:t>
      </w:r>
      <w:r w:rsidRPr="007B62AA">
        <w:tab/>
        <w:t xml:space="preserve">Článok 25 sa mení takto: </w:t>
      </w:r>
    </w:p>
    <w:p w14:paraId="4DC26C3E" w14:textId="77777777" w:rsidR="00B50935" w:rsidRPr="007B62AA" w:rsidRDefault="00B50935" w:rsidP="00B50935">
      <w:pPr>
        <w:pStyle w:val="Point1"/>
      </w:pPr>
      <w:r w:rsidRPr="007B62AA">
        <w:t>a)</w:t>
      </w:r>
      <w:r w:rsidRPr="007B62AA">
        <w:tab/>
        <w:t>odsek 1 sa nahrádza takto:</w:t>
      </w:r>
    </w:p>
    <w:p w14:paraId="36BF68D5" w14:textId="77777777" w:rsidR="00B50935" w:rsidRPr="007B62AA" w:rsidRDefault="00B50935" w:rsidP="00B50935">
      <w:pPr>
        <w:pStyle w:val="Point2"/>
      </w:pPr>
      <w:r w:rsidRPr="007B62AA">
        <w:t>„1.</w:t>
      </w:r>
      <w:r w:rsidRPr="007B62AA">
        <w:tab/>
        <w:t>Na centrum sa bez obmedzenia vzťahuje nariadenie Európskeho parlamentu a Rady (EÚ, Euratom) č. 883/2013*.“;</w:t>
      </w:r>
    </w:p>
    <w:p w14:paraId="682572D7" w14:textId="77777777" w:rsidR="00B50935" w:rsidRPr="007B62AA" w:rsidRDefault="00B50935" w:rsidP="00B50935">
      <w:pPr>
        <w:pStyle w:val="Point1"/>
      </w:pPr>
      <w:r w:rsidRPr="007B62AA">
        <w:t>b)</w:t>
      </w:r>
      <w:r w:rsidRPr="007B62AA">
        <w:tab/>
        <w:t>odsek 3 sa nahrádza takto:</w:t>
      </w:r>
    </w:p>
    <w:p w14:paraId="7FB39C89" w14:textId="3BA754A9" w:rsidR="00B50935" w:rsidRPr="007B62AA" w:rsidRDefault="00B50935" w:rsidP="00B50935">
      <w:pPr>
        <w:pStyle w:val="Point2"/>
      </w:pPr>
      <w:r w:rsidRPr="007B62AA">
        <w:t>„3.</w:t>
      </w:r>
      <w:r w:rsidRPr="007B62AA">
        <w:tab/>
        <w:t>V rozhodnutiach týkajúcich sa financovania a vo vykonávacích dohodách a nástrojoch, ktoré z nich vyplývajú, sa výslovne stanoví, že Dvor audítorov, EPPO a OLAF môžu v prípade potreby vykonávať kontroly na mieste u príjemcov finančných prostriedkov centra a zástupcov zodpovedných za ich prideľovanie.“;</w:t>
      </w:r>
    </w:p>
    <w:p w14:paraId="28892C55" w14:textId="1D679F8E" w:rsidR="00B50935" w:rsidRPr="007B62AA" w:rsidRDefault="00B50935" w:rsidP="00B50935">
      <w:pPr>
        <w:pStyle w:val="Point1"/>
      </w:pPr>
      <w:r w:rsidRPr="007B62AA">
        <w:t>c)</w:t>
      </w:r>
      <w:r w:rsidRPr="007B62AA">
        <w:tab/>
        <w:t>dopĺňa sa tento odsek 4:</w:t>
      </w:r>
    </w:p>
    <w:p w14:paraId="31767665" w14:textId="45C4A1EB" w:rsidR="00B50935" w:rsidRPr="007B62AA" w:rsidRDefault="00B50935" w:rsidP="00B50935">
      <w:pPr>
        <w:pStyle w:val="Point2"/>
      </w:pPr>
      <w:r w:rsidRPr="007B62AA">
        <w:t>„4.</w:t>
      </w:r>
      <w:r w:rsidRPr="007B62AA">
        <w:tab/>
        <w:t>Bez toho, aby boli dotknuté odseky 1 až 3, musia dohody o pracovných podmienkach s tretími krajinami a medzinárodnými organizáciami, dohody o grante, rozhodnutia o udelení grantu a zmluvy centra obsahovať ustanovenia, ktorými sa Dvoru audítorov, úradu OLAF a Európskej prokuratúre výslovne udeľuje právomoc vykonávať v súlade s ich príslušnými právomocami takéto audity a vyšetrovania.</w:t>
      </w:r>
    </w:p>
    <w:p w14:paraId="28A8DF67" w14:textId="77777777" w:rsidR="00B50935" w:rsidRPr="007B62AA" w:rsidRDefault="00B50935" w:rsidP="00B50935">
      <w:pPr>
        <w:pStyle w:val="Text1"/>
      </w:pPr>
      <w:r w:rsidRPr="007B62AA">
        <w:t>_______________</w:t>
      </w:r>
    </w:p>
    <w:p w14:paraId="718F3CAB" w14:textId="77777777" w:rsidR="00B50935" w:rsidRPr="007B62AA" w:rsidRDefault="00B50935" w:rsidP="00B50935">
      <w:pPr>
        <w:pStyle w:val="Point1"/>
      </w:pPr>
      <w:r w:rsidRPr="007B62AA">
        <w:t>*</w:t>
      </w:r>
      <w:r w:rsidRPr="007B62AA">
        <w:tab/>
        <w:t>Nariadenie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18.9.2013, s. 1).“;</w:t>
      </w:r>
    </w:p>
    <w:p w14:paraId="1F176C8D" w14:textId="77777777" w:rsidR="00B50935" w:rsidRPr="007B62AA" w:rsidRDefault="00B50935" w:rsidP="00B50935">
      <w:pPr>
        <w:pStyle w:val="Point0"/>
      </w:pPr>
      <w:r w:rsidRPr="007B62AA">
        <w:t>25.</w:t>
      </w:r>
      <w:r w:rsidRPr="007B62AA">
        <w:tab/>
        <w:t xml:space="preserve">Článok 26 sa mení takto: </w:t>
      </w:r>
    </w:p>
    <w:p w14:paraId="60AC1D96" w14:textId="77777777" w:rsidR="00B50935" w:rsidRPr="007B62AA" w:rsidRDefault="00B50935" w:rsidP="00B50935">
      <w:pPr>
        <w:pStyle w:val="Point1"/>
      </w:pPr>
      <w:r w:rsidRPr="007B62AA">
        <w:t>a)</w:t>
      </w:r>
      <w:r w:rsidRPr="007B62AA">
        <w:tab/>
        <w:t>odsek 1 sa nahrádza takto:</w:t>
      </w:r>
    </w:p>
    <w:p w14:paraId="45F7DE75" w14:textId="77777777" w:rsidR="00B50935" w:rsidRPr="007B62AA" w:rsidRDefault="00B50935" w:rsidP="00B50935">
      <w:pPr>
        <w:pStyle w:val="Point2"/>
      </w:pPr>
      <w:r w:rsidRPr="007B62AA">
        <w:t>„1.</w:t>
      </w:r>
      <w:r w:rsidRPr="007B62AA">
        <w:tab/>
        <w:t>Centrum je orgánom Únie. Má právnu subjektivitu.“;</w:t>
      </w:r>
    </w:p>
    <w:p w14:paraId="511DF59C" w14:textId="77777777" w:rsidR="00B50935" w:rsidRPr="007B62AA" w:rsidRDefault="00B50935" w:rsidP="00B50935">
      <w:pPr>
        <w:pStyle w:val="Point1"/>
      </w:pPr>
      <w:r w:rsidRPr="007B62AA">
        <w:t>b)</w:t>
      </w:r>
      <w:r w:rsidRPr="007B62AA">
        <w:tab/>
        <w:t>vkladá sa tento odsek 1a:</w:t>
      </w:r>
    </w:p>
    <w:p w14:paraId="056449FA" w14:textId="77777777" w:rsidR="00B50935" w:rsidRPr="007B62AA" w:rsidRDefault="00B50935" w:rsidP="00B50935">
      <w:pPr>
        <w:pStyle w:val="Point2"/>
      </w:pPr>
      <w:r w:rsidRPr="007B62AA">
        <w:t>„1a.</w:t>
      </w:r>
      <w:r w:rsidRPr="007B62AA">
        <w:tab/>
        <w:t>V jednotlivých členských štátoch požíva centrum najširšiu právnu spôsobilosť, akú ich právo priznáva právnickým osobám. Môže najmä nadobúdať a scudzovať hnuteľný a nehnuteľný majetok a môže byť účastníkom súdneho konania.“;</w:t>
      </w:r>
    </w:p>
    <w:p w14:paraId="7376A94D" w14:textId="77777777" w:rsidR="00B50935" w:rsidRPr="007B62AA" w:rsidRDefault="00B50935" w:rsidP="00B50935">
      <w:pPr>
        <w:pStyle w:val="Point1"/>
      </w:pPr>
      <w:r w:rsidRPr="007B62AA">
        <w:t>c)</w:t>
      </w:r>
      <w:r w:rsidRPr="007B62AA">
        <w:tab/>
        <w:t>odsek 2 sa nahrádza takto:</w:t>
      </w:r>
    </w:p>
    <w:p w14:paraId="2A49D2A1" w14:textId="77777777" w:rsidR="00B50935" w:rsidRPr="007B62AA" w:rsidRDefault="00B50935" w:rsidP="00B50935">
      <w:pPr>
        <w:pStyle w:val="Point2"/>
      </w:pPr>
      <w:r w:rsidRPr="007B62AA">
        <w:t>„2.</w:t>
      </w:r>
      <w:r w:rsidRPr="007B62AA">
        <w:tab/>
        <w:t>Na centrum a jeho stálych zamestnancov sa vzťahuje Protokol č. 7 o výsadách a imunitách Európskej únie pripojený k zmluvám.“;</w:t>
      </w:r>
    </w:p>
    <w:p w14:paraId="6D223471" w14:textId="77777777" w:rsidR="00B50935" w:rsidRPr="007B62AA" w:rsidRDefault="00B50935" w:rsidP="00B50935">
      <w:pPr>
        <w:pStyle w:val="Point0"/>
      </w:pPr>
      <w:r w:rsidRPr="007B62AA">
        <w:t>26.</w:t>
      </w:r>
      <w:r w:rsidRPr="007B62AA">
        <w:tab/>
        <w:t>V článku 27 sa odsek 1 mení takto:</w:t>
      </w:r>
    </w:p>
    <w:p w14:paraId="5442B79B" w14:textId="77777777" w:rsidR="00B50935" w:rsidRPr="007B62AA" w:rsidRDefault="00B50935" w:rsidP="00B50935">
      <w:pPr>
        <w:pStyle w:val="Point1"/>
      </w:pPr>
      <w:r w:rsidRPr="007B62AA">
        <w:t>„1.</w:t>
      </w:r>
      <w:r w:rsidRPr="007B62AA">
        <w:tab/>
        <w:t>Zmluvnú zodpovednosť centra upravuje právo uplatniteľné na predmetnú zmluvu. Každá rozhodcovská doložka v zmluve, ktorú centrum uzatvorí, musí obsahovať ustanovenie, že rozhodovacia právomoc prislúcha Súdnemu dvoru.“;</w:t>
      </w:r>
    </w:p>
    <w:p w14:paraId="1E8A8629" w14:textId="77777777" w:rsidR="00B50935" w:rsidRPr="007B62AA" w:rsidRDefault="00B50935" w:rsidP="00B50935">
      <w:pPr>
        <w:pStyle w:val="Point0"/>
      </w:pPr>
      <w:r w:rsidRPr="007B62AA">
        <w:t>27.</w:t>
      </w:r>
      <w:r w:rsidRPr="007B62AA">
        <w:tab/>
        <w:t>Článok 28 sa nahrádza takto:</w:t>
      </w:r>
    </w:p>
    <w:p w14:paraId="434985FF" w14:textId="77777777" w:rsidR="00B50935" w:rsidRPr="007B62AA" w:rsidRDefault="00B50935" w:rsidP="00B50935">
      <w:pPr>
        <w:pStyle w:val="Titrearticle"/>
        <w:rPr>
          <w:iCs/>
        </w:rPr>
      </w:pPr>
      <w:r w:rsidRPr="007B62AA">
        <w:t>„Článok 28</w:t>
      </w:r>
    </w:p>
    <w:p w14:paraId="76A65CD4" w14:textId="77777777" w:rsidR="00B50935" w:rsidRPr="007B62AA" w:rsidRDefault="00B50935" w:rsidP="00B50935">
      <w:pPr>
        <w:jc w:val="center"/>
        <w:rPr>
          <w:b/>
        </w:rPr>
      </w:pPr>
      <w:r w:rsidRPr="007B62AA">
        <w:rPr>
          <w:b/>
        </w:rPr>
        <w:t>Preskúmanie zákonnosti</w:t>
      </w:r>
    </w:p>
    <w:p w14:paraId="67441F02" w14:textId="1EE0D351" w:rsidR="00B50935" w:rsidRPr="007B62AA" w:rsidRDefault="00B50935" w:rsidP="00B50935">
      <w:pPr>
        <w:pStyle w:val="Point1"/>
      </w:pPr>
      <w:r w:rsidRPr="007B62AA">
        <w:t>1.</w:t>
      </w:r>
      <w:r w:rsidRPr="007B62AA">
        <w:tab/>
        <w:t>Členské štáty, členovia správnej rady a tretie strany, ktorých sa to priamo a jednotlivo týka, môžu oznámiť Komisii akýkoľvek úkon centra, či už výslovný alebo implicitný, aby mohla preveriť zákonnosť takého úkonu („správne odvolanie“).</w:t>
      </w:r>
    </w:p>
    <w:p w14:paraId="3B668271" w14:textId="77777777" w:rsidR="00B50935" w:rsidRPr="007B62AA" w:rsidRDefault="00B50935" w:rsidP="00B50935">
      <w:pPr>
        <w:pStyle w:val="Point1"/>
      </w:pPr>
      <w:r w:rsidRPr="007B62AA">
        <w:t>2.</w:t>
      </w:r>
      <w:r w:rsidRPr="007B62AA">
        <w:tab/>
        <w:t>Správne odvolanie sa Komisii predloží do 15 dní odo dňa, keď sa dotknutá strana prvýkrát dozvedela o predmetnom úkone.</w:t>
      </w:r>
    </w:p>
    <w:p w14:paraId="66A70669" w14:textId="77777777" w:rsidR="00B50935" w:rsidRPr="007B62AA" w:rsidRDefault="00B50935" w:rsidP="00B50935">
      <w:pPr>
        <w:pStyle w:val="Point1"/>
      </w:pPr>
      <w:r w:rsidRPr="007B62AA">
        <w:t>3.</w:t>
      </w:r>
      <w:r w:rsidRPr="007B62AA">
        <w:tab/>
        <w:t>Komisia rozhodne do jedného mesiaca. Ak sa v tejto lehote neprijme žiadne rozhodnutie, správne odvolanie sa považuje za zamietnuté.</w:t>
      </w:r>
    </w:p>
    <w:p w14:paraId="30ADD06C" w14:textId="26B55765" w:rsidR="00B50935" w:rsidRPr="007B62AA" w:rsidRDefault="00B50935" w:rsidP="00B50935">
      <w:pPr>
        <w:pStyle w:val="Point1"/>
      </w:pPr>
      <w:r w:rsidRPr="007B62AA">
        <w:t>4.</w:t>
      </w:r>
      <w:r w:rsidRPr="007B62AA">
        <w:tab/>
        <w:t>V súlade s článkom 263 ZFEÚ možno na Súdny dvor podať žalobu o neplatnosť výslovného alebo implicitného rozhodnutia Komisie o zamietnutí správneho odvolania uvedeného v odseku 3.“;</w:t>
      </w:r>
    </w:p>
    <w:p w14:paraId="172196C1" w14:textId="77777777" w:rsidR="00B50935" w:rsidRPr="007B62AA" w:rsidRDefault="00B50935" w:rsidP="00B50935">
      <w:pPr>
        <w:pStyle w:val="Point0"/>
      </w:pPr>
      <w:r w:rsidRPr="007B62AA">
        <w:t>28.</w:t>
      </w:r>
      <w:r w:rsidRPr="007B62AA">
        <w:tab/>
        <w:t>Článok 31 sa nahrádza takto:</w:t>
      </w:r>
    </w:p>
    <w:p w14:paraId="7EA12394" w14:textId="77777777" w:rsidR="00B50935" w:rsidRPr="007B62AA" w:rsidRDefault="00B50935" w:rsidP="00B50935">
      <w:pPr>
        <w:pStyle w:val="Titrearticle"/>
        <w:rPr>
          <w:iCs/>
        </w:rPr>
      </w:pPr>
      <w:r w:rsidRPr="007B62AA">
        <w:t>„Článok 31</w:t>
      </w:r>
    </w:p>
    <w:p w14:paraId="06DEF12F" w14:textId="77777777" w:rsidR="00B50935" w:rsidRPr="007B62AA" w:rsidRDefault="00B50935" w:rsidP="00B50935">
      <w:pPr>
        <w:jc w:val="center"/>
        <w:rPr>
          <w:b/>
        </w:rPr>
      </w:pPr>
      <w:r w:rsidRPr="007B62AA">
        <w:rPr>
          <w:b/>
        </w:rPr>
        <w:t>Doložka o preskúmaní</w:t>
      </w:r>
    </w:p>
    <w:p w14:paraId="31D75AD6" w14:textId="2384999A" w:rsidR="00B50935" w:rsidRPr="007B62AA" w:rsidRDefault="00B50935" w:rsidP="00B50935">
      <w:pPr>
        <w:pStyle w:val="Point1"/>
      </w:pPr>
      <w:r w:rsidRPr="007B62AA">
        <w:t>1.</w:t>
      </w:r>
      <w:r w:rsidRPr="007B62AA">
        <w:tab/>
        <w:t xml:space="preserve">Do </w:t>
      </w:r>
      <w:r w:rsidRPr="007B62AA">
        <w:rPr>
          <w:i/>
        </w:rPr>
        <w:t>[vložte dátum tri roky odo dňa nadobudnutia účinnosti]</w:t>
      </w:r>
      <w:r w:rsidRPr="007B62AA">
        <w:t xml:space="preserve"> 2023 Komisia predloží Európskemu parlamentu, Rade a správnej rade správu o činnosti centra, v ktorej posúdi:</w:t>
      </w:r>
    </w:p>
    <w:p w14:paraId="2DC49783" w14:textId="77777777" w:rsidR="00B50935" w:rsidRPr="007B62AA" w:rsidRDefault="00B50935" w:rsidP="00B50935">
      <w:pPr>
        <w:pStyle w:val="Point2"/>
      </w:pPr>
      <w:r w:rsidRPr="007B62AA">
        <w:t>a)</w:t>
      </w:r>
      <w:r w:rsidRPr="007B62AA">
        <w:tab/>
        <w:t>ako centrum pokročilo pri vykonávaní zmeneného mandátu vzhľadom na pandémiu COVID-19;</w:t>
      </w:r>
    </w:p>
    <w:p w14:paraId="69F55946" w14:textId="4AAFD17A" w:rsidR="00B50935" w:rsidRPr="007B62AA" w:rsidRDefault="00B50935" w:rsidP="00B50935">
      <w:pPr>
        <w:pStyle w:val="Point2"/>
      </w:pPr>
      <w:r w:rsidRPr="007B62AA">
        <w:t>b)</w:t>
      </w:r>
      <w:r w:rsidRPr="007B62AA">
        <w:tab/>
        <w:t xml:space="preserve">ako si centrum plní povinnosti stanovené v </w:t>
      </w:r>
      <w:r w:rsidRPr="007B62AA">
        <w:rPr>
          <w:color w:val="FF0000"/>
        </w:rPr>
        <w:t>nariadení (EÚ) .../... [</w:t>
      </w:r>
      <w:r w:rsidRPr="007B62AA">
        <w:rPr>
          <w:i/>
          <w:iCs/>
          <w:color w:val="FF0000"/>
        </w:rPr>
        <w:t>Ú. v. EÚ:</w:t>
      </w:r>
      <w:r w:rsidRPr="007B62AA">
        <w:rPr>
          <w:i/>
          <w:color w:val="FF0000"/>
        </w:rPr>
        <w:t xml:space="preserve"> vložte číslo nariadenia SCBTH</w:t>
      </w:r>
      <w:r w:rsidRPr="007B62AA">
        <w:rPr>
          <w:color w:val="FF0000"/>
        </w:rPr>
        <w:t xml:space="preserve"> [ISC/2020/12524]]</w:t>
      </w:r>
      <w:r w:rsidRPr="007B62AA">
        <w:t xml:space="preserve"> a ďalších relevantných právnych predpisoch Únie;</w:t>
      </w:r>
    </w:p>
    <w:p w14:paraId="046EC6B9" w14:textId="77777777" w:rsidR="00B50935" w:rsidRPr="007B62AA" w:rsidRDefault="00B50935" w:rsidP="00B50935">
      <w:pPr>
        <w:pStyle w:val="Point2"/>
      </w:pPr>
      <w:r w:rsidRPr="007B62AA">
        <w:t>c)</w:t>
      </w:r>
      <w:r w:rsidRPr="007B62AA">
        <w:tab/>
        <w:t xml:space="preserve">ako účinne riešia činnosti centra medzinárodné priority, priority Únie alebo vnútroštátne priority v oblasti zdravia; </w:t>
      </w:r>
    </w:p>
    <w:p w14:paraId="28CA5717" w14:textId="77777777" w:rsidR="00B50935" w:rsidRPr="007B62AA" w:rsidRDefault="00B50935" w:rsidP="00B50935">
      <w:pPr>
        <w:pStyle w:val="Point2"/>
      </w:pPr>
      <w:r w:rsidRPr="007B62AA">
        <w:t>d)</w:t>
      </w:r>
      <w:r w:rsidRPr="007B62AA">
        <w:tab/>
        <w:t>ako sa práca centra zameriava na kapacity členských štátov a ako ich ovplyvňuje.</w:t>
      </w:r>
    </w:p>
    <w:p w14:paraId="757BC373" w14:textId="77777777" w:rsidR="00B50935" w:rsidRPr="007B62AA" w:rsidRDefault="00B50935" w:rsidP="00B50935">
      <w:pPr>
        <w:pStyle w:val="Text2"/>
      </w:pPr>
      <w:r w:rsidRPr="007B62AA">
        <w:t>V správe sa zohľadnia názory zainteresovaných strán tak na úrovni Únie, ako aj na vnútroštátnej úrovni.</w:t>
      </w:r>
    </w:p>
    <w:p w14:paraId="28061887" w14:textId="560402DF" w:rsidR="00B50935" w:rsidRPr="007B62AA" w:rsidRDefault="00B50935" w:rsidP="00B50935">
      <w:pPr>
        <w:pStyle w:val="Text2"/>
      </w:pPr>
      <w:r w:rsidRPr="007B62AA">
        <w:t>Komisia zadá uskutočnenie nezávislej štúdie, ktorá sa priloží k správe.</w:t>
      </w:r>
    </w:p>
    <w:p w14:paraId="0CE7AF5D" w14:textId="55B0E2FF" w:rsidR="00B50935" w:rsidRPr="007B62AA" w:rsidRDefault="00B50935" w:rsidP="00B50935">
      <w:pPr>
        <w:pStyle w:val="Point1"/>
      </w:pPr>
      <w:r w:rsidRPr="007B62AA">
        <w:t>2.</w:t>
      </w:r>
      <w:r w:rsidRPr="007B62AA">
        <w:tab/>
        <w:t xml:space="preserve">Do </w:t>
      </w:r>
      <w:r w:rsidRPr="007B62AA">
        <w:rPr>
          <w:i/>
          <w:iCs/>
        </w:rPr>
        <w:t>[vložte dátum tri roky odo dňa nadobudnutia účinnosti]</w:t>
      </w:r>
      <w:r w:rsidRPr="007B62AA">
        <w:t xml:space="preserve"> 2028 a potom každých 5 rokov Komisia posúdi výsledky činnosti centra z hľadiska jeho cieľov, mandátu, úloh, postupu a umiestnenia. V hodnotení sa zohľadní najmä prípadná potreba zmeniť mandát centra a finančné dôsledky každej takejto zmeny.</w:t>
      </w:r>
    </w:p>
    <w:p w14:paraId="2F3F3EBB" w14:textId="77777777" w:rsidR="00B50935" w:rsidRPr="007B62AA" w:rsidRDefault="00B50935" w:rsidP="00B50935">
      <w:pPr>
        <w:pStyle w:val="Point1"/>
      </w:pPr>
      <w:r w:rsidRPr="007B62AA">
        <w:t>3.</w:t>
      </w:r>
      <w:r w:rsidRPr="007B62AA">
        <w:tab/>
        <w:t xml:space="preserve">Ak Komisia dospeje k záveru, že ďalšie pôsobenie centra už vzhľadom na jeho stanovené ciele, mandát a úlohy nie je opodstatnené, môže navrhnúť, aby sa príslušné ustanovenia tohto nariadenia zodpovedajúcim spôsobom zmenili alebo zrušili. </w:t>
      </w:r>
    </w:p>
    <w:p w14:paraId="28564B66" w14:textId="0E571587" w:rsidR="00B50935" w:rsidRPr="007B62AA" w:rsidRDefault="00B50935" w:rsidP="00B50935">
      <w:pPr>
        <w:pStyle w:val="Point1"/>
      </w:pPr>
      <w:r w:rsidRPr="007B62AA">
        <w:t>4.</w:t>
      </w:r>
      <w:r w:rsidRPr="007B62AA">
        <w:tab/>
        <w:t xml:space="preserve">O výsledkoch svojich preskúmaní a hodnotení vykonaných podľa odseku 2 podá Komisia správu Európskemu parlamentu, Rade a správnej rade. Tieto výsledky sa zverejnia.“ </w:t>
      </w:r>
    </w:p>
    <w:p w14:paraId="11975C21" w14:textId="77777777" w:rsidR="00B50935" w:rsidRPr="007B62AA" w:rsidRDefault="00B50935" w:rsidP="00B50935">
      <w:pPr>
        <w:pStyle w:val="Titrearticle"/>
      </w:pPr>
      <w:r w:rsidRPr="007B62AA">
        <w:t>Článok 2</w:t>
      </w:r>
    </w:p>
    <w:p w14:paraId="76B609D1" w14:textId="77777777" w:rsidR="00B50935" w:rsidRPr="007B62AA" w:rsidRDefault="00B50935" w:rsidP="00B50935">
      <w:r w:rsidRPr="007B62AA">
        <w:t xml:space="preserve">Toto nariadenie nadobúda účinnosť dvadsiatym dňom po jeho uverejnení v </w:t>
      </w:r>
      <w:r w:rsidRPr="007B62AA">
        <w:rPr>
          <w:i/>
          <w:iCs/>
        </w:rPr>
        <w:t>Úradnom vestníku Európskej únie</w:t>
      </w:r>
      <w:r w:rsidRPr="007B62AA">
        <w:t>.</w:t>
      </w:r>
    </w:p>
    <w:p w14:paraId="40A3A118" w14:textId="77777777" w:rsidR="00B50935" w:rsidRPr="007B62AA" w:rsidRDefault="00B50935" w:rsidP="00B50935">
      <w:pPr>
        <w:pStyle w:val="Applicationdirecte"/>
      </w:pPr>
      <w:r w:rsidRPr="007B62AA">
        <w:t>Toto nariadenie je záväzné v celom rozsahu a priamo uplatniteľné vo všetkých členských štátoch.</w:t>
      </w:r>
    </w:p>
    <w:p w14:paraId="6067ED75" w14:textId="7705A0A7" w:rsidR="00B50935" w:rsidRPr="007B62AA" w:rsidRDefault="005B53A8" w:rsidP="005B53A8">
      <w:pPr>
        <w:pStyle w:val="Fait"/>
      </w:pPr>
      <w:r w:rsidRPr="007B62AA">
        <w:t>V Bruseli</w:t>
      </w:r>
    </w:p>
    <w:p w14:paraId="0E0D963F" w14:textId="77777777" w:rsidR="00B50935" w:rsidRPr="007B62AA" w:rsidRDefault="00B50935" w:rsidP="00B50935">
      <w:pPr>
        <w:pStyle w:val="Institutionquisigne"/>
      </w:pPr>
      <w:r w:rsidRPr="007B62AA">
        <w:t>Za Európsky parlament</w:t>
      </w:r>
      <w:r w:rsidRPr="007B62AA">
        <w:tab/>
        <w:t>Za Radu</w:t>
      </w:r>
    </w:p>
    <w:p w14:paraId="3A49A237" w14:textId="77777777" w:rsidR="00B50935" w:rsidRPr="007B62AA" w:rsidRDefault="00B50935" w:rsidP="00B50935">
      <w:pPr>
        <w:pStyle w:val="Personnequisigne"/>
      </w:pPr>
      <w:r w:rsidRPr="007B62AA">
        <w:t>predseda</w:t>
      </w:r>
      <w:r w:rsidRPr="007B62AA">
        <w:tab/>
        <w:t>predseda</w:t>
      </w:r>
    </w:p>
    <w:p w14:paraId="35E0DBB7" w14:textId="77777777" w:rsidR="00B50935" w:rsidRPr="007B62AA" w:rsidRDefault="00B50935" w:rsidP="00B50935">
      <w:pPr>
        <w:sectPr w:rsidR="00B50935" w:rsidRPr="007B62AA" w:rsidSect="00CA0925">
          <w:pgSz w:w="11907" w:h="16839"/>
          <w:pgMar w:top="1134" w:right="1417" w:bottom="1134" w:left="1417" w:header="709" w:footer="709" w:gutter="0"/>
          <w:cols w:space="708"/>
          <w:docGrid w:linePitch="360"/>
        </w:sectPr>
      </w:pPr>
    </w:p>
    <w:p w14:paraId="0E59DD1E" w14:textId="77777777" w:rsidR="00B50935" w:rsidRPr="007B62AA" w:rsidRDefault="00B50935" w:rsidP="00427764">
      <w:pPr>
        <w:pStyle w:val="Fichefinanciretitre"/>
        <w:rPr>
          <w:noProof/>
        </w:rPr>
      </w:pPr>
      <w:r w:rsidRPr="007B62AA">
        <w:t>LEGISLATÍVNY FINANČNÝ VÝKAZ</w:t>
      </w:r>
    </w:p>
    <w:sdt>
      <w:sdtPr>
        <w:rPr>
          <w:b/>
        </w:rPr>
        <w:id w:val="1138923797"/>
        <w:docPartObj>
          <w:docPartGallery w:val="Table of Contents"/>
          <w:docPartUnique/>
        </w:docPartObj>
      </w:sdtPr>
      <w:sdtEndPr>
        <w:rPr>
          <w:b w:val="0"/>
          <w:bCs/>
          <w:noProof/>
        </w:rPr>
      </w:sdtEndPr>
      <w:sdtContent>
        <w:p w14:paraId="28846F03" w14:textId="77777777" w:rsidR="00B50935" w:rsidRPr="007B62AA" w:rsidRDefault="00B50935" w:rsidP="00B50935">
          <w:pPr>
            <w:spacing w:before="0" w:after="200" w:line="276" w:lineRule="auto"/>
            <w:jc w:val="center"/>
            <w:rPr>
              <w:b/>
            </w:rPr>
          </w:pPr>
          <w:r w:rsidRPr="007B62AA">
            <w:rPr>
              <w:b/>
            </w:rPr>
            <w:t>Obsah</w:t>
          </w:r>
        </w:p>
        <w:p w14:paraId="2815A282" w14:textId="060606C0" w:rsidR="00331BC1" w:rsidRDefault="00B50935">
          <w:pPr>
            <w:pStyle w:val="TOC1"/>
            <w:rPr>
              <w:rFonts w:asciiTheme="minorHAnsi" w:eastAsiaTheme="minorEastAsia" w:hAnsiTheme="minorHAnsi" w:cstheme="minorBidi"/>
              <w:noProof/>
              <w:sz w:val="22"/>
              <w:lang w:eastAsia="sk-SK"/>
            </w:rPr>
          </w:pPr>
          <w:r w:rsidRPr="007B62AA">
            <w:rPr>
              <w:b/>
              <w:bCs/>
            </w:rPr>
            <w:fldChar w:fldCharType="begin"/>
          </w:r>
          <w:r w:rsidRPr="007B62AA">
            <w:rPr>
              <w:b/>
              <w:bCs/>
            </w:rPr>
            <w:instrText xml:space="preserve"> TOC \o "1-3" \h \z \u </w:instrText>
          </w:r>
          <w:r w:rsidRPr="007B62AA">
            <w:rPr>
              <w:b/>
              <w:bCs/>
            </w:rPr>
            <w:fldChar w:fldCharType="separate"/>
          </w:r>
          <w:hyperlink w:anchor="_Toc58230707" w:history="1">
            <w:r w:rsidR="00331BC1" w:rsidRPr="004F7C9B">
              <w:rPr>
                <w:rStyle w:val="Hyperlink"/>
                <w:noProof/>
              </w:rPr>
              <w:t>1.</w:t>
            </w:r>
            <w:r w:rsidR="00331BC1">
              <w:rPr>
                <w:rFonts w:asciiTheme="minorHAnsi" w:eastAsiaTheme="minorEastAsia" w:hAnsiTheme="minorHAnsi" w:cstheme="minorBidi"/>
                <w:noProof/>
                <w:sz w:val="22"/>
                <w:lang w:eastAsia="sk-SK"/>
              </w:rPr>
              <w:tab/>
            </w:r>
            <w:r w:rsidR="00331BC1" w:rsidRPr="004F7C9B">
              <w:rPr>
                <w:rStyle w:val="Hyperlink"/>
                <w:noProof/>
              </w:rPr>
              <w:t>KONTEXT NÁVRHU</w:t>
            </w:r>
            <w:r w:rsidR="00331BC1">
              <w:rPr>
                <w:noProof/>
                <w:webHidden/>
              </w:rPr>
              <w:tab/>
            </w:r>
            <w:r w:rsidR="00331BC1">
              <w:rPr>
                <w:noProof/>
                <w:webHidden/>
              </w:rPr>
              <w:fldChar w:fldCharType="begin"/>
            </w:r>
            <w:r w:rsidR="00331BC1">
              <w:rPr>
                <w:noProof/>
                <w:webHidden/>
              </w:rPr>
              <w:instrText xml:space="preserve"> PAGEREF _Toc58230707 \h </w:instrText>
            </w:r>
            <w:r w:rsidR="00331BC1">
              <w:rPr>
                <w:noProof/>
                <w:webHidden/>
              </w:rPr>
            </w:r>
            <w:r w:rsidR="00331BC1">
              <w:rPr>
                <w:noProof/>
                <w:webHidden/>
              </w:rPr>
              <w:fldChar w:fldCharType="separate"/>
            </w:r>
            <w:r w:rsidR="00331BC1">
              <w:rPr>
                <w:noProof/>
                <w:webHidden/>
              </w:rPr>
              <w:t>1</w:t>
            </w:r>
            <w:r w:rsidR="00331BC1">
              <w:rPr>
                <w:noProof/>
                <w:webHidden/>
              </w:rPr>
              <w:fldChar w:fldCharType="end"/>
            </w:r>
          </w:hyperlink>
        </w:p>
        <w:p w14:paraId="61080D32" w14:textId="04182E8D" w:rsidR="00331BC1" w:rsidRDefault="003701E7">
          <w:pPr>
            <w:pStyle w:val="TOC2"/>
            <w:rPr>
              <w:rFonts w:asciiTheme="minorHAnsi" w:eastAsiaTheme="minorEastAsia" w:hAnsiTheme="minorHAnsi" w:cstheme="minorBidi"/>
              <w:noProof/>
              <w:sz w:val="22"/>
              <w:lang w:eastAsia="sk-SK"/>
            </w:rPr>
          </w:pPr>
          <w:hyperlink w:anchor="_Toc58230708" w:history="1">
            <w:r w:rsidR="00331BC1" w:rsidRPr="004F7C9B">
              <w:rPr>
                <w:rStyle w:val="Hyperlink"/>
                <w:noProof/>
                <w:u w:color="000000"/>
                <w:bdr w:val="nil"/>
              </w:rPr>
              <w:t>•</w:t>
            </w:r>
            <w:r w:rsidR="00331BC1">
              <w:rPr>
                <w:rFonts w:asciiTheme="minorHAnsi" w:eastAsiaTheme="minorEastAsia" w:hAnsiTheme="minorHAnsi" w:cstheme="minorBidi"/>
                <w:noProof/>
                <w:sz w:val="22"/>
                <w:lang w:eastAsia="sk-SK"/>
              </w:rPr>
              <w:tab/>
            </w:r>
            <w:r w:rsidR="00331BC1" w:rsidRPr="004F7C9B">
              <w:rPr>
                <w:rStyle w:val="Hyperlink"/>
                <w:noProof/>
              </w:rPr>
              <w:t>Dôvody a ciele návrhu</w:t>
            </w:r>
            <w:r w:rsidR="00331BC1">
              <w:rPr>
                <w:noProof/>
                <w:webHidden/>
              </w:rPr>
              <w:tab/>
            </w:r>
            <w:r w:rsidR="00331BC1">
              <w:rPr>
                <w:noProof/>
                <w:webHidden/>
              </w:rPr>
              <w:fldChar w:fldCharType="begin"/>
            </w:r>
            <w:r w:rsidR="00331BC1">
              <w:rPr>
                <w:noProof/>
                <w:webHidden/>
              </w:rPr>
              <w:instrText xml:space="preserve"> PAGEREF _Toc58230708 \h </w:instrText>
            </w:r>
            <w:r w:rsidR="00331BC1">
              <w:rPr>
                <w:noProof/>
                <w:webHidden/>
              </w:rPr>
            </w:r>
            <w:r w:rsidR="00331BC1">
              <w:rPr>
                <w:noProof/>
                <w:webHidden/>
              </w:rPr>
              <w:fldChar w:fldCharType="separate"/>
            </w:r>
            <w:r w:rsidR="00331BC1">
              <w:rPr>
                <w:noProof/>
                <w:webHidden/>
              </w:rPr>
              <w:t>1</w:t>
            </w:r>
            <w:r w:rsidR="00331BC1">
              <w:rPr>
                <w:noProof/>
                <w:webHidden/>
              </w:rPr>
              <w:fldChar w:fldCharType="end"/>
            </w:r>
          </w:hyperlink>
        </w:p>
        <w:p w14:paraId="0CEF2B4E" w14:textId="0D029B11" w:rsidR="00331BC1" w:rsidRDefault="003701E7">
          <w:pPr>
            <w:pStyle w:val="TOC2"/>
            <w:rPr>
              <w:rFonts w:asciiTheme="minorHAnsi" w:eastAsiaTheme="minorEastAsia" w:hAnsiTheme="minorHAnsi" w:cstheme="minorBidi"/>
              <w:noProof/>
              <w:sz w:val="22"/>
              <w:lang w:eastAsia="sk-SK"/>
            </w:rPr>
          </w:pPr>
          <w:hyperlink w:anchor="_Toc58230709" w:history="1">
            <w:r w:rsidR="00331BC1" w:rsidRPr="004F7C9B">
              <w:rPr>
                <w:rStyle w:val="Hyperlink"/>
                <w:noProof/>
                <w:u w:color="000000"/>
                <w:bdr w:val="nil"/>
              </w:rPr>
              <w:t>•</w:t>
            </w:r>
            <w:r w:rsidR="00331BC1">
              <w:rPr>
                <w:rFonts w:asciiTheme="minorHAnsi" w:eastAsiaTheme="minorEastAsia" w:hAnsiTheme="minorHAnsi" w:cstheme="minorBidi"/>
                <w:noProof/>
                <w:sz w:val="22"/>
                <w:lang w:eastAsia="sk-SK"/>
              </w:rPr>
              <w:tab/>
            </w:r>
            <w:r w:rsidR="00331BC1" w:rsidRPr="004F7C9B">
              <w:rPr>
                <w:rStyle w:val="Hyperlink"/>
                <w:noProof/>
              </w:rPr>
              <w:t>Súlad s existujúcimi opatreniami Únie v tejto oblasti</w:t>
            </w:r>
            <w:r w:rsidR="00331BC1">
              <w:rPr>
                <w:noProof/>
                <w:webHidden/>
              </w:rPr>
              <w:tab/>
            </w:r>
            <w:r w:rsidR="00331BC1">
              <w:rPr>
                <w:noProof/>
                <w:webHidden/>
              </w:rPr>
              <w:fldChar w:fldCharType="begin"/>
            </w:r>
            <w:r w:rsidR="00331BC1">
              <w:rPr>
                <w:noProof/>
                <w:webHidden/>
              </w:rPr>
              <w:instrText xml:space="preserve"> PAGEREF _Toc58230709 \h </w:instrText>
            </w:r>
            <w:r w:rsidR="00331BC1">
              <w:rPr>
                <w:noProof/>
                <w:webHidden/>
              </w:rPr>
            </w:r>
            <w:r w:rsidR="00331BC1">
              <w:rPr>
                <w:noProof/>
                <w:webHidden/>
              </w:rPr>
              <w:fldChar w:fldCharType="separate"/>
            </w:r>
            <w:r w:rsidR="00331BC1">
              <w:rPr>
                <w:noProof/>
                <w:webHidden/>
              </w:rPr>
              <w:t>1</w:t>
            </w:r>
            <w:r w:rsidR="00331BC1">
              <w:rPr>
                <w:noProof/>
                <w:webHidden/>
              </w:rPr>
              <w:fldChar w:fldCharType="end"/>
            </w:r>
          </w:hyperlink>
        </w:p>
        <w:p w14:paraId="4E5D17A4" w14:textId="054298DF" w:rsidR="00331BC1" w:rsidRDefault="003701E7">
          <w:pPr>
            <w:pStyle w:val="TOC2"/>
            <w:rPr>
              <w:rFonts w:asciiTheme="minorHAnsi" w:eastAsiaTheme="minorEastAsia" w:hAnsiTheme="minorHAnsi" w:cstheme="minorBidi"/>
              <w:noProof/>
              <w:sz w:val="22"/>
              <w:lang w:eastAsia="sk-SK"/>
            </w:rPr>
          </w:pPr>
          <w:hyperlink w:anchor="_Toc58230710" w:history="1">
            <w:r w:rsidR="00331BC1" w:rsidRPr="004F7C9B">
              <w:rPr>
                <w:rStyle w:val="Hyperlink"/>
                <w:noProof/>
                <w:u w:color="000000"/>
                <w:bdr w:val="nil"/>
              </w:rPr>
              <w:t>•</w:t>
            </w:r>
            <w:r w:rsidR="00331BC1">
              <w:rPr>
                <w:rFonts w:asciiTheme="minorHAnsi" w:eastAsiaTheme="minorEastAsia" w:hAnsiTheme="minorHAnsi" w:cstheme="minorBidi"/>
                <w:noProof/>
                <w:sz w:val="22"/>
                <w:lang w:eastAsia="sk-SK"/>
              </w:rPr>
              <w:tab/>
            </w:r>
            <w:r w:rsidR="00331BC1" w:rsidRPr="004F7C9B">
              <w:rPr>
                <w:rStyle w:val="Hyperlink"/>
                <w:noProof/>
              </w:rPr>
              <w:t>Súlad s ostatnými politikami Únie</w:t>
            </w:r>
            <w:r w:rsidR="00331BC1">
              <w:rPr>
                <w:noProof/>
                <w:webHidden/>
              </w:rPr>
              <w:tab/>
            </w:r>
            <w:r w:rsidR="00331BC1">
              <w:rPr>
                <w:noProof/>
                <w:webHidden/>
              </w:rPr>
              <w:fldChar w:fldCharType="begin"/>
            </w:r>
            <w:r w:rsidR="00331BC1">
              <w:rPr>
                <w:noProof/>
                <w:webHidden/>
              </w:rPr>
              <w:instrText xml:space="preserve"> PAGEREF _Toc58230710 \h </w:instrText>
            </w:r>
            <w:r w:rsidR="00331BC1">
              <w:rPr>
                <w:noProof/>
                <w:webHidden/>
              </w:rPr>
            </w:r>
            <w:r w:rsidR="00331BC1">
              <w:rPr>
                <w:noProof/>
                <w:webHidden/>
              </w:rPr>
              <w:fldChar w:fldCharType="separate"/>
            </w:r>
            <w:r w:rsidR="00331BC1">
              <w:rPr>
                <w:noProof/>
                <w:webHidden/>
              </w:rPr>
              <w:t>1</w:t>
            </w:r>
            <w:r w:rsidR="00331BC1">
              <w:rPr>
                <w:noProof/>
                <w:webHidden/>
              </w:rPr>
              <w:fldChar w:fldCharType="end"/>
            </w:r>
          </w:hyperlink>
        </w:p>
        <w:p w14:paraId="6460D348" w14:textId="3CF897F4" w:rsidR="00331BC1" w:rsidRDefault="003701E7">
          <w:pPr>
            <w:pStyle w:val="TOC1"/>
            <w:rPr>
              <w:rFonts w:asciiTheme="minorHAnsi" w:eastAsiaTheme="minorEastAsia" w:hAnsiTheme="minorHAnsi" w:cstheme="minorBidi"/>
              <w:noProof/>
              <w:sz w:val="22"/>
              <w:lang w:eastAsia="sk-SK"/>
            </w:rPr>
          </w:pPr>
          <w:hyperlink w:anchor="_Toc58230711" w:history="1">
            <w:r w:rsidR="00331BC1" w:rsidRPr="004F7C9B">
              <w:rPr>
                <w:rStyle w:val="Hyperlink"/>
                <w:noProof/>
              </w:rPr>
              <w:t>2.</w:t>
            </w:r>
            <w:r w:rsidR="00331BC1">
              <w:rPr>
                <w:rFonts w:asciiTheme="minorHAnsi" w:eastAsiaTheme="minorEastAsia" w:hAnsiTheme="minorHAnsi" w:cstheme="minorBidi"/>
                <w:noProof/>
                <w:sz w:val="22"/>
                <w:lang w:eastAsia="sk-SK"/>
              </w:rPr>
              <w:tab/>
            </w:r>
            <w:r w:rsidR="00331BC1" w:rsidRPr="004F7C9B">
              <w:rPr>
                <w:rStyle w:val="Hyperlink"/>
                <w:noProof/>
              </w:rPr>
              <w:t>PRÁVNY ZÁKLAD, SUBSIDIARITA A PROPORCIONALITA</w:t>
            </w:r>
            <w:r w:rsidR="00331BC1">
              <w:rPr>
                <w:noProof/>
                <w:webHidden/>
              </w:rPr>
              <w:tab/>
            </w:r>
            <w:r w:rsidR="00331BC1">
              <w:rPr>
                <w:noProof/>
                <w:webHidden/>
              </w:rPr>
              <w:fldChar w:fldCharType="begin"/>
            </w:r>
            <w:r w:rsidR="00331BC1">
              <w:rPr>
                <w:noProof/>
                <w:webHidden/>
              </w:rPr>
              <w:instrText xml:space="preserve"> PAGEREF _Toc58230711 \h </w:instrText>
            </w:r>
            <w:r w:rsidR="00331BC1">
              <w:rPr>
                <w:noProof/>
                <w:webHidden/>
              </w:rPr>
            </w:r>
            <w:r w:rsidR="00331BC1">
              <w:rPr>
                <w:noProof/>
                <w:webHidden/>
              </w:rPr>
              <w:fldChar w:fldCharType="separate"/>
            </w:r>
            <w:r w:rsidR="00331BC1">
              <w:rPr>
                <w:noProof/>
                <w:webHidden/>
              </w:rPr>
              <w:t>2</w:t>
            </w:r>
            <w:r w:rsidR="00331BC1">
              <w:rPr>
                <w:noProof/>
                <w:webHidden/>
              </w:rPr>
              <w:fldChar w:fldCharType="end"/>
            </w:r>
          </w:hyperlink>
        </w:p>
        <w:p w14:paraId="71964FCA" w14:textId="55D9C282" w:rsidR="00331BC1" w:rsidRDefault="003701E7">
          <w:pPr>
            <w:pStyle w:val="TOC2"/>
            <w:rPr>
              <w:rFonts w:asciiTheme="minorHAnsi" w:eastAsiaTheme="minorEastAsia" w:hAnsiTheme="minorHAnsi" w:cstheme="minorBidi"/>
              <w:noProof/>
              <w:sz w:val="22"/>
              <w:lang w:eastAsia="sk-SK"/>
            </w:rPr>
          </w:pPr>
          <w:hyperlink w:anchor="_Toc58230712" w:history="1">
            <w:r w:rsidR="00331BC1" w:rsidRPr="004F7C9B">
              <w:rPr>
                <w:rStyle w:val="Hyperlink"/>
                <w:noProof/>
                <w:u w:color="000000"/>
                <w:bdr w:val="nil"/>
              </w:rPr>
              <w:t>•</w:t>
            </w:r>
            <w:r w:rsidR="00331BC1">
              <w:rPr>
                <w:rFonts w:asciiTheme="minorHAnsi" w:eastAsiaTheme="minorEastAsia" w:hAnsiTheme="minorHAnsi" w:cstheme="minorBidi"/>
                <w:noProof/>
                <w:sz w:val="22"/>
                <w:lang w:eastAsia="sk-SK"/>
              </w:rPr>
              <w:tab/>
            </w:r>
            <w:r w:rsidR="00331BC1" w:rsidRPr="004F7C9B">
              <w:rPr>
                <w:rStyle w:val="Hyperlink"/>
                <w:noProof/>
                <w:u w:color="000000"/>
                <w:bdr w:val="nil"/>
              </w:rPr>
              <w:t>Právny základ</w:t>
            </w:r>
            <w:r w:rsidR="00331BC1">
              <w:rPr>
                <w:noProof/>
                <w:webHidden/>
              </w:rPr>
              <w:tab/>
            </w:r>
            <w:r w:rsidR="00331BC1">
              <w:rPr>
                <w:noProof/>
                <w:webHidden/>
              </w:rPr>
              <w:fldChar w:fldCharType="begin"/>
            </w:r>
            <w:r w:rsidR="00331BC1">
              <w:rPr>
                <w:noProof/>
                <w:webHidden/>
              </w:rPr>
              <w:instrText xml:space="preserve"> PAGEREF _Toc58230712 \h </w:instrText>
            </w:r>
            <w:r w:rsidR="00331BC1">
              <w:rPr>
                <w:noProof/>
                <w:webHidden/>
              </w:rPr>
            </w:r>
            <w:r w:rsidR="00331BC1">
              <w:rPr>
                <w:noProof/>
                <w:webHidden/>
              </w:rPr>
              <w:fldChar w:fldCharType="separate"/>
            </w:r>
            <w:r w:rsidR="00331BC1">
              <w:rPr>
                <w:noProof/>
                <w:webHidden/>
              </w:rPr>
              <w:t>2</w:t>
            </w:r>
            <w:r w:rsidR="00331BC1">
              <w:rPr>
                <w:noProof/>
                <w:webHidden/>
              </w:rPr>
              <w:fldChar w:fldCharType="end"/>
            </w:r>
          </w:hyperlink>
        </w:p>
        <w:p w14:paraId="2E7FE208" w14:textId="0F8BD4DB" w:rsidR="00331BC1" w:rsidRDefault="003701E7">
          <w:pPr>
            <w:pStyle w:val="TOC2"/>
            <w:rPr>
              <w:rFonts w:asciiTheme="minorHAnsi" w:eastAsiaTheme="minorEastAsia" w:hAnsiTheme="minorHAnsi" w:cstheme="minorBidi"/>
              <w:noProof/>
              <w:sz w:val="22"/>
              <w:lang w:eastAsia="sk-SK"/>
            </w:rPr>
          </w:pPr>
          <w:hyperlink w:anchor="_Toc58230713" w:history="1">
            <w:r w:rsidR="00331BC1" w:rsidRPr="004F7C9B">
              <w:rPr>
                <w:rStyle w:val="Hyperlink"/>
                <w:noProof/>
                <w:u w:color="000000"/>
                <w:bdr w:val="nil"/>
              </w:rPr>
              <w:t>•</w:t>
            </w:r>
            <w:r w:rsidR="00331BC1">
              <w:rPr>
                <w:rFonts w:asciiTheme="minorHAnsi" w:eastAsiaTheme="minorEastAsia" w:hAnsiTheme="minorHAnsi" w:cstheme="minorBidi"/>
                <w:noProof/>
                <w:sz w:val="22"/>
                <w:lang w:eastAsia="sk-SK"/>
              </w:rPr>
              <w:tab/>
            </w:r>
            <w:r w:rsidR="00331BC1" w:rsidRPr="004F7C9B">
              <w:rPr>
                <w:rStyle w:val="Hyperlink"/>
                <w:noProof/>
                <w:u w:color="000000"/>
                <w:bdr w:val="nil"/>
              </w:rPr>
              <w:t>Subsidiarita (v prípade inej ako výlučnej právomoci)</w:t>
            </w:r>
            <w:r w:rsidR="00331BC1">
              <w:rPr>
                <w:noProof/>
                <w:webHidden/>
              </w:rPr>
              <w:tab/>
            </w:r>
            <w:r w:rsidR="00331BC1">
              <w:rPr>
                <w:noProof/>
                <w:webHidden/>
              </w:rPr>
              <w:fldChar w:fldCharType="begin"/>
            </w:r>
            <w:r w:rsidR="00331BC1">
              <w:rPr>
                <w:noProof/>
                <w:webHidden/>
              </w:rPr>
              <w:instrText xml:space="preserve"> PAGEREF _Toc58230713 \h </w:instrText>
            </w:r>
            <w:r w:rsidR="00331BC1">
              <w:rPr>
                <w:noProof/>
                <w:webHidden/>
              </w:rPr>
            </w:r>
            <w:r w:rsidR="00331BC1">
              <w:rPr>
                <w:noProof/>
                <w:webHidden/>
              </w:rPr>
              <w:fldChar w:fldCharType="separate"/>
            </w:r>
            <w:r w:rsidR="00331BC1">
              <w:rPr>
                <w:noProof/>
                <w:webHidden/>
              </w:rPr>
              <w:t>2</w:t>
            </w:r>
            <w:r w:rsidR="00331BC1">
              <w:rPr>
                <w:noProof/>
                <w:webHidden/>
              </w:rPr>
              <w:fldChar w:fldCharType="end"/>
            </w:r>
          </w:hyperlink>
        </w:p>
        <w:p w14:paraId="7B0F2B3D" w14:textId="17477C6D" w:rsidR="00331BC1" w:rsidRDefault="003701E7">
          <w:pPr>
            <w:pStyle w:val="TOC2"/>
            <w:rPr>
              <w:rFonts w:asciiTheme="minorHAnsi" w:eastAsiaTheme="minorEastAsia" w:hAnsiTheme="minorHAnsi" w:cstheme="minorBidi"/>
              <w:noProof/>
              <w:sz w:val="22"/>
              <w:lang w:eastAsia="sk-SK"/>
            </w:rPr>
          </w:pPr>
          <w:hyperlink w:anchor="_Toc58230714" w:history="1">
            <w:r w:rsidR="00331BC1" w:rsidRPr="004F7C9B">
              <w:rPr>
                <w:rStyle w:val="Hyperlink"/>
                <w:noProof/>
                <w:u w:color="000000"/>
                <w:bdr w:val="nil"/>
              </w:rPr>
              <w:t>•</w:t>
            </w:r>
            <w:r w:rsidR="00331BC1">
              <w:rPr>
                <w:rFonts w:asciiTheme="minorHAnsi" w:eastAsiaTheme="minorEastAsia" w:hAnsiTheme="minorHAnsi" w:cstheme="minorBidi"/>
                <w:noProof/>
                <w:sz w:val="22"/>
                <w:lang w:eastAsia="sk-SK"/>
              </w:rPr>
              <w:tab/>
            </w:r>
            <w:r w:rsidR="00331BC1" w:rsidRPr="004F7C9B">
              <w:rPr>
                <w:rStyle w:val="Hyperlink"/>
                <w:noProof/>
                <w:u w:color="000000"/>
                <w:bdr w:val="nil"/>
              </w:rPr>
              <w:t>Proporcionalita</w:t>
            </w:r>
            <w:r w:rsidR="00331BC1">
              <w:rPr>
                <w:noProof/>
                <w:webHidden/>
              </w:rPr>
              <w:tab/>
            </w:r>
            <w:r w:rsidR="00331BC1">
              <w:rPr>
                <w:noProof/>
                <w:webHidden/>
              </w:rPr>
              <w:fldChar w:fldCharType="begin"/>
            </w:r>
            <w:r w:rsidR="00331BC1">
              <w:rPr>
                <w:noProof/>
                <w:webHidden/>
              </w:rPr>
              <w:instrText xml:space="preserve"> PAGEREF _Toc58230714 \h </w:instrText>
            </w:r>
            <w:r w:rsidR="00331BC1">
              <w:rPr>
                <w:noProof/>
                <w:webHidden/>
              </w:rPr>
            </w:r>
            <w:r w:rsidR="00331BC1">
              <w:rPr>
                <w:noProof/>
                <w:webHidden/>
              </w:rPr>
              <w:fldChar w:fldCharType="separate"/>
            </w:r>
            <w:r w:rsidR="00331BC1">
              <w:rPr>
                <w:noProof/>
                <w:webHidden/>
              </w:rPr>
              <w:t>2</w:t>
            </w:r>
            <w:r w:rsidR="00331BC1">
              <w:rPr>
                <w:noProof/>
                <w:webHidden/>
              </w:rPr>
              <w:fldChar w:fldCharType="end"/>
            </w:r>
          </w:hyperlink>
        </w:p>
        <w:p w14:paraId="0FFAB74D" w14:textId="60B09D9E" w:rsidR="00331BC1" w:rsidRDefault="003701E7">
          <w:pPr>
            <w:pStyle w:val="TOC2"/>
            <w:rPr>
              <w:rFonts w:asciiTheme="minorHAnsi" w:eastAsiaTheme="minorEastAsia" w:hAnsiTheme="minorHAnsi" w:cstheme="minorBidi"/>
              <w:noProof/>
              <w:sz w:val="22"/>
              <w:lang w:eastAsia="sk-SK"/>
            </w:rPr>
          </w:pPr>
          <w:hyperlink w:anchor="_Toc58230715" w:history="1">
            <w:r w:rsidR="00331BC1" w:rsidRPr="004F7C9B">
              <w:rPr>
                <w:rStyle w:val="Hyperlink"/>
                <w:noProof/>
                <w:u w:color="000000"/>
                <w:bdr w:val="nil"/>
              </w:rPr>
              <w:t>•</w:t>
            </w:r>
            <w:r w:rsidR="00331BC1">
              <w:rPr>
                <w:rFonts w:asciiTheme="minorHAnsi" w:eastAsiaTheme="minorEastAsia" w:hAnsiTheme="minorHAnsi" w:cstheme="minorBidi"/>
                <w:noProof/>
                <w:sz w:val="22"/>
                <w:lang w:eastAsia="sk-SK"/>
              </w:rPr>
              <w:tab/>
            </w:r>
            <w:r w:rsidR="00331BC1" w:rsidRPr="004F7C9B">
              <w:rPr>
                <w:rStyle w:val="Hyperlink"/>
                <w:noProof/>
                <w:u w:color="000000"/>
                <w:bdr w:val="nil"/>
              </w:rPr>
              <w:t>Výber nástroja</w:t>
            </w:r>
            <w:r w:rsidR="00331BC1">
              <w:rPr>
                <w:noProof/>
                <w:webHidden/>
              </w:rPr>
              <w:tab/>
            </w:r>
            <w:r w:rsidR="00331BC1">
              <w:rPr>
                <w:noProof/>
                <w:webHidden/>
              </w:rPr>
              <w:fldChar w:fldCharType="begin"/>
            </w:r>
            <w:r w:rsidR="00331BC1">
              <w:rPr>
                <w:noProof/>
                <w:webHidden/>
              </w:rPr>
              <w:instrText xml:space="preserve"> PAGEREF _Toc58230715 \h </w:instrText>
            </w:r>
            <w:r w:rsidR="00331BC1">
              <w:rPr>
                <w:noProof/>
                <w:webHidden/>
              </w:rPr>
            </w:r>
            <w:r w:rsidR="00331BC1">
              <w:rPr>
                <w:noProof/>
                <w:webHidden/>
              </w:rPr>
              <w:fldChar w:fldCharType="separate"/>
            </w:r>
            <w:r w:rsidR="00331BC1">
              <w:rPr>
                <w:noProof/>
                <w:webHidden/>
              </w:rPr>
              <w:t>2</w:t>
            </w:r>
            <w:r w:rsidR="00331BC1">
              <w:rPr>
                <w:noProof/>
                <w:webHidden/>
              </w:rPr>
              <w:fldChar w:fldCharType="end"/>
            </w:r>
          </w:hyperlink>
        </w:p>
        <w:p w14:paraId="2056CD6E" w14:textId="229A74B3" w:rsidR="00331BC1" w:rsidRDefault="003701E7">
          <w:pPr>
            <w:pStyle w:val="TOC1"/>
            <w:rPr>
              <w:rFonts w:asciiTheme="minorHAnsi" w:eastAsiaTheme="minorEastAsia" w:hAnsiTheme="minorHAnsi" w:cstheme="minorBidi"/>
              <w:noProof/>
              <w:sz w:val="22"/>
              <w:lang w:eastAsia="sk-SK"/>
            </w:rPr>
          </w:pPr>
          <w:hyperlink w:anchor="_Toc58230716" w:history="1">
            <w:r w:rsidR="00331BC1" w:rsidRPr="004F7C9B">
              <w:rPr>
                <w:rStyle w:val="Hyperlink"/>
                <w:noProof/>
              </w:rPr>
              <w:t>3.</w:t>
            </w:r>
            <w:r w:rsidR="00331BC1">
              <w:rPr>
                <w:rFonts w:asciiTheme="minorHAnsi" w:eastAsiaTheme="minorEastAsia" w:hAnsiTheme="minorHAnsi" w:cstheme="minorBidi"/>
                <w:noProof/>
                <w:sz w:val="22"/>
                <w:lang w:eastAsia="sk-SK"/>
              </w:rPr>
              <w:tab/>
            </w:r>
            <w:r w:rsidR="00331BC1" w:rsidRPr="004F7C9B">
              <w:rPr>
                <w:rStyle w:val="Hyperlink"/>
                <w:noProof/>
              </w:rPr>
              <w:t xml:space="preserve">VÝSLEDKY HODNOTENÍ </w:t>
            </w:r>
            <w:r w:rsidR="00331BC1" w:rsidRPr="004F7C9B">
              <w:rPr>
                <w:rStyle w:val="Hyperlink"/>
                <w:i/>
                <w:iCs/>
                <w:noProof/>
              </w:rPr>
              <w:t>EX POST</w:t>
            </w:r>
            <w:r w:rsidR="00331BC1" w:rsidRPr="004F7C9B">
              <w:rPr>
                <w:rStyle w:val="Hyperlink"/>
                <w:noProof/>
              </w:rPr>
              <w:t>, KONZULTÁCIÍ SO ZAINTERESOVANÝMI STRANAMI A POSÚDENÍ VPLYVU</w:t>
            </w:r>
            <w:r w:rsidR="00331BC1">
              <w:rPr>
                <w:noProof/>
                <w:webHidden/>
              </w:rPr>
              <w:tab/>
            </w:r>
            <w:r w:rsidR="00331BC1">
              <w:rPr>
                <w:noProof/>
                <w:webHidden/>
              </w:rPr>
              <w:fldChar w:fldCharType="begin"/>
            </w:r>
            <w:r w:rsidR="00331BC1">
              <w:rPr>
                <w:noProof/>
                <w:webHidden/>
              </w:rPr>
              <w:instrText xml:space="preserve"> PAGEREF _Toc58230716 \h </w:instrText>
            </w:r>
            <w:r w:rsidR="00331BC1">
              <w:rPr>
                <w:noProof/>
                <w:webHidden/>
              </w:rPr>
            </w:r>
            <w:r w:rsidR="00331BC1">
              <w:rPr>
                <w:noProof/>
                <w:webHidden/>
              </w:rPr>
              <w:fldChar w:fldCharType="separate"/>
            </w:r>
            <w:r w:rsidR="00331BC1">
              <w:rPr>
                <w:noProof/>
                <w:webHidden/>
              </w:rPr>
              <w:t>3</w:t>
            </w:r>
            <w:r w:rsidR="00331BC1">
              <w:rPr>
                <w:noProof/>
                <w:webHidden/>
              </w:rPr>
              <w:fldChar w:fldCharType="end"/>
            </w:r>
          </w:hyperlink>
        </w:p>
        <w:p w14:paraId="3D13C13D" w14:textId="02C4E8A1" w:rsidR="00331BC1" w:rsidRDefault="003701E7">
          <w:pPr>
            <w:pStyle w:val="TOC2"/>
            <w:rPr>
              <w:rFonts w:asciiTheme="minorHAnsi" w:eastAsiaTheme="minorEastAsia" w:hAnsiTheme="minorHAnsi" w:cstheme="minorBidi"/>
              <w:noProof/>
              <w:sz w:val="22"/>
              <w:lang w:eastAsia="sk-SK"/>
            </w:rPr>
          </w:pPr>
          <w:hyperlink w:anchor="_Toc58230717" w:history="1">
            <w:r w:rsidR="00331BC1" w:rsidRPr="004F7C9B">
              <w:rPr>
                <w:rStyle w:val="Hyperlink"/>
                <w:noProof/>
                <w:u w:color="000000"/>
                <w:bdr w:val="nil"/>
              </w:rPr>
              <w:t>•</w:t>
            </w:r>
            <w:r w:rsidR="00331BC1">
              <w:rPr>
                <w:rFonts w:asciiTheme="minorHAnsi" w:eastAsiaTheme="minorEastAsia" w:hAnsiTheme="minorHAnsi" w:cstheme="minorBidi"/>
                <w:noProof/>
                <w:sz w:val="22"/>
                <w:lang w:eastAsia="sk-SK"/>
              </w:rPr>
              <w:tab/>
            </w:r>
            <w:r w:rsidR="00331BC1" w:rsidRPr="004F7C9B">
              <w:rPr>
                <w:rStyle w:val="Hyperlink"/>
                <w:noProof/>
                <w:u w:color="000000"/>
                <w:bdr w:val="nil"/>
              </w:rPr>
              <w:t xml:space="preserve">Hodnotenia </w:t>
            </w:r>
            <w:r w:rsidR="00331BC1" w:rsidRPr="004F7C9B">
              <w:rPr>
                <w:rStyle w:val="Hyperlink"/>
                <w:i/>
                <w:iCs/>
                <w:noProof/>
                <w:u w:color="000000"/>
                <w:bdr w:val="nil"/>
              </w:rPr>
              <w:t>ex post</w:t>
            </w:r>
            <w:r w:rsidR="00331BC1" w:rsidRPr="004F7C9B">
              <w:rPr>
                <w:rStyle w:val="Hyperlink"/>
                <w:noProof/>
                <w:u w:color="000000"/>
                <w:bdr w:val="nil"/>
              </w:rPr>
              <w:t>/kontroly vhodnosti existujúcich právnych predpisov</w:t>
            </w:r>
            <w:r w:rsidR="00331BC1">
              <w:rPr>
                <w:noProof/>
                <w:webHidden/>
              </w:rPr>
              <w:tab/>
            </w:r>
            <w:r w:rsidR="00331BC1">
              <w:rPr>
                <w:noProof/>
                <w:webHidden/>
              </w:rPr>
              <w:fldChar w:fldCharType="begin"/>
            </w:r>
            <w:r w:rsidR="00331BC1">
              <w:rPr>
                <w:noProof/>
                <w:webHidden/>
              </w:rPr>
              <w:instrText xml:space="preserve"> PAGEREF _Toc58230717 \h </w:instrText>
            </w:r>
            <w:r w:rsidR="00331BC1">
              <w:rPr>
                <w:noProof/>
                <w:webHidden/>
              </w:rPr>
            </w:r>
            <w:r w:rsidR="00331BC1">
              <w:rPr>
                <w:noProof/>
                <w:webHidden/>
              </w:rPr>
              <w:fldChar w:fldCharType="separate"/>
            </w:r>
            <w:r w:rsidR="00331BC1">
              <w:rPr>
                <w:noProof/>
                <w:webHidden/>
              </w:rPr>
              <w:t>3</w:t>
            </w:r>
            <w:r w:rsidR="00331BC1">
              <w:rPr>
                <w:noProof/>
                <w:webHidden/>
              </w:rPr>
              <w:fldChar w:fldCharType="end"/>
            </w:r>
          </w:hyperlink>
        </w:p>
        <w:p w14:paraId="39E9178E" w14:textId="737A8408" w:rsidR="00331BC1" w:rsidRDefault="003701E7">
          <w:pPr>
            <w:pStyle w:val="TOC2"/>
            <w:rPr>
              <w:rFonts w:asciiTheme="minorHAnsi" w:eastAsiaTheme="minorEastAsia" w:hAnsiTheme="minorHAnsi" w:cstheme="minorBidi"/>
              <w:noProof/>
              <w:sz w:val="22"/>
              <w:lang w:eastAsia="sk-SK"/>
            </w:rPr>
          </w:pPr>
          <w:hyperlink w:anchor="_Toc58230718" w:history="1">
            <w:r w:rsidR="00331BC1" w:rsidRPr="004F7C9B">
              <w:rPr>
                <w:rStyle w:val="Hyperlink"/>
                <w:noProof/>
                <w:u w:color="000000"/>
                <w:bdr w:val="nil"/>
              </w:rPr>
              <w:t>•</w:t>
            </w:r>
            <w:r w:rsidR="00331BC1">
              <w:rPr>
                <w:rFonts w:asciiTheme="minorHAnsi" w:eastAsiaTheme="minorEastAsia" w:hAnsiTheme="minorHAnsi" w:cstheme="minorBidi"/>
                <w:noProof/>
                <w:sz w:val="22"/>
                <w:lang w:eastAsia="sk-SK"/>
              </w:rPr>
              <w:tab/>
            </w:r>
            <w:r w:rsidR="00331BC1" w:rsidRPr="004F7C9B">
              <w:rPr>
                <w:rStyle w:val="Hyperlink"/>
                <w:noProof/>
                <w:u w:color="000000"/>
                <w:bdr w:val="nil"/>
              </w:rPr>
              <w:t>Konzultácie so zainteresovanými stranami</w:t>
            </w:r>
            <w:r w:rsidR="00331BC1">
              <w:rPr>
                <w:noProof/>
                <w:webHidden/>
              </w:rPr>
              <w:tab/>
            </w:r>
            <w:r w:rsidR="00331BC1">
              <w:rPr>
                <w:noProof/>
                <w:webHidden/>
              </w:rPr>
              <w:fldChar w:fldCharType="begin"/>
            </w:r>
            <w:r w:rsidR="00331BC1">
              <w:rPr>
                <w:noProof/>
                <w:webHidden/>
              </w:rPr>
              <w:instrText xml:space="preserve"> PAGEREF _Toc58230718 \h </w:instrText>
            </w:r>
            <w:r w:rsidR="00331BC1">
              <w:rPr>
                <w:noProof/>
                <w:webHidden/>
              </w:rPr>
            </w:r>
            <w:r w:rsidR="00331BC1">
              <w:rPr>
                <w:noProof/>
                <w:webHidden/>
              </w:rPr>
              <w:fldChar w:fldCharType="separate"/>
            </w:r>
            <w:r w:rsidR="00331BC1">
              <w:rPr>
                <w:noProof/>
                <w:webHidden/>
              </w:rPr>
              <w:t>3</w:t>
            </w:r>
            <w:r w:rsidR="00331BC1">
              <w:rPr>
                <w:noProof/>
                <w:webHidden/>
              </w:rPr>
              <w:fldChar w:fldCharType="end"/>
            </w:r>
          </w:hyperlink>
        </w:p>
        <w:p w14:paraId="3E39669F" w14:textId="104F30FF" w:rsidR="00331BC1" w:rsidRDefault="003701E7">
          <w:pPr>
            <w:pStyle w:val="TOC2"/>
            <w:rPr>
              <w:rFonts w:asciiTheme="minorHAnsi" w:eastAsiaTheme="minorEastAsia" w:hAnsiTheme="minorHAnsi" w:cstheme="minorBidi"/>
              <w:noProof/>
              <w:sz w:val="22"/>
              <w:lang w:eastAsia="sk-SK"/>
            </w:rPr>
          </w:pPr>
          <w:hyperlink w:anchor="_Toc58230719" w:history="1">
            <w:r w:rsidR="00331BC1" w:rsidRPr="004F7C9B">
              <w:rPr>
                <w:rStyle w:val="Hyperlink"/>
                <w:noProof/>
                <w:u w:color="000000"/>
                <w:bdr w:val="nil"/>
              </w:rPr>
              <w:t>•</w:t>
            </w:r>
            <w:r w:rsidR="00331BC1">
              <w:rPr>
                <w:rFonts w:asciiTheme="minorHAnsi" w:eastAsiaTheme="minorEastAsia" w:hAnsiTheme="minorHAnsi" w:cstheme="minorBidi"/>
                <w:noProof/>
                <w:sz w:val="22"/>
                <w:lang w:eastAsia="sk-SK"/>
              </w:rPr>
              <w:tab/>
            </w:r>
            <w:r w:rsidR="00331BC1" w:rsidRPr="004F7C9B">
              <w:rPr>
                <w:rStyle w:val="Hyperlink"/>
                <w:noProof/>
                <w:u w:color="000000"/>
                <w:bdr w:val="nil"/>
              </w:rPr>
              <w:t>Posúdenie vplyvu</w:t>
            </w:r>
            <w:r w:rsidR="00331BC1">
              <w:rPr>
                <w:noProof/>
                <w:webHidden/>
              </w:rPr>
              <w:tab/>
            </w:r>
            <w:r w:rsidR="00331BC1">
              <w:rPr>
                <w:noProof/>
                <w:webHidden/>
              </w:rPr>
              <w:fldChar w:fldCharType="begin"/>
            </w:r>
            <w:r w:rsidR="00331BC1">
              <w:rPr>
                <w:noProof/>
                <w:webHidden/>
              </w:rPr>
              <w:instrText xml:space="preserve"> PAGEREF _Toc58230719 \h </w:instrText>
            </w:r>
            <w:r w:rsidR="00331BC1">
              <w:rPr>
                <w:noProof/>
                <w:webHidden/>
              </w:rPr>
            </w:r>
            <w:r w:rsidR="00331BC1">
              <w:rPr>
                <w:noProof/>
                <w:webHidden/>
              </w:rPr>
              <w:fldChar w:fldCharType="separate"/>
            </w:r>
            <w:r w:rsidR="00331BC1">
              <w:rPr>
                <w:noProof/>
                <w:webHidden/>
              </w:rPr>
              <w:t>3</w:t>
            </w:r>
            <w:r w:rsidR="00331BC1">
              <w:rPr>
                <w:noProof/>
                <w:webHidden/>
              </w:rPr>
              <w:fldChar w:fldCharType="end"/>
            </w:r>
          </w:hyperlink>
        </w:p>
        <w:p w14:paraId="3B22B8E7" w14:textId="7D2D5E42" w:rsidR="00331BC1" w:rsidRDefault="003701E7">
          <w:pPr>
            <w:pStyle w:val="TOC2"/>
            <w:rPr>
              <w:rFonts w:asciiTheme="minorHAnsi" w:eastAsiaTheme="minorEastAsia" w:hAnsiTheme="minorHAnsi" w:cstheme="minorBidi"/>
              <w:noProof/>
              <w:sz w:val="22"/>
              <w:lang w:eastAsia="sk-SK"/>
            </w:rPr>
          </w:pPr>
          <w:hyperlink w:anchor="_Toc58230720" w:history="1">
            <w:r w:rsidR="00331BC1" w:rsidRPr="004F7C9B">
              <w:rPr>
                <w:rStyle w:val="Hyperlink"/>
                <w:noProof/>
                <w:u w:color="000000"/>
                <w:bdr w:val="nil"/>
              </w:rPr>
              <w:t>•</w:t>
            </w:r>
            <w:r w:rsidR="00331BC1">
              <w:rPr>
                <w:rFonts w:asciiTheme="minorHAnsi" w:eastAsiaTheme="minorEastAsia" w:hAnsiTheme="minorHAnsi" w:cstheme="minorBidi"/>
                <w:noProof/>
                <w:sz w:val="22"/>
                <w:lang w:eastAsia="sk-SK"/>
              </w:rPr>
              <w:tab/>
            </w:r>
            <w:r w:rsidR="00331BC1" w:rsidRPr="004F7C9B">
              <w:rPr>
                <w:rStyle w:val="Hyperlink"/>
                <w:noProof/>
                <w:u w:color="000000"/>
                <w:bdr w:val="nil"/>
              </w:rPr>
              <w:t>Základné práva</w:t>
            </w:r>
            <w:r w:rsidR="00331BC1">
              <w:rPr>
                <w:noProof/>
                <w:webHidden/>
              </w:rPr>
              <w:tab/>
            </w:r>
            <w:r w:rsidR="00331BC1">
              <w:rPr>
                <w:noProof/>
                <w:webHidden/>
              </w:rPr>
              <w:fldChar w:fldCharType="begin"/>
            </w:r>
            <w:r w:rsidR="00331BC1">
              <w:rPr>
                <w:noProof/>
                <w:webHidden/>
              </w:rPr>
              <w:instrText xml:space="preserve"> PAGEREF _Toc58230720 \h </w:instrText>
            </w:r>
            <w:r w:rsidR="00331BC1">
              <w:rPr>
                <w:noProof/>
                <w:webHidden/>
              </w:rPr>
            </w:r>
            <w:r w:rsidR="00331BC1">
              <w:rPr>
                <w:noProof/>
                <w:webHidden/>
              </w:rPr>
              <w:fldChar w:fldCharType="separate"/>
            </w:r>
            <w:r w:rsidR="00331BC1">
              <w:rPr>
                <w:noProof/>
                <w:webHidden/>
              </w:rPr>
              <w:t>4</w:t>
            </w:r>
            <w:r w:rsidR="00331BC1">
              <w:rPr>
                <w:noProof/>
                <w:webHidden/>
              </w:rPr>
              <w:fldChar w:fldCharType="end"/>
            </w:r>
          </w:hyperlink>
        </w:p>
        <w:p w14:paraId="3E1C5946" w14:textId="4D02E271" w:rsidR="00331BC1" w:rsidRDefault="003701E7">
          <w:pPr>
            <w:pStyle w:val="TOC1"/>
            <w:rPr>
              <w:rFonts w:asciiTheme="minorHAnsi" w:eastAsiaTheme="minorEastAsia" w:hAnsiTheme="minorHAnsi" w:cstheme="minorBidi"/>
              <w:noProof/>
              <w:sz w:val="22"/>
              <w:lang w:eastAsia="sk-SK"/>
            </w:rPr>
          </w:pPr>
          <w:hyperlink w:anchor="_Toc58230721" w:history="1">
            <w:r w:rsidR="00331BC1" w:rsidRPr="004F7C9B">
              <w:rPr>
                <w:rStyle w:val="Hyperlink"/>
                <w:noProof/>
              </w:rPr>
              <w:t>4.</w:t>
            </w:r>
            <w:r w:rsidR="00331BC1">
              <w:rPr>
                <w:rFonts w:asciiTheme="minorHAnsi" w:eastAsiaTheme="minorEastAsia" w:hAnsiTheme="minorHAnsi" w:cstheme="minorBidi"/>
                <w:noProof/>
                <w:sz w:val="22"/>
                <w:lang w:eastAsia="sk-SK"/>
              </w:rPr>
              <w:tab/>
            </w:r>
            <w:r w:rsidR="00331BC1" w:rsidRPr="004F7C9B">
              <w:rPr>
                <w:rStyle w:val="Hyperlink"/>
                <w:noProof/>
              </w:rPr>
              <w:t>VPLYV NA ROZPOČET</w:t>
            </w:r>
            <w:r w:rsidR="00331BC1">
              <w:rPr>
                <w:noProof/>
                <w:webHidden/>
              </w:rPr>
              <w:tab/>
            </w:r>
            <w:r w:rsidR="00331BC1">
              <w:rPr>
                <w:noProof/>
                <w:webHidden/>
              </w:rPr>
              <w:fldChar w:fldCharType="begin"/>
            </w:r>
            <w:r w:rsidR="00331BC1">
              <w:rPr>
                <w:noProof/>
                <w:webHidden/>
              </w:rPr>
              <w:instrText xml:space="preserve"> PAGEREF _Toc58230721 \h </w:instrText>
            </w:r>
            <w:r w:rsidR="00331BC1">
              <w:rPr>
                <w:noProof/>
                <w:webHidden/>
              </w:rPr>
            </w:r>
            <w:r w:rsidR="00331BC1">
              <w:rPr>
                <w:noProof/>
                <w:webHidden/>
              </w:rPr>
              <w:fldChar w:fldCharType="separate"/>
            </w:r>
            <w:r w:rsidR="00331BC1">
              <w:rPr>
                <w:noProof/>
                <w:webHidden/>
              </w:rPr>
              <w:t>4</w:t>
            </w:r>
            <w:r w:rsidR="00331BC1">
              <w:rPr>
                <w:noProof/>
                <w:webHidden/>
              </w:rPr>
              <w:fldChar w:fldCharType="end"/>
            </w:r>
          </w:hyperlink>
        </w:p>
        <w:p w14:paraId="6099A6B9" w14:textId="3C812952" w:rsidR="00331BC1" w:rsidRDefault="003701E7">
          <w:pPr>
            <w:pStyle w:val="TOC1"/>
            <w:rPr>
              <w:rFonts w:asciiTheme="minorHAnsi" w:eastAsiaTheme="minorEastAsia" w:hAnsiTheme="minorHAnsi" w:cstheme="minorBidi"/>
              <w:noProof/>
              <w:sz w:val="22"/>
              <w:lang w:eastAsia="sk-SK"/>
            </w:rPr>
          </w:pPr>
          <w:hyperlink w:anchor="_Toc58230722" w:history="1">
            <w:r w:rsidR="00331BC1" w:rsidRPr="004F7C9B">
              <w:rPr>
                <w:rStyle w:val="Hyperlink"/>
                <w:noProof/>
              </w:rPr>
              <w:t>5.</w:t>
            </w:r>
            <w:r w:rsidR="00331BC1">
              <w:rPr>
                <w:rFonts w:asciiTheme="minorHAnsi" w:eastAsiaTheme="minorEastAsia" w:hAnsiTheme="minorHAnsi" w:cstheme="minorBidi"/>
                <w:noProof/>
                <w:sz w:val="22"/>
                <w:lang w:eastAsia="sk-SK"/>
              </w:rPr>
              <w:tab/>
            </w:r>
            <w:r w:rsidR="00331BC1" w:rsidRPr="004F7C9B">
              <w:rPr>
                <w:rStyle w:val="Hyperlink"/>
                <w:noProof/>
              </w:rPr>
              <w:t>ĎALŠIE PRVKY</w:t>
            </w:r>
            <w:r w:rsidR="00331BC1">
              <w:rPr>
                <w:noProof/>
                <w:webHidden/>
              </w:rPr>
              <w:tab/>
            </w:r>
            <w:r w:rsidR="00331BC1">
              <w:rPr>
                <w:noProof/>
                <w:webHidden/>
              </w:rPr>
              <w:fldChar w:fldCharType="begin"/>
            </w:r>
            <w:r w:rsidR="00331BC1">
              <w:rPr>
                <w:noProof/>
                <w:webHidden/>
              </w:rPr>
              <w:instrText xml:space="preserve"> PAGEREF _Toc58230722 \h </w:instrText>
            </w:r>
            <w:r w:rsidR="00331BC1">
              <w:rPr>
                <w:noProof/>
                <w:webHidden/>
              </w:rPr>
            </w:r>
            <w:r w:rsidR="00331BC1">
              <w:rPr>
                <w:noProof/>
                <w:webHidden/>
              </w:rPr>
              <w:fldChar w:fldCharType="separate"/>
            </w:r>
            <w:r w:rsidR="00331BC1">
              <w:rPr>
                <w:noProof/>
                <w:webHidden/>
              </w:rPr>
              <w:t>4</w:t>
            </w:r>
            <w:r w:rsidR="00331BC1">
              <w:rPr>
                <w:noProof/>
                <w:webHidden/>
              </w:rPr>
              <w:fldChar w:fldCharType="end"/>
            </w:r>
          </w:hyperlink>
        </w:p>
        <w:p w14:paraId="019DEE50" w14:textId="625A3CD0" w:rsidR="00331BC1" w:rsidRDefault="003701E7">
          <w:pPr>
            <w:pStyle w:val="TOC2"/>
            <w:rPr>
              <w:rFonts w:asciiTheme="minorHAnsi" w:eastAsiaTheme="minorEastAsia" w:hAnsiTheme="minorHAnsi" w:cstheme="minorBidi"/>
              <w:noProof/>
              <w:sz w:val="22"/>
              <w:lang w:eastAsia="sk-SK"/>
            </w:rPr>
          </w:pPr>
          <w:hyperlink w:anchor="_Toc58230723" w:history="1">
            <w:r w:rsidR="00331BC1" w:rsidRPr="004F7C9B">
              <w:rPr>
                <w:rStyle w:val="Hyperlink"/>
                <w:noProof/>
                <w:u w:color="000000"/>
                <w:bdr w:val="nil"/>
              </w:rPr>
              <w:t>•</w:t>
            </w:r>
            <w:r w:rsidR="00331BC1">
              <w:rPr>
                <w:rFonts w:asciiTheme="minorHAnsi" w:eastAsiaTheme="minorEastAsia" w:hAnsiTheme="minorHAnsi" w:cstheme="minorBidi"/>
                <w:noProof/>
                <w:sz w:val="22"/>
                <w:lang w:eastAsia="sk-SK"/>
              </w:rPr>
              <w:tab/>
            </w:r>
            <w:r w:rsidR="00331BC1" w:rsidRPr="004F7C9B">
              <w:rPr>
                <w:rStyle w:val="Hyperlink"/>
                <w:noProof/>
                <w:u w:color="000000"/>
                <w:bdr w:val="nil"/>
              </w:rPr>
              <w:t>Podrobné vysvetlenie konkrétnych ustanovení návrhu</w:t>
            </w:r>
            <w:r w:rsidR="00331BC1">
              <w:rPr>
                <w:noProof/>
                <w:webHidden/>
              </w:rPr>
              <w:tab/>
            </w:r>
            <w:r w:rsidR="00331BC1">
              <w:rPr>
                <w:noProof/>
                <w:webHidden/>
              </w:rPr>
              <w:fldChar w:fldCharType="begin"/>
            </w:r>
            <w:r w:rsidR="00331BC1">
              <w:rPr>
                <w:noProof/>
                <w:webHidden/>
              </w:rPr>
              <w:instrText xml:space="preserve"> PAGEREF _Toc58230723 \h </w:instrText>
            </w:r>
            <w:r w:rsidR="00331BC1">
              <w:rPr>
                <w:noProof/>
                <w:webHidden/>
              </w:rPr>
            </w:r>
            <w:r w:rsidR="00331BC1">
              <w:rPr>
                <w:noProof/>
                <w:webHidden/>
              </w:rPr>
              <w:fldChar w:fldCharType="separate"/>
            </w:r>
            <w:r w:rsidR="00331BC1">
              <w:rPr>
                <w:noProof/>
                <w:webHidden/>
              </w:rPr>
              <w:t>4</w:t>
            </w:r>
            <w:r w:rsidR="00331BC1">
              <w:rPr>
                <w:noProof/>
                <w:webHidden/>
              </w:rPr>
              <w:fldChar w:fldCharType="end"/>
            </w:r>
          </w:hyperlink>
        </w:p>
        <w:p w14:paraId="22CC2425" w14:textId="3ED3961C" w:rsidR="00331BC1" w:rsidRDefault="003701E7">
          <w:pPr>
            <w:pStyle w:val="TOC1"/>
            <w:rPr>
              <w:rFonts w:asciiTheme="minorHAnsi" w:eastAsiaTheme="minorEastAsia" w:hAnsiTheme="minorHAnsi" w:cstheme="minorBidi"/>
              <w:noProof/>
              <w:sz w:val="22"/>
              <w:lang w:eastAsia="sk-SK"/>
            </w:rPr>
          </w:pPr>
          <w:hyperlink w:anchor="_Toc58230724" w:history="1">
            <w:r w:rsidR="00331BC1" w:rsidRPr="004F7C9B">
              <w:rPr>
                <w:rStyle w:val="Hyperlink"/>
                <w:noProof/>
              </w:rPr>
              <w:t>1.</w:t>
            </w:r>
            <w:r w:rsidR="00331BC1">
              <w:rPr>
                <w:rFonts w:asciiTheme="minorHAnsi" w:eastAsiaTheme="minorEastAsia" w:hAnsiTheme="minorHAnsi" w:cstheme="minorBidi"/>
                <w:noProof/>
                <w:sz w:val="22"/>
                <w:lang w:eastAsia="sk-SK"/>
              </w:rPr>
              <w:tab/>
            </w:r>
            <w:r w:rsidR="00331BC1" w:rsidRPr="004F7C9B">
              <w:rPr>
                <w:rStyle w:val="Hyperlink"/>
                <w:noProof/>
              </w:rPr>
              <w:t>RÁMEC NÁVRHU/INICIATÍVY</w:t>
            </w:r>
            <w:r w:rsidR="00331BC1">
              <w:rPr>
                <w:noProof/>
                <w:webHidden/>
              </w:rPr>
              <w:tab/>
            </w:r>
            <w:r w:rsidR="00331BC1">
              <w:rPr>
                <w:noProof/>
                <w:webHidden/>
              </w:rPr>
              <w:fldChar w:fldCharType="begin"/>
            </w:r>
            <w:r w:rsidR="00331BC1">
              <w:rPr>
                <w:noProof/>
                <w:webHidden/>
              </w:rPr>
              <w:instrText xml:space="preserve"> PAGEREF _Toc58230724 \h </w:instrText>
            </w:r>
            <w:r w:rsidR="00331BC1">
              <w:rPr>
                <w:noProof/>
                <w:webHidden/>
              </w:rPr>
            </w:r>
            <w:r w:rsidR="00331BC1">
              <w:rPr>
                <w:noProof/>
                <w:webHidden/>
              </w:rPr>
              <w:fldChar w:fldCharType="separate"/>
            </w:r>
            <w:r w:rsidR="00331BC1">
              <w:rPr>
                <w:noProof/>
                <w:webHidden/>
              </w:rPr>
              <w:t>31</w:t>
            </w:r>
            <w:r w:rsidR="00331BC1">
              <w:rPr>
                <w:noProof/>
                <w:webHidden/>
              </w:rPr>
              <w:fldChar w:fldCharType="end"/>
            </w:r>
          </w:hyperlink>
        </w:p>
        <w:p w14:paraId="0C9351F3" w14:textId="556E9DDB" w:rsidR="00331BC1" w:rsidRDefault="003701E7">
          <w:pPr>
            <w:pStyle w:val="TOC2"/>
            <w:rPr>
              <w:rFonts w:asciiTheme="minorHAnsi" w:eastAsiaTheme="minorEastAsia" w:hAnsiTheme="minorHAnsi" w:cstheme="minorBidi"/>
              <w:noProof/>
              <w:sz w:val="22"/>
              <w:lang w:eastAsia="sk-SK"/>
            </w:rPr>
          </w:pPr>
          <w:hyperlink w:anchor="_Toc58230725" w:history="1">
            <w:r w:rsidR="00331BC1" w:rsidRPr="004F7C9B">
              <w:rPr>
                <w:rStyle w:val="Hyperlink"/>
                <w:noProof/>
              </w:rPr>
              <w:t>1.1.</w:t>
            </w:r>
            <w:r w:rsidR="00331BC1">
              <w:rPr>
                <w:rFonts w:asciiTheme="minorHAnsi" w:eastAsiaTheme="minorEastAsia" w:hAnsiTheme="minorHAnsi" w:cstheme="minorBidi"/>
                <w:noProof/>
                <w:sz w:val="22"/>
                <w:lang w:eastAsia="sk-SK"/>
              </w:rPr>
              <w:tab/>
            </w:r>
            <w:r w:rsidR="00331BC1" w:rsidRPr="004F7C9B">
              <w:rPr>
                <w:rStyle w:val="Hyperlink"/>
                <w:noProof/>
              </w:rPr>
              <w:t>Názov návrhu/iniciatívy</w:t>
            </w:r>
            <w:r w:rsidR="00331BC1">
              <w:rPr>
                <w:noProof/>
                <w:webHidden/>
              </w:rPr>
              <w:tab/>
            </w:r>
            <w:r w:rsidR="00331BC1">
              <w:rPr>
                <w:noProof/>
                <w:webHidden/>
              </w:rPr>
              <w:fldChar w:fldCharType="begin"/>
            </w:r>
            <w:r w:rsidR="00331BC1">
              <w:rPr>
                <w:noProof/>
                <w:webHidden/>
              </w:rPr>
              <w:instrText xml:space="preserve"> PAGEREF _Toc58230725 \h </w:instrText>
            </w:r>
            <w:r w:rsidR="00331BC1">
              <w:rPr>
                <w:noProof/>
                <w:webHidden/>
              </w:rPr>
            </w:r>
            <w:r w:rsidR="00331BC1">
              <w:rPr>
                <w:noProof/>
                <w:webHidden/>
              </w:rPr>
              <w:fldChar w:fldCharType="separate"/>
            </w:r>
            <w:r w:rsidR="00331BC1">
              <w:rPr>
                <w:noProof/>
                <w:webHidden/>
              </w:rPr>
              <w:t>31</w:t>
            </w:r>
            <w:r w:rsidR="00331BC1">
              <w:rPr>
                <w:noProof/>
                <w:webHidden/>
              </w:rPr>
              <w:fldChar w:fldCharType="end"/>
            </w:r>
          </w:hyperlink>
        </w:p>
        <w:p w14:paraId="0ABB803B" w14:textId="230EF9B5" w:rsidR="00331BC1" w:rsidRDefault="003701E7">
          <w:pPr>
            <w:pStyle w:val="TOC2"/>
            <w:rPr>
              <w:rFonts w:asciiTheme="minorHAnsi" w:eastAsiaTheme="minorEastAsia" w:hAnsiTheme="minorHAnsi" w:cstheme="minorBidi"/>
              <w:noProof/>
              <w:sz w:val="22"/>
              <w:lang w:eastAsia="sk-SK"/>
            </w:rPr>
          </w:pPr>
          <w:hyperlink w:anchor="_Toc58230726" w:history="1">
            <w:r w:rsidR="00331BC1" w:rsidRPr="004F7C9B">
              <w:rPr>
                <w:rStyle w:val="Hyperlink"/>
                <w:noProof/>
              </w:rPr>
              <w:t>1.2.</w:t>
            </w:r>
            <w:r w:rsidR="00331BC1">
              <w:rPr>
                <w:rFonts w:asciiTheme="minorHAnsi" w:eastAsiaTheme="minorEastAsia" w:hAnsiTheme="minorHAnsi" w:cstheme="minorBidi"/>
                <w:noProof/>
                <w:sz w:val="22"/>
                <w:lang w:eastAsia="sk-SK"/>
              </w:rPr>
              <w:tab/>
            </w:r>
            <w:r w:rsidR="00331BC1" w:rsidRPr="004F7C9B">
              <w:rPr>
                <w:rStyle w:val="Hyperlink"/>
                <w:noProof/>
              </w:rPr>
              <w:t>Príslušné oblasti politiky</w:t>
            </w:r>
            <w:r w:rsidR="00331BC1">
              <w:rPr>
                <w:noProof/>
                <w:webHidden/>
              </w:rPr>
              <w:tab/>
            </w:r>
            <w:r w:rsidR="00331BC1">
              <w:rPr>
                <w:noProof/>
                <w:webHidden/>
              </w:rPr>
              <w:fldChar w:fldCharType="begin"/>
            </w:r>
            <w:r w:rsidR="00331BC1">
              <w:rPr>
                <w:noProof/>
                <w:webHidden/>
              </w:rPr>
              <w:instrText xml:space="preserve"> PAGEREF _Toc58230726 \h </w:instrText>
            </w:r>
            <w:r w:rsidR="00331BC1">
              <w:rPr>
                <w:noProof/>
                <w:webHidden/>
              </w:rPr>
            </w:r>
            <w:r w:rsidR="00331BC1">
              <w:rPr>
                <w:noProof/>
                <w:webHidden/>
              </w:rPr>
              <w:fldChar w:fldCharType="separate"/>
            </w:r>
            <w:r w:rsidR="00331BC1">
              <w:rPr>
                <w:noProof/>
                <w:webHidden/>
              </w:rPr>
              <w:t>31</w:t>
            </w:r>
            <w:r w:rsidR="00331BC1">
              <w:rPr>
                <w:noProof/>
                <w:webHidden/>
              </w:rPr>
              <w:fldChar w:fldCharType="end"/>
            </w:r>
          </w:hyperlink>
        </w:p>
        <w:p w14:paraId="563301F4" w14:textId="7E4DAB5D" w:rsidR="00331BC1" w:rsidRDefault="003701E7">
          <w:pPr>
            <w:pStyle w:val="TOC2"/>
            <w:rPr>
              <w:rFonts w:asciiTheme="minorHAnsi" w:eastAsiaTheme="minorEastAsia" w:hAnsiTheme="minorHAnsi" w:cstheme="minorBidi"/>
              <w:noProof/>
              <w:sz w:val="22"/>
              <w:lang w:eastAsia="sk-SK"/>
            </w:rPr>
          </w:pPr>
          <w:hyperlink w:anchor="_Toc58230727" w:history="1">
            <w:r w:rsidR="00331BC1" w:rsidRPr="004F7C9B">
              <w:rPr>
                <w:rStyle w:val="Hyperlink"/>
                <w:noProof/>
              </w:rPr>
              <w:t>1.3.</w:t>
            </w:r>
            <w:r w:rsidR="00331BC1">
              <w:rPr>
                <w:rFonts w:asciiTheme="minorHAnsi" w:eastAsiaTheme="minorEastAsia" w:hAnsiTheme="minorHAnsi" w:cstheme="minorBidi"/>
                <w:noProof/>
                <w:sz w:val="22"/>
                <w:lang w:eastAsia="sk-SK"/>
              </w:rPr>
              <w:tab/>
            </w:r>
            <w:r w:rsidR="00331BC1" w:rsidRPr="004F7C9B">
              <w:rPr>
                <w:rStyle w:val="Hyperlink"/>
                <w:noProof/>
              </w:rPr>
              <w:t>Návrh sa týka</w:t>
            </w:r>
            <w:r w:rsidR="00331BC1">
              <w:rPr>
                <w:noProof/>
                <w:webHidden/>
              </w:rPr>
              <w:tab/>
            </w:r>
            <w:r w:rsidR="00331BC1">
              <w:rPr>
                <w:noProof/>
                <w:webHidden/>
              </w:rPr>
              <w:fldChar w:fldCharType="begin"/>
            </w:r>
            <w:r w:rsidR="00331BC1">
              <w:rPr>
                <w:noProof/>
                <w:webHidden/>
              </w:rPr>
              <w:instrText xml:space="preserve"> PAGEREF _Toc58230727 \h </w:instrText>
            </w:r>
            <w:r w:rsidR="00331BC1">
              <w:rPr>
                <w:noProof/>
                <w:webHidden/>
              </w:rPr>
            </w:r>
            <w:r w:rsidR="00331BC1">
              <w:rPr>
                <w:noProof/>
                <w:webHidden/>
              </w:rPr>
              <w:fldChar w:fldCharType="separate"/>
            </w:r>
            <w:r w:rsidR="00331BC1">
              <w:rPr>
                <w:noProof/>
                <w:webHidden/>
              </w:rPr>
              <w:t>31</w:t>
            </w:r>
            <w:r w:rsidR="00331BC1">
              <w:rPr>
                <w:noProof/>
                <w:webHidden/>
              </w:rPr>
              <w:fldChar w:fldCharType="end"/>
            </w:r>
          </w:hyperlink>
        </w:p>
        <w:p w14:paraId="7DDEDDC4" w14:textId="3F2DDA8E" w:rsidR="00331BC1" w:rsidRDefault="003701E7">
          <w:pPr>
            <w:pStyle w:val="TOC2"/>
            <w:rPr>
              <w:rFonts w:asciiTheme="minorHAnsi" w:eastAsiaTheme="minorEastAsia" w:hAnsiTheme="minorHAnsi" w:cstheme="minorBidi"/>
              <w:noProof/>
              <w:sz w:val="22"/>
              <w:lang w:eastAsia="sk-SK"/>
            </w:rPr>
          </w:pPr>
          <w:hyperlink w:anchor="_Toc58230728" w:history="1">
            <w:r w:rsidR="00331BC1" w:rsidRPr="004F7C9B">
              <w:rPr>
                <w:rStyle w:val="Hyperlink"/>
                <w:noProof/>
              </w:rPr>
              <w:t>1.4.</w:t>
            </w:r>
            <w:r w:rsidR="00331BC1">
              <w:rPr>
                <w:rFonts w:asciiTheme="minorHAnsi" w:eastAsiaTheme="minorEastAsia" w:hAnsiTheme="minorHAnsi" w:cstheme="minorBidi"/>
                <w:noProof/>
                <w:sz w:val="22"/>
                <w:lang w:eastAsia="sk-SK"/>
              </w:rPr>
              <w:tab/>
            </w:r>
            <w:r w:rsidR="00331BC1" w:rsidRPr="004F7C9B">
              <w:rPr>
                <w:rStyle w:val="Hyperlink"/>
                <w:noProof/>
              </w:rPr>
              <w:t>Ciele</w:t>
            </w:r>
            <w:r w:rsidR="00331BC1">
              <w:rPr>
                <w:noProof/>
                <w:webHidden/>
              </w:rPr>
              <w:tab/>
            </w:r>
            <w:r w:rsidR="00331BC1">
              <w:rPr>
                <w:noProof/>
                <w:webHidden/>
              </w:rPr>
              <w:fldChar w:fldCharType="begin"/>
            </w:r>
            <w:r w:rsidR="00331BC1">
              <w:rPr>
                <w:noProof/>
                <w:webHidden/>
              </w:rPr>
              <w:instrText xml:space="preserve"> PAGEREF _Toc58230728 \h </w:instrText>
            </w:r>
            <w:r w:rsidR="00331BC1">
              <w:rPr>
                <w:noProof/>
                <w:webHidden/>
              </w:rPr>
            </w:r>
            <w:r w:rsidR="00331BC1">
              <w:rPr>
                <w:noProof/>
                <w:webHidden/>
              </w:rPr>
              <w:fldChar w:fldCharType="separate"/>
            </w:r>
            <w:r w:rsidR="00331BC1">
              <w:rPr>
                <w:noProof/>
                <w:webHidden/>
              </w:rPr>
              <w:t>31</w:t>
            </w:r>
            <w:r w:rsidR="00331BC1">
              <w:rPr>
                <w:noProof/>
                <w:webHidden/>
              </w:rPr>
              <w:fldChar w:fldCharType="end"/>
            </w:r>
          </w:hyperlink>
        </w:p>
        <w:p w14:paraId="69EEB4EB" w14:textId="6CF0CC88" w:rsidR="00331BC1" w:rsidRDefault="003701E7">
          <w:pPr>
            <w:pStyle w:val="TOC3"/>
            <w:rPr>
              <w:rFonts w:asciiTheme="minorHAnsi" w:eastAsiaTheme="minorEastAsia" w:hAnsiTheme="minorHAnsi" w:cstheme="minorBidi"/>
              <w:noProof/>
              <w:sz w:val="22"/>
              <w:lang w:eastAsia="sk-SK"/>
            </w:rPr>
          </w:pPr>
          <w:hyperlink w:anchor="_Toc58230729" w:history="1">
            <w:r w:rsidR="00331BC1" w:rsidRPr="004F7C9B">
              <w:rPr>
                <w:rStyle w:val="Hyperlink"/>
                <w:noProof/>
              </w:rPr>
              <w:t>1.4.1.</w:t>
            </w:r>
            <w:r w:rsidR="00331BC1">
              <w:rPr>
                <w:rFonts w:asciiTheme="minorHAnsi" w:eastAsiaTheme="minorEastAsia" w:hAnsiTheme="minorHAnsi" w:cstheme="minorBidi"/>
                <w:noProof/>
                <w:sz w:val="22"/>
                <w:lang w:eastAsia="sk-SK"/>
              </w:rPr>
              <w:tab/>
            </w:r>
            <w:r w:rsidR="00331BC1" w:rsidRPr="004F7C9B">
              <w:rPr>
                <w:rStyle w:val="Hyperlink"/>
                <w:noProof/>
              </w:rPr>
              <w:t>Všeobecné ciele</w:t>
            </w:r>
            <w:r w:rsidR="00331BC1">
              <w:rPr>
                <w:noProof/>
                <w:webHidden/>
              </w:rPr>
              <w:tab/>
            </w:r>
            <w:r w:rsidR="00331BC1">
              <w:rPr>
                <w:noProof/>
                <w:webHidden/>
              </w:rPr>
              <w:fldChar w:fldCharType="begin"/>
            </w:r>
            <w:r w:rsidR="00331BC1">
              <w:rPr>
                <w:noProof/>
                <w:webHidden/>
              </w:rPr>
              <w:instrText xml:space="preserve"> PAGEREF _Toc58230729 \h </w:instrText>
            </w:r>
            <w:r w:rsidR="00331BC1">
              <w:rPr>
                <w:noProof/>
                <w:webHidden/>
              </w:rPr>
            </w:r>
            <w:r w:rsidR="00331BC1">
              <w:rPr>
                <w:noProof/>
                <w:webHidden/>
              </w:rPr>
              <w:fldChar w:fldCharType="separate"/>
            </w:r>
            <w:r w:rsidR="00331BC1">
              <w:rPr>
                <w:noProof/>
                <w:webHidden/>
              </w:rPr>
              <w:t>31</w:t>
            </w:r>
            <w:r w:rsidR="00331BC1">
              <w:rPr>
                <w:noProof/>
                <w:webHidden/>
              </w:rPr>
              <w:fldChar w:fldCharType="end"/>
            </w:r>
          </w:hyperlink>
        </w:p>
        <w:p w14:paraId="059F7A02" w14:textId="34DC9583" w:rsidR="00331BC1" w:rsidRDefault="003701E7">
          <w:pPr>
            <w:pStyle w:val="TOC3"/>
            <w:rPr>
              <w:rFonts w:asciiTheme="minorHAnsi" w:eastAsiaTheme="minorEastAsia" w:hAnsiTheme="minorHAnsi" w:cstheme="minorBidi"/>
              <w:noProof/>
              <w:sz w:val="22"/>
              <w:lang w:eastAsia="sk-SK"/>
            </w:rPr>
          </w:pPr>
          <w:hyperlink w:anchor="_Toc58230730" w:history="1">
            <w:r w:rsidR="00331BC1" w:rsidRPr="004F7C9B">
              <w:rPr>
                <w:rStyle w:val="Hyperlink"/>
                <w:noProof/>
              </w:rPr>
              <w:t>1.4.2.</w:t>
            </w:r>
            <w:r w:rsidR="00331BC1">
              <w:rPr>
                <w:rFonts w:asciiTheme="minorHAnsi" w:eastAsiaTheme="minorEastAsia" w:hAnsiTheme="minorHAnsi" w:cstheme="minorBidi"/>
                <w:noProof/>
                <w:sz w:val="22"/>
                <w:lang w:eastAsia="sk-SK"/>
              </w:rPr>
              <w:tab/>
            </w:r>
            <w:r w:rsidR="00331BC1" w:rsidRPr="004F7C9B">
              <w:rPr>
                <w:rStyle w:val="Hyperlink"/>
                <w:noProof/>
              </w:rPr>
              <w:t>Špecifické ciele</w:t>
            </w:r>
            <w:r w:rsidR="00331BC1">
              <w:rPr>
                <w:noProof/>
                <w:webHidden/>
              </w:rPr>
              <w:tab/>
            </w:r>
            <w:r w:rsidR="00331BC1">
              <w:rPr>
                <w:noProof/>
                <w:webHidden/>
              </w:rPr>
              <w:fldChar w:fldCharType="begin"/>
            </w:r>
            <w:r w:rsidR="00331BC1">
              <w:rPr>
                <w:noProof/>
                <w:webHidden/>
              </w:rPr>
              <w:instrText xml:space="preserve"> PAGEREF _Toc58230730 \h </w:instrText>
            </w:r>
            <w:r w:rsidR="00331BC1">
              <w:rPr>
                <w:noProof/>
                <w:webHidden/>
              </w:rPr>
            </w:r>
            <w:r w:rsidR="00331BC1">
              <w:rPr>
                <w:noProof/>
                <w:webHidden/>
              </w:rPr>
              <w:fldChar w:fldCharType="separate"/>
            </w:r>
            <w:r w:rsidR="00331BC1">
              <w:rPr>
                <w:noProof/>
                <w:webHidden/>
              </w:rPr>
              <w:t>31</w:t>
            </w:r>
            <w:r w:rsidR="00331BC1">
              <w:rPr>
                <w:noProof/>
                <w:webHidden/>
              </w:rPr>
              <w:fldChar w:fldCharType="end"/>
            </w:r>
          </w:hyperlink>
        </w:p>
        <w:p w14:paraId="52186203" w14:textId="640E86D2" w:rsidR="00331BC1" w:rsidRDefault="003701E7">
          <w:pPr>
            <w:pStyle w:val="TOC3"/>
            <w:rPr>
              <w:rFonts w:asciiTheme="minorHAnsi" w:eastAsiaTheme="minorEastAsia" w:hAnsiTheme="minorHAnsi" w:cstheme="minorBidi"/>
              <w:noProof/>
              <w:sz w:val="22"/>
              <w:lang w:eastAsia="sk-SK"/>
            </w:rPr>
          </w:pPr>
          <w:hyperlink w:anchor="_Toc58230731" w:history="1">
            <w:r w:rsidR="00331BC1" w:rsidRPr="004F7C9B">
              <w:rPr>
                <w:rStyle w:val="Hyperlink"/>
                <w:noProof/>
              </w:rPr>
              <w:t>1.4.3.</w:t>
            </w:r>
            <w:r w:rsidR="00331BC1">
              <w:rPr>
                <w:rFonts w:asciiTheme="minorHAnsi" w:eastAsiaTheme="minorEastAsia" w:hAnsiTheme="minorHAnsi" w:cstheme="minorBidi"/>
                <w:noProof/>
                <w:sz w:val="22"/>
                <w:lang w:eastAsia="sk-SK"/>
              </w:rPr>
              <w:tab/>
            </w:r>
            <w:r w:rsidR="00331BC1" w:rsidRPr="004F7C9B">
              <w:rPr>
                <w:rStyle w:val="Hyperlink"/>
                <w:noProof/>
              </w:rPr>
              <w:t>Očakávané výsledky a vplyv</w:t>
            </w:r>
            <w:r w:rsidR="00331BC1">
              <w:rPr>
                <w:noProof/>
                <w:webHidden/>
              </w:rPr>
              <w:tab/>
            </w:r>
            <w:r w:rsidR="00331BC1">
              <w:rPr>
                <w:noProof/>
                <w:webHidden/>
              </w:rPr>
              <w:fldChar w:fldCharType="begin"/>
            </w:r>
            <w:r w:rsidR="00331BC1">
              <w:rPr>
                <w:noProof/>
                <w:webHidden/>
              </w:rPr>
              <w:instrText xml:space="preserve"> PAGEREF _Toc58230731 \h </w:instrText>
            </w:r>
            <w:r w:rsidR="00331BC1">
              <w:rPr>
                <w:noProof/>
                <w:webHidden/>
              </w:rPr>
            </w:r>
            <w:r w:rsidR="00331BC1">
              <w:rPr>
                <w:noProof/>
                <w:webHidden/>
              </w:rPr>
              <w:fldChar w:fldCharType="separate"/>
            </w:r>
            <w:r w:rsidR="00331BC1">
              <w:rPr>
                <w:noProof/>
                <w:webHidden/>
              </w:rPr>
              <w:t>32</w:t>
            </w:r>
            <w:r w:rsidR="00331BC1">
              <w:rPr>
                <w:noProof/>
                <w:webHidden/>
              </w:rPr>
              <w:fldChar w:fldCharType="end"/>
            </w:r>
          </w:hyperlink>
        </w:p>
        <w:p w14:paraId="0C74EB47" w14:textId="2D91D9C4" w:rsidR="00331BC1" w:rsidRDefault="003701E7">
          <w:pPr>
            <w:pStyle w:val="TOC3"/>
            <w:rPr>
              <w:rFonts w:asciiTheme="minorHAnsi" w:eastAsiaTheme="minorEastAsia" w:hAnsiTheme="minorHAnsi" w:cstheme="minorBidi"/>
              <w:noProof/>
              <w:sz w:val="22"/>
              <w:lang w:eastAsia="sk-SK"/>
            </w:rPr>
          </w:pPr>
          <w:hyperlink w:anchor="_Toc58230732" w:history="1">
            <w:r w:rsidR="00331BC1" w:rsidRPr="004F7C9B">
              <w:rPr>
                <w:rStyle w:val="Hyperlink"/>
                <w:noProof/>
              </w:rPr>
              <w:t>1.4.4.</w:t>
            </w:r>
            <w:r w:rsidR="00331BC1">
              <w:rPr>
                <w:rFonts w:asciiTheme="minorHAnsi" w:eastAsiaTheme="minorEastAsia" w:hAnsiTheme="minorHAnsi" w:cstheme="minorBidi"/>
                <w:noProof/>
                <w:sz w:val="22"/>
                <w:lang w:eastAsia="sk-SK"/>
              </w:rPr>
              <w:tab/>
            </w:r>
            <w:r w:rsidR="00331BC1" w:rsidRPr="004F7C9B">
              <w:rPr>
                <w:rStyle w:val="Hyperlink"/>
                <w:noProof/>
              </w:rPr>
              <w:t>Ukazovatele výsledkov</w:t>
            </w:r>
            <w:r w:rsidR="00331BC1">
              <w:rPr>
                <w:noProof/>
                <w:webHidden/>
              </w:rPr>
              <w:tab/>
            </w:r>
            <w:r w:rsidR="00331BC1">
              <w:rPr>
                <w:noProof/>
                <w:webHidden/>
              </w:rPr>
              <w:fldChar w:fldCharType="begin"/>
            </w:r>
            <w:r w:rsidR="00331BC1">
              <w:rPr>
                <w:noProof/>
                <w:webHidden/>
              </w:rPr>
              <w:instrText xml:space="preserve"> PAGEREF _Toc58230732 \h </w:instrText>
            </w:r>
            <w:r w:rsidR="00331BC1">
              <w:rPr>
                <w:noProof/>
                <w:webHidden/>
              </w:rPr>
            </w:r>
            <w:r w:rsidR="00331BC1">
              <w:rPr>
                <w:noProof/>
                <w:webHidden/>
              </w:rPr>
              <w:fldChar w:fldCharType="separate"/>
            </w:r>
            <w:r w:rsidR="00331BC1">
              <w:rPr>
                <w:noProof/>
                <w:webHidden/>
              </w:rPr>
              <w:t>32</w:t>
            </w:r>
            <w:r w:rsidR="00331BC1">
              <w:rPr>
                <w:noProof/>
                <w:webHidden/>
              </w:rPr>
              <w:fldChar w:fldCharType="end"/>
            </w:r>
          </w:hyperlink>
        </w:p>
        <w:p w14:paraId="7C72C2A1" w14:textId="222AD438" w:rsidR="00331BC1" w:rsidRDefault="003701E7">
          <w:pPr>
            <w:pStyle w:val="TOC2"/>
            <w:rPr>
              <w:rFonts w:asciiTheme="minorHAnsi" w:eastAsiaTheme="minorEastAsia" w:hAnsiTheme="minorHAnsi" w:cstheme="minorBidi"/>
              <w:noProof/>
              <w:sz w:val="22"/>
              <w:lang w:eastAsia="sk-SK"/>
            </w:rPr>
          </w:pPr>
          <w:hyperlink w:anchor="_Toc58230733" w:history="1">
            <w:r w:rsidR="00331BC1" w:rsidRPr="004F7C9B">
              <w:rPr>
                <w:rStyle w:val="Hyperlink"/>
                <w:noProof/>
              </w:rPr>
              <w:t>1.5.</w:t>
            </w:r>
            <w:r w:rsidR="00331BC1">
              <w:rPr>
                <w:rFonts w:asciiTheme="minorHAnsi" w:eastAsiaTheme="minorEastAsia" w:hAnsiTheme="minorHAnsi" w:cstheme="minorBidi"/>
                <w:noProof/>
                <w:sz w:val="22"/>
                <w:lang w:eastAsia="sk-SK"/>
              </w:rPr>
              <w:tab/>
            </w:r>
            <w:r w:rsidR="00331BC1" w:rsidRPr="004F7C9B">
              <w:rPr>
                <w:rStyle w:val="Hyperlink"/>
                <w:noProof/>
              </w:rPr>
              <w:t>Dôvody návrhu/iniciatívy</w:t>
            </w:r>
            <w:r w:rsidR="00331BC1">
              <w:rPr>
                <w:noProof/>
                <w:webHidden/>
              </w:rPr>
              <w:tab/>
            </w:r>
            <w:r w:rsidR="00331BC1">
              <w:rPr>
                <w:noProof/>
                <w:webHidden/>
              </w:rPr>
              <w:fldChar w:fldCharType="begin"/>
            </w:r>
            <w:r w:rsidR="00331BC1">
              <w:rPr>
                <w:noProof/>
                <w:webHidden/>
              </w:rPr>
              <w:instrText xml:space="preserve"> PAGEREF _Toc58230733 \h </w:instrText>
            </w:r>
            <w:r w:rsidR="00331BC1">
              <w:rPr>
                <w:noProof/>
                <w:webHidden/>
              </w:rPr>
            </w:r>
            <w:r w:rsidR="00331BC1">
              <w:rPr>
                <w:noProof/>
                <w:webHidden/>
              </w:rPr>
              <w:fldChar w:fldCharType="separate"/>
            </w:r>
            <w:r w:rsidR="00331BC1">
              <w:rPr>
                <w:noProof/>
                <w:webHidden/>
              </w:rPr>
              <w:t>32</w:t>
            </w:r>
            <w:r w:rsidR="00331BC1">
              <w:rPr>
                <w:noProof/>
                <w:webHidden/>
              </w:rPr>
              <w:fldChar w:fldCharType="end"/>
            </w:r>
          </w:hyperlink>
        </w:p>
        <w:p w14:paraId="59A19166" w14:textId="50543E6B" w:rsidR="00331BC1" w:rsidRDefault="003701E7">
          <w:pPr>
            <w:pStyle w:val="TOC3"/>
            <w:rPr>
              <w:rFonts w:asciiTheme="minorHAnsi" w:eastAsiaTheme="minorEastAsia" w:hAnsiTheme="minorHAnsi" w:cstheme="minorBidi"/>
              <w:noProof/>
              <w:sz w:val="22"/>
              <w:lang w:eastAsia="sk-SK"/>
            </w:rPr>
          </w:pPr>
          <w:hyperlink w:anchor="_Toc58230734" w:history="1">
            <w:r w:rsidR="00331BC1" w:rsidRPr="004F7C9B">
              <w:rPr>
                <w:rStyle w:val="Hyperlink"/>
                <w:noProof/>
              </w:rPr>
              <w:t>1.5.1.</w:t>
            </w:r>
            <w:r w:rsidR="00331BC1">
              <w:rPr>
                <w:rFonts w:asciiTheme="minorHAnsi" w:eastAsiaTheme="minorEastAsia" w:hAnsiTheme="minorHAnsi" w:cstheme="minorBidi"/>
                <w:noProof/>
                <w:sz w:val="22"/>
                <w:lang w:eastAsia="sk-SK"/>
              </w:rPr>
              <w:tab/>
            </w:r>
            <w:r w:rsidR="00331BC1" w:rsidRPr="004F7C9B">
              <w:rPr>
                <w:rStyle w:val="Hyperlink"/>
                <w:noProof/>
              </w:rPr>
              <w:t>Potreby, ktoré sa majú uspokojiť v krátkodobom alebo dlhodobom horizonte vrátane podrobného harmonogramu prvotnej fázy vykonávania iniciatívy</w:t>
            </w:r>
            <w:r w:rsidR="00331BC1">
              <w:rPr>
                <w:noProof/>
                <w:webHidden/>
              </w:rPr>
              <w:tab/>
            </w:r>
            <w:r w:rsidR="00331BC1">
              <w:rPr>
                <w:noProof/>
                <w:webHidden/>
              </w:rPr>
              <w:fldChar w:fldCharType="begin"/>
            </w:r>
            <w:r w:rsidR="00331BC1">
              <w:rPr>
                <w:noProof/>
                <w:webHidden/>
              </w:rPr>
              <w:instrText xml:space="preserve"> PAGEREF _Toc58230734 \h </w:instrText>
            </w:r>
            <w:r w:rsidR="00331BC1">
              <w:rPr>
                <w:noProof/>
                <w:webHidden/>
              </w:rPr>
            </w:r>
            <w:r w:rsidR="00331BC1">
              <w:rPr>
                <w:noProof/>
                <w:webHidden/>
              </w:rPr>
              <w:fldChar w:fldCharType="separate"/>
            </w:r>
            <w:r w:rsidR="00331BC1">
              <w:rPr>
                <w:noProof/>
                <w:webHidden/>
              </w:rPr>
              <w:t>32</w:t>
            </w:r>
            <w:r w:rsidR="00331BC1">
              <w:rPr>
                <w:noProof/>
                <w:webHidden/>
              </w:rPr>
              <w:fldChar w:fldCharType="end"/>
            </w:r>
          </w:hyperlink>
        </w:p>
        <w:p w14:paraId="2653DA16" w14:textId="583E92E0" w:rsidR="00331BC1" w:rsidRDefault="003701E7">
          <w:pPr>
            <w:pStyle w:val="TOC3"/>
            <w:rPr>
              <w:rFonts w:asciiTheme="minorHAnsi" w:eastAsiaTheme="minorEastAsia" w:hAnsiTheme="minorHAnsi" w:cstheme="minorBidi"/>
              <w:noProof/>
              <w:sz w:val="22"/>
              <w:lang w:eastAsia="sk-SK"/>
            </w:rPr>
          </w:pPr>
          <w:hyperlink w:anchor="_Toc58230735" w:history="1">
            <w:r w:rsidR="00331BC1" w:rsidRPr="004F7C9B">
              <w:rPr>
                <w:rStyle w:val="Hyperlink"/>
                <w:noProof/>
              </w:rPr>
              <w:t>1.5.2.</w:t>
            </w:r>
            <w:r w:rsidR="00331BC1">
              <w:rPr>
                <w:rFonts w:asciiTheme="minorHAnsi" w:eastAsiaTheme="minorEastAsia" w:hAnsiTheme="minorHAnsi" w:cstheme="minorBidi"/>
                <w:noProof/>
                <w:sz w:val="22"/>
                <w:lang w:eastAsia="sk-SK"/>
              </w:rPr>
              <w:tab/>
            </w:r>
            <w:r w:rsidR="00331BC1" w:rsidRPr="004F7C9B">
              <w:rPr>
                <w:rStyle w:val="Hyperlink"/>
                <w:noProof/>
              </w:rPr>
              <w:t>Prínos zapojenia Európskej únie (môže byť výsledkom rôznych faktorov, napr. lepšej koordinácie, právnej istoty, väčšej účinnosti alebo komplementárnosti). Na účely tohto bodu je „prínos zapojenia Európskej únie“ hodnota vyplývajúca zo zásahu Únie, ktorá opĺňa hodnotu, ktorú by inak vytvorili len samotné členské štáty.</w:t>
            </w:r>
            <w:r w:rsidR="00331BC1">
              <w:rPr>
                <w:noProof/>
                <w:webHidden/>
              </w:rPr>
              <w:tab/>
            </w:r>
            <w:r w:rsidR="00331BC1">
              <w:rPr>
                <w:noProof/>
                <w:webHidden/>
              </w:rPr>
              <w:fldChar w:fldCharType="begin"/>
            </w:r>
            <w:r w:rsidR="00331BC1">
              <w:rPr>
                <w:noProof/>
                <w:webHidden/>
              </w:rPr>
              <w:instrText xml:space="preserve"> PAGEREF _Toc58230735 \h </w:instrText>
            </w:r>
            <w:r w:rsidR="00331BC1">
              <w:rPr>
                <w:noProof/>
                <w:webHidden/>
              </w:rPr>
            </w:r>
            <w:r w:rsidR="00331BC1">
              <w:rPr>
                <w:noProof/>
                <w:webHidden/>
              </w:rPr>
              <w:fldChar w:fldCharType="separate"/>
            </w:r>
            <w:r w:rsidR="00331BC1">
              <w:rPr>
                <w:noProof/>
                <w:webHidden/>
              </w:rPr>
              <w:t>32</w:t>
            </w:r>
            <w:r w:rsidR="00331BC1">
              <w:rPr>
                <w:noProof/>
                <w:webHidden/>
              </w:rPr>
              <w:fldChar w:fldCharType="end"/>
            </w:r>
          </w:hyperlink>
        </w:p>
        <w:p w14:paraId="79E24446" w14:textId="74216F85" w:rsidR="00331BC1" w:rsidRDefault="003701E7">
          <w:pPr>
            <w:pStyle w:val="TOC3"/>
            <w:rPr>
              <w:rFonts w:asciiTheme="minorHAnsi" w:eastAsiaTheme="minorEastAsia" w:hAnsiTheme="minorHAnsi" w:cstheme="minorBidi"/>
              <w:noProof/>
              <w:sz w:val="22"/>
              <w:lang w:eastAsia="sk-SK"/>
            </w:rPr>
          </w:pPr>
          <w:hyperlink w:anchor="_Toc58230736" w:history="1">
            <w:r w:rsidR="00331BC1" w:rsidRPr="004F7C9B">
              <w:rPr>
                <w:rStyle w:val="Hyperlink"/>
                <w:noProof/>
              </w:rPr>
              <w:t>1.5.3.</w:t>
            </w:r>
            <w:r w:rsidR="00331BC1">
              <w:rPr>
                <w:rFonts w:asciiTheme="minorHAnsi" w:eastAsiaTheme="minorEastAsia" w:hAnsiTheme="minorHAnsi" w:cstheme="minorBidi"/>
                <w:noProof/>
                <w:sz w:val="22"/>
                <w:lang w:eastAsia="sk-SK"/>
              </w:rPr>
              <w:tab/>
            </w:r>
            <w:r w:rsidR="00331BC1" w:rsidRPr="004F7C9B">
              <w:rPr>
                <w:rStyle w:val="Hyperlink"/>
                <w:noProof/>
              </w:rPr>
              <w:t>Poznatky získané z podobných skúseností v minulosti</w:t>
            </w:r>
            <w:r w:rsidR="00331BC1">
              <w:rPr>
                <w:noProof/>
                <w:webHidden/>
              </w:rPr>
              <w:tab/>
            </w:r>
            <w:r w:rsidR="00331BC1">
              <w:rPr>
                <w:noProof/>
                <w:webHidden/>
              </w:rPr>
              <w:fldChar w:fldCharType="begin"/>
            </w:r>
            <w:r w:rsidR="00331BC1">
              <w:rPr>
                <w:noProof/>
                <w:webHidden/>
              </w:rPr>
              <w:instrText xml:space="preserve"> PAGEREF _Toc58230736 \h </w:instrText>
            </w:r>
            <w:r w:rsidR="00331BC1">
              <w:rPr>
                <w:noProof/>
                <w:webHidden/>
              </w:rPr>
            </w:r>
            <w:r w:rsidR="00331BC1">
              <w:rPr>
                <w:noProof/>
                <w:webHidden/>
              </w:rPr>
              <w:fldChar w:fldCharType="separate"/>
            </w:r>
            <w:r w:rsidR="00331BC1">
              <w:rPr>
                <w:noProof/>
                <w:webHidden/>
              </w:rPr>
              <w:t>33</w:t>
            </w:r>
            <w:r w:rsidR="00331BC1">
              <w:rPr>
                <w:noProof/>
                <w:webHidden/>
              </w:rPr>
              <w:fldChar w:fldCharType="end"/>
            </w:r>
          </w:hyperlink>
        </w:p>
        <w:p w14:paraId="786219CD" w14:textId="0AF17EE8" w:rsidR="00331BC1" w:rsidRDefault="003701E7">
          <w:pPr>
            <w:pStyle w:val="TOC3"/>
            <w:rPr>
              <w:rFonts w:asciiTheme="minorHAnsi" w:eastAsiaTheme="minorEastAsia" w:hAnsiTheme="minorHAnsi" w:cstheme="minorBidi"/>
              <w:noProof/>
              <w:sz w:val="22"/>
              <w:lang w:eastAsia="sk-SK"/>
            </w:rPr>
          </w:pPr>
          <w:hyperlink w:anchor="_Toc58230737" w:history="1">
            <w:r w:rsidR="00331BC1" w:rsidRPr="004F7C9B">
              <w:rPr>
                <w:rStyle w:val="Hyperlink"/>
                <w:noProof/>
              </w:rPr>
              <w:t>1.5.4.</w:t>
            </w:r>
            <w:r w:rsidR="00331BC1">
              <w:rPr>
                <w:rFonts w:asciiTheme="minorHAnsi" w:eastAsiaTheme="minorEastAsia" w:hAnsiTheme="minorHAnsi" w:cstheme="minorBidi"/>
                <w:noProof/>
                <w:sz w:val="22"/>
                <w:lang w:eastAsia="sk-SK"/>
              </w:rPr>
              <w:tab/>
            </w:r>
            <w:r w:rsidR="00331BC1" w:rsidRPr="004F7C9B">
              <w:rPr>
                <w:rStyle w:val="Hyperlink"/>
                <w:noProof/>
              </w:rPr>
              <w:t>Zlučiteľnosť s viacročným finančným rámcom a možná synergia s inými vhodnými nástrojmi</w:t>
            </w:r>
            <w:r w:rsidR="00331BC1">
              <w:rPr>
                <w:noProof/>
                <w:webHidden/>
              </w:rPr>
              <w:tab/>
            </w:r>
            <w:r w:rsidR="00331BC1">
              <w:rPr>
                <w:noProof/>
                <w:webHidden/>
              </w:rPr>
              <w:fldChar w:fldCharType="begin"/>
            </w:r>
            <w:r w:rsidR="00331BC1">
              <w:rPr>
                <w:noProof/>
                <w:webHidden/>
              </w:rPr>
              <w:instrText xml:space="preserve"> PAGEREF _Toc58230737 \h </w:instrText>
            </w:r>
            <w:r w:rsidR="00331BC1">
              <w:rPr>
                <w:noProof/>
                <w:webHidden/>
              </w:rPr>
            </w:r>
            <w:r w:rsidR="00331BC1">
              <w:rPr>
                <w:noProof/>
                <w:webHidden/>
              </w:rPr>
              <w:fldChar w:fldCharType="separate"/>
            </w:r>
            <w:r w:rsidR="00331BC1">
              <w:rPr>
                <w:noProof/>
                <w:webHidden/>
              </w:rPr>
              <w:t>33</w:t>
            </w:r>
            <w:r w:rsidR="00331BC1">
              <w:rPr>
                <w:noProof/>
                <w:webHidden/>
              </w:rPr>
              <w:fldChar w:fldCharType="end"/>
            </w:r>
          </w:hyperlink>
        </w:p>
        <w:p w14:paraId="6684CEB9" w14:textId="1B0FB00F" w:rsidR="00331BC1" w:rsidRDefault="003701E7">
          <w:pPr>
            <w:pStyle w:val="TOC3"/>
            <w:rPr>
              <w:rFonts w:asciiTheme="minorHAnsi" w:eastAsiaTheme="minorEastAsia" w:hAnsiTheme="minorHAnsi" w:cstheme="minorBidi"/>
              <w:noProof/>
              <w:sz w:val="22"/>
              <w:lang w:eastAsia="sk-SK"/>
            </w:rPr>
          </w:pPr>
          <w:hyperlink w:anchor="_Toc58230738" w:history="1">
            <w:r w:rsidR="00331BC1" w:rsidRPr="004F7C9B">
              <w:rPr>
                <w:rStyle w:val="Hyperlink"/>
                <w:noProof/>
              </w:rPr>
              <w:t>1.5.5.</w:t>
            </w:r>
            <w:r w:rsidR="00331BC1">
              <w:rPr>
                <w:rFonts w:asciiTheme="minorHAnsi" w:eastAsiaTheme="minorEastAsia" w:hAnsiTheme="minorHAnsi" w:cstheme="minorBidi"/>
                <w:noProof/>
                <w:sz w:val="22"/>
                <w:lang w:eastAsia="sk-SK"/>
              </w:rPr>
              <w:tab/>
            </w:r>
            <w:r w:rsidR="00331BC1" w:rsidRPr="004F7C9B">
              <w:rPr>
                <w:rStyle w:val="Hyperlink"/>
                <w:noProof/>
              </w:rPr>
              <w:t>Posúdenie rôznych disponibilných možností financovania vrátane možnosti prerozdelenia</w:t>
            </w:r>
            <w:r w:rsidR="00331BC1">
              <w:rPr>
                <w:noProof/>
                <w:webHidden/>
              </w:rPr>
              <w:tab/>
            </w:r>
            <w:r w:rsidR="00331BC1">
              <w:rPr>
                <w:noProof/>
                <w:webHidden/>
              </w:rPr>
              <w:fldChar w:fldCharType="begin"/>
            </w:r>
            <w:r w:rsidR="00331BC1">
              <w:rPr>
                <w:noProof/>
                <w:webHidden/>
              </w:rPr>
              <w:instrText xml:space="preserve"> PAGEREF _Toc58230738 \h </w:instrText>
            </w:r>
            <w:r w:rsidR="00331BC1">
              <w:rPr>
                <w:noProof/>
                <w:webHidden/>
              </w:rPr>
            </w:r>
            <w:r w:rsidR="00331BC1">
              <w:rPr>
                <w:noProof/>
                <w:webHidden/>
              </w:rPr>
              <w:fldChar w:fldCharType="separate"/>
            </w:r>
            <w:r w:rsidR="00331BC1">
              <w:rPr>
                <w:noProof/>
                <w:webHidden/>
              </w:rPr>
              <w:t>33</w:t>
            </w:r>
            <w:r w:rsidR="00331BC1">
              <w:rPr>
                <w:noProof/>
                <w:webHidden/>
              </w:rPr>
              <w:fldChar w:fldCharType="end"/>
            </w:r>
          </w:hyperlink>
        </w:p>
        <w:p w14:paraId="0FFB75CA" w14:textId="6E897708" w:rsidR="00331BC1" w:rsidRDefault="003701E7">
          <w:pPr>
            <w:pStyle w:val="TOC2"/>
            <w:rPr>
              <w:rFonts w:asciiTheme="minorHAnsi" w:eastAsiaTheme="minorEastAsia" w:hAnsiTheme="minorHAnsi" w:cstheme="minorBidi"/>
              <w:noProof/>
              <w:sz w:val="22"/>
              <w:lang w:eastAsia="sk-SK"/>
            </w:rPr>
          </w:pPr>
          <w:hyperlink w:anchor="_Toc58230739" w:history="1">
            <w:r w:rsidR="00331BC1" w:rsidRPr="004F7C9B">
              <w:rPr>
                <w:rStyle w:val="Hyperlink"/>
                <w:noProof/>
              </w:rPr>
              <w:t>1.6.</w:t>
            </w:r>
            <w:r w:rsidR="00331BC1">
              <w:rPr>
                <w:rFonts w:asciiTheme="minorHAnsi" w:eastAsiaTheme="minorEastAsia" w:hAnsiTheme="minorHAnsi" w:cstheme="minorBidi"/>
                <w:noProof/>
                <w:sz w:val="22"/>
                <w:lang w:eastAsia="sk-SK"/>
              </w:rPr>
              <w:tab/>
            </w:r>
            <w:r w:rsidR="00331BC1" w:rsidRPr="004F7C9B">
              <w:rPr>
                <w:rStyle w:val="Hyperlink"/>
                <w:noProof/>
              </w:rPr>
              <w:t>Trvanie a finančný vplyv návrhu/iniciatívy</w:t>
            </w:r>
            <w:r w:rsidR="00331BC1">
              <w:rPr>
                <w:noProof/>
                <w:webHidden/>
              </w:rPr>
              <w:tab/>
            </w:r>
            <w:r w:rsidR="00331BC1">
              <w:rPr>
                <w:noProof/>
                <w:webHidden/>
              </w:rPr>
              <w:fldChar w:fldCharType="begin"/>
            </w:r>
            <w:r w:rsidR="00331BC1">
              <w:rPr>
                <w:noProof/>
                <w:webHidden/>
              </w:rPr>
              <w:instrText xml:space="preserve"> PAGEREF _Toc58230739 \h </w:instrText>
            </w:r>
            <w:r w:rsidR="00331BC1">
              <w:rPr>
                <w:noProof/>
                <w:webHidden/>
              </w:rPr>
            </w:r>
            <w:r w:rsidR="00331BC1">
              <w:rPr>
                <w:noProof/>
                <w:webHidden/>
              </w:rPr>
              <w:fldChar w:fldCharType="separate"/>
            </w:r>
            <w:r w:rsidR="00331BC1">
              <w:rPr>
                <w:noProof/>
                <w:webHidden/>
              </w:rPr>
              <w:t>34</w:t>
            </w:r>
            <w:r w:rsidR="00331BC1">
              <w:rPr>
                <w:noProof/>
                <w:webHidden/>
              </w:rPr>
              <w:fldChar w:fldCharType="end"/>
            </w:r>
          </w:hyperlink>
        </w:p>
        <w:p w14:paraId="3CE26D0C" w14:textId="1B8E110C" w:rsidR="00331BC1" w:rsidRDefault="003701E7">
          <w:pPr>
            <w:pStyle w:val="TOC2"/>
            <w:rPr>
              <w:rFonts w:asciiTheme="minorHAnsi" w:eastAsiaTheme="minorEastAsia" w:hAnsiTheme="minorHAnsi" w:cstheme="minorBidi"/>
              <w:noProof/>
              <w:sz w:val="22"/>
              <w:lang w:eastAsia="sk-SK"/>
            </w:rPr>
          </w:pPr>
          <w:hyperlink w:anchor="_Toc58230740" w:history="1">
            <w:r w:rsidR="00331BC1" w:rsidRPr="004F7C9B">
              <w:rPr>
                <w:rStyle w:val="Hyperlink"/>
                <w:noProof/>
              </w:rPr>
              <w:t>1.7.</w:t>
            </w:r>
            <w:r w:rsidR="00331BC1">
              <w:rPr>
                <w:rFonts w:asciiTheme="minorHAnsi" w:eastAsiaTheme="minorEastAsia" w:hAnsiTheme="minorHAnsi" w:cstheme="minorBidi"/>
                <w:noProof/>
                <w:sz w:val="22"/>
                <w:lang w:eastAsia="sk-SK"/>
              </w:rPr>
              <w:tab/>
            </w:r>
            <w:r w:rsidR="00331BC1" w:rsidRPr="004F7C9B">
              <w:rPr>
                <w:rStyle w:val="Hyperlink"/>
                <w:noProof/>
              </w:rPr>
              <w:t>Plánovaný spôsob riadenia</w:t>
            </w:r>
            <w:r w:rsidR="00331BC1">
              <w:rPr>
                <w:noProof/>
                <w:webHidden/>
              </w:rPr>
              <w:tab/>
            </w:r>
            <w:r w:rsidR="00331BC1">
              <w:rPr>
                <w:noProof/>
                <w:webHidden/>
              </w:rPr>
              <w:fldChar w:fldCharType="begin"/>
            </w:r>
            <w:r w:rsidR="00331BC1">
              <w:rPr>
                <w:noProof/>
                <w:webHidden/>
              </w:rPr>
              <w:instrText xml:space="preserve"> PAGEREF _Toc58230740 \h </w:instrText>
            </w:r>
            <w:r w:rsidR="00331BC1">
              <w:rPr>
                <w:noProof/>
                <w:webHidden/>
              </w:rPr>
            </w:r>
            <w:r w:rsidR="00331BC1">
              <w:rPr>
                <w:noProof/>
                <w:webHidden/>
              </w:rPr>
              <w:fldChar w:fldCharType="separate"/>
            </w:r>
            <w:r w:rsidR="00331BC1">
              <w:rPr>
                <w:noProof/>
                <w:webHidden/>
              </w:rPr>
              <w:t>34</w:t>
            </w:r>
            <w:r w:rsidR="00331BC1">
              <w:rPr>
                <w:noProof/>
                <w:webHidden/>
              </w:rPr>
              <w:fldChar w:fldCharType="end"/>
            </w:r>
          </w:hyperlink>
        </w:p>
        <w:p w14:paraId="557E34B5" w14:textId="33365F43" w:rsidR="00331BC1" w:rsidRDefault="003701E7">
          <w:pPr>
            <w:pStyle w:val="TOC1"/>
            <w:rPr>
              <w:rFonts w:asciiTheme="minorHAnsi" w:eastAsiaTheme="minorEastAsia" w:hAnsiTheme="minorHAnsi" w:cstheme="minorBidi"/>
              <w:noProof/>
              <w:sz w:val="22"/>
              <w:lang w:eastAsia="sk-SK"/>
            </w:rPr>
          </w:pPr>
          <w:hyperlink w:anchor="_Toc58230741" w:history="1">
            <w:r w:rsidR="00331BC1" w:rsidRPr="004F7C9B">
              <w:rPr>
                <w:rStyle w:val="Hyperlink"/>
                <w:noProof/>
              </w:rPr>
              <w:t>2.</w:t>
            </w:r>
            <w:r w:rsidR="00331BC1">
              <w:rPr>
                <w:rFonts w:asciiTheme="minorHAnsi" w:eastAsiaTheme="minorEastAsia" w:hAnsiTheme="minorHAnsi" w:cstheme="minorBidi"/>
                <w:noProof/>
                <w:sz w:val="22"/>
                <w:lang w:eastAsia="sk-SK"/>
              </w:rPr>
              <w:tab/>
            </w:r>
            <w:r w:rsidR="00331BC1" w:rsidRPr="004F7C9B">
              <w:rPr>
                <w:rStyle w:val="Hyperlink"/>
                <w:noProof/>
              </w:rPr>
              <w:t>OPATRENIA V OBLASTI RIADENIA</w:t>
            </w:r>
            <w:r w:rsidR="00331BC1">
              <w:rPr>
                <w:noProof/>
                <w:webHidden/>
              </w:rPr>
              <w:tab/>
            </w:r>
            <w:r w:rsidR="00331BC1">
              <w:rPr>
                <w:noProof/>
                <w:webHidden/>
              </w:rPr>
              <w:fldChar w:fldCharType="begin"/>
            </w:r>
            <w:r w:rsidR="00331BC1">
              <w:rPr>
                <w:noProof/>
                <w:webHidden/>
              </w:rPr>
              <w:instrText xml:space="preserve"> PAGEREF _Toc58230741 \h </w:instrText>
            </w:r>
            <w:r w:rsidR="00331BC1">
              <w:rPr>
                <w:noProof/>
                <w:webHidden/>
              </w:rPr>
            </w:r>
            <w:r w:rsidR="00331BC1">
              <w:rPr>
                <w:noProof/>
                <w:webHidden/>
              </w:rPr>
              <w:fldChar w:fldCharType="separate"/>
            </w:r>
            <w:r w:rsidR="00331BC1">
              <w:rPr>
                <w:noProof/>
                <w:webHidden/>
              </w:rPr>
              <w:t>35</w:t>
            </w:r>
            <w:r w:rsidR="00331BC1">
              <w:rPr>
                <w:noProof/>
                <w:webHidden/>
              </w:rPr>
              <w:fldChar w:fldCharType="end"/>
            </w:r>
          </w:hyperlink>
        </w:p>
        <w:p w14:paraId="65B8EB4E" w14:textId="64EE0C83" w:rsidR="00331BC1" w:rsidRDefault="003701E7">
          <w:pPr>
            <w:pStyle w:val="TOC2"/>
            <w:rPr>
              <w:rFonts w:asciiTheme="minorHAnsi" w:eastAsiaTheme="minorEastAsia" w:hAnsiTheme="minorHAnsi" w:cstheme="minorBidi"/>
              <w:noProof/>
              <w:sz w:val="22"/>
              <w:lang w:eastAsia="sk-SK"/>
            </w:rPr>
          </w:pPr>
          <w:hyperlink w:anchor="_Toc58230742" w:history="1">
            <w:r w:rsidR="00331BC1" w:rsidRPr="004F7C9B">
              <w:rPr>
                <w:rStyle w:val="Hyperlink"/>
                <w:noProof/>
              </w:rPr>
              <w:t>2.1.</w:t>
            </w:r>
            <w:r w:rsidR="00331BC1">
              <w:rPr>
                <w:rFonts w:asciiTheme="minorHAnsi" w:eastAsiaTheme="minorEastAsia" w:hAnsiTheme="minorHAnsi" w:cstheme="minorBidi"/>
                <w:noProof/>
                <w:sz w:val="22"/>
                <w:lang w:eastAsia="sk-SK"/>
              </w:rPr>
              <w:tab/>
            </w:r>
            <w:r w:rsidR="00331BC1" w:rsidRPr="004F7C9B">
              <w:rPr>
                <w:rStyle w:val="Hyperlink"/>
                <w:noProof/>
              </w:rPr>
              <w:t>Opatrenia týkajúce sa monitorovania a predkladania správ</w:t>
            </w:r>
            <w:r w:rsidR="00331BC1">
              <w:rPr>
                <w:noProof/>
                <w:webHidden/>
              </w:rPr>
              <w:tab/>
            </w:r>
            <w:r w:rsidR="00331BC1">
              <w:rPr>
                <w:noProof/>
                <w:webHidden/>
              </w:rPr>
              <w:fldChar w:fldCharType="begin"/>
            </w:r>
            <w:r w:rsidR="00331BC1">
              <w:rPr>
                <w:noProof/>
                <w:webHidden/>
              </w:rPr>
              <w:instrText xml:space="preserve"> PAGEREF _Toc58230742 \h </w:instrText>
            </w:r>
            <w:r w:rsidR="00331BC1">
              <w:rPr>
                <w:noProof/>
                <w:webHidden/>
              </w:rPr>
            </w:r>
            <w:r w:rsidR="00331BC1">
              <w:rPr>
                <w:noProof/>
                <w:webHidden/>
              </w:rPr>
              <w:fldChar w:fldCharType="separate"/>
            </w:r>
            <w:r w:rsidR="00331BC1">
              <w:rPr>
                <w:noProof/>
                <w:webHidden/>
              </w:rPr>
              <w:t>35</w:t>
            </w:r>
            <w:r w:rsidR="00331BC1">
              <w:rPr>
                <w:noProof/>
                <w:webHidden/>
              </w:rPr>
              <w:fldChar w:fldCharType="end"/>
            </w:r>
          </w:hyperlink>
        </w:p>
        <w:p w14:paraId="0227EA3A" w14:textId="2D575691" w:rsidR="00331BC1" w:rsidRDefault="003701E7">
          <w:pPr>
            <w:pStyle w:val="TOC2"/>
            <w:rPr>
              <w:rFonts w:asciiTheme="minorHAnsi" w:eastAsiaTheme="minorEastAsia" w:hAnsiTheme="minorHAnsi" w:cstheme="minorBidi"/>
              <w:noProof/>
              <w:sz w:val="22"/>
              <w:lang w:eastAsia="sk-SK"/>
            </w:rPr>
          </w:pPr>
          <w:hyperlink w:anchor="_Toc58230743" w:history="1">
            <w:r w:rsidR="00331BC1" w:rsidRPr="004F7C9B">
              <w:rPr>
                <w:rStyle w:val="Hyperlink"/>
                <w:noProof/>
              </w:rPr>
              <w:t>2.2.</w:t>
            </w:r>
            <w:r w:rsidR="00331BC1">
              <w:rPr>
                <w:rFonts w:asciiTheme="minorHAnsi" w:eastAsiaTheme="minorEastAsia" w:hAnsiTheme="minorHAnsi" w:cstheme="minorBidi"/>
                <w:noProof/>
                <w:sz w:val="22"/>
                <w:lang w:eastAsia="sk-SK"/>
              </w:rPr>
              <w:tab/>
            </w:r>
            <w:r w:rsidR="00331BC1" w:rsidRPr="004F7C9B">
              <w:rPr>
                <w:rStyle w:val="Hyperlink"/>
                <w:noProof/>
              </w:rPr>
              <w:t>Systémy riadenia a kontroly</w:t>
            </w:r>
            <w:r w:rsidR="00331BC1">
              <w:rPr>
                <w:noProof/>
                <w:webHidden/>
              </w:rPr>
              <w:tab/>
            </w:r>
            <w:r w:rsidR="00331BC1">
              <w:rPr>
                <w:noProof/>
                <w:webHidden/>
              </w:rPr>
              <w:fldChar w:fldCharType="begin"/>
            </w:r>
            <w:r w:rsidR="00331BC1">
              <w:rPr>
                <w:noProof/>
                <w:webHidden/>
              </w:rPr>
              <w:instrText xml:space="preserve"> PAGEREF _Toc58230743 \h </w:instrText>
            </w:r>
            <w:r w:rsidR="00331BC1">
              <w:rPr>
                <w:noProof/>
                <w:webHidden/>
              </w:rPr>
            </w:r>
            <w:r w:rsidR="00331BC1">
              <w:rPr>
                <w:noProof/>
                <w:webHidden/>
              </w:rPr>
              <w:fldChar w:fldCharType="separate"/>
            </w:r>
            <w:r w:rsidR="00331BC1">
              <w:rPr>
                <w:noProof/>
                <w:webHidden/>
              </w:rPr>
              <w:t>35</w:t>
            </w:r>
            <w:r w:rsidR="00331BC1">
              <w:rPr>
                <w:noProof/>
                <w:webHidden/>
              </w:rPr>
              <w:fldChar w:fldCharType="end"/>
            </w:r>
          </w:hyperlink>
        </w:p>
        <w:p w14:paraId="50517335" w14:textId="7D13586B" w:rsidR="00331BC1" w:rsidRDefault="003701E7">
          <w:pPr>
            <w:pStyle w:val="TOC3"/>
            <w:rPr>
              <w:rFonts w:asciiTheme="minorHAnsi" w:eastAsiaTheme="minorEastAsia" w:hAnsiTheme="minorHAnsi" w:cstheme="minorBidi"/>
              <w:noProof/>
              <w:sz w:val="22"/>
              <w:lang w:eastAsia="sk-SK"/>
            </w:rPr>
          </w:pPr>
          <w:hyperlink w:anchor="_Toc58230744" w:history="1">
            <w:r w:rsidR="00331BC1" w:rsidRPr="004F7C9B">
              <w:rPr>
                <w:rStyle w:val="Hyperlink"/>
                <w:noProof/>
              </w:rPr>
              <w:t>2.2.1.</w:t>
            </w:r>
            <w:r w:rsidR="00331BC1">
              <w:rPr>
                <w:rFonts w:asciiTheme="minorHAnsi" w:eastAsiaTheme="minorEastAsia" w:hAnsiTheme="minorHAnsi" w:cstheme="minorBidi"/>
                <w:noProof/>
                <w:sz w:val="22"/>
                <w:lang w:eastAsia="sk-SK"/>
              </w:rPr>
              <w:tab/>
            </w:r>
            <w:r w:rsidR="00331BC1" w:rsidRPr="004F7C9B">
              <w:rPr>
                <w:rStyle w:val="Hyperlink"/>
                <w:noProof/>
              </w:rPr>
              <w:t>Opodstatnenie navrhovaných spôsobov riadenia, mechanizmov vykonávania financovania, spôsobov platby a stratégie kontroly</w:t>
            </w:r>
            <w:r w:rsidR="00331BC1">
              <w:rPr>
                <w:noProof/>
                <w:webHidden/>
              </w:rPr>
              <w:tab/>
            </w:r>
            <w:r w:rsidR="00331BC1">
              <w:rPr>
                <w:noProof/>
                <w:webHidden/>
              </w:rPr>
              <w:fldChar w:fldCharType="begin"/>
            </w:r>
            <w:r w:rsidR="00331BC1">
              <w:rPr>
                <w:noProof/>
                <w:webHidden/>
              </w:rPr>
              <w:instrText xml:space="preserve"> PAGEREF _Toc58230744 \h </w:instrText>
            </w:r>
            <w:r w:rsidR="00331BC1">
              <w:rPr>
                <w:noProof/>
                <w:webHidden/>
              </w:rPr>
            </w:r>
            <w:r w:rsidR="00331BC1">
              <w:rPr>
                <w:noProof/>
                <w:webHidden/>
              </w:rPr>
              <w:fldChar w:fldCharType="separate"/>
            </w:r>
            <w:r w:rsidR="00331BC1">
              <w:rPr>
                <w:noProof/>
                <w:webHidden/>
              </w:rPr>
              <w:t>35</w:t>
            </w:r>
            <w:r w:rsidR="00331BC1">
              <w:rPr>
                <w:noProof/>
                <w:webHidden/>
              </w:rPr>
              <w:fldChar w:fldCharType="end"/>
            </w:r>
          </w:hyperlink>
        </w:p>
        <w:p w14:paraId="5FBDA4AD" w14:textId="0FA76B7B" w:rsidR="00331BC1" w:rsidRDefault="003701E7">
          <w:pPr>
            <w:pStyle w:val="TOC3"/>
            <w:rPr>
              <w:rFonts w:asciiTheme="minorHAnsi" w:eastAsiaTheme="minorEastAsia" w:hAnsiTheme="minorHAnsi" w:cstheme="minorBidi"/>
              <w:noProof/>
              <w:sz w:val="22"/>
              <w:lang w:eastAsia="sk-SK"/>
            </w:rPr>
          </w:pPr>
          <w:hyperlink w:anchor="_Toc58230745" w:history="1">
            <w:r w:rsidR="00331BC1" w:rsidRPr="004F7C9B">
              <w:rPr>
                <w:rStyle w:val="Hyperlink"/>
                <w:noProof/>
              </w:rPr>
              <w:t>2.2.2.</w:t>
            </w:r>
            <w:r w:rsidR="00331BC1">
              <w:rPr>
                <w:rFonts w:asciiTheme="minorHAnsi" w:eastAsiaTheme="minorEastAsia" w:hAnsiTheme="minorHAnsi" w:cstheme="minorBidi"/>
                <w:noProof/>
                <w:sz w:val="22"/>
                <w:lang w:eastAsia="sk-SK"/>
              </w:rPr>
              <w:tab/>
            </w:r>
            <w:r w:rsidR="00331BC1" w:rsidRPr="004F7C9B">
              <w:rPr>
                <w:rStyle w:val="Hyperlink"/>
                <w:noProof/>
              </w:rPr>
              <w:t>Informácie o zistených rizikách a systémoch vnútornej kontroly zavedených na ich zmierňovanie</w:t>
            </w:r>
            <w:r w:rsidR="00331BC1">
              <w:rPr>
                <w:noProof/>
                <w:webHidden/>
              </w:rPr>
              <w:tab/>
            </w:r>
            <w:r w:rsidR="00331BC1">
              <w:rPr>
                <w:noProof/>
                <w:webHidden/>
              </w:rPr>
              <w:fldChar w:fldCharType="begin"/>
            </w:r>
            <w:r w:rsidR="00331BC1">
              <w:rPr>
                <w:noProof/>
                <w:webHidden/>
              </w:rPr>
              <w:instrText xml:space="preserve"> PAGEREF _Toc58230745 \h </w:instrText>
            </w:r>
            <w:r w:rsidR="00331BC1">
              <w:rPr>
                <w:noProof/>
                <w:webHidden/>
              </w:rPr>
            </w:r>
            <w:r w:rsidR="00331BC1">
              <w:rPr>
                <w:noProof/>
                <w:webHidden/>
              </w:rPr>
              <w:fldChar w:fldCharType="separate"/>
            </w:r>
            <w:r w:rsidR="00331BC1">
              <w:rPr>
                <w:noProof/>
                <w:webHidden/>
              </w:rPr>
              <w:t>35</w:t>
            </w:r>
            <w:r w:rsidR="00331BC1">
              <w:rPr>
                <w:noProof/>
                <w:webHidden/>
              </w:rPr>
              <w:fldChar w:fldCharType="end"/>
            </w:r>
          </w:hyperlink>
        </w:p>
        <w:p w14:paraId="09636B53" w14:textId="2B82F1D8" w:rsidR="00331BC1" w:rsidRDefault="003701E7">
          <w:pPr>
            <w:pStyle w:val="TOC2"/>
            <w:rPr>
              <w:rFonts w:asciiTheme="minorHAnsi" w:eastAsiaTheme="minorEastAsia" w:hAnsiTheme="minorHAnsi" w:cstheme="minorBidi"/>
              <w:noProof/>
              <w:sz w:val="22"/>
              <w:lang w:eastAsia="sk-SK"/>
            </w:rPr>
          </w:pPr>
          <w:hyperlink w:anchor="_Toc58230746" w:history="1">
            <w:r w:rsidR="00331BC1" w:rsidRPr="004F7C9B">
              <w:rPr>
                <w:rStyle w:val="Hyperlink"/>
                <w:noProof/>
              </w:rPr>
              <w:t>2.3.</w:t>
            </w:r>
            <w:r w:rsidR="00331BC1">
              <w:rPr>
                <w:rFonts w:asciiTheme="minorHAnsi" w:eastAsiaTheme="minorEastAsia" w:hAnsiTheme="minorHAnsi" w:cstheme="minorBidi"/>
                <w:noProof/>
                <w:sz w:val="22"/>
                <w:lang w:eastAsia="sk-SK"/>
              </w:rPr>
              <w:tab/>
            </w:r>
            <w:r w:rsidR="00331BC1" w:rsidRPr="004F7C9B">
              <w:rPr>
                <w:rStyle w:val="Hyperlink"/>
                <w:noProof/>
              </w:rPr>
              <w:t>Opatrenia na predchádzanie podvodom a nezrovnalostiam</w:t>
            </w:r>
            <w:r w:rsidR="00331BC1">
              <w:rPr>
                <w:noProof/>
                <w:webHidden/>
              </w:rPr>
              <w:tab/>
            </w:r>
            <w:r w:rsidR="00331BC1">
              <w:rPr>
                <w:noProof/>
                <w:webHidden/>
              </w:rPr>
              <w:fldChar w:fldCharType="begin"/>
            </w:r>
            <w:r w:rsidR="00331BC1">
              <w:rPr>
                <w:noProof/>
                <w:webHidden/>
              </w:rPr>
              <w:instrText xml:space="preserve"> PAGEREF _Toc58230746 \h </w:instrText>
            </w:r>
            <w:r w:rsidR="00331BC1">
              <w:rPr>
                <w:noProof/>
                <w:webHidden/>
              </w:rPr>
            </w:r>
            <w:r w:rsidR="00331BC1">
              <w:rPr>
                <w:noProof/>
                <w:webHidden/>
              </w:rPr>
              <w:fldChar w:fldCharType="separate"/>
            </w:r>
            <w:r w:rsidR="00331BC1">
              <w:rPr>
                <w:noProof/>
                <w:webHidden/>
              </w:rPr>
              <w:t>35</w:t>
            </w:r>
            <w:r w:rsidR="00331BC1">
              <w:rPr>
                <w:noProof/>
                <w:webHidden/>
              </w:rPr>
              <w:fldChar w:fldCharType="end"/>
            </w:r>
          </w:hyperlink>
        </w:p>
        <w:p w14:paraId="461906E6" w14:textId="1CA0A1DE" w:rsidR="00331BC1" w:rsidRDefault="003701E7">
          <w:pPr>
            <w:pStyle w:val="TOC1"/>
            <w:rPr>
              <w:rFonts w:asciiTheme="minorHAnsi" w:eastAsiaTheme="minorEastAsia" w:hAnsiTheme="minorHAnsi" w:cstheme="minorBidi"/>
              <w:noProof/>
              <w:sz w:val="22"/>
              <w:lang w:eastAsia="sk-SK"/>
            </w:rPr>
          </w:pPr>
          <w:hyperlink w:anchor="_Toc58230747" w:history="1">
            <w:r w:rsidR="00331BC1" w:rsidRPr="004F7C9B">
              <w:rPr>
                <w:rStyle w:val="Hyperlink"/>
                <w:noProof/>
              </w:rPr>
              <w:t>3.</w:t>
            </w:r>
            <w:r w:rsidR="00331BC1">
              <w:rPr>
                <w:rFonts w:asciiTheme="minorHAnsi" w:eastAsiaTheme="minorEastAsia" w:hAnsiTheme="minorHAnsi" w:cstheme="minorBidi"/>
                <w:noProof/>
                <w:sz w:val="22"/>
                <w:lang w:eastAsia="sk-SK"/>
              </w:rPr>
              <w:tab/>
            </w:r>
            <w:r w:rsidR="00331BC1" w:rsidRPr="004F7C9B">
              <w:rPr>
                <w:rStyle w:val="Hyperlink"/>
                <w:noProof/>
              </w:rPr>
              <w:t>ODHADOVANÝ FINANČNÝ VPLYV NÁVRHU/INICIATÍVY</w:t>
            </w:r>
            <w:r w:rsidR="00331BC1">
              <w:rPr>
                <w:noProof/>
                <w:webHidden/>
              </w:rPr>
              <w:tab/>
            </w:r>
            <w:r w:rsidR="00331BC1">
              <w:rPr>
                <w:noProof/>
                <w:webHidden/>
              </w:rPr>
              <w:fldChar w:fldCharType="begin"/>
            </w:r>
            <w:r w:rsidR="00331BC1">
              <w:rPr>
                <w:noProof/>
                <w:webHidden/>
              </w:rPr>
              <w:instrText xml:space="preserve"> PAGEREF _Toc58230747 \h </w:instrText>
            </w:r>
            <w:r w:rsidR="00331BC1">
              <w:rPr>
                <w:noProof/>
                <w:webHidden/>
              </w:rPr>
            </w:r>
            <w:r w:rsidR="00331BC1">
              <w:rPr>
                <w:noProof/>
                <w:webHidden/>
              </w:rPr>
              <w:fldChar w:fldCharType="separate"/>
            </w:r>
            <w:r w:rsidR="00331BC1">
              <w:rPr>
                <w:noProof/>
                <w:webHidden/>
              </w:rPr>
              <w:t>36</w:t>
            </w:r>
            <w:r w:rsidR="00331BC1">
              <w:rPr>
                <w:noProof/>
                <w:webHidden/>
              </w:rPr>
              <w:fldChar w:fldCharType="end"/>
            </w:r>
          </w:hyperlink>
        </w:p>
        <w:p w14:paraId="492A84CA" w14:textId="6409A1F9" w:rsidR="00331BC1" w:rsidRDefault="003701E7">
          <w:pPr>
            <w:pStyle w:val="TOC2"/>
            <w:rPr>
              <w:rFonts w:asciiTheme="minorHAnsi" w:eastAsiaTheme="minorEastAsia" w:hAnsiTheme="minorHAnsi" w:cstheme="minorBidi"/>
              <w:noProof/>
              <w:sz w:val="22"/>
              <w:lang w:eastAsia="sk-SK"/>
            </w:rPr>
          </w:pPr>
          <w:hyperlink w:anchor="_Toc58230748" w:history="1">
            <w:r w:rsidR="00331BC1" w:rsidRPr="004F7C9B">
              <w:rPr>
                <w:rStyle w:val="Hyperlink"/>
                <w:noProof/>
              </w:rPr>
              <w:t>3.1.</w:t>
            </w:r>
            <w:r w:rsidR="00331BC1">
              <w:rPr>
                <w:rFonts w:asciiTheme="minorHAnsi" w:eastAsiaTheme="minorEastAsia" w:hAnsiTheme="minorHAnsi" w:cstheme="minorBidi"/>
                <w:noProof/>
                <w:sz w:val="22"/>
                <w:lang w:eastAsia="sk-SK"/>
              </w:rPr>
              <w:tab/>
            </w:r>
            <w:r w:rsidR="00331BC1" w:rsidRPr="004F7C9B">
              <w:rPr>
                <w:rStyle w:val="Hyperlink"/>
                <w:noProof/>
              </w:rPr>
              <w:t>Príslušné okruhy viacročného finančného rámca a rozpočtové riadky výdavkov</w:t>
            </w:r>
            <w:r w:rsidR="00331BC1">
              <w:rPr>
                <w:noProof/>
                <w:webHidden/>
              </w:rPr>
              <w:tab/>
            </w:r>
            <w:r w:rsidR="00331BC1">
              <w:rPr>
                <w:noProof/>
                <w:webHidden/>
              </w:rPr>
              <w:fldChar w:fldCharType="begin"/>
            </w:r>
            <w:r w:rsidR="00331BC1">
              <w:rPr>
                <w:noProof/>
                <w:webHidden/>
              </w:rPr>
              <w:instrText xml:space="preserve"> PAGEREF _Toc58230748 \h </w:instrText>
            </w:r>
            <w:r w:rsidR="00331BC1">
              <w:rPr>
                <w:noProof/>
                <w:webHidden/>
              </w:rPr>
            </w:r>
            <w:r w:rsidR="00331BC1">
              <w:rPr>
                <w:noProof/>
                <w:webHidden/>
              </w:rPr>
              <w:fldChar w:fldCharType="separate"/>
            </w:r>
            <w:r w:rsidR="00331BC1">
              <w:rPr>
                <w:noProof/>
                <w:webHidden/>
              </w:rPr>
              <w:t>36</w:t>
            </w:r>
            <w:r w:rsidR="00331BC1">
              <w:rPr>
                <w:noProof/>
                <w:webHidden/>
              </w:rPr>
              <w:fldChar w:fldCharType="end"/>
            </w:r>
          </w:hyperlink>
        </w:p>
        <w:p w14:paraId="7F350E0C" w14:textId="39151E81" w:rsidR="00331BC1" w:rsidRDefault="003701E7">
          <w:pPr>
            <w:pStyle w:val="TOC2"/>
            <w:rPr>
              <w:rFonts w:asciiTheme="minorHAnsi" w:eastAsiaTheme="minorEastAsia" w:hAnsiTheme="minorHAnsi" w:cstheme="minorBidi"/>
              <w:noProof/>
              <w:sz w:val="22"/>
              <w:lang w:eastAsia="sk-SK"/>
            </w:rPr>
          </w:pPr>
          <w:hyperlink w:anchor="_Toc58230749" w:history="1">
            <w:r w:rsidR="00331BC1" w:rsidRPr="004F7C9B">
              <w:rPr>
                <w:rStyle w:val="Hyperlink"/>
                <w:noProof/>
              </w:rPr>
              <w:t>3.2.</w:t>
            </w:r>
            <w:r w:rsidR="00331BC1">
              <w:rPr>
                <w:rFonts w:asciiTheme="minorHAnsi" w:eastAsiaTheme="minorEastAsia" w:hAnsiTheme="minorHAnsi" w:cstheme="minorBidi"/>
                <w:noProof/>
                <w:sz w:val="22"/>
                <w:lang w:eastAsia="sk-SK"/>
              </w:rPr>
              <w:tab/>
            </w:r>
            <w:r w:rsidR="00331BC1" w:rsidRPr="004F7C9B">
              <w:rPr>
                <w:rStyle w:val="Hyperlink"/>
                <w:noProof/>
              </w:rPr>
              <w:t>Odhadovaný vplyv na výdavky</w:t>
            </w:r>
            <w:r w:rsidR="00331BC1">
              <w:rPr>
                <w:noProof/>
                <w:webHidden/>
              </w:rPr>
              <w:tab/>
            </w:r>
            <w:r w:rsidR="00331BC1">
              <w:rPr>
                <w:noProof/>
                <w:webHidden/>
              </w:rPr>
              <w:fldChar w:fldCharType="begin"/>
            </w:r>
            <w:r w:rsidR="00331BC1">
              <w:rPr>
                <w:noProof/>
                <w:webHidden/>
              </w:rPr>
              <w:instrText xml:space="preserve"> PAGEREF _Toc58230749 \h </w:instrText>
            </w:r>
            <w:r w:rsidR="00331BC1">
              <w:rPr>
                <w:noProof/>
                <w:webHidden/>
              </w:rPr>
            </w:r>
            <w:r w:rsidR="00331BC1">
              <w:rPr>
                <w:noProof/>
                <w:webHidden/>
              </w:rPr>
              <w:fldChar w:fldCharType="separate"/>
            </w:r>
            <w:r w:rsidR="00331BC1">
              <w:rPr>
                <w:noProof/>
                <w:webHidden/>
              </w:rPr>
              <w:t>38</w:t>
            </w:r>
            <w:r w:rsidR="00331BC1">
              <w:rPr>
                <w:noProof/>
                <w:webHidden/>
              </w:rPr>
              <w:fldChar w:fldCharType="end"/>
            </w:r>
          </w:hyperlink>
        </w:p>
        <w:p w14:paraId="3168EC4E" w14:textId="016281B2" w:rsidR="00331BC1" w:rsidRDefault="003701E7">
          <w:pPr>
            <w:pStyle w:val="TOC3"/>
            <w:rPr>
              <w:rFonts w:asciiTheme="minorHAnsi" w:eastAsiaTheme="minorEastAsia" w:hAnsiTheme="minorHAnsi" w:cstheme="minorBidi"/>
              <w:noProof/>
              <w:sz w:val="22"/>
              <w:lang w:eastAsia="sk-SK"/>
            </w:rPr>
          </w:pPr>
          <w:hyperlink w:anchor="_Toc58230750" w:history="1">
            <w:r w:rsidR="00331BC1" w:rsidRPr="004F7C9B">
              <w:rPr>
                <w:rStyle w:val="Hyperlink"/>
                <w:noProof/>
              </w:rPr>
              <w:t>3.2.1.</w:t>
            </w:r>
            <w:r w:rsidR="00331BC1">
              <w:rPr>
                <w:rFonts w:asciiTheme="minorHAnsi" w:eastAsiaTheme="minorEastAsia" w:hAnsiTheme="minorHAnsi" w:cstheme="minorBidi"/>
                <w:noProof/>
                <w:sz w:val="22"/>
                <w:lang w:eastAsia="sk-SK"/>
              </w:rPr>
              <w:tab/>
            </w:r>
            <w:r w:rsidR="00331BC1" w:rsidRPr="004F7C9B">
              <w:rPr>
                <w:rStyle w:val="Hyperlink"/>
                <w:noProof/>
              </w:rPr>
              <w:t>Zhrnutie odhadovaného vplyvu na výdavky</w:t>
            </w:r>
            <w:r w:rsidR="00331BC1">
              <w:rPr>
                <w:noProof/>
                <w:webHidden/>
              </w:rPr>
              <w:tab/>
            </w:r>
            <w:r w:rsidR="00331BC1">
              <w:rPr>
                <w:noProof/>
                <w:webHidden/>
              </w:rPr>
              <w:fldChar w:fldCharType="begin"/>
            </w:r>
            <w:r w:rsidR="00331BC1">
              <w:rPr>
                <w:noProof/>
                <w:webHidden/>
              </w:rPr>
              <w:instrText xml:space="preserve"> PAGEREF _Toc58230750 \h </w:instrText>
            </w:r>
            <w:r w:rsidR="00331BC1">
              <w:rPr>
                <w:noProof/>
                <w:webHidden/>
              </w:rPr>
            </w:r>
            <w:r w:rsidR="00331BC1">
              <w:rPr>
                <w:noProof/>
                <w:webHidden/>
              </w:rPr>
              <w:fldChar w:fldCharType="separate"/>
            </w:r>
            <w:r w:rsidR="00331BC1">
              <w:rPr>
                <w:noProof/>
                <w:webHidden/>
              </w:rPr>
              <w:t>38</w:t>
            </w:r>
            <w:r w:rsidR="00331BC1">
              <w:rPr>
                <w:noProof/>
                <w:webHidden/>
              </w:rPr>
              <w:fldChar w:fldCharType="end"/>
            </w:r>
          </w:hyperlink>
        </w:p>
        <w:p w14:paraId="213E2F40" w14:textId="2E686052" w:rsidR="00331BC1" w:rsidRDefault="003701E7">
          <w:pPr>
            <w:pStyle w:val="TOC3"/>
            <w:rPr>
              <w:rFonts w:asciiTheme="minorHAnsi" w:eastAsiaTheme="minorEastAsia" w:hAnsiTheme="minorHAnsi" w:cstheme="minorBidi"/>
              <w:noProof/>
              <w:sz w:val="22"/>
              <w:lang w:eastAsia="sk-SK"/>
            </w:rPr>
          </w:pPr>
          <w:hyperlink w:anchor="_Toc58230751" w:history="1">
            <w:r w:rsidR="00331BC1" w:rsidRPr="004F7C9B">
              <w:rPr>
                <w:rStyle w:val="Hyperlink"/>
                <w:noProof/>
              </w:rPr>
              <w:t>3.2.2.</w:t>
            </w:r>
            <w:r w:rsidR="00331BC1">
              <w:rPr>
                <w:rFonts w:asciiTheme="minorHAnsi" w:eastAsiaTheme="minorEastAsia" w:hAnsiTheme="minorHAnsi" w:cstheme="minorBidi"/>
                <w:noProof/>
                <w:sz w:val="22"/>
                <w:lang w:eastAsia="sk-SK"/>
              </w:rPr>
              <w:tab/>
            </w:r>
            <w:r w:rsidR="00331BC1" w:rsidRPr="004F7C9B">
              <w:rPr>
                <w:rStyle w:val="Hyperlink"/>
                <w:noProof/>
              </w:rPr>
              <w:t>Odhadovaný vplyv na rozpočtové prostriedky ECDC</w:t>
            </w:r>
            <w:r w:rsidR="00331BC1">
              <w:rPr>
                <w:noProof/>
                <w:webHidden/>
              </w:rPr>
              <w:tab/>
            </w:r>
            <w:r w:rsidR="00331BC1">
              <w:rPr>
                <w:noProof/>
                <w:webHidden/>
              </w:rPr>
              <w:fldChar w:fldCharType="begin"/>
            </w:r>
            <w:r w:rsidR="00331BC1">
              <w:rPr>
                <w:noProof/>
                <w:webHidden/>
              </w:rPr>
              <w:instrText xml:space="preserve"> PAGEREF _Toc58230751 \h </w:instrText>
            </w:r>
            <w:r w:rsidR="00331BC1">
              <w:rPr>
                <w:noProof/>
                <w:webHidden/>
              </w:rPr>
            </w:r>
            <w:r w:rsidR="00331BC1">
              <w:rPr>
                <w:noProof/>
                <w:webHidden/>
              </w:rPr>
              <w:fldChar w:fldCharType="separate"/>
            </w:r>
            <w:r w:rsidR="00331BC1">
              <w:rPr>
                <w:noProof/>
                <w:webHidden/>
              </w:rPr>
              <w:t>40</w:t>
            </w:r>
            <w:r w:rsidR="00331BC1">
              <w:rPr>
                <w:noProof/>
                <w:webHidden/>
              </w:rPr>
              <w:fldChar w:fldCharType="end"/>
            </w:r>
          </w:hyperlink>
        </w:p>
        <w:p w14:paraId="69A76597" w14:textId="12C5FB27" w:rsidR="00331BC1" w:rsidRDefault="003701E7">
          <w:pPr>
            <w:pStyle w:val="TOC3"/>
            <w:rPr>
              <w:rFonts w:asciiTheme="minorHAnsi" w:eastAsiaTheme="minorEastAsia" w:hAnsiTheme="minorHAnsi" w:cstheme="minorBidi"/>
              <w:noProof/>
              <w:sz w:val="22"/>
              <w:lang w:eastAsia="sk-SK"/>
            </w:rPr>
          </w:pPr>
          <w:hyperlink w:anchor="_Toc58230752" w:history="1">
            <w:r w:rsidR="00331BC1" w:rsidRPr="004F7C9B">
              <w:rPr>
                <w:rStyle w:val="Hyperlink"/>
                <w:noProof/>
              </w:rPr>
              <w:t>3.2.3.</w:t>
            </w:r>
            <w:r w:rsidR="00331BC1">
              <w:rPr>
                <w:rFonts w:asciiTheme="minorHAnsi" w:eastAsiaTheme="minorEastAsia" w:hAnsiTheme="minorHAnsi" w:cstheme="minorBidi"/>
                <w:noProof/>
                <w:sz w:val="22"/>
                <w:lang w:eastAsia="sk-SK"/>
              </w:rPr>
              <w:tab/>
            </w:r>
            <w:r w:rsidR="00331BC1" w:rsidRPr="004F7C9B">
              <w:rPr>
                <w:rStyle w:val="Hyperlink"/>
                <w:noProof/>
              </w:rPr>
              <w:t>Odhadovaný vplyv na ľudské zdroje [subjektu]</w:t>
            </w:r>
            <w:r w:rsidR="00331BC1">
              <w:rPr>
                <w:noProof/>
                <w:webHidden/>
              </w:rPr>
              <w:tab/>
            </w:r>
            <w:r w:rsidR="00331BC1">
              <w:rPr>
                <w:noProof/>
                <w:webHidden/>
              </w:rPr>
              <w:fldChar w:fldCharType="begin"/>
            </w:r>
            <w:r w:rsidR="00331BC1">
              <w:rPr>
                <w:noProof/>
                <w:webHidden/>
              </w:rPr>
              <w:instrText xml:space="preserve"> PAGEREF _Toc58230752 \h </w:instrText>
            </w:r>
            <w:r w:rsidR="00331BC1">
              <w:rPr>
                <w:noProof/>
                <w:webHidden/>
              </w:rPr>
            </w:r>
            <w:r w:rsidR="00331BC1">
              <w:rPr>
                <w:noProof/>
                <w:webHidden/>
              </w:rPr>
              <w:fldChar w:fldCharType="separate"/>
            </w:r>
            <w:r w:rsidR="00331BC1">
              <w:rPr>
                <w:noProof/>
                <w:webHidden/>
              </w:rPr>
              <w:t>44</w:t>
            </w:r>
            <w:r w:rsidR="00331BC1">
              <w:rPr>
                <w:noProof/>
                <w:webHidden/>
              </w:rPr>
              <w:fldChar w:fldCharType="end"/>
            </w:r>
          </w:hyperlink>
        </w:p>
        <w:p w14:paraId="55F14CA9" w14:textId="766C7CD5" w:rsidR="00331BC1" w:rsidRDefault="003701E7">
          <w:pPr>
            <w:pStyle w:val="TOC3"/>
            <w:rPr>
              <w:rFonts w:asciiTheme="minorHAnsi" w:eastAsiaTheme="minorEastAsia" w:hAnsiTheme="minorHAnsi" w:cstheme="minorBidi"/>
              <w:noProof/>
              <w:sz w:val="22"/>
              <w:lang w:eastAsia="sk-SK"/>
            </w:rPr>
          </w:pPr>
          <w:hyperlink w:anchor="_Toc58230753" w:history="1">
            <w:r w:rsidR="00331BC1" w:rsidRPr="004F7C9B">
              <w:rPr>
                <w:rStyle w:val="Hyperlink"/>
                <w:noProof/>
              </w:rPr>
              <w:t>3.2.4.</w:t>
            </w:r>
            <w:r w:rsidR="00331BC1">
              <w:rPr>
                <w:rFonts w:asciiTheme="minorHAnsi" w:eastAsiaTheme="minorEastAsia" w:hAnsiTheme="minorHAnsi" w:cstheme="minorBidi"/>
                <w:noProof/>
                <w:sz w:val="22"/>
                <w:lang w:eastAsia="sk-SK"/>
              </w:rPr>
              <w:tab/>
            </w:r>
            <w:r w:rsidR="00331BC1" w:rsidRPr="004F7C9B">
              <w:rPr>
                <w:rStyle w:val="Hyperlink"/>
                <w:noProof/>
              </w:rPr>
              <w:t>Súlad s platným viacročným finančným rámcom</w:t>
            </w:r>
            <w:r w:rsidR="00331BC1">
              <w:rPr>
                <w:noProof/>
                <w:webHidden/>
              </w:rPr>
              <w:tab/>
            </w:r>
            <w:r w:rsidR="00331BC1">
              <w:rPr>
                <w:noProof/>
                <w:webHidden/>
              </w:rPr>
              <w:fldChar w:fldCharType="begin"/>
            </w:r>
            <w:r w:rsidR="00331BC1">
              <w:rPr>
                <w:noProof/>
                <w:webHidden/>
              </w:rPr>
              <w:instrText xml:space="preserve"> PAGEREF _Toc58230753 \h </w:instrText>
            </w:r>
            <w:r w:rsidR="00331BC1">
              <w:rPr>
                <w:noProof/>
                <w:webHidden/>
              </w:rPr>
            </w:r>
            <w:r w:rsidR="00331BC1">
              <w:rPr>
                <w:noProof/>
                <w:webHidden/>
              </w:rPr>
              <w:fldChar w:fldCharType="separate"/>
            </w:r>
            <w:r w:rsidR="00331BC1">
              <w:rPr>
                <w:noProof/>
                <w:webHidden/>
              </w:rPr>
              <w:t>48</w:t>
            </w:r>
            <w:r w:rsidR="00331BC1">
              <w:rPr>
                <w:noProof/>
                <w:webHidden/>
              </w:rPr>
              <w:fldChar w:fldCharType="end"/>
            </w:r>
          </w:hyperlink>
        </w:p>
        <w:p w14:paraId="2516E46F" w14:textId="6D8AB20D" w:rsidR="00331BC1" w:rsidRDefault="003701E7">
          <w:pPr>
            <w:pStyle w:val="TOC3"/>
            <w:rPr>
              <w:rFonts w:asciiTheme="minorHAnsi" w:eastAsiaTheme="minorEastAsia" w:hAnsiTheme="minorHAnsi" w:cstheme="minorBidi"/>
              <w:noProof/>
              <w:sz w:val="22"/>
              <w:lang w:eastAsia="sk-SK"/>
            </w:rPr>
          </w:pPr>
          <w:hyperlink w:anchor="_Toc58230754" w:history="1">
            <w:r w:rsidR="00331BC1" w:rsidRPr="004F7C9B">
              <w:rPr>
                <w:rStyle w:val="Hyperlink"/>
                <w:noProof/>
              </w:rPr>
              <w:t>3.2.5.</w:t>
            </w:r>
            <w:r w:rsidR="00331BC1">
              <w:rPr>
                <w:rFonts w:asciiTheme="minorHAnsi" w:eastAsiaTheme="minorEastAsia" w:hAnsiTheme="minorHAnsi" w:cstheme="minorBidi"/>
                <w:noProof/>
                <w:sz w:val="22"/>
                <w:lang w:eastAsia="sk-SK"/>
              </w:rPr>
              <w:tab/>
            </w:r>
            <w:r w:rsidR="00331BC1" w:rsidRPr="004F7C9B">
              <w:rPr>
                <w:rStyle w:val="Hyperlink"/>
                <w:noProof/>
              </w:rPr>
              <w:t>Príspevky od tretích strán</w:t>
            </w:r>
            <w:r w:rsidR="00331BC1">
              <w:rPr>
                <w:noProof/>
                <w:webHidden/>
              </w:rPr>
              <w:tab/>
            </w:r>
            <w:r w:rsidR="00331BC1">
              <w:rPr>
                <w:noProof/>
                <w:webHidden/>
              </w:rPr>
              <w:fldChar w:fldCharType="begin"/>
            </w:r>
            <w:r w:rsidR="00331BC1">
              <w:rPr>
                <w:noProof/>
                <w:webHidden/>
              </w:rPr>
              <w:instrText xml:space="preserve"> PAGEREF _Toc58230754 \h </w:instrText>
            </w:r>
            <w:r w:rsidR="00331BC1">
              <w:rPr>
                <w:noProof/>
                <w:webHidden/>
              </w:rPr>
            </w:r>
            <w:r w:rsidR="00331BC1">
              <w:rPr>
                <w:noProof/>
                <w:webHidden/>
              </w:rPr>
              <w:fldChar w:fldCharType="separate"/>
            </w:r>
            <w:r w:rsidR="00331BC1">
              <w:rPr>
                <w:noProof/>
                <w:webHidden/>
              </w:rPr>
              <w:t>48</w:t>
            </w:r>
            <w:r w:rsidR="00331BC1">
              <w:rPr>
                <w:noProof/>
                <w:webHidden/>
              </w:rPr>
              <w:fldChar w:fldCharType="end"/>
            </w:r>
          </w:hyperlink>
        </w:p>
        <w:p w14:paraId="7A464585" w14:textId="2475B415" w:rsidR="00331BC1" w:rsidRDefault="003701E7">
          <w:pPr>
            <w:pStyle w:val="TOC2"/>
            <w:rPr>
              <w:rFonts w:asciiTheme="minorHAnsi" w:eastAsiaTheme="minorEastAsia" w:hAnsiTheme="minorHAnsi" w:cstheme="minorBidi"/>
              <w:noProof/>
              <w:sz w:val="22"/>
              <w:lang w:eastAsia="sk-SK"/>
            </w:rPr>
          </w:pPr>
          <w:hyperlink w:anchor="_Toc58230755" w:history="1">
            <w:r w:rsidR="00331BC1" w:rsidRPr="004F7C9B">
              <w:rPr>
                <w:rStyle w:val="Hyperlink"/>
                <w:noProof/>
              </w:rPr>
              <w:t>3.3.</w:t>
            </w:r>
            <w:r w:rsidR="00331BC1">
              <w:rPr>
                <w:rFonts w:asciiTheme="minorHAnsi" w:eastAsiaTheme="minorEastAsia" w:hAnsiTheme="minorHAnsi" w:cstheme="minorBidi"/>
                <w:noProof/>
                <w:sz w:val="22"/>
                <w:lang w:eastAsia="sk-SK"/>
              </w:rPr>
              <w:tab/>
            </w:r>
            <w:r w:rsidR="00331BC1" w:rsidRPr="004F7C9B">
              <w:rPr>
                <w:rStyle w:val="Hyperlink"/>
                <w:noProof/>
              </w:rPr>
              <w:t>Odhadovaný vplyv na príjmy</w:t>
            </w:r>
            <w:r w:rsidR="00331BC1">
              <w:rPr>
                <w:noProof/>
                <w:webHidden/>
              </w:rPr>
              <w:tab/>
            </w:r>
            <w:r w:rsidR="00331BC1">
              <w:rPr>
                <w:noProof/>
                <w:webHidden/>
              </w:rPr>
              <w:fldChar w:fldCharType="begin"/>
            </w:r>
            <w:r w:rsidR="00331BC1">
              <w:rPr>
                <w:noProof/>
                <w:webHidden/>
              </w:rPr>
              <w:instrText xml:space="preserve"> PAGEREF _Toc58230755 \h </w:instrText>
            </w:r>
            <w:r w:rsidR="00331BC1">
              <w:rPr>
                <w:noProof/>
                <w:webHidden/>
              </w:rPr>
            </w:r>
            <w:r w:rsidR="00331BC1">
              <w:rPr>
                <w:noProof/>
                <w:webHidden/>
              </w:rPr>
              <w:fldChar w:fldCharType="separate"/>
            </w:r>
            <w:r w:rsidR="00331BC1">
              <w:rPr>
                <w:noProof/>
                <w:webHidden/>
              </w:rPr>
              <w:t>49</w:t>
            </w:r>
            <w:r w:rsidR="00331BC1">
              <w:rPr>
                <w:noProof/>
                <w:webHidden/>
              </w:rPr>
              <w:fldChar w:fldCharType="end"/>
            </w:r>
          </w:hyperlink>
        </w:p>
        <w:p w14:paraId="044BDD62" w14:textId="40BCDA75" w:rsidR="00B50935" w:rsidRPr="007B62AA" w:rsidRDefault="00B50935" w:rsidP="00B50935">
          <w:r w:rsidRPr="007B62AA">
            <w:rPr>
              <w:b/>
              <w:bCs/>
            </w:rPr>
            <w:fldChar w:fldCharType="end"/>
          </w:r>
        </w:p>
      </w:sdtContent>
    </w:sdt>
    <w:p w14:paraId="6D78990B" w14:textId="77777777" w:rsidR="00B50935" w:rsidRPr="007B62AA" w:rsidRDefault="00B50935" w:rsidP="00B50935">
      <w:pPr>
        <w:rPr>
          <w:noProof/>
        </w:rPr>
        <w:sectPr w:rsidR="00B50935" w:rsidRPr="007B62AA" w:rsidSect="00CA0925">
          <w:pgSz w:w="12240" w:h="15840"/>
          <w:pgMar w:top="794" w:right="907" w:bottom="851" w:left="1361" w:header="510" w:footer="454" w:gutter="0"/>
          <w:cols w:space="720"/>
          <w:docGrid w:linePitch="326"/>
        </w:sectPr>
      </w:pPr>
    </w:p>
    <w:p w14:paraId="46942DC9" w14:textId="77777777" w:rsidR="00B50935" w:rsidRPr="007B62AA" w:rsidRDefault="00B50935" w:rsidP="00B50935">
      <w:pPr>
        <w:jc w:val="center"/>
        <w:rPr>
          <w:b/>
          <w:noProof/>
          <w:u w:val="single"/>
        </w:rPr>
      </w:pPr>
      <w:r w:rsidRPr="007B62AA">
        <w:rPr>
          <w:b/>
          <w:u w:val="single"/>
        </w:rPr>
        <w:t>LEGISLATÍVNY FINANČNÝ VÝKAZ – „AGENTÚRY“</w:t>
      </w:r>
    </w:p>
    <w:p w14:paraId="3DAD5C59" w14:textId="77777777" w:rsidR="00B50935" w:rsidRPr="007B62AA" w:rsidRDefault="00B50935" w:rsidP="00FA14F0">
      <w:pPr>
        <w:pStyle w:val="Heading1"/>
        <w:numPr>
          <w:ilvl w:val="0"/>
          <w:numId w:val="16"/>
        </w:numPr>
        <w:rPr>
          <w:bCs w:val="0"/>
          <w:noProof/>
          <w:szCs w:val="24"/>
        </w:rPr>
      </w:pPr>
      <w:bookmarkStart w:id="18" w:name="_Toc514938659"/>
      <w:bookmarkStart w:id="19" w:name="_Toc58230724"/>
      <w:r w:rsidRPr="007B62AA">
        <w:t>RÁMEC NÁVRHU/INICIATÍVY</w:t>
      </w:r>
      <w:bookmarkEnd w:id="18"/>
      <w:bookmarkEnd w:id="19"/>
      <w:r w:rsidRPr="007B62AA">
        <w:t xml:space="preserve"> </w:t>
      </w:r>
    </w:p>
    <w:p w14:paraId="3EBCA47D" w14:textId="77777777" w:rsidR="00B50935" w:rsidRPr="007B62AA" w:rsidRDefault="00B50935" w:rsidP="00B50935">
      <w:pPr>
        <w:pStyle w:val="Heading2"/>
        <w:rPr>
          <w:bCs w:val="0"/>
          <w:noProof/>
          <w:szCs w:val="24"/>
        </w:rPr>
      </w:pPr>
      <w:bookmarkStart w:id="20" w:name="_Toc514938660"/>
      <w:bookmarkStart w:id="21" w:name="_Toc58230725"/>
      <w:r w:rsidRPr="007B62AA">
        <w:t>Názov návrhu/iniciatívy</w:t>
      </w:r>
      <w:bookmarkEnd w:id="20"/>
      <w:bookmarkEnd w:id="21"/>
    </w:p>
    <w:p w14:paraId="65FF274D"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pPr>
      <w:r w:rsidRPr="007B62AA">
        <w:t>Návrh nariadenia Európskeho parlamentu a Rady (EÚ) XXX o zmene nariadenia (ES) č. 851/2004, ktorým sa zriaďuje Európske centrum pre prevenciu a kontrolu chorôb</w:t>
      </w:r>
    </w:p>
    <w:p w14:paraId="0893914A" w14:textId="77777777" w:rsidR="00B50935" w:rsidRPr="007B62AA" w:rsidRDefault="00B50935" w:rsidP="00B50935">
      <w:pPr>
        <w:pStyle w:val="Heading2"/>
        <w:rPr>
          <w:bCs w:val="0"/>
          <w:noProof/>
          <w:szCs w:val="24"/>
        </w:rPr>
      </w:pPr>
      <w:bookmarkStart w:id="22" w:name="_Toc514938661"/>
      <w:bookmarkStart w:id="23" w:name="_Toc58230726"/>
      <w:r w:rsidRPr="007B62AA">
        <w:t>Príslušné oblasti politiky</w:t>
      </w:r>
      <w:bookmarkEnd w:id="22"/>
      <w:bookmarkEnd w:id="23"/>
    </w:p>
    <w:p w14:paraId="20396EF8"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pPr>
      <w:r w:rsidRPr="007B62AA">
        <w:t>Oblasť politiky: Obnova a odolnosť</w:t>
      </w:r>
    </w:p>
    <w:p w14:paraId="5662E494"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pPr>
      <w:r w:rsidRPr="007B62AA">
        <w:t xml:space="preserve">Činnosť: Zdravotníctvo </w:t>
      </w:r>
    </w:p>
    <w:p w14:paraId="2AE7DC5B" w14:textId="77777777" w:rsidR="00B50935" w:rsidRPr="007B62AA" w:rsidRDefault="00B50935" w:rsidP="00B50935">
      <w:pPr>
        <w:pStyle w:val="Heading2"/>
        <w:rPr>
          <w:bCs w:val="0"/>
          <w:noProof/>
          <w:szCs w:val="24"/>
        </w:rPr>
      </w:pPr>
      <w:bookmarkStart w:id="24" w:name="_Toc514938662"/>
      <w:bookmarkStart w:id="25" w:name="_Toc58230727"/>
      <w:r w:rsidRPr="007B62AA">
        <w:t>Návrh sa týka</w:t>
      </w:r>
      <w:bookmarkEnd w:id="24"/>
      <w:bookmarkEnd w:id="25"/>
      <w:r w:rsidRPr="007B62AA">
        <w:t xml:space="preserve"> </w:t>
      </w:r>
    </w:p>
    <w:p w14:paraId="1BFD59B1" w14:textId="77777777" w:rsidR="00B50935" w:rsidRPr="007B62AA" w:rsidRDefault="00B50935" w:rsidP="00B50935">
      <w:pPr>
        <w:pStyle w:val="Text1"/>
        <w:rPr>
          <w:b/>
          <w:noProof/>
        </w:rPr>
      </w:pPr>
      <w:r w:rsidRPr="007B62AA">
        <w:t>X</w:t>
      </w:r>
      <w:r w:rsidRPr="007B62AA">
        <w:rPr>
          <w:b/>
        </w:rPr>
        <w:t xml:space="preserve"> novej akcie </w:t>
      </w:r>
    </w:p>
    <w:p w14:paraId="61668B7A" w14:textId="77777777" w:rsidR="00B50935" w:rsidRPr="007B62AA" w:rsidRDefault="00B50935" w:rsidP="00B50935">
      <w:pPr>
        <w:pStyle w:val="Text1"/>
        <w:rPr>
          <w:noProof/>
          <w:sz w:val="22"/>
        </w:rPr>
      </w:pPr>
      <w:r w:rsidRPr="007B62AA">
        <w:sym w:font="Wingdings" w:char="F0A8"/>
      </w:r>
      <w:r w:rsidRPr="007B62AA">
        <w:rPr>
          <w:i/>
        </w:rPr>
        <w:t xml:space="preserve"> </w:t>
      </w:r>
      <w:r w:rsidRPr="007B62AA">
        <w:rPr>
          <w:b/>
        </w:rPr>
        <w:t>novej akcie, ktorá nadväzuje na pilotný projekt/prípravnú akciu</w:t>
      </w:r>
      <w:r w:rsidRPr="007B62AA">
        <w:rPr>
          <w:rStyle w:val="FootnoteReference"/>
          <w:b/>
          <w:noProof/>
        </w:rPr>
        <w:footnoteReference w:id="14"/>
      </w:r>
      <w:r w:rsidRPr="007B62AA">
        <w:rPr>
          <w:sz w:val="22"/>
        </w:rPr>
        <w:t xml:space="preserve"> </w:t>
      </w:r>
    </w:p>
    <w:p w14:paraId="3601BFA8" w14:textId="77777777" w:rsidR="00B50935" w:rsidRPr="007B62AA" w:rsidRDefault="00B50935" w:rsidP="00B50935">
      <w:pPr>
        <w:pStyle w:val="Text1"/>
        <w:rPr>
          <w:noProof/>
        </w:rPr>
      </w:pPr>
      <w:r w:rsidRPr="007B62AA">
        <w:t>X</w:t>
      </w:r>
      <w:r w:rsidRPr="007B62AA">
        <w:rPr>
          <w:i/>
        </w:rPr>
        <w:t xml:space="preserve"> </w:t>
      </w:r>
      <w:r w:rsidRPr="007B62AA">
        <w:rPr>
          <w:b/>
        </w:rPr>
        <w:t>predĺženia trvania existujúcej akcie</w:t>
      </w:r>
      <w:r w:rsidRPr="007B62AA">
        <w:t xml:space="preserve"> </w:t>
      </w:r>
    </w:p>
    <w:p w14:paraId="7C225EED" w14:textId="77777777" w:rsidR="00B50935" w:rsidRPr="007B62AA" w:rsidRDefault="00B50935" w:rsidP="00B50935">
      <w:pPr>
        <w:pStyle w:val="Text1"/>
        <w:rPr>
          <w:noProof/>
        </w:rPr>
      </w:pPr>
      <w:r w:rsidRPr="007B62AA">
        <w:sym w:font="Wingdings" w:char="F0A8"/>
      </w:r>
      <w:r w:rsidRPr="007B62AA">
        <w:rPr>
          <w:i/>
        </w:rPr>
        <w:t xml:space="preserve"> </w:t>
      </w:r>
      <w:r w:rsidRPr="007B62AA">
        <w:rPr>
          <w:b/>
        </w:rPr>
        <w:t>zlúčenia jednej alebo viacerých akcií do ďalšej/novej akcie</w:t>
      </w:r>
      <w:r w:rsidRPr="007B62AA">
        <w:t xml:space="preserve"> </w:t>
      </w:r>
    </w:p>
    <w:p w14:paraId="293BEBEE" w14:textId="616C94DE" w:rsidR="00B50935" w:rsidRPr="007B62AA" w:rsidRDefault="00B50935" w:rsidP="00B50935">
      <w:pPr>
        <w:pStyle w:val="Heading2"/>
        <w:rPr>
          <w:bCs w:val="0"/>
          <w:noProof/>
          <w:szCs w:val="24"/>
        </w:rPr>
      </w:pPr>
      <w:bookmarkStart w:id="26" w:name="_Toc514938663"/>
      <w:bookmarkStart w:id="27" w:name="_Toc58230728"/>
      <w:r w:rsidRPr="007B62AA">
        <w:t>Ciele</w:t>
      </w:r>
      <w:bookmarkEnd w:id="26"/>
      <w:bookmarkEnd w:id="27"/>
    </w:p>
    <w:p w14:paraId="7AD6C759" w14:textId="77777777" w:rsidR="00B50935" w:rsidRPr="007B62AA" w:rsidRDefault="00B50935" w:rsidP="00B50935">
      <w:pPr>
        <w:pStyle w:val="Heading3"/>
        <w:rPr>
          <w:bCs w:val="0"/>
          <w:noProof/>
          <w:szCs w:val="24"/>
        </w:rPr>
      </w:pPr>
      <w:bookmarkStart w:id="28" w:name="_Toc514938664"/>
      <w:bookmarkStart w:id="29" w:name="_Toc58230729"/>
      <w:r w:rsidRPr="007B62AA">
        <w:t>Všeobecné ciele</w:t>
      </w:r>
      <w:bookmarkEnd w:id="28"/>
      <w:bookmarkEnd w:id="29"/>
      <w:r w:rsidRPr="007B62AA">
        <w:t xml:space="preserve"> </w:t>
      </w:r>
    </w:p>
    <w:p w14:paraId="1CAAA2E3"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pPr>
      <w:bookmarkStart w:id="30" w:name="_Toc514938665"/>
      <w:r w:rsidRPr="007B62AA">
        <w:t>Všeobecným cieľom práce ECDC je posudzovať súčasné a vznikajúce ohrozenia ľudského zdravia prenosnými chorobami a informovať o nich, ako aj poskytovať odporúčania na reakciu na úrovni EÚ a na vnútroštátnej úrovni.</w:t>
      </w:r>
    </w:p>
    <w:p w14:paraId="59379430" w14:textId="77777777" w:rsidR="00B50935" w:rsidRPr="007B62AA" w:rsidRDefault="00B50935" w:rsidP="00B50935">
      <w:pPr>
        <w:pStyle w:val="Heading3"/>
        <w:rPr>
          <w:bCs w:val="0"/>
          <w:noProof/>
          <w:szCs w:val="24"/>
        </w:rPr>
      </w:pPr>
      <w:bookmarkStart w:id="31" w:name="_Toc58230730"/>
      <w:r w:rsidRPr="007B62AA">
        <w:t>Špecifické ciele</w:t>
      </w:r>
      <w:bookmarkEnd w:id="30"/>
      <w:bookmarkEnd w:id="31"/>
      <w:r w:rsidRPr="007B62AA">
        <w:t xml:space="preserve"> </w:t>
      </w:r>
    </w:p>
    <w:p w14:paraId="443CD858"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rPr>
          <w:noProof/>
          <w:u w:val="single"/>
        </w:rPr>
      </w:pPr>
      <w:r w:rsidRPr="007B62AA">
        <w:rPr>
          <w:u w:val="single"/>
        </w:rPr>
        <w:t xml:space="preserve">Špecifické ciele </w:t>
      </w:r>
    </w:p>
    <w:p w14:paraId="6D4478D0" w14:textId="364561C3" w:rsidR="00B50935" w:rsidRPr="007B62AA" w:rsidRDefault="00C823D2" w:rsidP="00B50935">
      <w:pPr>
        <w:pStyle w:val="Text1"/>
        <w:pBdr>
          <w:top w:val="single" w:sz="4" w:space="1" w:color="auto"/>
          <w:left w:val="single" w:sz="4" w:space="4" w:color="auto"/>
          <w:bottom w:val="single" w:sz="4" w:space="1" w:color="auto"/>
          <w:right w:val="single" w:sz="4" w:space="4" w:color="auto"/>
        </w:pBdr>
      </w:pPr>
      <w:r w:rsidRPr="007B62AA">
        <w:t>ECDC bude Komisii, členským štátom, orgánom a agentúram EÚ, ako aj medzinárodným organizáciám pôsobiacim v oblasti verejného zdravia poskytovať včasné informácie vrátane hodnotenia rizík.</w:t>
      </w:r>
    </w:p>
    <w:p w14:paraId="76DBC363" w14:textId="0B140374" w:rsidR="00B50935" w:rsidRPr="007B62AA" w:rsidRDefault="00C823D2" w:rsidP="00B50935">
      <w:pPr>
        <w:pStyle w:val="Text1"/>
        <w:pBdr>
          <w:top w:val="single" w:sz="4" w:space="1" w:color="auto"/>
          <w:left w:val="single" w:sz="4" w:space="4" w:color="auto"/>
          <w:bottom w:val="single" w:sz="4" w:space="1" w:color="auto"/>
          <w:right w:val="single" w:sz="4" w:space="4" w:color="auto"/>
        </w:pBdr>
      </w:pPr>
      <w:r w:rsidRPr="007B62AA">
        <w:t>ECDC bude členským štátom a Komisii poskytovať vedecké a technické odborné znalosti v oblasti plánovania pripravenosti a reakcie vrátane odbornej prípravy.</w:t>
      </w:r>
    </w:p>
    <w:p w14:paraId="67E3A8AB" w14:textId="4662EDE1" w:rsidR="00B50935" w:rsidRPr="007B62AA" w:rsidRDefault="00C823D2" w:rsidP="00B50935">
      <w:pPr>
        <w:pStyle w:val="Text1"/>
        <w:pBdr>
          <w:top w:val="single" w:sz="4" w:space="1" w:color="auto"/>
          <w:left w:val="single" w:sz="4" w:space="4" w:color="auto"/>
          <w:bottom w:val="single" w:sz="4" w:space="1" w:color="auto"/>
          <w:right w:val="single" w:sz="4" w:space="4" w:color="auto"/>
        </w:pBdr>
      </w:pPr>
      <w:r w:rsidRPr="007B62AA">
        <w:t>ECDC bude koordinovať zber, overovanie, analýzu a šírenie údajov na úrovni EÚ, a tak v rámci európskeho priestoru pre údaje týkajúce sa zdravia vytvorí spoľahlivý európsky systém dohľadu nad prenosnými chorobami.</w:t>
      </w:r>
    </w:p>
    <w:p w14:paraId="23CAA421" w14:textId="46930E4A" w:rsidR="00B50935" w:rsidRPr="007B62AA" w:rsidRDefault="00C823D2" w:rsidP="00B50935">
      <w:pPr>
        <w:pStyle w:val="Text1"/>
        <w:pBdr>
          <w:top w:val="single" w:sz="4" w:space="1" w:color="auto"/>
          <w:left w:val="single" w:sz="4" w:space="4" w:color="auto"/>
          <w:bottom w:val="single" w:sz="4" w:space="1" w:color="auto"/>
          <w:right w:val="single" w:sz="4" w:space="4" w:color="auto"/>
        </w:pBdr>
      </w:pPr>
      <w:r w:rsidRPr="007B62AA">
        <w:t>ECDC bude prevádzkovať špecializované siete v oblasti prenosných chorôb a látok ľudského pôvodu.</w:t>
      </w:r>
    </w:p>
    <w:p w14:paraId="30075111" w14:textId="165E4BD6" w:rsidR="00B50935" w:rsidRPr="007B62AA" w:rsidRDefault="00C823D2" w:rsidP="00B50935">
      <w:pPr>
        <w:pStyle w:val="Text1"/>
        <w:pBdr>
          <w:top w:val="single" w:sz="4" w:space="1" w:color="auto"/>
          <w:left w:val="single" w:sz="4" w:space="4" w:color="auto"/>
          <w:bottom w:val="single" w:sz="4" w:space="1" w:color="auto"/>
          <w:right w:val="single" w:sz="4" w:space="4" w:color="auto"/>
        </w:pBdr>
      </w:pPr>
      <w:r w:rsidRPr="007B62AA">
        <w:t>ECDC bude hostiteľskou štruktúrou osobitnej skupiny EÚ pre oblasť zdravia, ktorá bude neustále poskytovať krajinám podporu posilnením pripravenosti a rýchlo zasiahne v prípade krízy v oblasti zdravia.</w:t>
      </w:r>
    </w:p>
    <w:p w14:paraId="23BDD32B"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pPr>
      <w:r w:rsidRPr="007B62AA">
        <w:t>ECDC bude zlepšovať medzinárodnú spoluprácu a zhromažďovať regionálne/vnútroštátne informácie.</w:t>
      </w:r>
    </w:p>
    <w:p w14:paraId="445AD1DE" w14:textId="77777777" w:rsidR="00B50935" w:rsidRPr="007B62AA" w:rsidRDefault="00B50935" w:rsidP="00B50935">
      <w:pPr>
        <w:pStyle w:val="Heading3"/>
        <w:rPr>
          <w:noProof/>
        </w:rPr>
      </w:pPr>
      <w:bookmarkStart w:id="32" w:name="_Toc514938666"/>
      <w:bookmarkStart w:id="33" w:name="_Toc58230731"/>
      <w:r w:rsidRPr="007B62AA">
        <w:t>Očakávané výsledky a vplyv</w:t>
      </w:r>
      <w:bookmarkEnd w:id="32"/>
      <w:bookmarkEnd w:id="33"/>
    </w:p>
    <w:p w14:paraId="6B3202CB" w14:textId="77777777" w:rsidR="00B50935" w:rsidRPr="007B62AA" w:rsidRDefault="00B50935" w:rsidP="00B50935">
      <w:pPr>
        <w:pStyle w:val="Text1"/>
        <w:rPr>
          <w:i/>
          <w:noProof/>
          <w:sz w:val="20"/>
        </w:rPr>
      </w:pPr>
      <w:r w:rsidRPr="007B62AA">
        <w:rPr>
          <w:i/>
          <w:sz w:val="20"/>
        </w:rPr>
        <w:t>Uveďte, aký vplyv by mal mať návrh/iniciatíva na príjemcov/cieľové skupiny.</w:t>
      </w:r>
    </w:p>
    <w:p w14:paraId="78A21B15" w14:textId="77777777" w:rsidR="00B50935" w:rsidRPr="007B62AA" w:rsidRDefault="00B50935" w:rsidP="00CA0925">
      <w:pPr>
        <w:pStyle w:val="Tiret1"/>
        <w:numPr>
          <w:ilvl w:val="0"/>
          <w:numId w:val="49"/>
        </w:numPr>
        <w:pBdr>
          <w:top w:val="single" w:sz="4" w:space="1" w:color="auto"/>
          <w:left w:val="single" w:sz="4" w:space="4" w:color="auto"/>
          <w:bottom w:val="single" w:sz="4" w:space="1" w:color="auto"/>
          <w:right w:val="single" w:sz="4" w:space="4" w:color="auto"/>
        </w:pBdr>
      </w:pPr>
      <w:bookmarkStart w:id="34" w:name="_Toc514938667"/>
      <w:r w:rsidRPr="007B62AA">
        <w:t>Aktualizácia plánov pripravenosti vo všetkých členských štátoch EÚ vrátane auditu a korektívnych opatrení,</w:t>
      </w:r>
    </w:p>
    <w:p w14:paraId="7DF5DFD9" w14:textId="3A901620" w:rsidR="00B50935" w:rsidRPr="007B62AA" w:rsidRDefault="00447609" w:rsidP="00E215F2">
      <w:pPr>
        <w:pStyle w:val="Tiret1"/>
        <w:pBdr>
          <w:top w:val="single" w:sz="4" w:space="1" w:color="auto"/>
          <w:left w:val="single" w:sz="4" w:space="4" w:color="auto"/>
          <w:bottom w:val="single" w:sz="4" w:space="1" w:color="auto"/>
          <w:right w:val="single" w:sz="4" w:space="4" w:color="auto"/>
        </w:pBdr>
      </w:pPr>
      <w:r w:rsidRPr="007B62AA">
        <w:t>pravidelné školenia špecialistov vo všetkých členských štátoch EÚ na riadenie kríz v oblasti verejného zdravia,</w:t>
      </w:r>
    </w:p>
    <w:p w14:paraId="5C998556" w14:textId="77777777" w:rsidR="00B50935" w:rsidRPr="007B62AA" w:rsidRDefault="00B50935" w:rsidP="00E215F2">
      <w:pPr>
        <w:pStyle w:val="Tiret1"/>
        <w:pBdr>
          <w:top w:val="single" w:sz="4" w:space="1" w:color="auto"/>
          <w:left w:val="single" w:sz="4" w:space="4" w:color="auto"/>
          <w:bottom w:val="single" w:sz="4" w:space="1" w:color="auto"/>
          <w:right w:val="single" w:sz="4" w:space="4" w:color="auto"/>
        </w:pBdr>
      </w:pPr>
      <w:r w:rsidRPr="007B62AA">
        <w:t>zriadenie fungujúcich európskych sietí špecialistov na všetky kľúčové prenosné choroby vrátane nových chorôb,</w:t>
      </w:r>
    </w:p>
    <w:p w14:paraId="089D17AD" w14:textId="2CAFF128" w:rsidR="00B50935" w:rsidRPr="007B62AA" w:rsidRDefault="00B50935" w:rsidP="00E215F2">
      <w:pPr>
        <w:pStyle w:val="Tiret1"/>
        <w:pBdr>
          <w:top w:val="single" w:sz="4" w:space="1" w:color="auto"/>
          <w:left w:val="single" w:sz="4" w:space="4" w:color="auto"/>
          <w:bottom w:val="single" w:sz="4" w:space="1" w:color="auto"/>
          <w:right w:val="single" w:sz="4" w:space="4" w:color="auto"/>
        </w:pBdr>
      </w:pPr>
      <w:r w:rsidRPr="007B62AA">
        <w:t>včasné a proaktívne vstupy ECDC a jeho podpora všetkým členským štátom a Európskej komisii v súvislosti s reakciami na krízy v oblasti zdravia,</w:t>
      </w:r>
    </w:p>
    <w:p w14:paraId="0DA1FCC0" w14:textId="7EA96409" w:rsidR="00B50935" w:rsidRPr="007B62AA" w:rsidRDefault="00B50935" w:rsidP="00E215F2">
      <w:pPr>
        <w:pStyle w:val="Tiret1"/>
        <w:pBdr>
          <w:top w:val="single" w:sz="4" w:space="1" w:color="auto"/>
          <w:left w:val="single" w:sz="4" w:space="4" w:color="auto"/>
          <w:bottom w:val="single" w:sz="4" w:space="1" w:color="auto"/>
          <w:right w:val="single" w:sz="4" w:space="4" w:color="auto"/>
        </w:pBdr>
      </w:pPr>
      <w:r w:rsidRPr="007B62AA">
        <w:t>včasná a cielená podpora v prípade zdravotnej krízy prostredníctvom osobitnej skupiny EÚ pre oblasť zdravia,</w:t>
      </w:r>
    </w:p>
    <w:p w14:paraId="1A6A0E5F" w14:textId="77777777" w:rsidR="00B50935" w:rsidRPr="007B62AA" w:rsidRDefault="00B50935" w:rsidP="00E215F2">
      <w:pPr>
        <w:pStyle w:val="Tiret1"/>
        <w:pBdr>
          <w:top w:val="single" w:sz="4" w:space="1" w:color="auto"/>
          <w:left w:val="single" w:sz="4" w:space="4" w:color="auto"/>
          <w:bottom w:val="single" w:sz="4" w:space="1" w:color="auto"/>
          <w:right w:val="single" w:sz="4" w:space="4" w:color="auto"/>
        </w:pBdr>
      </w:pPr>
      <w:r w:rsidRPr="007B62AA">
        <w:t>včasné a aktuálne informácie a hladká spolupráca s inými CDC a medzinárodnými zdravotníckymi organizáciami.</w:t>
      </w:r>
    </w:p>
    <w:p w14:paraId="6EC2F012" w14:textId="1D97F512" w:rsidR="00B50935" w:rsidRPr="007B62AA" w:rsidRDefault="00B50935" w:rsidP="00B50935">
      <w:pPr>
        <w:pStyle w:val="Heading3"/>
        <w:rPr>
          <w:bCs w:val="0"/>
          <w:noProof/>
          <w:szCs w:val="24"/>
        </w:rPr>
      </w:pPr>
      <w:bookmarkStart w:id="35" w:name="_Toc58230732"/>
      <w:r w:rsidRPr="007B62AA">
        <w:t>Ukazovatele výsledkov</w:t>
      </w:r>
      <w:bookmarkEnd w:id="34"/>
      <w:bookmarkEnd w:id="35"/>
      <w:r w:rsidRPr="007B62AA">
        <w:t xml:space="preserve"> </w:t>
      </w:r>
    </w:p>
    <w:p w14:paraId="4780DE8C" w14:textId="77777777" w:rsidR="00B50935" w:rsidRPr="007B62AA" w:rsidRDefault="00B50935" w:rsidP="00B50935">
      <w:pPr>
        <w:pStyle w:val="Text1"/>
        <w:rPr>
          <w:i/>
          <w:noProof/>
          <w:sz w:val="20"/>
        </w:rPr>
      </w:pPr>
      <w:r w:rsidRPr="007B62AA">
        <w:rPr>
          <w:i/>
          <w:sz w:val="20"/>
        </w:rPr>
        <w:t>Uveďte ukazovatele na monitorovanie pokroku a dosiahnutých výsledkov.</w:t>
      </w:r>
    </w:p>
    <w:p w14:paraId="319E497C" w14:textId="77777777" w:rsidR="003952F8" w:rsidRDefault="00B50935" w:rsidP="003952F8">
      <w:pPr>
        <w:pStyle w:val="Text1"/>
        <w:keepNext/>
        <w:pBdr>
          <w:top w:val="single" w:sz="4" w:space="1" w:color="auto"/>
          <w:left w:val="single" w:sz="4" w:space="1" w:color="auto"/>
          <w:bottom w:val="single" w:sz="4" w:space="1" w:color="auto"/>
          <w:right w:val="single" w:sz="4" w:space="1" w:color="auto"/>
        </w:pBdr>
        <w:rPr>
          <w:sz w:val="23"/>
          <w:szCs w:val="23"/>
        </w:rPr>
      </w:pPr>
      <w:r w:rsidRPr="007B62AA">
        <w:rPr>
          <w:sz w:val="23"/>
          <w:szCs w:val="23"/>
        </w:rPr>
        <w:t xml:space="preserve">Podrobné ciele a očakávané výsledky vrátane ukazovateľov výsledkov sa stanovia v ročnom pracovnom programe, pričom celkové strategické ciele, očakávané výsledky a ukazovatele výsledkov sa stanovia vo viacročnom pracovnom programe. </w:t>
      </w:r>
    </w:p>
    <w:p w14:paraId="5EEEE9A6" w14:textId="77777777" w:rsidR="003952F8" w:rsidRDefault="00B50935" w:rsidP="003952F8">
      <w:pPr>
        <w:pStyle w:val="Text1"/>
        <w:keepNext/>
        <w:pBdr>
          <w:top w:val="single" w:sz="4" w:space="1" w:color="auto"/>
          <w:left w:val="single" w:sz="4" w:space="1" w:color="auto"/>
          <w:bottom w:val="single" w:sz="4" w:space="1" w:color="auto"/>
          <w:right w:val="single" w:sz="4" w:space="1" w:color="auto"/>
        </w:pBdr>
        <w:rPr>
          <w:sz w:val="23"/>
          <w:szCs w:val="23"/>
        </w:rPr>
      </w:pPr>
      <w:r w:rsidRPr="003952F8">
        <w:t>Pokiaľ</w:t>
      </w:r>
      <w:r w:rsidRPr="007B62AA">
        <w:rPr>
          <w:sz w:val="23"/>
          <w:szCs w:val="23"/>
        </w:rPr>
        <w:t xml:space="preserve"> ide o konkrétne úlohy a opatrenia uvedené v predloženom návrhu, navrhujú sa tieto ukazovatele:</w:t>
      </w:r>
    </w:p>
    <w:p w14:paraId="72F7B111" w14:textId="77777777" w:rsidR="003952F8" w:rsidRDefault="003952F8" w:rsidP="003952F8">
      <w:pPr>
        <w:pStyle w:val="Text1"/>
        <w:keepNext/>
        <w:pBdr>
          <w:top w:val="single" w:sz="4" w:space="1" w:color="auto"/>
          <w:left w:val="single" w:sz="4" w:space="1" w:color="auto"/>
          <w:bottom w:val="single" w:sz="4" w:space="1" w:color="auto"/>
          <w:right w:val="single" w:sz="4" w:space="1" w:color="auto"/>
        </w:pBdr>
      </w:pPr>
      <w:r>
        <w:rPr>
          <w:rFonts w:eastAsiaTheme="minorEastAsia"/>
          <w:noProof/>
          <w:szCs w:val="24"/>
          <w:lang w:eastAsia="sk-SK"/>
        </w:rPr>
        <w:t xml:space="preserve">– </w:t>
      </w:r>
      <w:r w:rsidR="00B50935" w:rsidRPr="007B62AA">
        <w:t xml:space="preserve">počet proaktívnych hodnotení rizika vykonaných podľa potreby alebo na žiadosť Európskej komisie alebo Výboru pre zdravotnú bezpečnosť do 1 – 5 dní v závislosti od rozsahu ohniska alebo iného incidentu v oblasti zdravotnej bezpečnosti, </w:t>
      </w:r>
    </w:p>
    <w:p w14:paraId="5B792B2D" w14:textId="77777777" w:rsidR="003952F8" w:rsidRDefault="003952F8" w:rsidP="003952F8">
      <w:pPr>
        <w:pStyle w:val="Text1"/>
        <w:keepNext/>
        <w:pBdr>
          <w:top w:val="single" w:sz="4" w:space="1" w:color="auto"/>
          <w:left w:val="single" w:sz="4" w:space="1" w:color="auto"/>
          <w:bottom w:val="single" w:sz="4" w:space="1" w:color="auto"/>
          <w:right w:val="single" w:sz="4" w:space="1" w:color="auto"/>
        </w:pBdr>
      </w:pPr>
      <w:r>
        <w:rPr>
          <w:rFonts w:eastAsiaTheme="minorEastAsia"/>
          <w:noProof/>
          <w:szCs w:val="24"/>
          <w:lang w:eastAsia="sk-SK"/>
        </w:rPr>
        <w:t xml:space="preserve">– </w:t>
      </w:r>
      <w:r w:rsidR="00B50935" w:rsidRPr="007B62AA">
        <w:t>počet vytvorených modulov odbornej prípravy v oblasti pripravenosti,</w:t>
      </w:r>
    </w:p>
    <w:p w14:paraId="2424FE06" w14:textId="77777777" w:rsidR="00C4584B" w:rsidRDefault="00C4584B" w:rsidP="00C4584B">
      <w:pPr>
        <w:pStyle w:val="Text1"/>
        <w:keepNext/>
        <w:pBdr>
          <w:top w:val="single" w:sz="4" w:space="1" w:color="auto"/>
          <w:left w:val="single" w:sz="4" w:space="1" w:color="auto"/>
          <w:bottom w:val="single" w:sz="4" w:space="1" w:color="auto"/>
          <w:right w:val="single" w:sz="4" w:space="1" w:color="auto"/>
        </w:pBdr>
      </w:pPr>
      <w:r>
        <w:rPr>
          <w:rFonts w:eastAsiaTheme="minorEastAsia"/>
          <w:noProof/>
          <w:szCs w:val="24"/>
          <w:lang w:eastAsia="sk-SK"/>
        </w:rPr>
        <w:t xml:space="preserve">– </w:t>
      </w:r>
      <w:r w:rsidR="00B50935" w:rsidRPr="007B62AA">
        <w:t>percento zvýšenia kapacity systému TESSy a rozšírenia systému včasného varovania a reakcie pri zachovaní jeho rýchlosti pri výmene informácií,</w:t>
      </w:r>
    </w:p>
    <w:p w14:paraId="7035C721" w14:textId="7D61073E" w:rsidR="00B50935" w:rsidRPr="007B62AA" w:rsidRDefault="00C4584B" w:rsidP="00C4584B">
      <w:pPr>
        <w:pStyle w:val="Text1"/>
        <w:keepNext/>
        <w:pBdr>
          <w:top w:val="single" w:sz="4" w:space="1" w:color="auto"/>
          <w:left w:val="single" w:sz="4" w:space="1" w:color="auto"/>
          <w:bottom w:val="single" w:sz="4" w:space="1" w:color="auto"/>
          <w:right w:val="single" w:sz="4" w:space="1" w:color="auto"/>
        </w:pBdr>
      </w:pPr>
      <w:r>
        <w:rPr>
          <w:rFonts w:eastAsiaTheme="minorEastAsia"/>
          <w:noProof/>
          <w:szCs w:val="24"/>
          <w:lang w:eastAsia="sk-SK"/>
        </w:rPr>
        <w:t xml:space="preserve">– </w:t>
      </w:r>
      <w:r w:rsidR="00B50935" w:rsidRPr="007B62AA">
        <w:t>počet rýchlych cielených zásahov osobitnej skupiny EÚ pre oblasť zdravia.</w:t>
      </w:r>
    </w:p>
    <w:p w14:paraId="5A253552" w14:textId="77777777" w:rsidR="00B50935" w:rsidRPr="007B62AA" w:rsidRDefault="00B50935" w:rsidP="00B50935">
      <w:pPr>
        <w:pStyle w:val="Heading2"/>
        <w:rPr>
          <w:bCs w:val="0"/>
          <w:noProof/>
          <w:szCs w:val="24"/>
        </w:rPr>
      </w:pPr>
      <w:bookmarkStart w:id="36" w:name="_Toc514938668"/>
      <w:bookmarkStart w:id="37" w:name="_Toc58230733"/>
      <w:r w:rsidRPr="007B62AA">
        <w:t>Dôvody návrhu/iniciatívy</w:t>
      </w:r>
      <w:bookmarkEnd w:id="36"/>
      <w:bookmarkEnd w:id="37"/>
      <w:r w:rsidRPr="007B62AA">
        <w:t xml:space="preserve"> </w:t>
      </w:r>
    </w:p>
    <w:p w14:paraId="607B8033" w14:textId="77777777" w:rsidR="00B50935" w:rsidRPr="007B62AA" w:rsidRDefault="00B50935" w:rsidP="00B50935">
      <w:pPr>
        <w:pStyle w:val="Heading3"/>
        <w:rPr>
          <w:noProof/>
        </w:rPr>
      </w:pPr>
      <w:bookmarkStart w:id="38" w:name="_Toc514938669"/>
      <w:bookmarkStart w:id="39" w:name="_Toc58230734"/>
      <w:r w:rsidRPr="007B62AA">
        <w:t>Potreby, ktoré sa majú uspokojiť v krátkodobom alebo dlhodobom horizonte vrátane podrobného harmonogramu prvotnej fázy vykonávania iniciatívy</w:t>
      </w:r>
      <w:bookmarkEnd w:id="38"/>
      <w:bookmarkEnd w:id="39"/>
    </w:p>
    <w:p w14:paraId="7CF21691"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pPr>
      <w:r w:rsidRPr="007B62AA">
        <w:t>Jedným z poučení získaných počas pandémie COVID-19 je, že v záujme lepšej koordinácie EÚ v oblasti pripravenosti a reakcie na závažné cezhraničné ohrozenia zdravia je potrebné posilniť rámec zdravotnej bezpečnosti EÚ. ECDC je kľúčovým aktérom v tomto rámci a je potrebné ho cielene posilniť, aby mohlo vykonávať väčšie množstvo opatrení.</w:t>
      </w:r>
    </w:p>
    <w:p w14:paraId="6E58A40C"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rPr>
          <w:noProof/>
          <w:color w:val="0000FF"/>
        </w:rPr>
      </w:pPr>
      <w:r w:rsidRPr="007B62AA">
        <w:t>Revízia jeho mandátu by sa mala uskutočniť začiatkom roka 2021 a mala by sa implementovať okamžite.</w:t>
      </w:r>
    </w:p>
    <w:p w14:paraId="599A4570" w14:textId="77777777" w:rsidR="00B50935" w:rsidRPr="007B62AA" w:rsidRDefault="00B50935" w:rsidP="00331BC1">
      <w:pPr>
        <w:pStyle w:val="Heading3"/>
        <w:ind w:left="851"/>
        <w:rPr>
          <w:bCs w:val="0"/>
          <w:noProof/>
          <w:szCs w:val="24"/>
        </w:rPr>
      </w:pPr>
      <w:bookmarkStart w:id="40" w:name="_Toc514938670"/>
      <w:bookmarkStart w:id="41" w:name="_Toc58230735"/>
      <w:r w:rsidRPr="007B62AA">
        <w:t>Prínos zapojenia Európskej únie (môže byť výsledkom rôznych faktorov, napr. lepšej koordinácie, právnej istoty, väčšej účinnosti alebo komplementárnosti). Na účely tohto bodu je „prínos zapojenia Európskej únie“ hodnota vyplývajúca zo zásahu Únie, ktorá dopĺňa hodnotu, ktorú by inak vytvorili len samotné členské štáty.</w:t>
      </w:r>
      <w:bookmarkEnd w:id="40"/>
      <w:bookmarkEnd w:id="41"/>
    </w:p>
    <w:p w14:paraId="02D65597" w14:textId="77777777" w:rsidR="00331BC1" w:rsidRDefault="00B50935" w:rsidP="00331BC1">
      <w:pPr>
        <w:pStyle w:val="Text1"/>
        <w:keepNext/>
        <w:pBdr>
          <w:top w:val="single" w:sz="4" w:space="1" w:color="auto"/>
          <w:left w:val="single" w:sz="4" w:space="4" w:color="auto"/>
          <w:bottom w:val="single" w:sz="4" w:space="1" w:color="auto"/>
          <w:right w:val="single" w:sz="4" w:space="4" w:color="auto"/>
        </w:pBdr>
        <w:ind w:left="851"/>
      </w:pPr>
      <w:bookmarkStart w:id="42" w:name="_Toc514938671"/>
      <w:r w:rsidRPr="007B62AA">
        <w:t>Dôvody na akciu na európskej úrovni (</w:t>
      </w:r>
      <w:r w:rsidRPr="007B62AA">
        <w:rPr>
          <w:i/>
          <w:iCs/>
        </w:rPr>
        <w:t>ex ante</w:t>
      </w:r>
      <w:r w:rsidRPr="007B62AA">
        <w:t xml:space="preserve">): ECDC je etablovaná decentralizovaná agentúra EÚ a jej podpora členským štátom a vedecké publikácie sú kľúčovými prvkami pripravenosti a reakcie na cezhraničné ohrozenia zdravia. Na základe skúseností získaných pri pandémii COVID-19 prichádza revízia mandátu v správnom čase na to, aby sa v Európskej únii posilnilo úsilie v záujme pripravenosti. </w:t>
      </w:r>
    </w:p>
    <w:p w14:paraId="1535D164" w14:textId="54DECFCA" w:rsidR="00B50935" w:rsidRPr="007B62AA" w:rsidRDefault="00B50935" w:rsidP="00331BC1">
      <w:pPr>
        <w:pStyle w:val="Text1"/>
        <w:keepNext/>
        <w:pBdr>
          <w:top w:val="single" w:sz="4" w:space="1" w:color="auto"/>
          <w:left w:val="single" w:sz="4" w:space="4" w:color="auto"/>
          <w:bottom w:val="single" w:sz="4" w:space="1" w:color="auto"/>
          <w:right w:val="single" w:sz="4" w:space="4" w:color="auto"/>
        </w:pBdr>
        <w:ind w:left="851"/>
      </w:pPr>
      <w:r w:rsidRPr="007B62AA">
        <w:t>Očakávaná pridaná hodnota Únie (</w:t>
      </w:r>
      <w:r w:rsidRPr="007B62AA">
        <w:rPr>
          <w:i/>
          <w:iCs/>
        </w:rPr>
        <w:t>ex post</w:t>
      </w:r>
      <w:r w:rsidRPr="007B62AA">
        <w:t>) – členské štáty budú lepšie pripravené čeliť možným budúcim pandémiám a iným cezhraničným ohrozeniam zdravia.</w:t>
      </w:r>
    </w:p>
    <w:p w14:paraId="4CAE9EE7" w14:textId="77777777" w:rsidR="00B50935" w:rsidRPr="007B62AA" w:rsidRDefault="00B50935" w:rsidP="00331BC1">
      <w:pPr>
        <w:pStyle w:val="Heading3"/>
        <w:rPr>
          <w:noProof/>
        </w:rPr>
      </w:pPr>
      <w:bookmarkStart w:id="43" w:name="_Toc58230736"/>
      <w:r w:rsidRPr="007B62AA">
        <w:t>Poznatky získané z podobných skúseností v minulosti</w:t>
      </w:r>
      <w:bookmarkEnd w:id="42"/>
      <w:bookmarkEnd w:id="43"/>
    </w:p>
    <w:p w14:paraId="6212D8E3"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pPr>
      <w:bookmarkStart w:id="44" w:name="_Toc514938672"/>
      <w:r w:rsidRPr="007B62AA">
        <w:t>Aj keď sa pandémia COVID-19 neskončila, tento návrh vychádza zo skúseností získaných v priebehu ostatných mesiacov tejto pandémie. Treba najmä zlepšiť pripravenosť a monitorovanie.</w:t>
      </w:r>
    </w:p>
    <w:p w14:paraId="0817558F"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pPr>
      <w:r w:rsidRPr="007B62AA">
        <w:t>Zohľadnili sa skúsenosti z predchádzajúcich revízií mandátov iných decentralizovaných agentúr EÚ, napr. EFSA.</w:t>
      </w:r>
    </w:p>
    <w:p w14:paraId="023A014E" w14:textId="77777777" w:rsidR="00B50935" w:rsidRPr="007B62AA" w:rsidRDefault="00B50935" w:rsidP="00B50935">
      <w:pPr>
        <w:pStyle w:val="Heading3"/>
        <w:rPr>
          <w:noProof/>
        </w:rPr>
      </w:pPr>
      <w:bookmarkStart w:id="45" w:name="_Toc58230737"/>
      <w:r w:rsidRPr="007B62AA">
        <w:t>Zlučiteľnosť s viacročným finančným rámcom a možná synergia s inými vhodnými nástrojmi</w:t>
      </w:r>
      <w:bookmarkEnd w:id="44"/>
      <w:bookmarkEnd w:id="45"/>
    </w:p>
    <w:p w14:paraId="0650C337" w14:textId="4994AD79" w:rsidR="00B50935" w:rsidRPr="007B62AA"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7B62AA">
        <w:rPr>
          <w:sz w:val="23"/>
          <w:szCs w:val="23"/>
        </w:rPr>
        <w:t>Agentúra by mala spolupracovať s inými orgánmi a agentúrami Únie, ako sú Európska agentúra pre lieky (EMA), Európsky úrad pre bezpečnosť potravín (EFSA), Európska environmentálna agentúra (EEA), a podporovať synergie s týmito orgánmi a agentúrami, a mala by v plnej miere využívať program EU4Health a ďalšie programy EÚ, v rámci ktorých sa financujú opatrenia v oblasti verejného zdravia, a zabezpečovať súlad s týmito programami.</w:t>
      </w:r>
    </w:p>
    <w:p w14:paraId="635DB919" w14:textId="1971F574" w:rsidR="00B50935" w:rsidRPr="007B62AA" w:rsidRDefault="00B50935" w:rsidP="00B50935">
      <w:pPr>
        <w:pStyle w:val="Text1"/>
        <w:pBdr>
          <w:top w:val="single" w:sz="4" w:space="1" w:color="auto"/>
          <w:left w:val="single" w:sz="4" w:space="4" w:color="auto"/>
          <w:bottom w:val="single" w:sz="4" w:space="1" w:color="auto"/>
          <w:right w:val="single" w:sz="4" w:space="4" w:color="auto"/>
        </w:pBdr>
        <w:rPr>
          <w:sz w:val="23"/>
          <w:szCs w:val="23"/>
        </w:rPr>
      </w:pPr>
    </w:p>
    <w:p w14:paraId="1D92D3AF" w14:textId="77777777" w:rsidR="00B50935" w:rsidRPr="007B62AA" w:rsidRDefault="00B50935" w:rsidP="00B50935">
      <w:pPr>
        <w:pStyle w:val="Heading3"/>
        <w:rPr>
          <w:noProof/>
        </w:rPr>
      </w:pPr>
      <w:bookmarkStart w:id="46" w:name="_Toc514938673"/>
      <w:bookmarkStart w:id="47" w:name="_Toc58230738"/>
      <w:r w:rsidRPr="007B62AA">
        <w:t>Posúdenie rôznych disponibilných možností financovania vrátane možnosti prerozdelenia</w:t>
      </w:r>
      <w:bookmarkEnd w:id="46"/>
      <w:bookmarkEnd w:id="47"/>
    </w:p>
    <w:p w14:paraId="24CFA270"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7B62AA">
        <w:rPr>
          <w:sz w:val="23"/>
          <w:szCs w:val="23"/>
        </w:rPr>
        <w:t>Neuvádza sa</w:t>
      </w:r>
    </w:p>
    <w:p w14:paraId="4C976F90" w14:textId="24D3AC9E" w:rsidR="00B50935" w:rsidRPr="007B62AA" w:rsidRDefault="00B50935" w:rsidP="00B50935">
      <w:pPr>
        <w:pStyle w:val="Text1"/>
        <w:pBdr>
          <w:top w:val="single" w:sz="4" w:space="1" w:color="auto"/>
          <w:left w:val="single" w:sz="4" w:space="4" w:color="auto"/>
          <w:bottom w:val="single" w:sz="4" w:space="1" w:color="auto"/>
          <w:right w:val="single" w:sz="4" w:space="4" w:color="auto"/>
        </w:pBdr>
      </w:pPr>
    </w:p>
    <w:p w14:paraId="689FCF16" w14:textId="7E2B30FC" w:rsidR="00B50935" w:rsidRPr="007B62AA" w:rsidRDefault="00B50935" w:rsidP="00B50935">
      <w:pPr>
        <w:pStyle w:val="Text1"/>
      </w:pPr>
    </w:p>
    <w:p w14:paraId="55D86EC9" w14:textId="77777777" w:rsidR="00B50935" w:rsidRPr="007B62AA" w:rsidRDefault="00B50935" w:rsidP="00B50935">
      <w:pPr>
        <w:pStyle w:val="Heading2"/>
        <w:rPr>
          <w:bCs w:val="0"/>
          <w:noProof/>
          <w:szCs w:val="24"/>
        </w:rPr>
      </w:pPr>
      <w:r w:rsidRPr="007B62AA">
        <w:br w:type="page"/>
      </w:r>
      <w:bookmarkStart w:id="48" w:name="_Toc514938674"/>
      <w:bookmarkStart w:id="49" w:name="_Toc58230739"/>
      <w:r w:rsidRPr="007B62AA">
        <w:t>Trvanie a finančný vplyv návrhu/iniciatívy</w:t>
      </w:r>
      <w:bookmarkEnd w:id="48"/>
      <w:bookmarkEnd w:id="49"/>
    </w:p>
    <w:p w14:paraId="6B1EEF28" w14:textId="77777777" w:rsidR="00B50935" w:rsidRPr="007B62AA" w:rsidRDefault="00B50935" w:rsidP="00B50935">
      <w:pPr>
        <w:pStyle w:val="Text1"/>
        <w:rPr>
          <w:noProof/>
        </w:rPr>
      </w:pPr>
      <w:r w:rsidRPr="007B62AA">
        <w:sym w:font="Wingdings" w:char="F0A8"/>
      </w:r>
      <w:r w:rsidRPr="007B62AA">
        <w:rPr>
          <w:b/>
          <w:i/>
        </w:rPr>
        <w:t xml:space="preserve"> </w:t>
      </w:r>
      <w:r w:rsidRPr="007B62AA">
        <w:rPr>
          <w:b/>
        </w:rPr>
        <w:t xml:space="preserve">obmedzené trvanie </w:t>
      </w:r>
    </w:p>
    <w:p w14:paraId="1CC9BF14" w14:textId="77777777" w:rsidR="00B50935" w:rsidRPr="007B62AA" w:rsidRDefault="00B50935" w:rsidP="006F7C3E">
      <w:pPr>
        <w:pStyle w:val="ListDash2"/>
        <w:rPr>
          <w:noProof/>
        </w:rPr>
      </w:pPr>
      <w:r w:rsidRPr="007B62AA">
        <w:sym w:font="Wingdings" w:char="F0A8"/>
      </w:r>
      <w:r w:rsidRPr="007B62AA">
        <w:tab/>
        <w:t xml:space="preserve">Návrh/iniciatíva je v platnosti od [DD/MM]RRRR do [DD/MM]RRRR </w:t>
      </w:r>
    </w:p>
    <w:p w14:paraId="02B42B53" w14:textId="77777777" w:rsidR="00B50935" w:rsidRPr="007B62AA" w:rsidRDefault="00B50935" w:rsidP="006F7C3E">
      <w:pPr>
        <w:pStyle w:val="ListDash2"/>
        <w:rPr>
          <w:noProof/>
        </w:rPr>
      </w:pPr>
      <w:r w:rsidRPr="007B62AA">
        <w:sym w:font="Wingdings" w:char="F0A8"/>
      </w:r>
      <w:r w:rsidRPr="007B62AA">
        <w:tab/>
        <w:t>Finančný vplyv trvá od RRRR do RRRR.</w:t>
      </w:r>
    </w:p>
    <w:p w14:paraId="54EEC673" w14:textId="77777777" w:rsidR="00B50935" w:rsidRPr="007B62AA" w:rsidRDefault="00B50935" w:rsidP="00B50935">
      <w:pPr>
        <w:pStyle w:val="Text1"/>
        <w:rPr>
          <w:noProof/>
        </w:rPr>
      </w:pPr>
      <w:r w:rsidRPr="007B62AA">
        <w:t>X</w:t>
      </w:r>
      <w:r w:rsidRPr="007B62AA">
        <w:rPr>
          <w:b/>
        </w:rPr>
        <w:t xml:space="preserve"> neobmedzené trvanie</w:t>
      </w:r>
    </w:p>
    <w:p w14:paraId="67400591" w14:textId="77777777" w:rsidR="00B50935" w:rsidRPr="007B62AA" w:rsidRDefault="00B50935" w:rsidP="006F7C3E">
      <w:pPr>
        <w:pStyle w:val="ListDash1"/>
        <w:rPr>
          <w:noProof/>
        </w:rPr>
      </w:pPr>
      <w:r w:rsidRPr="007B62AA">
        <w:t>Počiatočná fáza vykonávania bude trvať od januára 2021 do decembra 2023</w:t>
      </w:r>
    </w:p>
    <w:p w14:paraId="1E2269B7" w14:textId="77777777" w:rsidR="00B50935" w:rsidRPr="007B62AA" w:rsidRDefault="00B50935" w:rsidP="006F7C3E">
      <w:pPr>
        <w:pStyle w:val="ListDash1"/>
        <w:rPr>
          <w:noProof/>
        </w:rPr>
      </w:pPr>
      <w:r w:rsidRPr="007B62AA">
        <w:t>a potom bude vykonávanie pokračovať v plnom rozsahu.</w:t>
      </w:r>
    </w:p>
    <w:p w14:paraId="293E4362" w14:textId="14214028" w:rsidR="00B50935" w:rsidRPr="007B62AA" w:rsidRDefault="00B50935" w:rsidP="00B50935">
      <w:pPr>
        <w:pStyle w:val="Heading2"/>
        <w:rPr>
          <w:bCs w:val="0"/>
          <w:noProof/>
          <w:szCs w:val="24"/>
        </w:rPr>
      </w:pPr>
      <w:bookmarkStart w:id="50" w:name="_Toc514938675"/>
      <w:bookmarkStart w:id="51" w:name="_Toc58230740"/>
      <w:r w:rsidRPr="007B62AA">
        <w:t>Plánovaný spôsob riadenia</w:t>
      </w:r>
      <w:r w:rsidRPr="007B62AA">
        <w:rPr>
          <w:rStyle w:val="FootnoteReference"/>
          <w:bCs w:val="0"/>
          <w:noProof/>
        </w:rPr>
        <w:footnoteReference w:id="15"/>
      </w:r>
      <w:bookmarkEnd w:id="50"/>
      <w:bookmarkEnd w:id="51"/>
    </w:p>
    <w:p w14:paraId="54ABDF64" w14:textId="77777777" w:rsidR="00B50935" w:rsidRPr="007B62AA" w:rsidRDefault="00B50935" w:rsidP="00B50935">
      <w:pPr>
        <w:pStyle w:val="Text1"/>
        <w:rPr>
          <w:noProof/>
        </w:rPr>
      </w:pPr>
      <w:r w:rsidRPr="007B62AA">
        <w:sym w:font="Wingdings" w:char="F0A8"/>
      </w:r>
      <w:r w:rsidRPr="007B62AA">
        <w:rPr>
          <w:i/>
        </w:rPr>
        <w:t xml:space="preserve"> </w:t>
      </w:r>
      <w:r w:rsidRPr="007B62AA">
        <w:rPr>
          <w:b/>
        </w:rPr>
        <w:t>Priame riadenie</w:t>
      </w:r>
      <w:r w:rsidRPr="007B62AA">
        <w:t xml:space="preserve"> na úrovni Komisie prostredníctvom</w:t>
      </w:r>
    </w:p>
    <w:p w14:paraId="60A5E288" w14:textId="77777777" w:rsidR="00B50935" w:rsidRPr="007B62AA" w:rsidRDefault="00B50935" w:rsidP="006F7C3E">
      <w:pPr>
        <w:pStyle w:val="ListDash2"/>
        <w:rPr>
          <w:noProof/>
        </w:rPr>
      </w:pPr>
      <w:r w:rsidRPr="007B62AA">
        <w:sym w:font="Wingdings" w:char="F0A8"/>
      </w:r>
      <w:r w:rsidRPr="007B62AA">
        <w:tab/>
        <w:t xml:space="preserve">výkonných agentúr </w:t>
      </w:r>
    </w:p>
    <w:p w14:paraId="56F06820" w14:textId="77777777" w:rsidR="00B50935" w:rsidRPr="007B62AA" w:rsidRDefault="00B50935" w:rsidP="00B50935">
      <w:pPr>
        <w:pStyle w:val="Text1"/>
        <w:rPr>
          <w:noProof/>
        </w:rPr>
      </w:pPr>
      <w:r w:rsidRPr="007B62AA">
        <w:sym w:font="Wingdings" w:char="F0A8"/>
      </w:r>
      <w:r w:rsidRPr="007B62AA">
        <w:rPr>
          <w:b/>
          <w:i/>
        </w:rPr>
        <w:t xml:space="preserve"> </w:t>
      </w:r>
      <w:r w:rsidRPr="007B62AA">
        <w:rPr>
          <w:b/>
        </w:rPr>
        <w:t>Zdieľané riadenie</w:t>
      </w:r>
      <w:r w:rsidRPr="007B62AA">
        <w:t xml:space="preserve"> s členskými štátmi </w:t>
      </w:r>
    </w:p>
    <w:p w14:paraId="5FD782F8" w14:textId="77777777" w:rsidR="00B50935" w:rsidRPr="007B62AA" w:rsidRDefault="00B50935" w:rsidP="00B50935">
      <w:pPr>
        <w:pStyle w:val="Text1"/>
        <w:rPr>
          <w:noProof/>
        </w:rPr>
      </w:pPr>
      <w:r w:rsidRPr="007B62AA">
        <w:t xml:space="preserve">X </w:t>
      </w:r>
      <w:r w:rsidRPr="007B62AA">
        <w:rPr>
          <w:b/>
          <w:bCs/>
        </w:rPr>
        <w:t>Nepriame riadenie</w:t>
      </w:r>
      <w:r w:rsidRPr="007B62AA">
        <w:t>, pri ktorom sa plnením rozpočtu poveria:</w:t>
      </w:r>
    </w:p>
    <w:p w14:paraId="69C83AC9" w14:textId="77777777" w:rsidR="00B50935" w:rsidRPr="007B62AA" w:rsidRDefault="00B50935" w:rsidP="00B50935">
      <w:pPr>
        <w:pStyle w:val="Text1"/>
        <w:rPr>
          <w:noProof/>
        </w:rPr>
      </w:pPr>
      <w:r w:rsidRPr="007B62AA">
        <w:sym w:font="Wingdings" w:char="F0A8"/>
      </w:r>
      <w:r w:rsidRPr="007B62AA">
        <w:t xml:space="preserve"> medzinárodné organizácie a ich agentúry (uveďte),</w:t>
      </w:r>
    </w:p>
    <w:p w14:paraId="418410EE" w14:textId="77777777" w:rsidR="00B50935" w:rsidRPr="007B62AA" w:rsidRDefault="00B50935" w:rsidP="00B50935">
      <w:pPr>
        <w:pStyle w:val="Text1"/>
        <w:rPr>
          <w:noProof/>
        </w:rPr>
      </w:pPr>
      <w:r w:rsidRPr="007B62AA">
        <w:sym w:font="Wingdings" w:char="F0A8"/>
      </w:r>
      <w:r w:rsidRPr="007B62AA">
        <w:t>Európska investičná banka (EIB) a Európsky investičný fond,</w:t>
      </w:r>
    </w:p>
    <w:p w14:paraId="028A411F" w14:textId="77777777" w:rsidR="00B50935" w:rsidRPr="007B62AA" w:rsidRDefault="00B50935" w:rsidP="00B50935">
      <w:pPr>
        <w:pStyle w:val="Text1"/>
        <w:rPr>
          <w:noProof/>
        </w:rPr>
      </w:pPr>
      <w:r w:rsidRPr="007B62AA">
        <w:t>X subjekty podľa článkov 70 a 71,</w:t>
      </w:r>
    </w:p>
    <w:p w14:paraId="0CF100C1" w14:textId="77777777" w:rsidR="00B50935" w:rsidRPr="007B62AA" w:rsidRDefault="00B50935" w:rsidP="00B50935">
      <w:pPr>
        <w:pStyle w:val="Text1"/>
        <w:rPr>
          <w:noProof/>
        </w:rPr>
      </w:pPr>
      <w:r w:rsidRPr="007B62AA">
        <w:sym w:font="Wingdings" w:char="F0A8"/>
      </w:r>
      <w:r w:rsidRPr="007B62AA">
        <w:t xml:space="preserve"> verejnoprávne subjekty,</w:t>
      </w:r>
    </w:p>
    <w:p w14:paraId="14B6B254" w14:textId="77777777" w:rsidR="00B50935" w:rsidRPr="007B62AA" w:rsidRDefault="00B50935" w:rsidP="00B50935">
      <w:pPr>
        <w:pStyle w:val="Text1"/>
        <w:rPr>
          <w:noProof/>
        </w:rPr>
      </w:pPr>
      <w:r w:rsidRPr="007B62AA">
        <w:sym w:font="Wingdings" w:char="F0A8"/>
      </w:r>
      <w:r w:rsidRPr="007B62AA">
        <w:t xml:space="preserve"> súkromnoprávne subjekty poverené vykonávaním verejnej služby, pokiaľ tieto subjekty poskytujú dostatočné finančné záruky,</w:t>
      </w:r>
    </w:p>
    <w:p w14:paraId="3FE3EC31" w14:textId="77777777" w:rsidR="00B50935" w:rsidRPr="007B62AA" w:rsidRDefault="00B50935" w:rsidP="00B50935">
      <w:pPr>
        <w:pStyle w:val="Text1"/>
        <w:rPr>
          <w:noProof/>
        </w:rPr>
      </w:pPr>
      <w:r w:rsidRPr="007B62AA">
        <w:sym w:font="Wingdings" w:char="F0A8"/>
      </w:r>
      <w:r w:rsidRPr="007B62AA">
        <w:t xml:space="preserve"> súkromnoprávne subjekty spravované právom členského štátu, ktoré sú poverené vykonávaním verejno-súkromného partnerstva a ktoré poskytujú dostatočné finančné záruky,</w:t>
      </w:r>
    </w:p>
    <w:p w14:paraId="25E8DA6C" w14:textId="77777777" w:rsidR="00B50935" w:rsidRPr="007B62AA" w:rsidRDefault="00B50935" w:rsidP="00B50935">
      <w:pPr>
        <w:pStyle w:val="Text1"/>
        <w:rPr>
          <w:noProof/>
        </w:rPr>
      </w:pPr>
      <w:r w:rsidRPr="007B62AA">
        <w:sym w:font="Wingdings" w:char="F0A8"/>
      </w:r>
      <w:r w:rsidRPr="007B62AA">
        <w:t xml:space="preserve"> osoby poverené vykonávaním osobitných činností v oblasti SZBP podľa hlavy V Zmluvy o Európskej únii a určené v príslušnom základnom akte.</w:t>
      </w:r>
    </w:p>
    <w:p w14:paraId="71102F75" w14:textId="77777777" w:rsidR="00B50935" w:rsidRPr="007B62AA" w:rsidRDefault="00B50935" w:rsidP="00B50935">
      <w:pPr>
        <w:rPr>
          <w:noProof/>
        </w:rPr>
      </w:pPr>
      <w:r w:rsidRPr="007B62AA">
        <w:t>Poznámky:</w:t>
      </w:r>
    </w:p>
    <w:p w14:paraId="14F98D9F" w14:textId="12B315DA" w:rsidR="00B50935" w:rsidRPr="007B62AA" w:rsidRDefault="00B50935" w:rsidP="00B50935">
      <w:pPr>
        <w:pBdr>
          <w:top w:val="single" w:sz="4" w:space="1" w:color="auto"/>
          <w:left w:val="single" w:sz="4" w:space="4" w:color="auto"/>
          <w:bottom w:val="single" w:sz="4" w:space="1" w:color="auto"/>
          <w:right w:val="single" w:sz="4" w:space="4" w:color="auto"/>
        </w:pBdr>
      </w:pPr>
    </w:p>
    <w:p w14:paraId="44BAD8D0" w14:textId="2CB5ACDD" w:rsidR="00B50935" w:rsidRPr="007B62AA" w:rsidRDefault="00B50935" w:rsidP="00B50935">
      <w:pPr>
        <w:pBdr>
          <w:top w:val="single" w:sz="4" w:space="1" w:color="auto"/>
          <w:left w:val="single" w:sz="4" w:space="4" w:color="auto"/>
          <w:bottom w:val="single" w:sz="4" w:space="1" w:color="auto"/>
          <w:right w:val="single" w:sz="4" w:space="4" w:color="auto"/>
        </w:pBdr>
        <w:rPr>
          <w:noProof/>
          <w:color w:val="0000FF"/>
        </w:rPr>
      </w:pPr>
    </w:p>
    <w:p w14:paraId="4F1C8B6A" w14:textId="13967B45" w:rsidR="00B50935" w:rsidRPr="007B62AA" w:rsidRDefault="00B50935" w:rsidP="00B50935">
      <w:pPr>
        <w:rPr>
          <w:noProof/>
        </w:rPr>
      </w:pPr>
    </w:p>
    <w:p w14:paraId="151D31E9" w14:textId="77777777" w:rsidR="00B50935" w:rsidRPr="007B62AA" w:rsidRDefault="00B50935" w:rsidP="00B50935">
      <w:pPr>
        <w:rPr>
          <w:noProof/>
        </w:rPr>
        <w:sectPr w:rsidR="00B50935" w:rsidRPr="007B62AA" w:rsidSect="00CA0925">
          <w:pgSz w:w="12240" w:h="15840"/>
          <w:pgMar w:top="794" w:right="907" w:bottom="851" w:left="1361" w:header="510" w:footer="454" w:gutter="0"/>
          <w:cols w:space="720"/>
          <w:docGrid w:linePitch="326"/>
        </w:sectPr>
      </w:pPr>
    </w:p>
    <w:p w14:paraId="1C10674D" w14:textId="77777777" w:rsidR="00B50935" w:rsidRPr="007B62AA" w:rsidRDefault="00B50935" w:rsidP="00B50935">
      <w:pPr>
        <w:pStyle w:val="Heading1"/>
        <w:rPr>
          <w:bCs w:val="0"/>
          <w:noProof/>
          <w:szCs w:val="24"/>
        </w:rPr>
      </w:pPr>
      <w:bookmarkStart w:id="52" w:name="_Toc514938676"/>
      <w:bookmarkStart w:id="53" w:name="_Toc58230741"/>
      <w:r w:rsidRPr="007B62AA">
        <w:t>OPATRENIA V OBLASTI RIADENIA</w:t>
      </w:r>
      <w:bookmarkEnd w:id="52"/>
      <w:bookmarkEnd w:id="53"/>
      <w:r w:rsidRPr="007B62AA">
        <w:t xml:space="preserve"> </w:t>
      </w:r>
    </w:p>
    <w:p w14:paraId="3C57BC88" w14:textId="77777777" w:rsidR="00B50935" w:rsidRPr="007B62AA" w:rsidRDefault="00B50935" w:rsidP="00B50935">
      <w:pPr>
        <w:pStyle w:val="Heading2"/>
        <w:rPr>
          <w:bCs w:val="0"/>
          <w:noProof/>
          <w:szCs w:val="24"/>
        </w:rPr>
      </w:pPr>
      <w:bookmarkStart w:id="54" w:name="_Toc514938677"/>
      <w:bookmarkStart w:id="55" w:name="_Toc58230742"/>
      <w:r w:rsidRPr="007B62AA">
        <w:t>Opatrenia týkajúce sa monitorovania a predkladania správ</w:t>
      </w:r>
      <w:bookmarkEnd w:id="54"/>
      <w:bookmarkEnd w:id="55"/>
      <w:r w:rsidRPr="007B62AA">
        <w:t xml:space="preserve"> </w:t>
      </w:r>
    </w:p>
    <w:p w14:paraId="0CE872CB" w14:textId="77777777" w:rsidR="00B50935" w:rsidRPr="007B62AA" w:rsidRDefault="00B50935" w:rsidP="00B50935">
      <w:pPr>
        <w:pStyle w:val="Text1"/>
        <w:rPr>
          <w:i/>
          <w:noProof/>
          <w:sz w:val="20"/>
        </w:rPr>
      </w:pPr>
      <w:r w:rsidRPr="007B62AA">
        <w:rPr>
          <w:i/>
          <w:sz w:val="20"/>
        </w:rPr>
        <w:t>Uveďte časový interval a podmienky, ktoré sa vzťahujú na tieto opatrenia.</w:t>
      </w:r>
    </w:p>
    <w:p w14:paraId="4C8890DD"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7B62AA">
        <w:rPr>
          <w:sz w:val="23"/>
          <w:szCs w:val="23"/>
        </w:rPr>
        <w:t xml:space="preserve">Všetky agentúry Únie fungujú v rámci prísneho monitorovacieho systému, ktorého súčasťou je koordinátor vnútornej kontroly, útvar Komisie pre vnútorný audit, správna rada, Komisia, Dvor audítorov a rozpočtový orgán. V nariadení, ktorým ECDC zriaďuje, je tento systém je zohľadnený a stanovený. </w:t>
      </w:r>
    </w:p>
    <w:p w14:paraId="2E2A5430" w14:textId="2474F517" w:rsidR="00B50935" w:rsidRPr="007B62AA"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7B62AA">
        <w:rPr>
          <w:sz w:val="23"/>
          <w:szCs w:val="23"/>
        </w:rPr>
        <w:t xml:space="preserve">V súlade so spoločným vyhlásením o decentralizovaných agentúrach EÚ (ďalej len „spoločný prístup“) a rámcovým nariadením o rozpočtových pravidlách (2019/715) musí ročný pracovný program agentúry obsahovať podrobné ciele a očakávané výsledky vrátane stanovených ukazovateľov výsledkov. K opisu činností uvedenému v svojom pracovnom programe agentúra doplní kľúčové ukazovatele výsledkov. Činnosti agentúry sa potom v konsolidovanej výročnej správe o činnosti vyhodnotia v porovnaní s týmito ukazovateľmi. Ročný pracovný program musí byť súlade s viacročným pracovným programom, pričom obidva programy musia byť zahrnuté do ročného jednotného programového dokumentu predkladaného Európskemu parlamentu, Rade a Komisii. </w:t>
      </w:r>
    </w:p>
    <w:p w14:paraId="28EC907A" w14:textId="46E59EB5" w:rsidR="00B50935" w:rsidRPr="007B62AA"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7B62AA">
        <w:rPr>
          <w:sz w:val="23"/>
          <w:szCs w:val="23"/>
        </w:rPr>
        <w:t xml:space="preserve">Za dohľad nad efektívnosťou administratívneho, prevádzkového a rozpočtového riadenia agentúry je zodpovedná správna rada. </w:t>
      </w:r>
    </w:p>
    <w:p w14:paraId="4AB814DF" w14:textId="2EB8A6F2" w:rsidR="00B50935" w:rsidRPr="007B62AA" w:rsidRDefault="00B50935" w:rsidP="00B50935">
      <w:pPr>
        <w:pStyle w:val="Text1"/>
        <w:pBdr>
          <w:top w:val="single" w:sz="4" w:space="1" w:color="auto"/>
          <w:left w:val="single" w:sz="4" w:space="4" w:color="auto"/>
          <w:bottom w:val="single" w:sz="4" w:space="1" w:color="auto"/>
          <w:right w:val="single" w:sz="4" w:space="4" w:color="auto"/>
        </w:pBdr>
      </w:pPr>
      <w:r w:rsidRPr="007B62AA">
        <w:rPr>
          <w:sz w:val="23"/>
          <w:szCs w:val="23"/>
        </w:rPr>
        <w:t>Každých päť rokov (ďalšie hodnotenie pokryje roky 2018 – 2022) Komisia posúdi výsledky činnosti agentúry vzhľadom na jej ciele, mandát a úlohy. V hodnotení sa zohľadní najmä prípadná potreba zmeniť mandát agentúry a finančné dôsledky každej takejto zmeny. Správu o výsledkoch hodnotenia Komisia podá Európskemu parlamentu, Rade a správnej rade. Výsledky hodnotenia sa uverejnia.</w:t>
      </w:r>
    </w:p>
    <w:p w14:paraId="1305833C" w14:textId="77777777" w:rsidR="00B50935" w:rsidRPr="007B62AA" w:rsidRDefault="00B50935" w:rsidP="00B50935">
      <w:pPr>
        <w:pStyle w:val="Heading2"/>
        <w:rPr>
          <w:bCs w:val="0"/>
          <w:noProof/>
          <w:szCs w:val="24"/>
        </w:rPr>
      </w:pPr>
      <w:bookmarkStart w:id="56" w:name="_Toc514938678"/>
      <w:bookmarkStart w:id="57" w:name="_Toc58230743"/>
      <w:r w:rsidRPr="007B62AA">
        <w:t>Systémy riadenia a kontroly</w:t>
      </w:r>
      <w:bookmarkEnd w:id="56"/>
      <w:bookmarkEnd w:id="57"/>
      <w:r w:rsidRPr="007B62AA">
        <w:t xml:space="preserve"> </w:t>
      </w:r>
    </w:p>
    <w:p w14:paraId="55884E91" w14:textId="77777777" w:rsidR="00B50935" w:rsidRPr="007B62AA" w:rsidRDefault="00B50935" w:rsidP="00B50935">
      <w:pPr>
        <w:pStyle w:val="Heading3"/>
        <w:rPr>
          <w:noProof/>
        </w:rPr>
      </w:pPr>
      <w:bookmarkStart w:id="58" w:name="_Toc514938679"/>
      <w:bookmarkStart w:id="59" w:name="_Toc58230744"/>
      <w:r w:rsidRPr="007B62AA">
        <w:t>Opodstatnenie navrhovaných spôsobov riadenia, mechanizmov vykonávania financovania, spôsobov platby a stratégie kontroly</w:t>
      </w:r>
      <w:bookmarkEnd w:id="58"/>
      <w:bookmarkEnd w:id="59"/>
    </w:p>
    <w:p w14:paraId="693AEC3C"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7B62AA">
        <w:rPr>
          <w:sz w:val="23"/>
          <w:szCs w:val="23"/>
        </w:rPr>
        <w:t xml:space="preserve">Ročná dotácia EÚ sa prevádza agentúre v súlade s jej platobnými potrebami a na jej žiadosť. </w:t>
      </w:r>
    </w:p>
    <w:p w14:paraId="6909A5FF" w14:textId="4C90CC2F" w:rsidR="00B50935" w:rsidRPr="007B62AA" w:rsidRDefault="00B50935" w:rsidP="00B50935">
      <w:pPr>
        <w:pStyle w:val="Text1"/>
        <w:pBdr>
          <w:top w:val="single" w:sz="4" w:space="1" w:color="auto"/>
          <w:left w:val="single" w:sz="4" w:space="4" w:color="auto"/>
          <w:bottom w:val="single" w:sz="4" w:space="1" w:color="auto"/>
          <w:right w:val="single" w:sz="4" w:space="4" w:color="auto"/>
        </w:pBdr>
      </w:pPr>
      <w:r w:rsidRPr="007B62AA">
        <w:rPr>
          <w:sz w:val="23"/>
          <w:szCs w:val="23"/>
        </w:rPr>
        <w:t>Agentúra bude podliehať administratívnym kontrolám vrátane rozpočtovej kontroly, vnútorného auditu, výročných správ Európskeho dvora audítorov, každoročného udeľovania absolutória na plnenie rozpočtu EÚ a prípadných vyšetrovaní úradu OLAF, ktorých cieľom je predovšetkým zabezpečiť riadne využívanie zdrojov pridelených agentúram. Činnosť agentúry bude zároveň v súlade s článkom 228 ZFEÚ podliehať dohľadu ombudsmana. Z týchto administratívnych kontrol vyplývajú viaceré procesné záruky, ktorých cieľom je zaistiť, aby sa prihliadalo na záujmy zainteresovaných strán.</w:t>
      </w:r>
    </w:p>
    <w:p w14:paraId="323224D8" w14:textId="77777777" w:rsidR="00B50935" w:rsidRPr="007B62AA" w:rsidRDefault="00B50935" w:rsidP="00B50935">
      <w:pPr>
        <w:pStyle w:val="Heading3"/>
        <w:rPr>
          <w:noProof/>
        </w:rPr>
      </w:pPr>
      <w:bookmarkStart w:id="60" w:name="_Toc514938680"/>
      <w:bookmarkStart w:id="61" w:name="_Toc58230745"/>
      <w:r w:rsidRPr="007B62AA">
        <w:t>Informácie o zistených rizikách a systémoch vnútornej kontroly zavedených na ich zmierňovanie</w:t>
      </w:r>
      <w:bookmarkEnd w:id="60"/>
      <w:bookmarkEnd w:id="61"/>
    </w:p>
    <w:p w14:paraId="48BC39F3"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pPr>
      <w:r w:rsidRPr="007B62AA">
        <w:rPr>
          <w:sz w:val="23"/>
          <w:szCs w:val="23"/>
        </w:rPr>
        <w:t>Hlavné riziko súvisí s nedostatočným alebo neuskutočneným vykonávaním plánovaných úloh. Na zmiernenie tohto rizika by sa mali vyčleniť dostatočné finančné zdroje a zabezpečiť dostatočné personálne obsadenie.</w:t>
      </w:r>
    </w:p>
    <w:p w14:paraId="7808040E" w14:textId="77777777" w:rsidR="00B50935" w:rsidRPr="007B62AA" w:rsidRDefault="00B50935" w:rsidP="00B50935">
      <w:pPr>
        <w:pStyle w:val="Heading2"/>
        <w:rPr>
          <w:bCs w:val="0"/>
          <w:noProof/>
          <w:szCs w:val="24"/>
        </w:rPr>
      </w:pPr>
      <w:bookmarkStart w:id="62" w:name="_Toc514938682"/>
      <w:bookmarkStart w:id="63" w:name="_Toc58230746"/>
      <w:r w:rsidRPr="007B62AA">
        <w:t>Opatrenia na predchádzanie podvodom a nezrovnalostiam</w:t>
      </w:r>
      <w:bookmarkEnd w:id="62"/>
      <w:bookmarkEnd w:id="63"/>
      <w:r w:rsidRPr="007B62AA">
        <w:t xml:space="preserve"> </w:t>
      </w:r>
    </w:p>
    <w:p w14:paraId="669072B0" w14:textId="77777777" w:rsidR="00B50935" w:rsidRPr="007B62AA" w:rsidRDefault="00B50935" w:rsidP="00B50935">
      <w:pPr>
        <w:pStyle w:val="Text1"/>
        <w:rPr>
          <w:i/>
          <w:noProof/>
          <w:sz w:val="20"/>
        </w:rPr>
      </w:pPr>
      <w:r w:rsidRPr="007B62AA">
        <w:rPr>
          <w:i/>
          <w:sz w:val="20"/>
        </w:rPr>
        <w:t>Uveďte existujúce alebo plánované preventívne a ochranné opatrenia, napr. zo stratégie na boj proti podvodom.</w:t>
      </w:r>
    </w:p>
    <w:p w14:paraId="4E8CAF77" w14:textId="35EB33A5" w:rsidR="00B50935" w:rsidRPr="007B62AA" w:rsidRDefault="00B50935" w:rsidP="00B50935">
      <w:pPr>
        <w:pStyle w:val="Text1"/>
        <w:pBdr>
          <w:top w:val="single" w:sz="4" w:space="1" w:color="auto"/>
          <w:left w:val="single" w:sz="4" w:space="4" w:color="auto"/>
          <w:bottom w:val="single" w:sz="4" w:space="1" w:color="auto"/>
          <w:right w:val="single" w:sz="4" w:space="4" w:color="auto"/>
        </w:pBdr>
      </w:pPr>
      <w:r w:rsidRPr="007B62AA">
        <w:rPr>
          <w:sz w:val="23"/>
          <w:szCs w:val="23"/>
        </w:rPr>
        <w:t>Opatrenia na boj proti podvodom sú stanovené v článku 25 nariadenia o zriadení Európskeho centra pre prevenciu a kontrolu chorôb a výkonný riaditeľ a správna rada prijmú vhodné opatrenia v súlade so zásadami vnútornej kontroly uplatňovanými vo všetkých inštitúciách EÚ. V súlade so spoločným prístupom agentúra vypracovala stratégiu boja proti podvodom a uplatňuje ju.</w:t>
      </w:r>
    </w:p>
    <w:p w14:paraId="063446CB" w14:textId="15E68D0B" w:rsidR="00B50935" w:rsidRPr="007B62AA" w:rsidRDefault="00B50935" w:rsidP="00B50935">
      <w:pPr>
        <w:pStyle w:val="Text1"/>
        <w:pBdr>
          <w:top w:val="single" w:sz="4" w:space="1" w:color="auto"/>
          <w:left w:val="single" w:sz="4" w:space="4" w:color="auto"/>
          <w:bottom w:val="single" w:sz="4" w:space="1" w:color="auto"/>
          <w:right w:val="single" w:sz="4" w:space="4" w:color="auto"/>
        </w:pBdr>
      </w:pPr>
      <w:r w:rsidRPr="007B62AA">
        <w:t>V mandáte ECDC sa jasne uvádza, že sa bez obmedzenia uplatňujú ustanovenia nariadenia (EÚ, Euratom) č. 883/2013.</w:t>
      </w:r>
    </w:p>
    <w:p w14:paraId="1E8C9611" w14:textId="0904E69A" w:rsidR="00B50935" w:rsidRPr="007B62AA" w:rsidRDefault="00447609" w:rsidP="00B50935">
      <w:pPr>
        <w:pStyle w:val="Text1"/>
        <w:pBdr>
          <w:top w:val="single" w:sz="4" w:space="1" w:color="auto"/>
          <w:left w:val="single" w:sz="4" w:space="4" w:color="auto"/>
          <w:bottom w:val="single" w:sz="4" w:space="1" w:color="auto"/>
          <w:right w:val="single" w:sz="4" w:space="4" w:color="auto"/>
        </w:pBdr>
      </w:pPr>
      <w:r w:rsidRPr="007B62AA">
        <w:t>ECDC zároveň pristúpi k medziinštitucionálnej dohode z 25. mája 1999 týkajúcej sa vnútorných vyšetrovaní Európskym úradom pre boj proti podvodom (OLAF) (10) a neodkladne vydá vhodné ustanovenia vzťahujúce sa na všetkých pracovníkov centra.</w:t>
      </w:r>
    </w:p>
    <w:p w14:paraId="1265C61F" w14:textId="5F27BCC2" w:rsidR="00B50935" w:rsidRPr="007B62AA" w:rsidRDefault="00447609" w:rsidP="00B50935">
      <w:pPr>
        <w:pStyle w:val="Text1"/>
        <w:pBdr>
          <w:top w:val="single" w:sz="4" w:space="1" w:color="auto"/>
          <w:left w:val="single" w:sz="4" w:space="4" w:color="auto"/>
          <w:bottom w:val="single" w:sz="4" w:space="1" w:color="auto"/>
          <w:right w:val="single" w:sz="4" w:space="4" w:color="auto"/>
        </w:pBdr>
      </w:pPr>
      <w:r w:rsidRPr="007B62AA">
        <w:t>V rozhodnutiach ECDC týkajúcich sa financovania a vo vykonávacích dohodách a nástrojoch, ktoré z nich vyplývajú, sa výslovne stanoví, že Dvor audítorov a OLAF môžu v prípade potreby vykonávať kontroly na mieste u príjemcov finančných prostriedkov centra a zástupcov zodpovedných za ich prideľovanie.</w:t>
      </w:r>
    </w:p>
    <w:p w14:paraId="656E52B9"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pPr>
      <w:r w:rsidRPr="007B62AA">
        <w:t>Európska prokuratúra môže v súlade s nariadením (EÚ) 2017/1939 vyšetrovať a stíhať podvody a iné protiprávne konania poškodzujúce finančné záujmy Únie, ako sa stanovuje v smernici (EÚ) 2017/1371.</w:t>
      </w:r>
    </w:p>
    <w:p w14:paraId="54687DA4" w14:textId="0A3D04B7" w:rsidR="00B50935" w:rsidRPr="007B62AA" w:rsidRDefault="00B50935" w:rsidP="00B50935">
      <w:pPr>
        <w:pStyle w:val="Text1"/>
        <w:pBdr>
          <w:top w:val="single" w:sz="4" w:space="1" w:color="auto"/>
          <w:left w:val="single" w:sz="4" w:space="4" w:color="auto"/>
          <w:bottom w:val="single" w:sz="4" w:space="1" w:color="auto"/>
          <w:right w:val="single" w:sz="4" w:space="4" w:color="auto"/>
        </w:pBdr>
        <w:rPr>
          <w:noProof/>
        </w:rPr>
      </w:pPr>
      <w:r w:rsidRPr="007B62AA">
        <w:t>Dohody o pracovných podmienkach s tretími krajinami a medzinárodnými organizáciami, dohody o grante, rozhodnutia o udelení grantu a zmluvy, ktoré ECDC uzatvára, musia obsahovať ustanovenia, ktorými sa Dvoru audítorov, úradu OLAF a Európskej prokuratúre výslovne udeľuje právomoc vykonávať v súlade s ich príslušnými právomocami takéto audity a vyšetrovania.</w:t>
      </w:r>
    </w:p>
    <w:p w14:paraId="47A8CEC6" w14:textId="77777777" w:rsidR="00B50935" w:rsidRPr="007B62AA" w:rsidRDefault="00B50935" w:rsidP="00B50935">
      <w:pPr>
        <w:pStyle w:val="Heading1"/>
        <w:rPr>
          <w:noProof/>
        </w:rPr>
      </w:pPr>
      <w:bookmarkStart w:id="64" w:name="_Toc514938683"/>
      <w:bookmarkStart w:id="65" w:name="_Toc58230747"/>
      <w:r w:rsidRPr="007B62AA">
        <w:t>ODHADOVANÝ FINANČNÝ VPLYV NÁVRHU/INICIATÍVY</w:t>
      </w:r>
      <w:bookmarkEnd w:id="64"/>
      <w:bookmarkEnd w:id="65"/>
      <w:r w:rsidRPr="007B62AA">
        <w:t xml:space="preserve"> </w:t>
      </w:r>
    </w:p>
    <w:p w14:paraId="321165BC" w14:textId="77777777" w:rsidR="00B50935" w:rsidRPr="007B62AA" w:rsidRDefault="00B50935" w:rsidP="00B50935">
      <w:pPr>
        <w:rPr>
          <w:bCs/>
        </w:rPr>
      </w:pPr>
      <w:r w:rsidRPr="007B62AA">
        <w:t xml:space="preserve">Vzhľadom na prebiehajúce úvahy o vytvorení Európskej agentúry pre biomedicínsky výskum a vývoj si Komisia ponecháva právo upraviť navrhované zdroje a počty pridelených zamestnancov, keď sa predloží presný návrh na zriadenie uvedenej agentúry. </w:t>
      </w:r>
    </w:p>
    <w:p w14:paraId="6078B509" w14:textId="4661F9C8" w:rsidR="00B50935" w:rsidRPr="007B62AA" w:rsidRDefault="00B50935" w:rsidP="00025545">
      <w:pPr>
        <w:pStyle w:val="Text1"/>
      </w:pPr>
    </w:p>
    <w:p w14:paraId="11C60F03" w14:textId="77777777" w:rsidR="00B50935" w:rsidRPr="007B62AA" w:rsidRDefault="00B50935" w:rsidP="00B50935">
      <w:pPr>
        <w:pStyle w:val="Heading2"/>
        <w:rPr>
          <w:bCs w:val="0"/>
          <w:noProof/>
          <w:szCs w:val="24"/>
        </w:rPr>
      </w:pPr>
      <w:bookmarkStart w:id="66" w:name="_Toc514938684"/>
      <w:bookmarkStart w:id="67" w:name="_Toc58230748"/>
      <w:r w:rsidRPr="007B62AA">
        <w:t>Príslušné okruhy viacročného finančného rámca a rozpočtové riadky výdavkov</w:t>
      </w:r>
      <w:bookmarkEnd w:id="66"/>
      <w:bookmarkEnd w:id="67"/>
      <w:r w:rsidRPr="007B62AA">
        <w:t xml:space="preserve"> </w:t>
      </w:r>
    </w:p>
    <w:p w14:paraId="763A996A" w14:textId="77777777" w:rsidR="00B50935" w:rsidRPr="007B62AA" w:rsidRDefault="00B50935" w:rsidP="006F7C3E">
      <w:pPr>
        <w:pStyle w:val="ListBullet1"/>
        <w:rPr>
          <w:noProof/>
        </w:rPr>
      </w:pPr>
      <w:r w:rsidRPr="007B62AA">
        <w:t xml:space="preserve">Existujúce rozpočtové riadky </w:t>
      </w:r>
    </w:p>
    <w:p w14:paraId="411C619B" w14:textId="77777777" w:rsidR="00B50935" w:rsidRPr="007B62AA" w:rsidRDefault="00B50935" w:rsidP="00B50935">
      <w:pPr>
        <w:pStyle w:val="Text1"/>
        <w:rPr>
          <w:noProof/>
        </w:rPr>
      </w:pPr>
      <w:r w:rsidRPr="007B62AA">
        <w:rPr>
          <w:u w:val="single"/>
        </w:rPr>
        <w:t>V poradí</w:t>
      </w:r>
      <w:r w:rsidRPr="007B62AA">
        <w:t>, v akom za sebou nasledujú okruhy viacročného finančného rámca a rozpočtové riadky.</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222"/>
        <w:gridCol w:w="814"/>
        <w:gridCol w:w="1564"/>
      </w:tblGrid>
      <w:tr w:rsidR="00B50935" w:rsidRPr="007B62AA" w14:paraId="0F0A2AE2" w14:textId="77777777" w:rsidTr="007B62AA">
        <w:tc>
          <w:tcPr>
            <w:tcW w:w="1080" w:type="dxa"/>
            <w:vMerge w:val="restart"/>
            <w:vAlign w:val="center"/>
          </w:tcPr>
          <w:p w14:paraId="78D958F0" w14:textId="77777777" w:rsidR="00B50935" w:rsidRPr="007B62AA" w:rsidRDefault="00B50935" w:rsidP="007B62AA">
            <w:pPr>
              <w:spacing w:before="60" w:after="60"/>
              <w:ind w:right="-97"/>
              <w:jc w:val="center"/>
              <w:rPr>
                <w:noProof/>
                <w:sz w:val="18"/>
              </w:rPr>
            </w:pPr>
            <w:r w:rsidRPr="007B62AA">
              <w:rPr>
                <w:sz w:val="18"/>
              </w:rPr>
              <w:t>Okruh viacročného finančného rámca</w:t>
            </w:r>
          </w:p>
        </w:tc>
        <w:tc>
          <w:tcPr>
            <w:tcW w:w="3960" w:type="dxa"/>
            <w:vAlign w:val="center"/>
          </w:tcPr>
          <w:p w14:paraId="4535E307" w14:textId="77777777" w:rsidR="00B50935" w:rsidRPr="007B62AA" w:rsidRDefault="00B50935" w:rsidP="00427764">
            <w:pPr>
              <w:spacing w:before="60" w:after="60"/>
              <w:jc w:val="center"/>
              <w:rPr>
                <w:noProof/>
              </w:rPr>
            </w:pPr>
            <w:r w:rsidRPr="007B62AA">
              <w:rPr>
                <w:sz w:val="20"/>
              </w:rPr>
              <w:t>Rozpočtový riadok</w:t>
            </w:r>
          </w:p>
        </w:tc>
        <w:tc>
          <w:tcPr>
            <w:tcW w:w="1080" w:type="dxa"/>
            <w:vAlign w:val="center"/>
          </w:tcPr>
          <w:p w14:paraId="3F53567D" w14:textId="71E16A2A" w:rsidR="00B50935" w:rsidRPr="007B62AA" w:rsidRDefault="00191442" w:rsidP="00427764">
            <w:pPr>
              <w:spacing w:before="60" w:after="60"/>
              <w:jc w:val="center"/>
              <w:rPr>
                <w:noProof/>
              </w:rPr>
            </w:pPr>
            <w:r>
              <w:rPr>
                <w:sz w:val="18"/>
              </w:rPr>
              <w:t>Druh</w:t>
            </w:r>
            <w:r w:rsidR="00B50935" w:rsidRPr="007B62AA">
              <w:t xml:space="preserve"> </w:t>
            </w:r>
            <w:r w:rsidR="00B50935" w:rsidRPr="007B62AA">
              <w:br/>
            </w:r>
            <w:r w:rsidR="00B50935" w:rsidRPr="007B62AA">
              <w:rPr>
                <w:sz w:val="18"/>
              </w:rPr>
              <w:t>výdavkov</w:t>
            </w:r>
          </w:p>
        </w:tc>
        <w:tc>
          <w:tcPr>
            <w:tcW w:w="4556" w:type="dxa"/>
            <w:gridSpan w:val="4"/>
            <w:vAlign w:val="center"/>
          </w:tcPr>
          <w:p w14:paraId="7B29D62B" w14:textId="77777777" w:rsidR="00B50935" w:rsidRPr="007B62AA" w:rsidRDefault="00B50935" w:rsidP="00427764">
            <w:pPr>
              <w:spacing w:before="60" w:after="60"/>
              <w:jc w:val="center"/>
              <w:rPr>
                <w:noProof/>
              </w:rPr>
            </w:pPr>
            <w:r w:rsidRPr="007B62AA">
              <w:rPr>
                <w:sz w:val="20"/>
              </w:rPr>
              <w:t xml:space="preserve">Príspevky </w:t>
            </w:r>
          </w:p>
        </w:tc>
      </w:tr>
      <w:tr w:rsidR="00B50935" w:rsidRPr="007B62AA" w14:paraId="212358D7" w14:textId="77777777" w:rsidTr="007B62AA">
        <w:tc>
          <w:tcPr>
            <w:tcW w:w="1080" w:type="dxa"/>
            <w:vMerge/>
            <w:vAlign w:val="center"/>
          </w:tcPr>
          <w:p w14:paraId="141BCBF0" w14:textId="77777777" w:rsidR="00B50935" w:rsidRPr="007B62AA" w:rsidRDefault="00B50935" w:rsidP="00427764">
            <w:pPr>
              <w:rPr>
                <w:noProof/>
                <w:sz w:val="18"/>
              </w:rPr>
            </w:pPr>
          </w:p>
        </w:tc>
        <w:tc>
          <w:tcPr>
            <w:tcW w:w="3960" w:type="dxa"/>
            <w:vAlign w:val="center"/>
          </w:tcPr>
          <w:p w14:paraId="096B73A2" w14:textId="332EEFBA" w:rsidR="00B50935" w:rsidRPr="007B62AA" w:rsidRDefault="00B50935" w:rsidP="00427764">
            <w:pPr>
              <w:rPr>
                <w:noProof/>
              </w:rPr>
            </w:pPr>
            <w:r w:rsidRPr="007B62AA">
              <w:rPr>
                <w:sz w:val="20"/>
              </w:rPr>
              <w:t xml:space="preserve">Číslo </w:t>
            </w:r>
            <w:r w:rsidRPr="007B62AA">
              <w:br/>
            </w:r>
          </w:p>
        </w:tc>
        <w:tc>
          <w:tcPr>
            <w:tcW w:w="1080" w:type="dxa"/>
            <w:vAlign w:val="center"/>
          </w:tcPr>
          <w:p w14:paraId="7A3FBF3A" w14:textId="77777777" w:rsidR="00B50935" w:rsidRPr="007B62AA" w:rsidRDefault="00B50935" w:rsidP="00427764">
            <w:pPr>
              <w:jc w:val="center"/>
              <w:rPr>
                <w:noProof/>
              </w:rPr>
            </w:pPr>
            <w:r w:rsidRPr="007B62AA">
              <w:t>NRP</w:t>
            </w:r>
            <w:r w:rsidRPr="007B62AA">
              <w:rPr>
                <w:rStyle w:val="FootnoteReference"/>
                <w:noProof/>
              </w:rPr>
              <w:footnoteReference w:id="16"/>
            </w:r>
          </w:p>
        </w:tc>
        <w:tc>
          <w:tcPr>
            <w:tcW w:w="956" w:type="dxa"/>
            <w:vAlign w:val="center"/>
          </w:tcPr>
          <w:p w14:paraId="7A9808CE" w14:textId="77777777" w:rsidR="00B50935" w:rsidRPr="007B62AA" w:rsidRDefault="00B50935" w:rsidP="00427764">
            <w:pPr>
              <w:jc w:val="center"/>
              <w:rPr>
                <w:noProof/>
              </w:rPr>
            </w:pPr>
            <w:r w:rsidRPr="007B62AA">
              <w:rPr>
                <w:sz w:val="18"/>
              </w:rPr>
              <w:t>krajín EZVO</w:t>
            </w:r>
            <w:r w:rsidRPr="007B62AA">
              <w:rPr>
                <w:rStyle w:val="FootnoteReference"/>
                <w:noProof/>
                <w:sz w:val="18"/>
              </w:rPr>
              <w:footnoteReference w:id="17"/>
            </w:r>
          </w:p>
        </w:tc>
        <w:tc>
          <w:tcPr>
            <w:tcW w:w="1222" w:type="dxa"/>
            <w:vAlign w:val="center"/>
          </w:tcPr>
          <w:p w14:paraId="3596C70A" w14:textId="77777777" w:rsidR="00B50935" w:rsidRPr="007B62AA" w:rsidRDefault="00B50935" w:rsidP="007B62AA">
            <w:pPr>
              <w:ind w:left="-20" w:right="-109"/>
              <w:jc w:val="center"/>
              <w:rPr>
                <w:noProof/>
                <w:sz w:val="18"/>
              </w:rPr>
            </w:pPr>
            <w:r w:rsidRPr="007B62AA">
              <w:rPr>
                <w:sz w:val="18"/>
              </w:rPr>
              <w:t>kandidátskych krajín</w:t>
            </w:r>
            <w:r w:rsidRPr="007B62AA">
              <w:rPr>
                <w:rStyle w:val="FootnoteReference"/>
                <w:noProof/>
                <w:sz w:val="18"/>
              </w:rPr>
              <w:footnoteReference w:id="18"/>
            </w:r>
          </w:p>
        </w:tc>
        <w:tc>
          <w:tcPr>
            <w:tcW w:w="814" w:type="dxa"/>
            <w:vAlign w:val="center"/>
          </w:tcPr>
          <w:p w14:paraId="745E9C60" w14:textId="77777777" w:rsidR="00B50935" w:rsidRPr="007B62AA" w:rsidRDefault="00B50935" w:rsidP="00427764">
            <w:pPr>
              <w:jc w:val="center"/>
              <w:rPr>
                <w:noProof/>
                <w:sz w:val="18"/>
              </w:rPr>
            </w:pPr>
            <w:r w:rsidRPr="007B62AA">
              <w:rPr>
                <w:sz w:val="18"/>
              </w:rPr>
              <w:t>tretích krajín</w:t>
            </w:r>
          </w:p>
        </w:tc>
        <w:tc>
          <w:tcPr>
            <w:tcW w:w="1564" w:type="dxa"/>
            <w:vAlign w:val="center"/>
          </w:tcPr>
          <w:p w14:paraId="6CA21598" w14:textId="77777777" w:rsidR="00B50935" w:rsidRPr="007B62AA" w:rsidRDefault="00B50935" w:rsidP="00427764">
            <w:pPr>
              <w:jc w:val="center"/>
              <w:rPr>
                <w:noProof/>
                <w:sz w:val="16"/>
                <w:szCs w:val="16"/>
              </w:rPr>
            </w:pPr>
            <w:r w:rsidRPr="007B62AA">
              <w:rPr>
                <w:sz w:val="16"/>
                <w:szCs w:val="16"/>
              </w:rPr>
              <w:t xml:space="preserve">v zmysle článku 21 ods. 2 písm. b) nariadenia o rozpočtových pravidlách </w:t>
            </w:r>
          </w:p>
        </w:tc>
      </w:tr>
      <w:tr w:rsidR="00B50935" w:rsidRPr="007B62AA" w14:paraId="74D1F135" w14:textId="77777777" w:rsidTr="007B62AA">
        <w:tc>
          <w:tcPr>
            <w:tcW w:w="1080" w:type="dxa"/>
            <w:vAlign w:val="center"/>
          </w:tcPr>
          <w:p w14:paraId="6413E3E1" w14:textId="77777777" w:rsidR="00B50935" w:rsidRPr="007B62AA" w:rsidRDefault="00B50935" w:rsidP="00427764">
            <w:pPr>
              <w:jc w:val="center"/>
              <w:rPr>
                <w:noProof/>
                <w:color w:val="0000FF"/>
              </w:rPr>
            </w:pPr>
            <w:r w:rsidRPr="007B62AA">
              <w:t>2</w:t>
            </w:r>
          </w:p>
        </w:tc>
        <w:tc>
          <w:tcPr>
            <w:tcW w:w="3960" w:type="dxa"/>
            <w:vAlign w:val="center"/>
          </w:tcPr>
          <w:p w14:paraId="6A1A1C48" w14:textId="77777777" w:rsidR="00B50935" w:rsidRPr="007B62AA" w:rsidRDefault="00B50935" w:rsidP="00427764">
            <w:pPr>
              <w:spacing w:after="60"/>
            </w:pPr>
            <w:r w:rsidRPr="007B62AA">
              <w:t>06.1001</w:t>
            </w:r>
          </w:p>
        </w:tc>
        <w:tc>
          <w:tcPr>
            <w:tcW w:w="1080" w:type="dxa"/>
            <w:vAlign w:val="center"/>
          </w:tcPr>
          <w:p w14:paraId="06BBE56E" w14:textId="77777777" w:rsidR="00B50935" w:rsidRPr="007B62AA" w:rsidRDefault="00B50935" w:rsidP="00427764">
            <w:pPr>
              <w:jc w:val="center"/>
              <w:rPr>
                <w:noProof/>
                <w:color w:val="0000FF"/>
              </w:rPr>
            </w:pPr>
            <w:r w:rsidRPr="007B62AA">
              <w:rPr>
                <w:sz w:val="18"/>
              </w:rPr>
              <w:t>DRP</w:t>
            </w:r>
          </w:p>
        </w:tc>
        <w:tc>
          <w:tcPr>
            <w:tcW w:w="956" w:type="dxa"/>
            <w:vAlign w:val="center"/>
          </w:tcPr>
          <w:p w14:paraId="715D5652" w14:textId="77777777" w:rsidR="00B50935" w:rsidRPr="007B62AA" w:rsidRDefault="00B50935" w:rsidP="00427764">
            <w:pPr>
              <w:jc w:val="center"/>
              <w:rPr>
                <w:sz w:val="20"/>
              </w:rPr>
            </w:pPr>
            <w:r w:rsidRPr="007B62AA">
              <w:rPr>
                <w:sz w:val="20"/>
              </w:rPr>
              <w:t>ÁNO</w:t>
            </w:r>
          </w:p>
        </w:tc>
        <w:tc>
          <w:tcPr>
            <w:tcW w:w="1222" w:type="dxa"/>
            <w:vAlign w:val="center"/>
          </w:tcPr>
          <w:p w14:paraId="24C56BD2" w14:textId="77777777" w:rsidR="00B50935" w:rsidRPr="007B62AA" w:rsidRDefault="00B50935" w:rsidP="00427764">
            <w:pPr>
              <w:jc w:val="center"/>
              <w:rPr>
                <w:sz w:val="20"/>
              </w:rPr>
            </w:pPr>
            <w:r w:rsidRPr="007B62AA">
              <w:rPr>
                <w:sz w:val="20"/>
              </w:rPr>
              <w:t>NIE</w:t>
            </w:r>
          </w:p>
        </w:tc>
        <w:tc>
          <w:tcPr>
            <w:tcW w:w="814" w:type="dxa"/>
            <w:vAlign w:val="center"/>
          </w:tcPr>
          <w:p w14:paraId="44C61DA6" w14:textId="77777777" w:rsidR="00B50935" w:rsidRPr="007B62AA" w:rsidRDefault="00B50935" w:rsidP="00427764">
            <w:pPr>
              <w:jc w:val="center"/>
              <w:rPr>
                <w:sz w:val="20"/>
              </w:rPr>
            </w:pPr>
            <w:r w:rsidRPr="007B62AA">
              <w:rPr>
                <w:sz w:val="20"/>
              </w:rPr>
              <w:t>NIE</w:t>
            </w:r>
          </w:p>
        </w:tc>
        <w:tc>
          <w:tcPr>
            <w:tcW w:w="1564" w:type="dxa"/>
            <w:vAlign w:val="center"/>
          </w:tcPr>
          <w:p w14:paraId="7F6C3248" w14:textId="77777777" w:rsidR="00B50935" w:rsidRPr="007B62AA" w:rsidRDefault="00B50935" w:rsidP="00427764">
            <w:pPr>
              <w:jc w:val="center"/>
              <w:rPr>
                <w:sz w:val="20"/>
              </w:rPr>
            </w:pPr>
            <w:r w:rsidRPr="007B62AA">
              <w:rPr>
                <w:sz w:val="20"/>
              </w:rPr>
              <w:t>NIE</w:t>
            </w:r>
          </w:p>
        </w:tc>
      </w:tr>
    </w:tbl>
    <w:p w14:paraId="351F849A" w14:textId="77777777" w:rsidR="00B50935" w:rsidRPr="007B62AA" w:rsidRDefault="00B50935" w:rsidP="006F7C3E">
      <w:pPr>
        <w:pStyle w:val="ListBullet1"/>
        <w:rPr>
          <w:noProof/>
        </w:rPr>
      </w:pPr>
      <w:r w:rsidRPr="007B62AA">
        <w:t xml:space="preserve">Požadované nové rozpočtové riadky </w:t>
      </w:r>
    </w:p>
    <w:p w14:paraId="152ED5A6" w14:textId="77777777" w:rsidR="00B50935" w:rsidRPr="007B62AA" w:rsidRDefault="00B50935" w:rsidP="00B50935">
      <w:pPr>
        <w:pStyle w:val="Text1"/>
        <w:rPr>
          <w:i/>
          <w:noProof/>
          <w:sz w:val="20"/>
        </w:rPr>
      </w:pPr>
      <w:r w:rsidRPr="007B62AA">
        <w:rPr>
          <w:u w:val="single"/>
        </w:rPr>
        <w:t>V poradí</w:t>
      </w:r>
      <w:r w:rsidRPr="007B62AA">
        <w:t>, v akom za sebou nasledujú okruhy viacročného finančného rámca a rozpočtové riadky.</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B50935" w:rsidRPr="007B62AA" w14:paraId="167A413F" w14:textId="77777777" w:rsidTr="00427764">
        <w:tc>
          <w:tcPr>
            <w:tcW w:w="1080" w:type="dxa"/>
            <w:vMerge w:val="restart"/>
            <w:vAlign w:val="center"/>
          </w:tcPr>
          <w:p w14:paraId="40C702A4" w14:textId="77777777" w:rsidR="00B50935" w:rsidRPr="007B62AA" w:rsidRDefault="00B50935" w:rsidP="007B62AA">
            <w:pPr>
              <w:spacing w:before="60" w:after="60"/>
              <w:ind w:right="-97"/>
              <w:jc w:val="center"/>
              <w:rPr>
                <w:noProof/>
              </w:rPr>
            </w:pPr>
            <w:r w:rsidRPr="007B62AA">
              <w:rPr>
                <w:sz w:val="18"/>
              </w:rPr>
              <w:t>Okruh viacročného finančného rámca</w:t>
            </w:r>
          </w:p>
        </w:tc>
        <w:tc>
          <w:tcPr>
            <w:tcW w:w="3960" w:type="dxa"/>
            <w:vAlign w:val="center"/>
          </w:tcPr>
          <w:p w14:paraId="2DBD3667" w14:textId="77777777" w:rsidR="00B50935" w:rsidRPr="007B62AA" w:rsidRDefault="00B50935" w:rsidP="00427764">
            <w:pPr>
              <w:spacing w:before="60" w:after="60"/>
              <w:jc w:val="center"/>
              <w:rPr>
                <w:noProof/>
              </w:rPr>
            </w:pPr>
            <w:r w:rsidRPr="007B62AA">
              <w:rPr>
                <w:sz w:val="20"/>
              </w:rPr>
              <w:t>Rozpočtový riadok</w:t>
            </w:r>
          </w:p>
        </w:tc>
        <w:tc>
          <w:tcPr>
            <w:tcW w:w="1080" w:type="dxa"/>
            <w:vAlign w:val="center"/>
          </w:tcPr>
          <w:p w14:paraId="4EDCEBAD" w14:textId="77777777" w:rsidR="00B50935" w:rsidRPr="007B62AA" w:rsidRDefault="00B50935" w:rsidP="00427764">
            <w:pPr>
              <w:spacing w:before="60" w:after="60"/>
              <w:jc w:val="center"/>
              <w:rPr>
                <w:noProof/>
              </w:rPr>
            </w:pPr>
            <w:r w:rsidRPr="007B62AA">
              <w:rPr>
                <w:sz w:val="18"/>
              </w:rPr>
              <w:t>Druh</w:t>
            </w:r>
            <w:r w:rsidRPr="007B62AA">
              <w:t xml:space="preserve"> </w:t>
            </w:r>
            <w:r w:rsidRPr="007B62AA">
              <w:br/>
            </w:r>
            <w:r w:rsidRPr="007B62AA">
              <w:rPr>
                <w:sz w:val="18"/>
              </w:rPr>
              <w:t>výdavkov</w:t>
            </w:r>
          </w:p>
        </w:tc>
        <w:tc>
          <w:tcPr>
            <w:tcW w:w="4556" w:type="dxa"/>
            <w:gridSpan w:val="4"/>
            <w:vAlign w:val="center"/>
          </w:tcPr>
          <w:p w14:paraId="0C4A3906" w14:textId="77777777" w:rsidR="00B50935" w:rsidRPr="007B62AA" w:rsidRDefault="00B50935" w:rsidP="00427764">
            <w:pPr>
              <w:spacing w:before="60" w:after="60"/>
              <w:jc w:val="center"/>
              <w:rPr>
                <w:noProof/>
              </w:rPr>
            </w:pPr>
            <w:r w:rsidRPr="007B62AA">
              <w:rPr>
                <w:sz w:val="20"/>
              </w:rPr>
              <w:t xml:space="preserve">Príspevky </w:t>
            </w:r>
          </w:p>
        </w:tc>
      </w:tr>
      <w:tr w:rsidR="00B50935" w:rsidRPr="007B62AA" w14:paraId="69DA3DF8" w14:textId="77777777" w:rsidTr="00427764">
        <w:tc>
          <w:tcPr>
            <w:tcW w:w="1080" w:type="dxa"/>
            <w:vMerge/>
            <w:vAlign w:val="center"/>
          </w:tcPr>
          <w:p w14:paraId="6B25CBDA" w14:textId="77777777" w:rsidR="00B50935" w:rsidRPr="007B62AA" w:rsidRDefault="00B50935" w:rsidP="00427764">
            <w:pPr>
              <w:rPr>
                <w:noProof/>
              </w:rPr>
            </w:pPr>
          </w:p>
        </w:tc>
        <w:tc>
          <w:tcPr>
            <w:tcW w:w="3960" w:type="dxa"/>
            <w:vAlign w:val="center"/>
          </w:tcPr>
          <w:p w14:paraId="240A4C5A" w14:textId="55AB5F67" w:rsidR="00B50935" w:rsidRPr="007B62AA" w:rsidRDefault="00B50935" w:rsidP="00427764">
            <w:r w:rsidRPr="007B62AA">
              <w:rPr>
                <w:sz w:val="20"/>
              </w:rPr>
              <w:t xml:space="preserve">Číslo </w:t>
            </w:r>
            <w:r w:rsidRPr="007B62AA">
              <w:br/>
            </w:r>
          </w:p>
        </w:tc>
        <w:tc>
          <w:tcPr>
            <w:tcW w:w="1080" w:type="dxa"/>
            <w:vAlign w:val="center"/>
          </w:tcPr>
          <w:p w14:paraId="3A1FF0BD" w14:textId="77777777" w:rsidR="00B50935" w:rsidRPr="007B62AA" w:rsidRDefault="00B50935" w:rsidP="00427764">
            <w:pPr>
              <w:jc w:val="center"/>
              <w:rPr>
                <w:noProof/>
              </w:rPr>
            </w:pPr>
            <w:r w:rsidRPr="007B62AA">
              <w:rPr>
                <w:sz w:val="18"/>
              </w:rPr>
              <w:t>DRP/NRP</w:t>
            </w:r>
          </w:p>
        </w:tc>
        <w:tc>
          <w:tcPr>
            <w:tcW w:w="956" w:type="dxa"/>
            <w:vAlign w:val="center"/>
          </w:tcPr>
          <w:p w14:paraId="7663468B" w14:textId="77777777" w:rsidR="00B50935" w:rsidRPr="007B62AA" w:rsidRDefault="00B50935" w:rsidP="00427764">
            <w:pPr>
              <w:jc w:val="center"/>
              <w:rPr>
                <w:noProof/>
                <w:sz w:val="18"/>
              </w:rPr>
            </w:pPr>
            <w:r w:rsidRPr="007B62AA">
              <w:rPr>
                <w:sz w:val="18"/>
              </w:rPr>
              <w:t>krajín EZVO</w:t>
            </w:r>
          </w:p>
        </w:tc>
        <w:tc>
          <w:tcPr>
            <w:tcW w:w="1080" w:type="dxa"/>
            <w:vAlign w:val="center"/>
          </w:tcPr>
          <w:p w14:paraId="59963210" w14:textId="77777777" w:rsidR="00B50935" w:rsidRPr="007B62AA" w:rsidRDefault="00B50935" w:rsidP="00427764">
            <w:pPr>
              <w:jc w:val="center"/>
              <w:rPr>
                <w:noProof/>
                <w:sz w:val="18"/>
              </w:rPr>
            </w:pPr>
            <w:r w:rsidRPr="007B62AA">
              <w:rPr>
                <w:sz w:val="18"/>
              </w:rPr>
              <w:t>kandidátskych krajín</w:t>
            </w:r>
          </w:p>
        </w:tc>
        <w:tc>
          <w:tcPr>
            <w:tcW w:w="956" w:type="dxa"/>
            <w:vAlign w:val="center"/>
          </w:tcPr>
          <w:p w14:paraId="720B7B7B" w14:textId="77777777" w:rsidR="00B50935" w:rsidRPr="007B62AA" w:rsidRDefault="00B50935" w:rsidP="00427764">
            <w:pPr>
              <w:jc w:val="center"/>
              <w:rPr>
                <w:noProof/>
                <w:sz w:val="18"/>
              </w:rPr>
            </w:pPr>
            <w:r w:rsidRPr="007B62AA">
              <w:rPr>
                <w:sz w:val="18"/>
              </w:rPr>
              <w:t>tretích krajín</w:t>
            </w:r>
          </w:p>
        </w:tc>
        <w:tc>
          <w:tcPr>
            <w:tcW w:w="1564" w:type="dxa"/>
            <w:vAlign w:val="center"/>
          </w:tcPr>
          <w:p w14:paraId="3D8D1E90" w14:textId="77777777" w:rsidR="00B50935" w:rsidRPr="007B62AA" w:rsidRDefault="00B50935" w:rsidP="00427764">
            <w:pPr>
              <w:jc w:val="center"/>
              <w:rPr>
                <w:noProof/>
              </w:rPr>
            </w:pPr>
            <w:r w:rsidRPr="007B62AA">
              <w:rPr>
                <w:sz w:val="16"/>
              </w:rPr>
              <w:t xml:space="preserve">v zmysle článku 21 ods. 2 písm. b) nariadenia o rozpočtových pravidlách </w:t>
            </w:r>
          </w:p>
        </w:tc>
      </w:tr>
      <w:tr w:rsidR="00B50935" w:rsidRPr="007B62AA" w14:paraId="71DA376D" w14:textId="77777777" w:rsidTr="00427764">
        <w:tc>
          <w:tcPr>
            <w:tcW w:w="1080" w:type="dxa"/>
            <w:vAlign w:val="center"/>
          </w:tcPr>
          <w:p w14:paraId="7488541E" w14:textId="77777777" w:rsidR="00B50935" w:rsidRPr="007B62AA" w:rsidRDefault="00B50935" w:rsidP="00427764">
            <w:pPr>
              <w:jc w:val="center"/>
              <w:rPr>
                <w:noProof/>
                <w:color w:val="0000FF"/>
              </w:rPr>
            </w:pPr>
          </w:p>
        </w:tc>
        <w:tc>
          <w:tcPr>
            <w:tcW w:w="3960" w:type="dxa"/>
            <w:vAlign w:val="center"/>
          </w:tcPr>
          <w:p w14:paraId="2D0FFADC" w14:textId="77777777" w:rsidR="00B50935" w:rsidRPr="007B62AA" w:rsidRDefault="00B50935" w:rsidP="00427764">
            <w:pPr>
              <w:spacing w:before="60"/>
            </w:pPr>
            <w:r w:rsidRPr="007B62AA">
              <w:t>[XX.YY.YY.YY]</w:t>
            </w:r>
          </w:p>
          <w:p w14:paraId="59179C6B" w14:textId="77777777" w:rsidR="00B50935" w:rsidRPr="007B62AA" w:rsidRDefault="00B50935" w:rsidP="00427764">
            <w:pPr>
              <w:spacing w:after="60"/>
              <w:rPr>
                <w:noProof/>
              </w:rPr>
            </w:pPr>
          </w:p>
        </w:tc>
        <w:tc>
          <w:tcPr>
            <w:tcW w:w="1080" w:type="dxa"/>
            <w:vAlign w:val="center"/>
          </w:tcPr>
          <w:p w14:paraId="79D88E2F" w14:textId="77777777" w:rsidR="00B50935" w:rsidRPr="007B62AA" w:rsidRDefault="00B50935" w:rsidP="00427764">
            <w:pPr>
              <w:jc w:val="center"/>
              <w:rPr>
                <w:noProof/>
                <w:color w:val="0000FF"/>
              </w:rPr>
            </w:pPr>
          </w:p>
        </w:tc>
        <w:tc>
          <w:tcPr>
            <w:tcW w:w="956" w:type="dxa"/>
            <w:vAlign w:val="center"/>
          </w:tcPr>
          <w:p w14:paraId="03D38EB3" w14:textId="7388142C" w:rsidR="00B50935" w:rsidRPr="007B62AA" w:rsidRDefault="00B50935" w:rsidP="00427764">
            <w:pPr>
              <w:jc w:val="center"/>
              <w:rPr>
                <w:sz w:val="20"/>
              </w:rPr>
            </w:pPr>
            <w:r w:rsidRPr="007B62AA">
              <w:rPr>
                <w:sz w:val="20"/>
              </w:rPr>
              <w:t>ÁNO/</w:t>
            </w:r>
            <w:r w:rsidR="007B62AA" w:rsidRPr="007B62AA">
              <w:rPr>
                <w:sz w:val="20"/>
              </w:rPr>
              <w:br/>
            </w:r>
            <w:r w:rsidRPr="007B62AA">
              <w:rPr>
                <w:sz w:val="20"/>
              </w:rPr>
              <w:t>NIE</w:t>
            </w:r>
          </w:p>
        </w:tc>
        <w:tc>
          <w:tcPr>
            <w:tcW w:w="1080" w:type="dxa"/>
            <w:vAlign w:val="center"/>
          </w:tcPr>
          <w:p w14:paraId="6616129C" w14:textId="77777777" w:rsidR="00B50935" w:rsidRPr="007B62AA" w:rsidRDefault="00B50935" w:rsidP="00427764">
            <w:pPr>
              <w:jc w:val="center"/>
              <w:rPr>
                <w:noProof/>
                <w:color w:val="0000FF"/>
                <w:sz w:val="20"/>
              </w:rPr>
            </w:pPr>
            <w:r w:rsidRPr="007B62AA">
              <w:rPr>
                <w:sz w:val="20"/>
              </w:rPr>
              <w:t>ÁNO/NIE</w:t>
            </w:r>
          </w:p>
        </w:tc>
        <w:tc>
          <w:tcPr>
            <w:tcW w:w="956" w:type="dxa"/>
            <w:vAlign w:val="center"/>
          </w:tcPr>
          <w:p w14:paraId="77D4E39A" w14:textId="0E2E4142" w:rsidR="00B50935" w:rsidRPr="007B62AA" w:rsidRDefault="00B50935" w:rsidP="00427764">
            <w:pPr>
              <w:jc w:val="center"/>
              <w:rPr>
                <w:noProof/>
                <w:color w:val="0000FF"/>
                <w:sz w:val="20"/>
              </w:rPr>
            </w:pPr>
            <w:r w:rsidRPr="007B62AA">
              <w:rPr>
                <w:sz w:val="20"/>
              </w:rPr>
              <w:t>ÁNO/</w:t>
            </w:r>
            <w:r w:rsidR="007B62AA" w:rsidRPr="007B62AA">
              <w:rPr>
                <w:sz w:val="20"/>
              </w:rPr>
              <w:br/>
            </w:r>
            <w:r w:rsidRPr="007B62AA">
              <w:rPr>
                <w:sz w:val="20"/>
              </w:rPr>
              <w:t>NIE</w:t>
            </w:r>
          </w:p>
        </w:tc>
        <w:tc>
          <w:tcPr>
            <w:tcW w:w="1564" w:type="dxa"/>
            <w:vAlign w:val="center"/>
          </w:tcPr>
          <w:p w14:paraId="3D2C9198" w14:textId="77777777" w:rsidR="00B50935" w:rsidRPr="007B62AA" w:rsidRDefault="00B50935" w:rsidP="00427764">
            <w:pPr>
              <w:jc w:val="center"/>
              <w:rPr>
                <w:sz w:val="20"/>
              </w:rPr>
            </w:pPr>
            <w:r w:rsidRPr="007B62AA">
              <w:rPr>
                <w:sz w:val="20"/>
              </w:rPr>
              <w:t>ÁNO/NIE</w:t>
            </w:r>
          </w:p>
        </w:tc>
      </w:tr>
    </w:tbl>
    <w:p w14:paraId="5B8D4E2D" w14:textId="77777777" w:rsidR="00B50935" w:rsidRPr="007B62AA" w:rsidRDefault="00B50935" w:rsidP="00B50935">
      <w:pPr>
        <w:rPr>
          <w:noProof/>
        </w:rPr>
        <w:sectPr w:rsidR="00B50935" w:rsidRPr="007B62AA" w:rsidSect="00CA0925">
          <w:pgSz w:w="12240" w:h="15840"/>
          <w:pgMar w:top="794" w:right="907" w:bottom="851" w:left="1361" w:header="510" w:footer="454" w:gutter="0"/>
          <w:cols w:space="720"/>
          <w:docGrid w:linePitch="326"/>
        </w:sectPr>
      </w:pPr>
    </w:p>
    <w:p w14:paraId="56FCFEAB" w14:textId="77777777" w:rsidR="00B50935" w:rsidRPr="007B62AA" w:rsidRDefault="00B50935" w:rsidP="00B50935">
      <w:pPr>
        <w:pStyle w:val="Heading2"/>
        <w:rPr>
          <w:bCs w:val="0"/>
          <w:noProof/>
          <w:szCs w:val="24"/>
        </w:rPr>
      </w:pPr>
      <w:bookmarkStart w:id="68" w:name="_Toc514938685"/>
      <w:bookmarkStart w:id="69" w:name="_Toc58230749"/>
      <w:r w:rsidRPr="007B62AA">
        <w:t>Odhadovaný vplyv na výdavky</w:t>
      </w:r>
      <w:bookmarkEnd w:id="68"/>
      <w:bookmarkEnd w:id="69"/>
      <w:r w:rsidRPr="007B62AA">
        <w:t xml:space="preserve"> </w:t>
      </w:r>
    </w:p>
    <w:p w14:paraId="42C2DCA8" w14:textId="77777777" w:rsidR="00B50935" w:rsidRPr="007B62AA" w:rsidRDefault="00B50935" w:rsidP="00B50935">
      <w:pPr>
        <w:pStyle w:val="Heading3"/>
        <w:rPr>
          <w:bCs w:val="0"/>
          <w:noProof/>
          <w:szCs w:val="24"/>
        </w:rPr>
      </w:pPr>
      <w:bookmarkStart w:id="70" w:name="_Toc514938686"/>
      <w:bookmarkStart w:id="71" w:name="_Toc58230750"/>
      <w:r w:rsidRPr="007B62AA">
        <w:t>Zhrnutie odhadovaného vplyvu na výdavky</w:t>
      </w:r>
      <w:bookmarkEnd w:id="70"/>
      <w:bookmarkEnd w:id="71"/>
      <w:r w:rsidRPr="007B62AA">
        <w:t xml:space="preserve"> </w:t>
      </w:r>
    </w:p>
    <w:p w14:paraId="48980082" w14:textId="77777777" w:rsidR="00B50935" w:rsidRPr="007B62AA" w:rsidRDefault="00B50935" w:rsidP="00B50935">
      <w:pPr>
        <w:jc w:val="right"/>
        <w:rPr>
          <w:noProof/>
          <w:sz w:val="20"/>
        </w:rPr>
      </w:pPr>
      <w:r w:rsidRPr="007B62AA">
        <w:rPr>
          <w:sz w:val="20"/>
        </w:rPr>
        <w:t>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50935" w:rsidRPr="007B62AA" w14:paraId="70D26D10" w14:textId="77777777" w:rsidTr="00427764">
        <w:trPr>
          <w:jc w:val="center"/>
        </w:trPr>
        <w:tc>
          <w:tcPr>
            <w:tcW w:w="4744" w:type="dxa"/>
            <w:shd w:val="thinDiagStripe" w:color="C0C0C0" w:fill="auto"/>
            <w:vAlign w:val="center"/>
          </w:tcPr>
          <w:p w14:paraId="0A584F26" w14:textId="71550EAB" w:rsidR="00B50935" w:rsidRPr="007B62AA" w:rsidRDefault="00191442" w:rsidP="00427764">
            <w:pPr>
              <w:spacing w:before="60" w:after="60"/>
              <w:jc w:val="center"/>
              <w:rPr>
                <w:b/>
                <w:noProof/>
              </w:rPr>
            </w:pPr>
            <w:r>
              <w:rPr>
                <w:b/>
                <w:sz w:val="22"/>
              </w:rPr>
              <w:t>Okruh viacročného finančného</w:t>
            </w:r>
            <w:r w:rsidR="00B50935" w:rsidRPr="007B62AA">
              <w:t xml:space="preserve"> </w:t>
            </w:r>
            <w:r w:rsidR="00B50935" w:rsidRPr="007B62AA">
              <w:br/>
            </w:r>
            <w:r w:rsidR="00B50935" w:rsidRPr="007B62AA">
              <w:rPr>
                <w:b/>
                <w:sz w:val="22"/>
              </w:rPr>
              <w:t xml:space="preserve">rámca </w:t>
            </w:r>
          </w:p>
        </w:tc>
        <w:tc>
          <w:tcPr>
            <w:tcW w:w="1080" w:type="dxa"/>
            <w:vAlign w:val="center"/>
          </w:tcPr>
          <w:p w14:paraId="78E12910" w14:textId="77777777" w:rsidR="00B50935" w:rsidRPr="007B62AA" w:rsidRDefault="00B50935" w:rsidP="00427764">
            <w:pPr>
              <w:spacing w:before="60" w:after="60"/>
              <w:jc w:val="center"/>
            </w:pPr>
            <w:r w:rsidRPr="007B62AA">
              <w:rPr>
                <w:sz w:val="22"/>
              </w:rPr>
              <w:t>Číslo</w:t>
            </w:r>
          </w:p>
        </w:tc>
        <w:tc>
          <w:tcPr>
            <w:tcW w:w="7817" w:type="dxa"/>
            <w:vAlign w:val="center"/>
          </w:tcPr>
          <w:p w14:paraId="70F136DB" w14:textId="77777777" w:rsidR="00B50935" w:rsidRPr="007B62AA" w:rsidRDefault="00B50935" w:rsidP="00427764">
            <w:pPr>
              <w:spacing w:before="60" w:after="60"/>
            </w:pPr>
            <w:r w:rsidRPr="007B62AA">
              <w:t>Okruh 2: Súdržnosť, odolnosť a hodnoty</w:t>
            </w:r>
          </w:p>
        </w:tc>
      </w:tr>
    </w:tbl>
    <w:p w14:paraId="53AEE23E" w14:textId="77777777" w:rsidR="00B50935" w:rsidRPr="007B62AA" w:rsidRDefault="00B50935" w:rsidP="00B50935">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78"/>
        <w:gridCol w:w="1016"/>
        <w:gridCol w:w="868"/>
        <w:gridCol w:w="868"/>
        <w:gridCol w:w="868"/>
        <w:gridCol w:w="868"/>
        <w:gridCol w:w="868"/>
        <w:gridCol w:w="868"/>
        <w:gridCol w:w="868"/>
        <w:gridCol w:w="1777"/>
      </w:tblGrid>
      <w:tr w:rsidR="00B50935" w:rsidRPr="007B62AA" w14:paraId="2B01E12A" w14:textId="77777777" w:rsidTr="007D1A43">
        <w:tc>
          <w:tcPr>
            <w:tcW w:w="3960" w:type="dxa"/>
            <w:vAlign w:val="center"/>
          </w:tcPr>
          <w:p w14:paraId="772A3FDC" w14:textId="77777777" w:rsidR="00B50935" w:rsidRPr="007B62AA" w:rsidRDefault="00B50935" w:rsidP="00427764">
            <w:pPr>
              <w:jc w:val="center"/>
              <w:rPr>
                <w:noProof/>
              </w:rPr>
            </w:pPr>
            <w:r w:rsidRPr="007B62AA">
              <w:rPr>
                <w:sz w:val="22"/>
              </w:rPr>
              <w:t xml:space="preserve">[Subjekt]: </w:t>
            </w:r>
            <w:r w:rsidRPr="007B62AA">
              <w:t>ECDC</w:t>
            </w:r>
          </w:p>
        </w:tc>
        <w:tc>
          <w:tcPr>
            <w:tcW w:w="1078" w:type="dxa"/>
          </w:tcPr>
          <w:p w14:paraId="2AE0C4DF" w14:textId="77777777" w:rsidR="00B50935" w:rsidRPr="007B62AA" w:rsidRDefault="00B50935" w:rsidP="00427764">
            <w:pPr>
              <w:rPr>
                <w:noProof/>
                <w:sz w:val="20"/>
              </w:rPr>
            </w:pPr>
          </w:p>
        </w:tc>
        <w:tc>
          <w:tcPr>
            <w:tcW w:w="1016" w:type="dxa"/>
          </w:tcPr>
          <w:p w14:paraId="0BED72DC" w14:textId="77777777" w:rsidR="00B50935" w:rsidRPr="007B62AA" w:rsidRDefault="00B50935" w:rsidP="00427764">
            <w:pPr>
              <w:jc w:val="center"/>
              <w:rPr>
                <w:noProof/>
                <w:sz w:val="20"/>
              </w:rPr>
            </w:pPr>
          </w:p>
        </w:tc>
        <w:tc>
          <w:tcPr>
            <w:tcW w:w="868" w:type="dxa"/>
            <w:vAlign w:val="center"/>
          </w:tcPr>
          <w:p w14:paraId="2F5C1F37" w14:textId="77777777" w:rsidR="00B50935" w:rsidRPr="007B62AA" w:rsidRDefault="00B50935" w:rsidP="00427764">
            <w:pPr>
              <w:jc w:val="center"/>
              <w:rPr>
                <w:noProof/>
                <w:sz w:val="20"/>
              </w:rPr>
            </w:pPr>
            <w:r w:rsidRPr="007B62AA">
              <w:rPr>
                <w:sz w:val="20"/>
              </w:rPr>
              <w:t>Rok</w:t>
            </w:r>
            <w:r w:rsidRPr="007B62AA">
              <w:t xml:space="preserve"> </w:t>
            </w:r>
            <w:r w:rsidRPr="007B62AA">
              <w:br/>
            </w:r>
            <w:r w:rsidRPr="007B62AA">
              <w:rPr>
                <w:b/>
                <w:sz w:val="20"/>
              </w:rPr>
              <w:t>2021</w:t>
            </w:r>
          </w:p>
        </w:tc>
        <w:tc>
          <w:tcPr>
            <w:tcW w:w="868" w:type="dxa"/>
            <w:vAlign w:val="center"/>
          </w:tcPr>
          <w:p w14:paraId="7C264AC8" w14:textId="77777777" w:rsidR="00B50935" w:rsidRPr="007B62AA" w:rsidRDefault="00B50935" w:rsidP="00427764">
            <w:pPr>
              <w:jc w:val="center"/>
              <w:rPr>
                <w:noProof/>
                <w:sz w:val="20"/>
              </w:rPr>
            </w:pPr>
            <w:r w:rsidRPr="007B62AA">
              <w:rPr>
                <w:sz w:val="20"/>
              </w:rPr>
              <w:t>Rok</w:t>
            </w:r>
            <w:r w:rsidRPr="007B62AA">
              <w:t xml:space="preserve"> </w:t>
            </w:r>
            <w:r w:rsidRPr="007B62AA">
              <w:br/>
            </w:r>
            <w:r w:rsidRPr="007B62AA">
              <w:rPr>
                <w:b/>
                <w:sz w:val="20"/>
              </w:rPr>
              <w:t>2022</w:t>
            </w:r>
          </w:p>
        </w:tc>
        <w:tc>
          <w:tcPr>
            <w:tcW w:w="868" w:type="dxa"/>
            <w:vAlign w:val="center"/>
          </w:tcPr>
          <w:p w14:paraId="640FD7A2" w14:textId="77777777" w:rsidR="00B50935" w:rsidRPr="007B62AA" w:rsidRDefault="00B50935" w:rsidP="00427764">
            <w:pPr>
              <w:jc w:val="center"/>
              <w:rPr>
                <w:noProof/>
                <w:sz w:val="20"/>
              </w:rPr>
            </w:pPr>
            <w:r w:rsidRPr="007B62AA">
              <w:rPr>
                <w:sz w:val="20"/>
              </w:rPr>
              <w:t>Rok</w:t>
            </w:r>
            <w:r w:rsidRPr="007B62AA">
              <w:t xml:space="preserve"> </w:t>
            </w:r>
            <w:r w:rsidRPr="007B62AA">
              <w:br/>
            </w:r>
            <w:r w:rsidRPr="007B62AA">
              <w:rPr>
                <w:b/>
                <w:sz w:val="20"/>
              </w:rPr>
              <w:t>2023</w:t>
            </w:r>
          </w:p>
        </w:tc>
        <w:tc>
          <w:tcPr>
            <w:tcW w:w="868" w:type="dxa"/>
            <w:vAlign w:val="center"/>
          </w:tcPr>
          <w:p w14:paraId="4ED06127" w14:textId="77777777" w:rsidR="00B50935" w:rsidRPr="007B62AA" w:rsidRDefault="00B50935" w:rsidP="00427764">
            <w:pPr>
              <w:jc w:val="center"/>
              <w:rPr>
                <w:noProof/>
                <w:sz w:val="20"/>
              </w:rPr>
            </w:pPr>
            <w:r w:rsidRPr="007B62AA">
              <w:rPr>
                <w:sz w:val="20"/>
              </w:rPr>
              <w:t>Rok</w:t>
            </w:r>
            <w:r w:rsidRPr="007B62AA">
              <w:t xml:space="preserve"> </w:t>
            </w:r>
            <w:r w:rsidRPr="007B62AA">
              <w:br/>
            </w:r>
            <w:r w:rsidRPr="007B62AA">
              <w:rPr>
                <w:b/>
                <w:sz w:val="20"/>
              </w:rPr>
              <w:t>2024</w:t>
            </w:r>
          </w:p>
        </w:tc>
        <w:tc>
          <w:tcPr>
            <w:tcW w:w="868" w:type="dxa"/>
            <w:vAlign w:val="center"/>
          </w:tcPr>
          <w:p w14:paraId="2B2C0650" w14:textId="77777777" w:rsidR="00B50935" w:rsidRPr="007B62AA" w:rsidRDefault="00B50935" w:rsidP="00427764">
            <w:pPr>
              <w:jc w:val="center"/>
              <w:rPr>
                <w:b/>
                <w:noProof/>
                <w:sz w:val="18"/>
              </w:rPr>
            </w:pPr>
            <w:r w:rsidRPr="007B62AA">
              <w:rPr>
                <w:sz w:val="20"/>
              </w:rPr>
              <w:t>Rok</w:t>
            </w:r>
            <w:r w:rsidRPr="007B62AA">
              <w:t xml:space="preserve"> </w:t>
            </w:r>
            <w:r w:rsidRPr="007B62AA">
              <w:br/>
            </w:r>
            <w:r w:rsidRPr="007B62AA">
              <w:rPr>
                <w:b/>
                <w:sz w:val="20"/>
              </w:rPr>
              <w:t>2025</w:t>
            </w:r>
          </w:p>
        </w:tc>
        <w:tc>
          <w:tcPr>
            <w:tcW w:w="868" w:type="dxa"/>
            <w:vAlign w:val="center"/>
          </w:tcPr>
          <w:p w14:paraId="52FAE92D" w14:textId="77777777" w:rsidR="00B50935" w:rsidRPr="007B62AA" w:rsidRDefault="00B50935" w:rsidP="00427764">
            <w:pPr>
              <w:rPr>
                <w:noProof/>
                <w:sz w:val="20"/>
              </w:rPr>
            </w:pPr>
            <w:r w:rsidRPr="007B62AA">
              <w:rPr>
                <w:sz w:val="20"/>
              </w:rPr>
              <w:t>Rok</w:t>
            </w:r>
            <w:r w:rsidRPr="007B62AA">
              <w:t xml:space="preserve"> </w:t>
            </w:r>
            <w:r w:rsidRPr="007B62AA">
              <w:br/>
            </w:r>
            <w:r w:rsidRPr="007B62AA">
              <w:rPr>
                <w:b/>
                <w:sz w:val="20"/>
              </w:rPr>
              <w:t>2026</w:t>
            </w:r>
          </w:p>
        </w:tc>
        <w:tc>
          <w:tcPr>
            <w:tcW w:w="868" w:type="dxa"/>
            <w:vAlign w:val="center"/>
          </w:tcPr>
          <w:p w14:paraId="7ED05370" w14:textId="77777777" w:rsidR="00B50935" w:rsidRPr="007B62AA" w:rsidRDefault="00B50935" w:rsidP="00427764">
            <w:pPr>
              <w:jc w:val="center"/>
              <w:rPr>
                <w:b/>
                <w:noProof/>
                <w:sz w:val="18"/>
              </w:rPr>
            </w:pPr>
            <w:r w:rsidRPr="007B62AA">
              <w:rPr>
                <w:sz w:val="20"/>
              </w:rPr>
              <w:t>Rok</w:t>
            </w:r>
            <w:r w:rsidRPr="007B62AA">
              <w:t xml:space="preserve"> </w:t>
            </w:r>
            <w:r w:rsidRPr="007B62AA">
              <w:br/>
            </w:r>
            <w:r w:rsidRPr="007B62AA">
              <w:rPr>
                <w:b/>
                <w:sz w:val="20"/>
              </w:rPr>
              <w:t>2027</w:t>
            </w:r>
            <w:r w:rsidRPr="007B62AA">
              <w:rPr>
                <w:sz w:val="20"/>
              </w:rPr>
              <w:t xml:space="preserve"> a nasl.</w:t>
            </w:r>
          </w:p>
        </w:tc>
        <w:tc>
          <w:tcPr>
            <w:tcW w:w="1777" w:type="dxa"/>
            <w:vAlign w:val="center"/>
          </w:tcPr>
          <w:p w14:paraId="191DE5B4" w14:textId="77777777" w:rsidR="00B50935" w:rsidRPr="007B62AA" w:rsidRDefault="00B50935" w:rsidP="00427764">
            <w:pPr>
              <w:jc w:val="center"/>
              <w:rPr>
                <w:b/>
                <w:noProof/>
                <w:sz w:val="20"/>
              </w:rPr>
            </w:pPr>
            <w:r w:rsidRPr="007B62AA">
              <w:rPr>
                <w:b/>
                <w:sz w:val="20"/>
              </w:rPr>
              <w:t>SPOLU</w:t>
            </w:r>
          </w:p>
        </w:tc>
      </w:tr>
      <w:tr w:rsidR="00B50935" w:rsidRPr="007B62AA" w14:paraId="48A16C43" w14:textId="77777777" w:rsidTr="007D1A43">
        <w:trPr>
          <w:trHeight w:val="277"/>
        </w:trPr>
        <w:tc>
          <w:tcPr>
            <w:tcW w:w="3960" w:type="dxa"/>
            <w:vMerge w:val="restart"/>
            <w:vAlign w:val="center"/>
          </w:tcPr>
          <w:p w14:paraId="0227D9A2" w14:textId="77777777" w:rsidR="00B50935" w:rsidRPr="007B62AA" w:rsidRDefault="00B50935" w:rsidP="00427764">
            <w:r w:rsidRPr="007B62AA">
              <w:rPr>
                <w:sz w:val="20"/>
              </w:rPr>
              <w:t>Hlava 1</w:t>
            </w:r>
          </w:p>
        </w:tc>
        <w:tc>
          <w:tcPr>
            <w:tcW w:w="1078" w:type="dxa"/>
            <w:vAlign w:val="center"/>
          </w:tcPr>
          <w:p w14:paraId="4DD4D95E" w14:textId="77777777" w:rsidR="00B50935" w:rsidRPr="007B62AA" w:rsidRDefault="00B50935" w:rsidP="00427764">
            <w:pPr>
              <w:spacing w:before="20" w:after="20"/>
              <w:rPr>
                <w:noProof/>
              </w:rPr>
            </w:pPr>
            <w:r w:rsidRPr="007B62AA">
              <w:rPr>
                <w:sz w:val="18"/>
              </w:rPr>
              <w:t>Záväzky</w:t>
            </w:r>
          </w:p>
        </w:tc>
        <w:tc>
          <w:tcPr>
            <w:tcW w:w="1016" w:type="dxa"/>
            <w:vAlign w:val="center"/>
          </w:tcPr>
          <w:p w14:paraId="79A3C9DB" w14:textId="77777777" w:rsidR="00B50935" w:rsidRPr="007B62AA" w:rsidRDefault="00B50935" w:rsidP="00427764">
            <w:pPr>
              <w:spacing w:before="20" w:after="20"/>
              <w:jc w:val="center"/>
              <w:rPr>
                <w:noProof/>
                <w:sz w:val="14"/>
              </w:rPr>
            </w:pPr>
            <w:r w:rsidRPr="007B62AA">
              <w:rPr>
                <w:sz w:val="14"/>
              </w:rPr>
              <w:t>(1)</w:t>
            </w:r>
          </w:p>
        </w:tc>
        <w:tc>
          <w:tcPr>
            <w:tcW w:w="868" w:type="dxa"/>
          </w:tcPr>
          <w:p w14:paraId="1B83DE2E" w14:textId="77777777" w:rsidR="00B50935" w:rsidRPr="007B62AA" w:rsidRDefault="00B50935" w:rsidP="00427764">
            <w:pPr>
              <w:spacing w:before="20" w:after="20"/>
              <w:jc w:val="right"/>
              <w:rPr>
                <w:noProof/>
                <w:sz w:val="20"/>
              </w:rPr>
            </w:pPr>
            <w:r w:rsidRPr="007B62AA">
              <w:rPr>
                <w:sz w:val="20"/>
              </w:rPr>
              <w:t>2,965</w:t>
            </w:r>
          </w:p>
        </w:tc>
        <w:tc>
          <w:tcPr>
            <w:tcW w:w="868" w:type="dxa"/>
          </w:tcPr>
          <w:p w14:paraId="2CEF5BDC" w14:textId="77777777" w:rsidR="00B50935" w:rsidRPr="007B62AA" w:rsidRDefault="00B50935" w:rsidP="00427764">
            <w:pPr>
              <w:spacing w:before="20" w:after="20"/>
              <w:jc w:val="right"/>
              <w:rPr>
                <w:noProof/>
                <w:sz w:val="20"/>
              </w:rPr>
            </w:pPr>
            <w:r w:rsidRPr="007B62AA">
              <w:rPr>
                <w:sz w:val="20"/>
              </w:rPr>
              <w:t>5,475</w:t>
            </w:r>
          </w:p>
        </w:tc>
        <w:tc>
          <w:tcPr>
            <w:tcW w:w="868" w:type="dxa"/>
          </w:tcPr>
          <w:p w14:paraId="75A3D5E5" w14:textId="77777777" w:rsidR="00B50935" w:rsidRPr="007B62AA" w:rsidRDefault="00B50935" w:rsidP="00427764">
            <w:pPr>
              <w:spacing w:before="20" w:after="20"/>
              <w:jc w:val="right"/>
              <w:rPr>
                <w:noProof/>
                <w:sz w:val="20"/>
              </w:rPr>
            </w:pPr>
            <w:r w:rsidRPr="007B62AA">
              <w:rPr>
                <w:sz w:val="20"/>
              </w:rPr>
              <w:t>6,680</w:t>
            </w:r>
          </w:p>
        </w:tc>
        <w:tc>
          <w:tcPr>
            <w:tcW w:w="868" w:type="dxa"/>
          </w:tcPr>
          <w:p w14:paraId="29519D44" w14:textId="77777777" w:rsidR="00B50935" w:rsidRPr="007B62AA" w:rsidRDefault="00B50935" w:rsidP="00427764">
            <w:pPr>
              <w:spacing w:before="20" w:after="20"/>
              <w:jc w:val="right"/>
              <w:rPr>
                <w:noProof/>
                <w:sz w:val="20"/>
              </w:rPr>
            </w:pPr>
            <w:r w:rsidRPr="007B62AA">
              <w:rPr>
                <w:sz w:val="20"/>
              </w:rPr>
              <w:t>7,165</w:t>
            </w:r>
          </w:p>
        </w:tc>
        <w:tc>
          <w:tcPr>
            <w:tcW w:w="868" w:type="dxa"/>
          </w:tcPr>
          <w:p w14:paraId="3B0B02E9" w14:textId="77777777" w:rsidR="00B50935" w:rsidRPr="007B62AA" w:rsidRDefault="00B50935" w:rsidP="00427764">
            <w:pPr>
              <w:spacing w:before="20" w:after="20"/>
              <w:jc w:val="right"/>
              <w:rPr>
                <w:noProof/>
                <w:sz w:val="20"/>
              </w:rPr>
            </w:pPr>
            <w:r w:rsidRPr="007B62AA">
              <w:rPr>
                <w:sz w:val="20"/>
              </w:rPr>
              <w:t>7,165</w:t>
            </w:r>
          </w:p>
        </w:tc>
        <w:tc>
          <w:tcPr>
            <w:tcW w:w="868" w:type="dxa"/>
          </w:tcPr>
          <w:p w14:paraId="307B69E1" w14:textId="77777777" w:rsidR="00B50935" w:rsidRPr="007B62AA" w:rsidRDefault="00B50935" w:rsidP="00427764">
            <w:pPr>
              <w:spacing w:before="20" w:after="20"/>
              <w:jc w:val="right"/>
              <w:rPr>
                <w:noProof/>
                <w:sz w:val="20"/>
              </w:rPr>
            </w:pPr>
            <w:r w:rsidRPr="007B62AA">
              <w:rPr>
                <w:sz w:val="20"/>
              </w:rPr>
              <w:t>7,165</w:t>
            </w:r>
          </w:p>
        </w:tc>
        <w:tc>
          <w:tcPr>
            <w:tcW w:w="868" w:type="dxa"/>
          </w:tcPr>
          <w:p w14:paraId="0999B049" w14:textId="77777777" w:rsidR="00B50935" w:rsidRPr="007B62AA" w:rsidRDefault="00B50935" w:rsidP="00427764">
            <w:pPr>
              <w:spacing w:before="20" w:after="20"/>
              <w:jc w:val="right"/>
              <w:rPr>
                <w:b/>
                <w:noProof/>
                <w:sz w:val="20"/>
              </w:rPr>
            </w:pPr>
            <w:r w:rsidRPr="007B62AA">
              <w:rPr>
                <w:sz w:val="20"/>
              </w:rPr>
              <w:t>7,165</w:t>
            </w:r>
          </w:p>
        </w:tc>
        <w:tc>
          <w:tcPr>
            <w:tcW w:w="1777" w:type="dxa"/>
            <w:vAlign w:val="center"/>
          </w:tcPr>
          <w:p w14:paraId="680CA84C" w14:textId="77777777" w:rsidR="00B50935" w:rsidRPr="007B62AA" w:rsidRDefault="00B50935" w:rsidP="00427764">
            <w:pPr>
              <w:spacing w:before="20" w:after="20"/>
              <w:jc w:val="right"/>
              <w:rPr>
                <w:b/>
                <w:noProof/>
                <w:sz w:val="20"/>
              </w:rPr>
            </w:pPr>
            <w:r w:rsidRPr="007B62AA">
              <w:rPr>
                <w:b/>
                <w:sz w:val="20"/>
              </w:rPr>
              <w:t>43,780</w:t>
            </w:r>
          </w:p>
        </w:tc>
      </w:tr>
      <w:tr w:rsidR="00B50935" w:rsidRPr="007B62AA" w14:paraId="01600D7E" w14:textId="77777777" w:rsidTr="007D1A43">
        <w:tc>
          <w:tcPr>
            <w:tcW w:w="3960" w:type="dxa"/>
            <w:vMerge/>
            <w:vAlign w:val="center"/>
          </w:tcPr>
          <w:p w14:paraId="73C31B75" w14:textId="77777777" w:rsidR="00B50935" w:rsidRPr="007B62AA" w:rsidRDefault="00B50935" w:rsidP="00427764"/>
        </w:tc>
        <w:tc>
          <w:tcPr>
            <w:tcW w:w="1078" w:type="dxa"/>
            <w:vAlign w:val="center"/>
          </w:tcPr>
          <w:p w14:paraId="1F013E88" w14:textId="77777777" w:rsidR="00B50935" w:rsidRPr="007B62AA" w:rsidRDefault="00B50935" w:rsidP="00427764">
            <w:pPr>
              <w:spacing w:before="20" w:after="20"/>
              <w:rPr>
                <w:noProof/>
                <w:sz w:val="18"/>
              </w:rPr>
            </w:pPr>
            <w:r w:rsidRPr="007B62AA">
              <w:rPr>
                <w:sz w:val="18"/>
              </w:rPr>
              <w:t>Platby</w:t>
            </w:r>
          </w:p>
        </w:tc>
        <w:tc>
          <w:tcPr>
            <w:tcW w:w="1016" w:type="dxa"/>
            <w:vAlign w:val="center"/>
          </w:tcPr>
          <w:p w14:paraId="0DC8B7F5" w14:textId="77777777" w:rsidR="00B50935" w:rsidRPr="007B62AA" w:rsidRDefault="00B50935" w:rsidP="00427764">
            <w:pPr>
              <w:spacing w:before="20" w:after="20"/>
              <w:jc w:val="center"/>
              <w:rPr>
                <w:noProof/>
                <w:sz w:val="14"/>
              </w:rPr>
            </w:pPr>
            <w:r w:rsidRPr="007B62AA">
              <w:rPr>
                <w:sz w:val="14"/>
              </w:rPr>
              <w:t>(2)</w:t>
            </w:r>
          </w:p>
        </w:tc>
        <w:tc>
          <w:tcPr>
            <w:tcW w:w="868" w:type="dxa"/>
          </w:tcPr>
          <w:p w14:paraId="6845EF98" w14:textId="77777777" w:rsidR="00B50935" w:rsidRPr="007B62AA" w:rsidRDefault="00B50935" w:rsidP="00427764">
            <w:pPr>
              <w:spacing w:before="20" w:after="20"/>
              <w:jc w:val="right"/>
              <w:rPr>
                <w:noProof/>
                <w:sz w:val="20"/>
              </w:rPr>
            </w:pPr>
            <w:r w:rsidRPr="007B62AA">
              <w:rPr>
                <w:sz w:val="20"/>
              </w:rPr>
              <w:t>2,965</w:t>
            </w:r>
          </w:p>
        </w:tc>
        <w:tc>
          <w:tcPr>
            <w:tcW w:w="868" w:type="dxa"/>
          </w:tcPr>
          <w:p w14:paraId="5E057FE5" w14:textId="77777777" w:rsidR="00B50935" w:rsidRPr="007B62AA" w:rsidRDefault="00B50935" w:rsidP="00427764">
            <w:pPr>
              <w:spacing w:before="20" w:after="20"/>
              <w:jc w:val="right"/>
              <w:rPr>
                <w:noProof/>
                <w:sz w:val="20"/>
              </w:rPr>
            </w:pPr>
            <w:r w:rsidRPr="007B62AA">
              <w:rPr>
                <w:sz w:val="20"/>
              </w:rPr>
              <w:t>5,475</w:t>
            </w:r>
          </w:p>
        </w:tc>
        <w:tc>
          <w:tcPr>
            <w:tcW w:w="868" w:type="dxa"/>
          </w:tcPr>
          <w:p w14:paraId="140860B1" w14:textId="77777777" w:rsidR="00B50935" w:rsidRPr="007B62AA" w:rsidRDefault="00B50935" w:rsidP="00427764">
            <w:pPr>
              <w:spacing w:before="20" w:after="20"/>
              <w:jc w:val="right"/>
              <w:rPr>
                <w:noProof/>
                <w:sz w:val="20"/>
              </w:rPr>
            </w:pPr>
            <w:r w:rsidRPr="007B62AA">
              <w:rPr>
                <w:sz w:val="20"/>
              </w:rPr>
              <w:t>6,680</w:t>
            </w:r>
          </w:p>
        </w:tc>
        <w:tc>
          <w:tcPr>
            <w:tcW w:w="868" w:type="dxa"/>
          </w:tcPr>
          <w:p w14:paraId="20721A61" w14:textId="77777777" w:rsidR="00B50935" w:rsidRPr="007B62AA" w:rsidRDefault="00B50935" w:rsidP="00427764">
            <w:pPr>
              <w:spacing w:before="20" w:after="20"/>
              <w:jc w:val="right"/>
              <w:rPr>
                <w:noProof/>
                <w:sz w:val="20"/>
              </w:rPr>
            </w:pPr>
            <w:r w:rsidRPr="007B62AA">
              <w:rPr>
                <w:sz w:val="20"/>
              </w:rPr>
              <w:t>7,165</w:t>
            </w:r>
          </w:p>
        </w:tc>
        <w:tc>
          <w:tcPr>
            <w:tcW w:w="868" w:type="dxa"/>
          </w:tcPr>
          <w:p w14:paraId="546AB7EE" w14:textId="77777777" w:rsidR="00B50935" w:rsidRPr="007B62AA" w:rsidRDefault="00B50935" w:rsidP="00427764">
            <w:pPr>
              <w:spacing w:before="20" w:after="20"/>
              <w:jc w:val="right"/>
              <w:rPr>
                <w:noProof/>
                <w:sz w:val="20"/>
              </w:rPr>
            </w:pPr>
            <w:r w:rsidRPr="007B62AA">
              <w:rPr>
                <w:sz w:val="20"/>
              </w:rPr>
              <w:t>7,165</w:t>
            </w:r>
          </w:p>
        </w:tc>
        <w:tc>
          <w:tcPr>
            <w:tcW w:w="868" w:type="dxa"/>
          </w:tcPr>
          <w:p w14:paraId="1D1F043F" w14:textId="77777777" w:rsidR="00B50935" w:rsidRPr="007B62AA" w:rsidRDefault="00B50935" w:rsidP="00427764">
            <w:pPr>
              <w:spacing w:before="20" w:after="20"/>
              <w:jc w:val="right"/>
              <w:rPr>
                <w:noProof/>
                <w:sz w:val="20"/>
              </w:rPr>
            </w:pPr>
            <w:r w:rsidRPr="007B62AA">
              <w:rPr>
                <w:sz w:val="20"/>
              </w:rPr>
              <w:t>7,165</w:t>
            </w:r>
          </w:p>
        </w:tc>
        <w:tc>
          <w:tcPr>
            <w:tcW w:w="868" w:type="dxa"/>
          </w:tcPr>
          <w:p w14:paraId="49F2B61C" w14:textId="77777777" w:rsidR="00B50935" w:rsidRPr="007B62AA" w:rsidRDefault="00B50935" w:rsidP="00427764">
            <w:pPr>
              <w:spacing w:before="20" w:after="20"/>
              <w:jc w:val="right"/>
              <w:rPr>
                <w:b/>
                <w:noProof/>
                <w:sz w:val="20"/>
              </w:rPr>
            </w:pPr>
            <w:r w:rsidRPr="007B62AA">
              <w:rPr>
                <w:sz w:val="20"/>
              </w:rPr>
              <w:t>7,165</w:t>
            </w:r>
          </w:p>
        </w:tc>
        <w:tc>
          <w:tcPr>
            <w:tcW w:w="1777" w:type="dxa"/>
            <w:vAlign w:val="center"/>
          </w:tcPr>
          <w:p w14:paraId="7F41261C" w14:textId="77777777" w:rsidR="00B50935" w:rsidRPr="007B62AA" w:rsidRDefault="00B50935" w:rsidP="00427764">
            <w:pPr>
              <w:spacing w:before="20" w:after="20"/>
              <w:jc w:val="right"/>
              <w:rPr>
                <w:b/>
                <w:noProof/>
                <w:sz w:val="20"/>
              </w:rPr>
            </w:pPr>
            <w:r w:rsidRPr="007B62AA">
              <w:rPr>
                <w:b/>
                <w:sz w:val="20"/>
              </w:rPr>
              <w:t>43,780</w:t>
            </w:r>
          </w:p>
        </w:tc>
      </w:tr>
      <w:tr w:rsidR="00B50935" w:rsidRPr="007B62AA" w14:paraId="41557ACF" w14:textId="77777777" w:rsidTr="007D1A43">
        <w:tc>
          <w:tcPr>
            <w:tcW w:w="3960" w:type="dxa"/>
            <w:vMerge w:val="restart"/>
            <w:vAlign w:val="center"/>
          </w:tcPr>
          <w:p w14:paraId="5CF23E10" w14:textId="77777777" w:rsidR="00B50935" w:rsidRPr="007B62AA" w:rsidRDefault="00B50935" w:rsidP="00427764">
            <w:r w:rsidRPr="007B62AA">
              <w:rPr>
                <w:sz w:val="20"/>
              </w:rPr>
              <w:t>Hlava 2</w:t>
            </w:r>
          </w:p>
        </w:tc>
        <w:tc>
          <w:tcPr>
            <w:tcW w:w="1078" w:type="dxa"/>
            <w:vAlign w:val="center"/>
          </w:tcPr>
          <w:p w14:paraId="5443DADB" w14:textId="77777777" w:rsidR="00B50935" w:rsidRPr="007B62AA" w:rsidRDefault="00B50935" w:rsidP="00427764">
            <w:pPr>
              <w:spacing w:before="20" w:after="20"/>
              <w:rPr>
                <w:noProof/>
                <w:sz w:val="18"/>
              </w:rPr>
            </w:pPr>
            <w:r w:rsidRPr="007B62AA">
              <w:rPr>
                <w:sz w:val="18"/>
              </w:rPr>
              <w:t>Záväzky</w:t>
            </w:r>
          </w:p>
        </w:tc>
        <w:tc>
          <w:tcPr>
            <w:tcW w:w="1016" w:type="dxa"/>
            <w:vAlign w:val="center"/>
          </w:tcPr>
          <w:p w14:paraId="4A2FF034" w14:textId="77777777" w:rsidR="00B50935" w:rsidRPr="007B62AA" w:rsidRDefault="00B50935" w:rsidP="00427764">
            <w:pPr>
              <w:spacing w:before="20" w:after="20"/>
              <w:jc w:val="center"/>
              <w:rPr>
                <w:noProof/>
                <w:sz w:val="14"/>
              </w:rPr>
            </w:pPr>
            <w:r w:rsidRPr="007B62AA">
              <w:rPr>
                <w:sz w:val="14"/>
              </w:rPr>
              <w:t>(1a)</w:t>
            </w:r>
          </w:p>
        </w:tc>
        <w:tc>
          <w:tcPr>
            <w:tcW w:w="868" w:type="dxa"/>
          </w:tcPr>
          <w:p w14:paraId="2C1EE344" w14:textId="77777777" w:rsidR="00B50935" w:rsidRPr="007B62AA" w:rsidRDefault="00B50935" w:rsidP="00427764">
            <w:pPr>
              <w:spacing w:before="20" w:after="20"/>
              <w:jc w:val="right"/>
              <w:rPr>
                <w:noProof/>
                <w:sz w:val="20"/>
              </w:rPr>
            </w:pPr>
            <w:r w:rsidRPr="007B62AA">
              <w:rPr>
                <w:sz w:val="20"/>
              </w:rPr>
              <w:t>0,775</w:t>
            </w:r>
          </w:p>
        </w:tc>
        <w:tc>
          <w:tcPr>
            <w:tcW w:w="868" w:type="dxa"/>
          </w:tcPr>
          <w:p w14:paraId="38018284" w14:textId="77777777" w:rsidR="00B50935" w:rsidRPr="007B62AA" w:rsidRDefault="00B50935" w:rsidP="00427764">
            <w:pPr>
              <w:spacing w:before="20" w:after="20"/>
              <w:jc w:val="right"/>
              <w:rPr>
                <w:noProof/>
                <w:sz w:val="20"/>
              </w:rPr>
            </w:pPr>
            <w:r w:rsidRPr="007B62AA">
              <w:rPr>
                <w:sz w:val="20"/>
              </w:rPr>
              <w:t>1,375</w:t>
            </w:r>
          </w:p>
        </w:tc>
        <w:tc>
          <w:tcPr>
            <w:tcW w:w="868" w:type="dxa"/>
          </w:tcPr>
          <w:p w14:paraId="2CF8E17D" w14:textId="77777777" w:rsidR="00B50935" w:rsidRPr="007B62AA" w:rsidRDefault="00B50935" w:rsidP="00427764">
            <w:pPr>
              <w:spacing w:before="20" w:after="20"/>
              <w:jc w:val="right"/>
              <w:rPr>
                <w:noProof/>
                <w:sz w:val="20"/>
              </w:rPr>
            </w:pPr>
            <w:r w:rsidRPr="007B62AA">
              <w:rPr>
                <w:sz w:val="20"/>
              </w:rPr>
              <w:t>1,700</w:t>
            </w:r>
          </w:p>
        </w:tc>
        <w:tc>
          <w:tcPr>
            <w:tcW w:w="868" w:type="dxa"/>
          </w:tcPr>
          <w:p w14:paraId="62EF4296" w14:textId="77777777" w:rsidR="00B50935" w:rsidRPr="007B62AA" w:rsidRDefault="00B50935" w:rsidP="00427764">
            <w:pPr>
              <w:spacing w:before="20" w:after="20"/>
              <w:jc w:val="right"/>
              <w:rPr>
                <w:noProof/>
                <w:sz w:val="20"/>
              </w:rPr>
            </w:pPr>
            <w:r w:rsidRPr="007B62AA">
              <w:rPr>
                <w:sz w:val="20"/>
              </w:rPr>
              <w:t>1,825</w:t>
            </w:r>
          </w:p>
        </w:tc>
        <w:tc>
          <w:tcPr>
            <w:tcW w:w="868" w:type="dxa"/>
          </w:tcPr>
          <w:p w14:paraId="0FDA6DF4" w14:textId="77777777" w:rsidR="00B50935" w:rsidRPr="007B62AA" w:rsidRDefault="00B50935" w:rsidP="00427764">
            <w:pPr>
              <w:spacing w:before="20" w:after="20"/>
              <w:jc w:val="right"/>
              <w:rPr>
                <w:noProof/>
                <w:sz w:val="20"/>
              </w:rPr>
            </w:pPr>
            <w:r w:rsidRPr="007B62AA">
              <w:rPr>
                <w:sz w:val="20"/>
              </w:rPr>
              <w:t>1,825</w:t>
            </w:r>
          </w:p>
        </w:tc>
        <w:tc>
          <w:tcPr>
            <w:tcW w:w="868" w:type="dxa"/>
          </w:tcPr>
          <w:p w14:paraId="49B8EDFA" w14:textId="77777777" w:rsidR="00B50935" w:rsidRPr="007B62AA" w:rsidRDefault="00B50935" w:rsidP="00427764">
            <w:pPr>
              <w:spacing w:before="20" w:after="20"/>
              <w:jc w:val="right"/>
              <w:rPr>
                <w:noProof/>
                <w:sz w:val="20"/>
              </w:rPr>
            </w:pPr>
            <w:r w:rsidRPr="007B62AA">
              <w:rPr>
                <w:sz w:val="20"/>
              </w:rPr>
              <w:t>1,825</w:t>
            </w:r>
          </w:p>
        </w:tc>
        <w:tc>
          <w:tcPr>
            <w:tcW w:w="868" w:type="dxa"/>
          </w:tcPr>
          <w:p w14:paraId="568E5C79" w14:textId="77777777" w:rsidR="00B50935" w:rsidRPr="007B62AA" w:rsidRDefault="00B50935" w:rsidP="00427764">
            <w:pPr>
              <w:spacing w:before="20" w:after="20"/>
              <w:jc w:val="right"/>
              <w:rPr>
                <w:b/>
                <w:noProof/>
                <w:sz w:val="20"/>
              </w:rPr>
            </w:pPr>
            <w:r w:rsidRPr="007B62AA">
              <w:rPr>
                <w:sz w:val="20"/>
              </w:rPr>
              <w:t>1,825</w:t>
            </w:r>
          </w:p>
        </w:tc>
        <w:tc>
          <w:tcPr>
            <w:tcW w:w="1777" w:type="dxa"/>
            <w:vAlign w:val="center"/>
          </w:tcPr>
          <w:p w14:paraId="2E7E60D4" w14:textId="77777777" w:rsidR="00B50935" w:rsidRPr="007B62AA" w:rsidRDefault="00B50935" w:rsidP="00427764">
            <w:pPr>
              <w:spacing w:before="20" w:after="20"/>
              <w:jc w:val="right"/>
              <w:rPr>
                <w:b/>
                <w:noProof/>
                <w:sz w:val="20"/>
              </w:rPr>
            </w:pPr>
            <w:r w:rsidRPr="007B62AA">
              <w:rPr>
                <w:b/>
                <w:sz w:val="20"/>
              </w:rPr>
              <w:t>11,150</w:t>
            </w:r>
          </w:p>
        </w:tc>
      </w:tr>
      <w:tr w:rsidR="00B50935" w:rsidRPr="007B62AA" w14:paraId="330E780C" w14:textId="77777777" w:rsidTr="007D1A43">
        <w:tc>
          <w:tcPr>
            <w:tcW w:w="3960" w:type="dxa"/>
            <w:vMerge/>
            <w:vAlign w:val="center"/>
          </w:tcPr>
          <w:p w14:paraId="07553038" w14:textId="77777777" w:rsidR="00B50935" w:rsidRPr="007B62AA" w:rsidRDefault="00B50935" w:rsidP="00427764"/>
        </w:tc>
        <w:tc>
          <w:tcPr>
            <w:tcW w:w="1078" w:type="dxa"/>
            <w:vAlign w:val="center"/>
          </w:tcPr>
          <w:p w14:paraId="6A277FBA" w14:textId="77777777" w:rsidR="00B50935" w:rsidRPr="007B62AA" w:rsidRDefault="00B50935" w:rsidP="00427764">
            <w:pPr>
              <w:spacing w:before="20" w:after="20"/>
              <w:rPr>
                <w:noProof/>
                <w:sz w:val="18"/>
              </w:rPr>
            </w:pPr>
            <w:r w:rsidRPr="007B62AA">
              <w:rPr>
                <w:sz w:val="18"/>
              </w:rPr>
              <w:t>Platby</w:t>
            </w:r>
          </w:p>
        </w:tc>
        <w:tc>
          <w:tcPr>
            <w:tcW w:w="1016" w:type="dxa"/>
            <w:vAlign w:val="center"/>
          </w:tcPr>
          <w:p w14:paraId="085BE2EF" w14:textId="77777777" w:rsidR="00B50935" w:rsidRPr="007B62AA" w:rsidRDefault="00B50935" w:rsidP="00427764">
            <w:pPr>
              <w:spacing w:before="20" w:after="20"/>
              <w:jc w:val="center"/>
              <w:rPr>
                <w:noProof/>
                <w:sz w:val="14"/>
              </w:rPr>
            </w:pPr>
            <w:r w:rsidRPr="007B62AA">
              <w:rPr>
                <w:sz w:val="14"/>
              </w:rPr>
              <w:t>(2a)</w:t>
            </w:r>
          </w:p>
        </w:tc>
        <w:tc>
          <w:tcPr>
            <w:tcW w:w="868" w:type="dxa"/>
          </w:tcPr>
          <w:p w14:paraId="481D8E91" w14:textId="77777777" w:rsidR="00B50935" w:rsidRPr="007B62AA" w:rsidRDefault="00B50935" w:rsidP="00427764">
            <w:pPr>
              <w:spacing w:before="20" w:after="20"/>
              <w:jc w:val="right"/>
              <w:rPr>
                <w:sz w:val="20"/>
              </w:rPr>
            </w:pPr>
            <w:r w:rsidRPr="007B62AA">
              <w:rPr>
                <w:sz w:val="20"/>
              </w:rPr>
              <w:t>0,775</w:t>
            </w:r>
          </w:p>
        </w:tc>
        <w:tc>
          <w:tcPr>
            <w:tcW w:w="868" w:type="dxa"/>
          </w:tcPr>
          <w:p w14:paraId="30F31CCE" w14:textId="77777777" w:rsidR="00B50935" w:rsidRPr="007B62AA" w:rsidRDefault="00B50935" w:rsidP="00427764">
            <w:pPr>
              <w:spacing w:before="20" w:after="20"/>
              <w:jc w:val="right"/>
              <w:rPr>
                <w:noProof/>
                <w:sz w:val="20"/>
              </w:rPr>
            </w:pPr>
            <w:r w:rsidRPr="007B62AA">
              <w:rPr>
                <w:sz w:val="20"/>
              </w:rPr>
              <w:t>1,375</w:t>
            </w:r>
          </w:p>
        </w:tc>
        <w:tc>
          <w:tcPr>
            <w:tcW w:w="868" w:type="dxa"/>
          </w:tcPr>
          <w:p w14:paraId="79A4D34A" w14:textId="77777777" w:rsidR="00B50935" w:rsidRPr="007B62AA" w:rsidRDefault="00B50935" w:rsidP="00427764">
            <w:pPr>
              <w:spacing w:before="20" w:after="20"/>
              <w:jc w:val="right"/>
              <w:rPr>
                <w:noProof/>
                <w:sz w:val="20"/>
              </w:rPr>
            </w:pPr>
            <w:r w:rsidRPr="007B62AA">
              <w:rPr>
                <w:sz w:val="20"/>
              </w:rPr>
              <w:t>1,700</w:t>
            </w:r>
          </w:p>
        </w:tc>
        <w:tc>
          <w:tcPr>
            <w:tcW w:w="868" w:type="dxa"/>
          </w:tcPr>
          <w:p w14:paraId="434AB086" w14:textId="77777777" w:rsidR="00B50935" w:rsidRPr="007B62AA" w:rsidRDefault="00B50935" w:rsidP="00427764">
            <w:pPr>
              <w:spacing w:before="20" w:after="20"/>
              <w:jc w:val="right"/>
              <w:rPr>
                <w:noProof/>
                <w:sz w:val="20"/>
              </w:rPr>
            </w:pPr>
            <w:r w:rsidRPr="007B62AA">
              <w:rPr>
                <w:sz w:val="20"/>
              </w:rPr>
              <w:t>1,825</w:t>
            </w:r>
          </w:p>
        </w:tc>
        <w:tc>
          <w:tcPr>
            <w:tcW w:w="868" w:type="dxa"/>
          </w:tcPr>
          <w:p w14:paraId="2362DB39" w14:textId="77777777" w:rsidR="00B50935" w:rsidRPr="007B62AA" w:rsidRDefault="00B50935" w:rsidP="00427764">
            <w:pPr>
              <w:spacing w:before="20" w:after="20"/>
              <w:jc w:val="right"/>
              <w:rPr>
                <w:noProof/>
                <w:sz w:val="20"/>
              </w:rPr>
            </w:pPr>
            <w:r w:rsidRPr="007B62AA">
              <w:rPr>
                <w:sz w:val="20"/>
              </w:rPr>
              <w:t>1,825</w:t>
            </w:r>
          </w:p>
        </w:tc>
        <w:tc>
          <w:tcPr>
            <w:tcW w:w="868" w:type="dxa"/>
          </w:tcPr>
          <w:p w14:paraId="2280EBAE" w14:textId="77777777" w:rsidR="00B50935" w:rsidRPr="007B62AA" w:rsidRDefault="00B50935" w:rsidP="00427764">
            <w:pPr>
              <w:spacing w:before="20" w:after="20"/>
              <w:jc w:val="right"/>
              <w:rPr>
                <w:noProof/>
                <w:sz w:val="20"/>
              </w:rPr>
            </w:pPr>
            <w:r w:rsidRPr="007B62AA">
              <w:rPr>
                <w:sz w:val="20"/>
              </w:rPr>
              <w:t>1,825</w:t>
            </w:r>
          </w:p>
        </w:tc>
        <w:tc>
          <w:tcPr>
            <w:tcW w:w="868" w:type="dxa"/>
          </w:tcPr>
          <w:p w14:paraId="46DE411C" w14:textId="77777777" w:rsidR="00B50935" w:rsidRPr="007B62AA" w:rsidRDefault="00B50935" w:rsidP="00427764">
            <w:pPr>
              <w:spacing w:before="20" w:after="20"/>
              <w:jc w:val="right"/>
              <w:rPr>
                <w:b/>
                <w:noProof/>
                <w:sz w:val="20"/>
              </w:rPr>
            </w:pPr>
            <w:r w:rsidRPr="007B62AA">
              <w:rPr>
                <w:sz w:val="20"/>
              </w:rPr>
              <w:t>1,825</w:t>
            </w:r>
          </w:p>
        </w:tc>
        <w:tc>
          <w:tcPr>
            <w:tcW w:w="1777" w:type="dxa"/>
            <w:vAlign w:val="center"/>
          </w:tcPr>
          <w:p w14:paraId="5774B346" w14:textId="77777777" w:rsidR="00B50935" w:rsidRPr="007B62AA" w:rsidRDefault="00B50935" w:rsidP="00427764">
            <w:pPr>
              <w:spacing w:before="20" w:after="20"/>
              <w:jc w:val="right"/>
              <w:rPr>
                <w:b/>
                <w:noProof/>
                <w:sz w:val="20"/>
              </w:rPr>
            </w:pPr>
            <w:r w:rsidRPr="007B62AA">
              <w:rPr>
                <w:b/>
                <w:sz w:val="20"/>
              </w:rPr>
              <w:t>11,150</w:t>
            </w:r>
          </w:p>
        </w:tc>
      </w:tr>
      <w:tr w:rsidR="00B50935" w:rsidRPr="007B62AA" w14:paraId="13951B0C" w14:textId="77777777" w:rsidTr="007D1A43">
        <w:trPr>
          <w:trHeight w:val="319"/>
        </w:trPr>
        <w:tc>
          <w:tcPr>
            <w:tcW w:w="3960" w:type="dxa"/>
            <w:vAlign w:val="center"/>
          </w:tcPr>
          <w:p w14:paraId="4D202240" w14:textId="77777777" w:rsidR="00B50935" w:rsidRPr="007B62AA" w:rsidRDefault="00B50935" w:rsidP="00427764">
            <w:pPr>
              <w:spacing w:before="60" w:after="60"/>
            </w:pPr>
            <w:r w:rsidRPr="007B62AA">
              <w:rPr>
                <w:sz w:val="20"/>
              </w:rPr>
              <w:t>Hlava 3</w:t>
            </w:r>
          </w:p>
        </w:tc>
        <w:tc>
          <w:tcPr>
            <w:tcW w:w="1078" w:type="dxa"/>
            <w:vAlign w:val="center"/>
          </w:tcPr>
          <w:p w14:paraId="64CECC70" w14:textId="77777777" w:rsidR="00B50935" w:rsidRPr="007B62AA" w:rsidRDefault="00B50935" w:rsidP="00427764">
            <w:pPr>
              <w:spacing w:before="40" w:after="40"/>
              <w:rPr>
                <w:noProof/>
                <w:sz w:val="18"/>
              </w:rPr>
            </w:pPr>
            <w:r w:rsidRPr="007B62AA">
              <w:rPr>
                <w:sz w:val="18"/>
              </w:rPr>
              <w:t>Záväzky</w:t>
            </w:r>
          </w:p>
        </w:tc>
        <w:tc>
          <w:tcPr>
            <w:tcW w:w="1016" w:type="dxa"/>
            <w:vAlign w:val="center"/>
          </w:tcPr>
          <w:p w14:paraId="6C85C0B2" w14:textId="77777777" w:rsidR="00B50935" w:rsidRPr="007B62AA" w:rsidRDefault="00B50935" w:rsidP="00427764">
            <w:pPr>
              <w:spacing w:before="40" w:after="40"/>
              <w:jc w:val="center"/>
              <w:rPr>
                <w:noProof/>
                <w:sz w:val="14"/>
              </w:rPr>
            </w:pPr>
            <w:r w:rsidRPr="007B62AA">
              <w:rPr>
                <w:sz w:val="14"/>
              </w:rPr>
              <w:t>(3a)</w:t>
            </w:r>
          </w:p>
        </w:tc>
        <w:tc>
          <w:tcPr>
            <w:tcW w:w="868" w:type="dxa"/>
          </w:tcPr>
          <w:p w14:paraId="623E6EF6" w14:textId="77777777" w:rsidR="00B50935" w:rsidRPr="007B62AA" w:rsidRDefault="00B50935" w:rsidP="00427764">
            <w:pPr>
              <w:spacing w:before="40" w:after="40"/>
              <w:jc w:val="right"/>
              <w:rPr>
                <w:noProof/>
                <w:sz w:val="20"/>
              </w:rPr>
            </w:pPr>
            <w:r w:rsidRPr="007B62AA">
              <w:rPr>
                <w:sz w:val="20"/>
              </w:rPr>
              <w:t xml:space="preserve"> 12,300</w:t>
            </w:r>
          </w:p>
        </w:tc>
        <w:tc>
          <w:tcPr>
            <w:tcW w:w="868" w:type="dxa"/>
          </w:tcPr>
          <w:p w14:paraId="1033CEC7" w14:textId="77777777" w:rsidR="00B50935" w:rsidRPr="007B62AA" w:rsidRDefault="00B50935" w:rsidP="00427764">
            <w:pPr>
              <w:spacing w:before="40" w:after="40"/>
              <w:jc w:val="right"/>
              <w:rPr>
                <w:noProof/>
                <w:sz w:val="20"/>
              </w:rPr>
            </w:pPr>
            <w:r w:rsidRPr="007B62AA">
              <w:rPr>
                <w:sz w:val="20"/>
              </w:rPr>
              <w:t xml:space="preserve"> 16,500</w:t>
            </w:r>
          </w:p>
        </w:tc>
        <w:tc>
          <w:tcPr>
            <w:tcW w:w="868" w:type="dxa"/>
          </w:tcPr>
          <w:p w14:paraId="2E9061FD" w14:textId="77777777" w:rsidR="00B50935" w:rsidRPr="007B62AA" w:rsidRDefault="00B50935" w:rsidP="00427764">
            <w:pPr>
              <w:spacing w:before="40" w:after="40"/>
              <w:jc w:val="right"/>
              <w:rPr>
                <w:noProof/>
                <w:sz w:val="20"/>
              </w:rPr>
            </w:pPr>
            <w:r w:rsidRPr="007B62AA">
              <w:rPr>
                <w:sz w:val="20"/>
              </w:rPr>
              <w:t xml:space="preserve"> 16,700</w:t>
            </w:r>
          </w:p>
        </w:tc>
        <w:tc>
          <w:tcPr>
            <w:tcW w:w="868" w:type="dxa"/>
          </w:tcPr>
          <w:p w14:paraId="740BFB80" w14:textId="77777777" w:rsidR="00B50935" w:rsidRPr="007B62AA" w:rsidRDefault="00B50935" w:rsidP="00427764">
            <w:pPr>
              <w:spacing w:before="40" w:after="40"/>
              <w:jc w:val="right"/>
              <w:rPr>
                <w:noProof/>
                <w:sz w:val="20"/>
              </w:rPr>
            </w:pPr>
            <w:r w:rsidRPr="007B62AA">
              <w:rPr>
                <w:sz w:val="20"/>
              </w:rPr>
              <w:t xml:space="preserve"> 17,000</w:t>
            </w:r>
          </w:p>
        </w:tc>
        <w:tc>
          <w:tcPr>
            <w:tcW w:w="868" w:type="dxa"/>
          </w:tcPr>
          <w:p w14:paraId="0ABC607A" w14:textId="77777777" w:rsidR="00B50935" w:rsidRPr="007B62AA" w:rsidRDefault="00B50935" w:rsidP="00427764">
            <w:pPr>
              <w:spacing w:before="40" w:after="40"/>
              <w:jc w:val="right"/>
              <w:rPr>
                <w:noProof/>
                <w:sz w:val="20"/>
              </w:rPr>
            </w:pPr>
            <w:r w:rsidRPr="007B62AA">
              <w:rPr>
                <w:sz w:val="20"/>
              </w:rPr>
              <w:t xml:space="preserve"> 14,000</w:t>
            </w:r>
          </w:p>
        </w:tc>
        <w:tc>
          <w:tcPr>
            <w:tcW w:w="868" w:type="dxa"/>
          </w:tcPr>
          <w:p w14:paraId="77CDEF46" w14:textId="77777777" w:rsidR="00B50935" w:rsidRPr="007B62AA" w:rsidRDefault="00B50935" w:rsidP="00427764">
            <w:pPr>
              <w:spacing w:before="40" w:after="40"/>
              <w:jc w:val="right"/>
              <w:rPr>
                <w:noProof/>
                <w:sz w:val="20"/>
              </w:rPr>
            </w:pPr>
            <w:r w:rsidRPr="007B62AA">
              <w:rPr>
                <w:sz w:val="20"/>
              </w:rPr>
              <w:t xml:space="preserve"> 13,000</w:t>
            </w:r>
          </w:p>
        </w:tc>
        <w:tc>
          <w:tcPr>
            <w:tcW w:w="868" w:type="dxa"/>
          </w:tcPr>
          <w:p w14:paraId="32615128" w14:textId="77777777" w:rsidR="00B50935" w:rsidRPr="007B62AA" w:rsidRDefault="00B50935" w:rsidP="00427764">
            <w:pPr>
              <w:spacing w:before="40" w:after="40"/>
              <w:jc w:val="right"/>
              <w:rPr>
                <w:noProof/>
                <w:sz w:val="20"/>
              </w:rPr>
            </w:pPr>
            <w:r w:rsidRPr="007B62AA">
              <w:rPr>
                <w:sz w:val="20"/>
              </w:rPr>
              <w:t xml:space="preserve"> 13,000</w:t>
            </w:r>
          </w:p>
        </w:tc>
        <w:tc>
          <w:tcPr>
            <w:tcW w:w="1777" w:type="dxa"/>
            <w:vAlign w:val="center"/>
          </w:tcPr>
          <w:p w14:paraId="5A7347C4" w14:textId="77777777" w:rsidR="00B50935" w:rsidRPr="007B62AA" w:rsidRDefault="00B50935" w:rsidP="00427764">
            <w:pPr>
              <w:spacing w:before="40" w:after="40"/>
              <w:jc w:val="right"/>
              <w:rPr>
                <w:b/>
                <w:noProof/>
                <w:sz w:val="20"/>
              </w:rPr>
            </w:pPr>
            <w:r w:rsidRPr="007B62AA">
              <w:rPr>
                <w:b/>
                <w:sz w:val="20"/>
              </w:rPr>
              <w:t>102,500</w:t>
            </w:r>
          </w:p>
        </w:tc>
      </w:tr>
      <w:tr w:rsidR="00B50935" w:rsidRPr="007B62AA" w14:paraId="2140715C" w14:textId="77777777" w:rsidTr="007D1A43">
        <w:trPr>
          <w:trHeight w:val="319"/>
        </w:trPr>
        <w:tc>
          <w:tcPr>
            <w:tcW w:w="3960" w:type="dxa"/>
            <w:vAlign w:val="center"/>
          </w:tcPr>
          <w:p w14:paraId="5A3B63F7" w14:textId="77777777" w:rsidR="00B50935" w:rsidRPr="007B62AA" w:rsidRDefault="00B50935" w:rsidP="00427764">
            <w:pPr>
              <w:spacing w:before="60" w:after="60"/>
              <w:rPr>
                <w:b/>
                <w:noProof/>
                <w:sz w:val="20"/>
              </w:rPr>
            </w:pPr>
          </w:p>
        </w:tc>
        <w:tc>
          <w:tcPr>
            <w:tcW w:w="1078" w:type="dxa"/>
            <w:vAlign w:val="center"/>
          </w:tcPr>
          <w:p w14:paraId="3376D4F2" w14:textId="77777777" w:rsidR="00B50935" w:rsidRPr="007B62AA" w:rsidRDefault="00B50935" w:rsidP="00427764">
            <w:pPr>
              <w:spacing w:before="40" w:after="40"/>
              <w:rPr>
                <w:noProof/>
                <w:sz w:val="18"/>
              </w:rPr>
            </w:pPr>
            <w:r w:rsidRPr="007B62AA">
              <w:rPr>
                <w:sz w:val="18"/>
              </w:rPr>
              <w:t>Platby</w:t>
            </w:r>
          </w:p>
        </w:tc>
        <w:tc>
          <w:tcPr>
            <w:tcW w:w="1016" w:type="dxa"/>
            <w:vAlign w:val="center"/>
          </w:tcPr>
          <w:p w14:paraId="70D41610" w14:textId="77777777" w:rsidR="00B50935" w:rsidRPr="007B62AA" w:rsidRDefault="00B50935" w:rsidP="00427764">
            <w:pPr>
              <w:spacing w:before="40" w:after="40"/>
              <w:jc w:val="center"/>
              <w:rPr>
                <w:noProof/>
                <w:sz w:val="14"/>
              </w:rPr>
            </w:pPr>
            <w:r w:rsidRPr="007B62AA">
              <w:rPr>
                <w:sz w:val="14"/>
              </w:rPr>
              <w:t>(3b)</w:t>
            </w:r>
          </w:p>
        </w:tc>
        <w:tc>
          <w:tcPr>
            <w:tcW w:w="868" w:type="dxa"/>
          </w:tcPr>
          <w:p w14:paraId="135F4EF7" w14:textId="77777777" w:rsidR="00B50935" w:rsidRPr="007B62AA" w:rsidRDefault="00B50935" w:rsidP="00427764">
            <w:pPr>
              <w:spacing w:before="40" w:after="40"/>
              <w:jc w:val="right"/>
              <w:rPr>
                <w:noProof/>
                <w:sz w:val="20"/>
              </w:rPr>
            </w:pPr>
            <w:r w:rsidRPr="007B62AA">
              <w:rPr>
                <w:sz w:val="20"/>
              </w:rPr>
              <w:t xml:space="preserve"> 12,300</w:t>
            </w:r>
          </w:p>
        </w:tc>
        <w:tc>
          <w:tcPr>
            <w:tcW w:w="868" w:type="dxa"/>
          </w:tcPr>
          <w:p w14:paraId="4A65039D" w14:textId="77777777" w:rsidR="00B50935" w:rsidRPr="007B62AA" w:rsidRDefault="00B50935" w:rsidP="00427764">
            <w:pPr>
              <w:spacing w:before="40" w:after="40"/>
              <w:jc w:val="right"/>
              <w:rPr>
                <w:noProof/>
                <w:sz w:val="20"/>
              </w:rPr>
            </w:pPr>
            <w:r w:rsidRPr="007B62AA">
              <w:rPr>
                <w:sz w:val="20"/>
              </w:rPr>
              <w:t xml:space="preserve"> 16,500</w:t>
            </w:r>
          </w:p>
        </w:tc>
        <w:tc>
          <w:tcPr>
            <w:tcW w:w="868" w:type="dxa"/>
          </w:tcPr>
          <w:p w14:paraId="20488C7B" w14:textId="77777777" w:rsidR="00B50935" w:rsidRPr="007B62AA" w:rsidRDefault="00B50935" w:rsidP="00427764">
            <w:pPr>
              <w:spacing w:before="40" w:after="40"/>
              <w:jc w:val="right"/>
              <w:rPr>
                <w:noProof/>
                <w:sz w:val="20"/>
              </w:rPr>
            </w:pPr>
            <w:r w:rsidRPr="007B62AA">
              <w:rPr>
                <w:sz w:val="20"/>
              </w:rPr>
              <w:t xml:space="preserve"> 16,700</w:t>
            </w:r>
          </w:p>
        </w:tc>
        <w:tc>
          <w:tcPr>
            <w:tcW w:w="868" w:type="dxa"/>
          </w:tcPr>
          <w:p w14:paraId="1A421A7C" w14:textId="77777777" w:rsidR="00B50935" w:rsidRPr="007B62AA" w:rsidRDefault="00B50935" w:rsidP="00427764">
            <w:pPr>
              <w:spacing w:before="40" w:after="40"/>
              <w:jc w:val="right"/>
              <w:rPr>
                <w:noProof/>
                <w:sz w:val="20"/>
              </w:rPr>
            </w:pPr>
            <w:r w:rsidRPr="007B62AA">
              <w:rPr>
                <w:sz w:val="20"/>
              </w:rPr>
              <w:t xml:space="preserve"> 17,000</w:t>
            </w:r>
          </w:p>
        </w:tc>
        <w:tc>
          <w:tcPr>
            <w:tcW w:w="868" w:type="dxa"/>
          </w:tcPr>
          <w:p w14:paraId="74FECBAE" w14:textId="77777777" w:rsidR="00B50935" w:rsidRPr="007B62AA" w:rsidRDefault="00B50935" w:rsidP="00427764">
            <w:pPr>
              <w:spacing w:before="40" w:after="40"/>
              <w:jc w:val="right"/>
              <w:rPr>
                <w:noProof/>
                <w:sz w:val="20"/>
              </w:rPr>
            </w:pPr>
            <w:r w:rsidRPr="007B62AA">
              <w:rPr>
                <w:sz w:val="20"/>
              </w:rPr>
              <w:t xml:space="preserve"> 14,000</w:t>
            </w:r>
          </w:p>
        </w:tc>
        <w:tc>
          <w:tcPr>
            <w:tcW w:w="868" w:type="dxa"/>
          </w:tcPr>
          <w:p w14:paraId="6DD8BABC" w14:textId="77777777" w:rsidR="00B50935" w:rsidRPr="007B62AA" w:rsidRDefault="00B50935" w:rsidP="00427764">
            <w:pPr>
              <w:spacing w:before="40" w:after="40"/>
              <w:jc w:val="right"/>
              <w:rPr>
                <w:noProof/>
                <w:sz w:val="20"/>
              </w:rPr>
            </w:pPr>
            <w:r w:rsidRPr="007B62AA">
              <w:rPr>
                <w:sz w:val="20"/>
              </w:rPr>
              <w:t xml:space="preserve"> 13,000</w:t>
            </w:r>
          </w:p>
        </w:tc>
        <w:tc>
          <w:tcPr>
            <w:tcW w:w="868" w:type="dxa"/>
          </w:tcPr>
          <w:p w14:paraId="2E80A71F" w14:textId="77777777" w:rsidR="00B50935" w:rsidRPr="007B62AA" w:rsidRDefault="00B50935" w:rsidP="00427764">
            <w:pPr>
              <w:spacing w:before="40" w:after="40"/>
              <w:jc w:val="right"/>
              <w:rPr>
                <w:noProof/>
                <w:sz w:val="20"/>
              </w:rPr>
            </w:pPr>
            <w:r w:rsidRPr="007B62AA">
              <w:rPr>
                <w:sz w:val="20"/>
              </w:rPr>
              <w:t xml:space="preserve"> 13,000</w:t>
            </w:r>
          </w:p>
        </w:tc>
        <w:tc>
          <w:tcPr>
            <w:tcW w:w="1777" w:type="dxa"/>
            <w:vAlign w:val="center"/>
          </w:tcPr>
          <w:p w14:paraId="18982E99" w14:textId="77777777" w:rsidR="00B50935" w:rsidRPr="007B62AA" w:rsidRDefault="00B50935" w:rsidP="00427764">
            <w:pPr>
              <w:spacing w:before="40" w:after="40"/>
              <w:jc w:val="right"/>
              <w:rPr>
                <w:b/>
                <w:noProof/>
                <w:sz w:val="20"/>
              </w:rPr>
            </w:pPr>
            <w:r w:rsidRPr="007B62AA">
              <w:rPr>
                <w:b/>
                <w:sz w:val="20"/>
              </w:rPr>
              <w:t>102,500</w:t>
            </w:r>
          </w:p>
        </w:tc>
      </w:tr>
      <w:tr w:rsidR="00B50935" w:rsidRPr="007B62AA" w14:paraId="054141CC" w14:textId="77777777" w:rsidTr="007D1A43">
        <w:trPr>
          <w:trHeight w:val="703"/>
        </w:trPr>
        <w:tc>
          <w:tcPr>
            <w:tcW w:w="3960" w:type="dxa"/>
            <w:vMerge w:val="restart"/>
            <w:vAlign w:val="center"/>
          </w:tcPr>
          <w:p w14:paraId="40499EBA" w14:textId="77777777" w:rsidR="00B50935" w:rsidRPr="007B62AA" w:rsidRDefault="00B50935" w:rsidP="00427764">
            <w:pPr>
              <w:jc w:val="center"/>
              <w:rPr>
                <w:noProof/>
              </w:rPr>
            </w:pPr>
            <w:r w:rsidRPr="007B62AA">
              <w:rPr>
                <w:b/>
                <w:sz w:val="22"/>
              </w:rPr>
              <w:t>Rozpočtové prostriedky</w:t>
            </w:r>
            <w:r w:rsidRPr="007B62AA">
              <w:t xml:space="preserve"> </w:t>
            </w:r>
            <w:r w:rsidRPr="007B62AA">
              <w:br/>
            </w:r>
            <w:r w:rsidRPr="007B62AA">
              <w:rPr>
                <w:b/>
                <w:sz w:val="22"/>
              </w:rPr>
              <w:t xml:space="preserve">pre </w:t>
            </w:r>
            <w:r w:rsidRPr="007B62AA">
              <w:rPr>
                <w:b/>
              </w:rPr>
              <w:t>ECDC SPOLU</w:t>
            </w:r>
          </w:p>
        </w:tc>
        <w:tc>
          <w:tcPr>
            <w:tcW w:w="1078" w:type="dxa"/>
            <w:vAlign w:val="center"/>
          </w:tcPr>
          <w:p w14:paraId="635B2A46" w14:textId="77777777" w:rsidR="00B50935" w:rsidRPr="007B62AA" w:rsidRDefault="00B50935" w:rsidP="00427764">
            <w:pPr>
              <w:rPr>
                <w:noProof/>
                <w:sz w:val="18"/>
              </w:rPr>
            </w:pPr>
            <w:r w:rsidRPr="007B62AA">
              <w:rPr>
                <w:sz w:val="18"/>
              </w:rPr>
              <w:t>Záväzky</w:t>
            </w:r>
          </w:p>
        </w:tc>
        <w:tc>
          <w:tcPr>
            <w:tcW w:w="1016" w:type="dxa"/>
            <w:vAlign w:val="center"/>
          </w:tcPr>
          <w:p w14:paraId="3B719E11" w14:textId="77777777" w:rsidR="00B50935" w:rsidRPr="007B62AA" w:rsidRDefault="00B50935" w:rsidP="00427764">
            <w:pPr>
              <w:jc w:val="center"/>
              <w:rPr>
                <w:noProof/>
                <w:sz w:val="14"/>
              </w:rPr>
            </w:pPr>
            <w:r w:rsidRPr="007B62AA">
              <w:rPr>
                <w:sz w:val="14"/>
              </w:rPr>
              <w:t>= 1 + 1a + 3a</w:t>
            </w:r>
          </w:p>
        </w:tc>
        <w:tc>
          <w:tcPr>
            <w:tcW w:w="868" w:type="dxa"/>
            <w:vAlign w:val="center"/>
          </w:tcPr>
          <w:p w14:paraId="10C9B577" w14:textId="77777777" w:rsidR="00B50935" w:rsidRPr="007B62AA" w:rsidRDefault="00B50935" w:rsidP="00427764">
            <w:pPr>
              <w:spacing w:before="20" w:after="20"/>
              <w:jc w:val="right"/>
              <w:rPr>
                <w:b/>
                <w:noProof/>
                <w:sz w:val="20"/>
              </w:rPr>
            </w:pPr>
            <w:r w:rsidRPr="007B62AA">
              <w:rPr>
                <w:b/>
                <w:sz w:val="20"/>
              </w:rPr>
              <w:t xml:space="preserve"> 16,040 </w:t>
            </w:r>
          </w:p>
        </w:tc>
        <w:tc>
          <w:tcPr>
            <w:tcW w:w="868" w:type="dxa"/>
            <w:vAlign w:val="center"/>
          </w:tcPr>
          <w:p w14:paraId="25434E0E" w14:textId="77777777" w:rsidR="00B50935" w:rsidRPr="007B62AA" w:rsidRDefault="00B50935" w:rsidP="00427764">
            <w:pPr>
              <w:spacing w:before="20" w:after="20"/>
              <w:jc w:val="right"/>
              <w:rPr>
                <w:b/>
                <w:noProof/>
                <w:sz w:val="20"/>
              </w:rPr>
            </w:pPr>
            <w:r w:rsidRPr="007B62AA">
              <w:rPr>
                <w:b/>
                <w:sz w:val="20"/>
              </w:rPr>
              <w:t xml:space="preserve"> 23,350 </w:t>
            </w:r>
          </w:p>
        </w:tc>
        <w:tc>
          <w:tcPr>
            <w:tcW w:w="868" w:type="dxa"/>
            <w:vAlign w:val="center"/>
          </w:tcPr>
          <w:p w14:paraId="22162EED" w14:textId="77777777" w:rsidR="00B50935" w:rsidRPr="007B62AA" w:rsidRDefault="00B50935" w:rsidP="00427764">
            <w:pPr>
              <w:spacing w:before="20" w:after="20"/>
              <w:jc w:val="right"/>
              <w:rPr>
                <w:b/>
                <w:noProof/>
                <w:sz w:val="20"/>
              </w:rPr>
            </w:pPr>
            <w:r w:rsidRPr="007B62AA">
              <w:rPr>
                <w:b/>
                <w:sz w:val="20"/>
              </w:rPr>
              <w:t xml:space="preserve"> 25,080 </w:t>
            </w:r>
          </w:p>
        </w:tc>
        <w:tc>
          <w:tcPr>
            <w:tcW w:w="868" w:type="dxa"/>
            <w:vAlign w:val="center"/>
          </w:tcPr>
          <w:p w14:paraId="48130AA5" w14:textId="77777777" w:rsidR="00B50935" w:rsidRPr="007B62AA" w:rsidRDefault="00B50935" w:rsidP="00427764">
            <w:pPr>
              <w:spacing w:before="20" w:after="20"/>
              <w:jc w:val="right"/>
              <w:rPr>
                <w:b/>
                <w:noProof/>
                <w:sz w:val="20"/>
              </w:rPr>
            </w:pPr>
            <w:r w:rsidRPr="007B62AA">
              <w:rPr>
                <w:b/>
                <w:sz w:val="20"/>
              </w:rPr>
              <w:t xml:space="preserve"> 25,990 </w:t>
            </w:r>
          </w:p>
        </w:tc>
        <w:tc>
          <w:tcPr>
            <w:tcW w:w="868" w:type="dxa"/>
            <w:vAlign w:val="center"/>
          </w:tcPr>
          <w:p w14:paraId="1D8C3FE6" w14:textId="77777777" w:rsidR="00B50935" w:rsidRPr="007B62AA" w:rsidRDefault="00B50935" w:rsidP="00427764">
            <w:pPr>
              <w:spacing w:before="20" w:after="20"/>
              <w:jc w:val="right"/>
              <w:rPr>
                <w:b/>
                <w:noProof/>
                <w:sz w:val="20"/>
              </w:rPr>
            </w:pPr>
            <w:r w:rsidRPr="007B62AA">
              <w:rPr>
                <w:b/>
                <w:sz w:val="20"/>
              </w:rPr>
              <w:t xml:space="preserve"> 22,990 </w:t>
            </w:r>
          </w:p>
        </w:tc>
        <w:tc>
          <w:tcPr>
            <w:tcW w:w="868" w:type="dxa"/>
            <w:vAlign w:val="center"/>
          </w:tcPr>
          <w:p w14:paraId="287C19DF" w14:textId="77777777" w:rsidR="00B50935" w:rsidRPr="007B62AA" w:rsidRDefault="00B50935" w:rsidP="00427764">
            <w:pPr>
              <w:spacing w:before="20" w:after="20"/>
              <w:jc w:val="right"/>
              <w:rPr>
                <w:b/>
                <w:noProof/>
                <w:sz w:val="20"/>
              </w:rPr>
            </w:pPr>
            <w:r w:rsidRPr="007B62AA">
              <w:rPr>
                <w:b/>
                <w:sz w:val="20"/>
              </w:rPr>
              <w:t xml:space="preserve"> 21,990 </w:t>
            </w:r>
          </w:p>
        </w:tc>
        <w:tc>
          <w:tcPr>
            <w:tcW w:w="868" w:type="dxa"/>
            <w:vAlign w:val="center"/>
          </w:tcPr>
          <w:p w14:paraId="3BF94625" w14:textId="77777777" w:rsidR="00B50935" w:rsidRPr="007B62AA" w:rsidRDefault="00B50935" w:rsidP="00427764">
            <w:pPr>
              <w:spacing w:before="20" w:after="20"/>
              <w:jc w:val="right"/>
              <w:rPr>
                <w:b/>
                <w:noProof/>
                <w:sz w:val="20"/>
              </w:rPr>
            </w:pPr>
            <w:r w:rsidRPr="007B62AA">
              <w:rPr>
                <w:b/>
                <w:sz w:val="20"/>
              </w:rPr>
              <w:t xml:space="preserve"> 21,990 </w:t>
            </w:r>
          </w:p>
        </w:tc>
        <w:tc>
          <w:tcPr>
            <w:tcW w:w="1777" w:type="dxa"/>
            <w:vAlign w:val="center"/>
          </w:tcPr>
          <w:p w14:paraId="6504D3E1" w14:textId="77777777" w:rsidR="00B50935" w:rsidRPr="007B62AA" w:rsidRDefault="00B50935" w:rsidP="00427764">
            <w:pPr>
              <w:spacing w:before="20" w:after="20"/>
              <w:jc w:val="right"/>
              <w:rPr>
                <w:b/>
                <w:noProof/>
                <w:sz w:val="20"/>
              </w:rPr>
            </w:pPr>
            <w:r w:rsidRPr="007B62AA">
              <w:rPr>
                <w:b/>
                <w:sz w:val="20"/>
              </w:rPr>
              <w:t>157,430</w:t>
            </w:r>
          </w:p>
        </w:tc>
      </w:tr>
      <w:tr w:rsidR="00B50935" w:rsidRPr="007B62AA" w14:paraId="18CA7EB6" w14:textId="77777777" w:rsidTr="007D1A43">
        <w:tc>
          <w:tcPr>
            <w:tcW w:w="3960" w:type="dxa"/>
            <w:vMerge/>
            <w:vAlign w:val="center"/>
          </w:tcPr>
          <w:p w14:paraId="3385E788" w14:textId="77777777" w:rsidR="00B50935" w:rsidRPr="007B62AA" w:rsidRDefault="00B50935" w:rsidP="00427764">
            <w:pPr>
              <w:rPr>
                <w:b/>
                <w:noProof/>
              </w:rPr>
            </w:pPr>
          </w:p>
        </w:tc>
        <w:tc>
          <w:tcPr>
            <w:tcW w:w="1078" w:type="dxa"/>
            <w:vAlign w:val="center"/>
          </w:tcPr>
          <w:p w14:paraId="33101DA1" w14:textId="77777777" w:rsidR="00B50935" w:rsidRPr="007B62AA" w:rsidRDefault="00B50935" w:rsidP="00427764">
            <w:pPr>
              <w:rPr>
                <w:noProof/>
                <w:sz w:val="18"/>
              </w:rPr>
            </w:pPr>
            <w:r w:rsidRPr="007B62AA">
              <w:rPr>
                <w:sz w:val="18"/>
              </w:rPr>
              <w:t>Platby</w:t>
            </w:r>
          </w:p>
        </w:tc>
        <w:tc>
          <w:tcPr>
            <w:tcW w:w="1016" w:type="dxa"/>
            <w:vAlign w:val="center"/>
          </w:tcPr>
          <w:p w14:paraId="0C4D7F6F" w14:textId="77777777" w:rsidR="00B50935" w:rsidRPr="007B62AA" w:rsidRDefault="00B50935" w:rsidP="00427764">
            <w:pPr>
              <w:jc w:val="center"/>
              <w:rPr>
                <w:noProof/>
                <w:sz w:val="14"/>
              </w:rPr>
            </w:pPr>
            <w:r w:rsidRPr="007B62AA">
              <w:rPr>
                <w:sz w:val="14"/>
              </w:rPr>
              <w:t>= 2 + 2a</w:t>
            </w:r>
          </w:p>
          <w:p w14:paraId="141E85EA" w14:textId="77777777" w:rsidR="00B50935" w:rsidRPr="007B62AA" w:rsidRDefault="00B50935" w:rsidP="00427764">
            <w:pPr>
              <w:jc w:val="center"/>
              <w:rPr>
                <w:noProof/>
                <w:sz w:val="14"/>
              </w:rPr>
            </w:pPr>
            <w:r w:rsidRPr="007B62AA">
              <w:rPr>
                <w:sz w:val="14"/>
              </w:rPr>
              <w:t>+ 3b</w:t>
            </w:r>
          </w:p>
        </w:tc>
        <w:tc>
          <w:tcPr>
            <w:tcW w:w="868" w:type="dxa"/>
            <w:vAlign w:val="center"/>
          </w:tcPr>
          <w:p w14:paraId="72042B82" w14:textId="77777777" w:rsidR="00B50935" w:rsidRPr="007B62AA" w:rsidRDefault="00B50935" w:rsidP="00427764">
            <w:pPr>
              <w:spacing w:before="20" w:after="20"/>
              <w:jc w:val="right"/>
              <w:rPr>
                <w:b/>
                <w:noProof/>
                <w:sz w:val="20"/>
              </w:rPr>
            </w:pPr>
            <w:r w:rsidRPr="007B62AA">
              <w:rPr>
                <w:b/>
                <w:sz w:val="20"/>
              </w:rPr>
              <w:t xml:space="preserve"> 16,040 </w:t>
            </w:r>
          </w:p>
        </w:tc>
        <w:tc>
          <w:tcPr>
            <w:tcW w:w="868" w:type="dxa"/>
            <w:vAlign w:val="center"/>
          </w:tcPr>
          <w:p w14:paraId="250621B3" w14:textId="77777777" w:rsidR="00B50935" w:rsidRPr="007B62AA" w:rsidRDefault="00B50935" w:rsidP="00427764">
            <w:pPr>
              <w:spacing w:before="20" w:after="20"/>
              <w:jc w:val="right"/>
              <w:rPr>
                <w:b/>
                <w:noProof/>
                <w:sz w:val="20"/>
              </w:rPr>
            </w:pPr>
            <w:r w:rsidRPr="007B62AA">
              <w:rPr>
                <w:b/>
                <w:sz w:val="20"/>
              </w:rPr>
              <w:t xml:space="preserve"> 23,350 </w:t>
            </w:r>
          </w:p>
        </w:tc>
        <w:tc>
          <w:tcPr>
            <w:tcW w:w="868" w:type="dxa"/>
            <w:vAlign w:val="center"/>
          </w:tcPr>
          <w:p w14:paraId="77479316" w14:textId="77777777" w:rsidR="00B50935" w:rsidRPr="007B62AA" w:rsidRDefault="00B50935" w:rsidP="00427764">
            <w:pPr>
              <w:spacing w:before="20" w:after="20"/>
              <w:jc w:val="right"/>
              <w:rPr>
                <w:b/>
                <w:noProof/>
                <w:sz w:val="20"/>
              </w:rPr>
            </w:pPr>
            <w:r w:rsidRPr="007B62AA">
              <w:rPr>
                <w:b/>
                <w:sz w:val="20"/>
              </w:rPr>
              <w:t xml:space="preserve"> 25,080 </w:t>
            </w:r>
          </w:p>
        </w:tc>
        <w:tc>
          <w:tcPr>
            <w:tcW w:w="868" w:type="dxa"/>
            <w:vAlign w:val="center"/>
          </w:tcPr>
          <w:p w14:paraId="0FE2A2A3" w14:textId="77777777" w:rsidR="00B50935" w:rsidRPr="007B62AA" w:rsidRDefault="00B50935" w:rsidP="00427764">
            <w:pPr>
              <w:spacing w:before="20" w:after="20"/>
              <w:jc w:val="right"/>
              <w:rPr>
                <w:b/>
                <w:noProof/>
                <w:sz w:val="20"/>
              </w:rPr>
            </w:pPr>
            <w:r w:rsidRPr="007B62AA">
              <w:rPr>
                <w:b/>
                <w:sz w:val="20"/>
              </w:rPr>
              <w:t xml:space="preserve"> 25,990 </w:t>
            </w:r>
          </w:p>
        </w:tc>
        <w:tc>
          <w:tcPr>
            <w:tcW w:w="868" w:type="dxa"/>
            <w:vAlign w:val="center"/>
          </w:tcPr>
          <w:p w14:paraId="04861392" w14:textId="77777777" w:rsidR="00B50935" w:rsidRPr="007B62AA" w:rsidRDefault="00B50935" w:rsidP="00427764">
            <w:pPr>
              <w:spacing w:before="20" w:after="20"/>
              <w:jc w:val="right"/>
              <w:rPr>
                <w:b/>
                <w:noProof/>
                <w:sz w:val="20"/>
              </w:rPr>
            </w:pPr>
            <w:r w:rsidRPr="007B62AA">
              <w:rPr>
                <w:b/>
                <w:sz w:val="20"/>
              </w:rPr>
              <w:t xml:space="preserve"> 22,990 </w:t>
            </w:r>
          </w:p>
        </w:tc>
        <w:tc>
          <w:tcPr>
            <w:tcW w:w="868" w:type="dxa"/>
            <w:vAlign w:val="center"/>
          </w:tcPr>
          <w:p w14:paraId="26A97F0A" w14:textId="77777777" w:rsidR="00B50935" w:rsidRPr="007B62AA" w:rsidRDefault="00B50935" w:rsidP="00427764">
            <w:pPr>
              <w:spacing w:before="20" w:after="20"/>
              <w:jc w:val="right"/>
              <w:rPr>
                <w:b/>
                <w:noProof/>
                <w:sz w:val="20"/>
              </w:rPr>
            </w:pPr>
            <w:r w:rsidRPr="007B62AA">
              <w:rPr>
                <w:b/>
                <w:sz w:val="20"/>
              </w:rPr>
              <w:t xml:space="preserve"> 21,990 </w:t>
            </w:r>
          </w:p>
        </w:tc>
        <w:tc>
          <w:tcPr>
            <w:tcW w:w="868" w:type="dxa"/>
            <w:vAlign w:val="center"/>
          </w:tcPr>
          <w:p w14:paraId="4F7B628C" w14:textId="77777777" w:rsidR="00B50935" w:rsidRPr="007B62AA" w:rsidRDefault="00B50935" w:rsidP="00427764">
            <w:pPr>
              <w:spacing w:before="20" w:after="20"/>
              <w:jc w:val="right"/>
              <w:rPr>
                <w:b/>
                <w:noProof/>
                <w:sz w:val="20"/>
              </w:rPr>
            </w:pPr>
            <w:r w:rsidRPr="007B62AA">
              <w:rPr>
                <w:b/>
                <w:sz w:val="20"/>
              </w:rPr>
              <w:t xml:space="preserve"> 21,990 </w:t>
            </w:r>
          </w:p>
        </w:tc>
        <w:tc>
          <w:tcPr>
            <w:tcW w:w="1777" w:type="dxa"/>
            <w:vAlign w:val="center"/>
          </w:tcPr>
          <w:p w14:paraId="4B806C60" w14:textId="77777777" w:rsidR="00B50935" w:rsidRPr="007B62AA" w:rsidRDefault="00B50935" w:rsidP="00427764">
            <w:pPr>
              <w:spacing w:before="20" w:after="20"/>
              <w:jc w:val="right"/>
              <w:rPr>
                <w:b/>
                <w:noProof/>
                <w:sz w:val="20"/>
              </w:rPr>
            </w:pPr>
            <w:r w:rsidRPr="007B62AA">
              <w:rPr>
                <w:b/>
                <w:sz w:val="20"/>
              </w:rPr>
              <w:t>157,430</w:t>
            </w:r>
          </w:p>
        </w:tc>
      </w:tr>
    </w:tbl>
    <w:p w14:paraId="2B6BCBCF" w14:textId="77777777" w:rsidR="00B50935" w:rsidRPr="007B62AA" w:rsidRDefault="00B50935" w:rsidP="00B50935">
      <w:pPr>
        <w:rPr>
          <w:noProof/>
        </w:rPr>
      </w:pPr>
      <w:r w:rsidRPr="007B62AA">
        <w:t xml:space="preserve"> </w:t>
      </w:r>
      <w:r w:rsidRPr="007B62AA">
        <w:br/>
        <w:t xml:space="preserve"> </w:t>
      </w:r>
      <w:r w:rsidRPr="007B62AA">
        <w:br/>
      </w:r>
    </w:p>
    <w:p w14:paraId="617686CF" w14:textId="77777777" w:rsidR="00B50935" w:rsidRPr="007B62AA" w:rsidRDefault="00B50935" w:rsidP="00B50935">
      <w:pPr>
        <w:rPr>
          <w:noProof/>
        </w:rPr>
      </w:pPr>
      <w:r w:rsidRPr="007B62AA">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50935" w:rsidRPr="007B62AA" w14:paraId="1B3C8E7A" w14:textId="77777777" w:rsidTr="00427764">
        <w:trPr>
          <w:jc w:val="center"/>
        </w:trPr>
        <w:tc>
          <w:tcPr>
            <w:tcW w:w="4744" w:type="dxa"/>
            <w:shd w:val="thinDiagStripe" w:color="C0C0C0" w:fill="auto"/>
            <w:vAlign w:val="center"/>
          </w:tcPr>
          <w:p w14:paraId="1B1E9F66" w14:textId="1DA3BE50" w:rsidR="00B50935" w:rsidRPr="007B62AA" w:rsidRDefault="00B50935" w:rsidP="00427764">
            <w:pPr>
              <w:spacing w:before="60" w:after="60"/>
              <w:jc w:val="center"/>
              <w:rPr>
                <w:b/>
                <w:noProof/>
              </w:rPr>
            </w:pPr>
            <w:r w:rsidRPr="007B62AA">
              <w:br w:type="page"/>
            </w:r>
            <w:r w:rsidRPr="007B62AA">
              <w:rPr>
                <w:b/>
                <w:sz w:val="22"/>
              </w:rPr>
              <w:t xml:space="preserve">Okruh viacročného finančného </w:t>
            </w:r>
            <w:r w:rsidRPr="007B62AA">
              <w:br/>
            </w:r>
            <w:r w:rsidRPr="007B62AA">
              <w:rPr>
                <w:b/>
                <w:sz w:val="22"/>
              </w:rPr>
              <w:t xml:space="preserve">rámca </w:t>
            </w:r>
          </w:p>
        </w:tc>
        <w:tc>
          <w:tcPr>
            <w:tcW w:w="1080" w:type="dxa"/>
            <w:shd w:val="thinDiagStripe" w:color="C0C0C0" w:fill="auto"/>
            <w:vAlign w:val="center"/>
          </w:tcPr>
          <w:p w14:paraId="00D5CAA0" w14:textId="77777777" w:rsidR="00B50935" w:rsidRPr="007B62AA" w:rsidRDefault="00B50935" w:rsidP="00427764">
            <w:pPr>
              <w:spacing w:before="60" w:after="60"/>
              <w:jc w:val="center"/>
            </w:pPr>
            <w:r w:rsidRPr="007B62AA">
              <w:rPr>
                <w:b/>
                <w:sz w:val="22"/>
              </w:rPr>
              <w:t>7</w:t>
            </w:r>
          </w:p>
        </w:tc>
        <w:tc>
          <w:tcPr>
            <w:tcW w:w="7817" w:type="dxa"/>
            <w:vAlign w:val="center"/>
          </w:tcPr>
          <w:p w14:paraId="24CB02F1" w14:textId="77777777" w:rsidR="00B50935" w:rsidRPr="007B62AA" w:rsidRDefault="00B50935" w:rsidP="00427764">
            <w:pPr>
              <w:spacing w:before="60" w:after="60"/>
              <w:rPr>
                <w:noProof/>
              </w:rPr>
            </w:pPr>
            <w:r w:rsidRPr="007B62AA">
              <w:rPr>
                <w:sz w:val="22"/>
              </w:rPr>
              <w:t>„Administratívne výdavky“</w:t>
            </w:r>
          </w:p>
        </w:tc>
      </w:tr>
    </w:tbl>
    <w:p w14:paraId="7D32A2C4" w14:textId="77777777" w:rsidR="00B50935" w:rsidRPr="007B62AA" w:rsidRDefault="00B50935" w:rsidP="00B50935">
      <w:pPr>
        <w:jc w:val="right"/>
        <w:rPr>
          <w:noProof/>
          <w:sz w:val="20"/>
        </w:rPr>
      </w:pPr>
      <w:r w:rsidRPr="007B62AA">
        <w:rPr>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040"/>
        <w:gridCol w:w="696"/>
        <w:gridCol w:w="868"/>
        <w:gridCol w:w="1777"/>
      </w:tblGrid>
      <w:tr w:rsidR="00B50935" w:rsidRPr="007B62AA" w14:paraId="59B4540C" w14:textId="77777777" w:rsidTr="00427764">
        <w:tc>
          <w:tcPr>
            <w:tcW w:w="3960" w:type="dxa"/>
            <w:tcBorders>
              <w:top w:val="nil"/>
              <w:left w:val="nil"/>
              <w:right w:val="nil"/>
            </w:tcBorders>
            <w:vAlign w:val="center"/>
          </w:tcPr>
          <w:p w14:paraId="1A9B237E" w14:textId="77777777" w:rsidR="00B50935" w:rsidRPr="007B62AA" w:rsidRDefault="00B50935" w:rsidP="00427764">
            <w:pPr>
              <w:jc w:val="center"/>
              <w:rPr>
                <w:noProof/>
              </w:rPr>
            </w:pPr>
          </w:p>
        </w:tc>
        <w:tc>
          <w:tcPr>
            <w:tcW w:w="1560" w:type="dxa"/>
            <w:tcBorders>
              <w:top w:val="nil"/>
              <w:left w:val="nil"/>
              <w:right w:val="nil"/>
            </w:tcBorders>
          </w:tcPr>
          <w:p w14:paraId="4CAD5265" w14:textId="77777777" w:rsidR="00B50935" w:rsidRPr="007B62AA" w:rsidRDefault="00B50935" w:rsidP="00427764">
            <w:pPr>
              <w:rPr>
                <w:noProof/>
                <w:sz w:val="20"/>
              </w:rPr>
            </w:pPr>
          </w:p>
        </w:tc>
        <w:tc>
          <w:tcPr>
            <w:tcW w:w="534" w:type="dxa"/>
            <w:tcBorders>
              <w:top w:val="nil"/>
              <w:left w:val="nil"/>
            </w:tcBorders>
          </w:tcPr>
          <w:p w14:paraId="303EBA52" w14:textId="77777777" w:rsidR="00B50935" w:rsidRPr="007B62AA" w:rsidRDefault="00B50935" w:rsidP="00427764">
            <w:pPr>
              <w:jc w:val="center"/>
              <w:rPr>
                <w:noProof/>
                <w:sz w:val="20"/>
              </w:rPr>
            </w:pPr>
          </w:p>
        </w:tc>
        <w:tc>
          <w:tcPr>
            <w:tcW w:w="868" w:type="dxa"/>
            <w:vAlign w:val="center"/>
          </w:tcPr>
          <w:p w14:paraId="717E9628" w14:textId="77777777" w:rsidR="00B50935" w:rsidRPr="007B62AA" w:rsidRDefault="00B50935" w:rsidP="00427764">
            <w:pPr>
              <w:jc w:val="center"/>
              <w:rPr>
                <w:noProof/>
                <w:sz w:val="20"/>
              </w:rPr>
            </w:pPr>
            <w:r w:rsidRPr="007B62AA">
              <w:rPr>
                <w:sz w:val="20"/>
              </w:rPr>
              <w:t>Rok</w:t>
            </w:r>
            <w:r w:rsidRPr="007B62AA">
              <w:t xml:space="preserve"> </w:t>
            </w:r>
            <w:r w:rsidRPr="007B62AA">
              <w:br/>
            </w:r>
            <w:r w:rsidRPr="007B62AA">
              <w:rPr>
                <w:b/>
                <w:sz w:val="20"/>
              </w:rPr>
              <w:t>2021</w:t>
            </w:r>
          </w:p>
        </w:tc>
        <w:tc>
          <w:tcPr>
            <w:tcW w:w="868" w:type="dxa"/>
            <w:vAlign w:val="center"/>
          </w:tcPr>
          <w:p w14:paraId="2053697B" w14:textId="77777777" w:rsidR="00B50935" w:rsidRPr="007B62AA" w:rsidRDefault="00B50935" w:rsidP="00427764">
            <w:pPr>
              <w:jc w:val="center"/>
              <w:rPr>
                <w:noProof/>
                <w:sz w:val="20"/>
              </w:rPr>
            </w:pPr>
            <w:r w:rsidRPr="007B62AA">
              <w:rPr>
                <w:sz w:val="20"/>
              </w:rPr>
              <w:t>Rok</w:t>
            </w:r>
            <w:r w:rsidRPr="007B62AA">
              <w:t xml:space="preserve"> </w:t>
            </w:r>
            <w:r w:rsidRPr="007B62AA">
              <w:br/>
            </w:r>
            <w:r w:rsidRPr="007B62AA">
              <w:rPr>
                <w:b/>
                <w:sz w:val="20"/>
              </w:rPr>
              <w:t>2022</w:t>
            </w:r>
          </w:p>
        </w:tc>
        <w:tc>
          <w:tcPr>
            <w:tcW w:w="868" w:type="dxa"/>
            <w:vAlign w:val="center"/>
          </w:tcPr>
          <w:p w14:paraId="3B024B5B" w14:textId="77777777" w:rsidR="00B50935" w:rsidRPr="007B62AA" w:rsidRDefault="00B50935" w:rsidP="00427764">
            <w:pPr>
              <w:jc w:val="center"/>
              <w:rPr>
                <w:noProof/>
                <w:sz w:val="20"/>
              </w:rPr>
            </w:pPr>
            <w:r w:rsidRPr="007B62AA">
              <w:rPr>
                <w:sz w:val="20"/>
              </w:rPr>
              <w:t>Rok</w:t>
            </w:r>
            <w:r w:rsidRPr="007B62AA">
              <w:t xml:space="preserve"> </w:t>
            </w:r>
            <w:r w:rsidRPr="007B62AA">
              <w:br/>
            </w:r>
            <w:r w:rsidRPr="007B62AA">
              <w:rPr>
                <w:b/>
                <w:sz w:val="20"/>
              </w:rPr>
              <w:t>2023</w:t>
            </w:r>
          </w:p>
        </w:tc>
        <w:tc>
          <w:tcPr>
            <w:tcW w:w="868" w:type="dxa"/>
            <w:vAlign w:val="center"/>
          </w:tcPr>
          <w:p w14:paraId="6211BA53" w14:textId="77777777" w:rsidR="00B50935" w:rsidRPr="007B62AA" w:rsidRDefault="00B50935" w:rsidP="00427764">
            <w:pPr>
              <w:jc w:val="center"/>
              <w:rPr>
                <w:noProof/>
                <w:sz w:val="20"/>
              </w:rPr>
            </w:pPr>
            <w:r w:rsidRPr="007B62AA">
              <w:rPr>
                <w:sz w:val="20"/>
              </w:rPr>
              <w:t>Rok</w:t>
            </w:r>
            <w:r w:rsidRPr="007B62AA">
              <w:t xml:space="preserve"> </w:t>
            </w:r>
            <w:r w:rsidRPr="007B62AA">
              <w:br/>
            </w:r>
            <w:r w:rsidRPr="007B62AA">
              <w:rPr>
                <w:b/>
                <w:sz w:val="20"/>
              </w:rPr>
              <w:t>2024</w:t>
            </w:r>
          </w:p>
        </w:tc>
        <w:tc>
          <w:tcPr>
            <w:tcW w:w="1040" w:type="dxa"/>
            <w:vAlign w:val="center"/>
          </w:tcPr>
          <w:p w14:paraId="5D25DAF1" w14:textId="77777777" w:rsidR="00B50935" w:rsidRPr="007B62AA" w:rsidRDefault="00B50935" w:rsidP="00427764">
            <w:pPr>
              <w:jc w:val="center"/>
              <w:rPr>
                <w:b/>
                <w:noProof/>
                <w:sz w:val="18"/>
              </w:rPr>
            </w:pPr>
            <w:r w:rsidRPr="007B62AA">
              <w:rPr>
                <w:sz w:val="20"/>
              </w:rPr>
              <w:t>Rok</w:t>
            </w:r>
            <w:r w:rsidRPr="007B62AA">
              <w:t xml:space="preserve"> </w:t>
            </w:r>
            <w:r w:rsidRPr="007B62AA">
              <w:br/>
            </w:r>
            <w:r w:rsidRPr="007B62AA">
              <w:rPr>
                <w:b/>
                <w:sz w:val="20"/>
              </w:rPr>
              <w:t>2025</w:t>
            </w:r>
          </w:p>
        </w:tc>
        <w:tc>
          <w:tcPr>
            <w:tcW w:w="696" w:type="dxa"/>
            <w:vAlign w:val="center"/>
          </w:tcPr>
          <w:p w14:paraId="104D32C2" w14:textId="77777777" w:rsidR="00B50935" w:rsidRPr="007B62AA" w:rsidRDefault="00B50935" w:rsidP="00427764">
            <w:pPr>
              <w:jc w:val="center"/>
              <w:rPr>
                <w:b/>
                <w:noProof/>
                <w:sz w:val="18"/>
              </w:rPr>
            </w:pPr>
            <w:r w:rsidRPr="007B62AA">
              <w:rPr>
                <w:sz w:val="20"/>
              </w:rPr>
              <w:t>Rok</w:t>
            </w:r>
            <w:r w:rsidRPr="007B62AA">
              <w:t xml:space="preserve"> </w:t>
            </w:r>
            <w:r w:rsidRPr="007B62AA">
              <w:br/>
            </w:r>
            <w:r w:rsidRPr="007B62AA">
              <w:rPr>
                <w:b/>
                <w:sz w:val="20"/>
              </w:rPr>
              <w:t>2026</w:t>
            </w:r>
          </w:p>
        </w:tc>
        <w:tc>
          <w:tcPr>
            <w:tcW w:w="868" w:type="dxa"/>
            <w:vAlign w:val="center"/>
          </w:tcPr>
          <w:p w14:paraId="7CA102D5" w14:textId="4C29B18D" w:rsidR="00B50935" w:rsidRPr="007B62AA" w:rsidRDefault="00B50935" w:rsidP="00427764">
            <w:pPr>
              <w:jc w:val="center"/>
              <w:rPr>
                <w:b/>
                <w:noProof/>
                <w:sz w:val="18"/>
              </w:rPr>
            </w:pPr>
            <w:r w:rsidRPr="007B62AA">
              <w:rPr>
                <w:sz w:val="20"/>
              </w:rPr>
              <w:t>Rok</w:t>
            </w:r>
            <w:r w:rsidRPr="007B62AA">
              <w:t xml:space="preserve"> </w:t>
            </w:r>
            <w:r w:rsidRPr="007B62AA">
              <w:br/>
            </w:r>
            <w:r w:rsidRPr="007B62AA">
              <w:rPr>
                <w:b/>
                <w:sz w:val="20"/>
              </w:rPr>
              <w:t>2027</w:t>
            </w:r>
            <w:r w:rsidRPr="007B62AA">
              <w:rPr>
                <w:sz w:val="20"/>
              </w:rPr>
              <w:t xml:space="preserve"> </w:t>
            </w:r>
            <w:r w:rsidR="007D1A43">
              <w:rPr>
                <w:sz w:val="20"/>
              </w:rPr>
              <w:br/>
            </w:r>
            <w:r w:rsidRPr="007B62AA">
              <w:rPr>
                <w:sz w:val="20"/>
              </w:rPr>
              <w:t>a nasl.</w:t>
            </w:r>
          </w:p>
        </w:tc>
        <w:tc>
          <w:tcPr>
            <w:tcW w:w="1777" w:type="dxa"/>
            <w:vAlign w:val="center"/>
          </w:tcPr>
          <w:p w14:paraId="47F694B9" w14:textId="77777777" w:rsidR="00B50935" w:rsidRPr="007B62AA" w:rsidRDefault="00B50935" w:rsidP="00427764">
            <w:pPr>
              <w:jc w:val="center"/>
              <w:rPr>
                <w:b/>
                <w:noProof/>
                <w:sz w:val="20"/>
              </w:rPr>
            </w:pPr>
            <w:r w:rsidRPr="007B62AA">
              <w:rPr>
                <w:b/>
                <w:sz w:val="20"/>
              </w:rPr>
              <w:t>SPOLU</w:t>
            </w:r>
          </w:p>
        </w:tc>
      </w:tr>
      <w:tr w:rsidR="00B50935" w:rsidRPr="007B62AA" w14:paraId="5BA435AB" w14:textId="77777777" w:rsidTr="00427764">
        <w:trPr>
          <w:gridAfter w:val="10"/>
          <w:wAfter w:w="9947" w:type="dxa"/>
        </w:trPr>
        <w:tc>
          <w:tcPr>
            <w:tcW w:w="3960" w:type="dxa"/>
            <w:vAlign w:val="center"/>
          </w:tcPr>
          <w:p w14:paraId="76093E34" w14:textId="77777777" w:rsidR="00B50935" w:rsidRPr="007B62AA" w:rsidRDefault="00B50935" w:rsidP="00427764">
            <w:pPr>
              <w:spacing w:before="60" w:after="60"/>
              <w:jc w:val="center"/>
              <w:rPr>
                <w:noProof/>
              </w:rPr>
            </w:pPr>
            <w:r w:rsidRPr="007B62AA">
              <w:rPr>
                <w:sz w:val="22"/>
              </w:rPr>
              <w:t xml:space="preserve">GR: </w:t>
            </w:r>
            <w:r w:rsidRPr="007B62AA">
              <w:t>&lt;…….&gt;</w:t>
            </w:r>
          </w:p>
        </w:tc>
      </w:tr>
      <w:tr w:rsidR="00B50935" w:rsidRPr="007B62AA" w14:paraId="52B4E1E8" w14:textId="77777777" w:rsidTr="00427764">
        <w:trPr>
          <w:trHeight w:val="313"/>
        </w:trPr>
        <w:tc>
          <w:tcPr>
            <w:tcW w:w="6054" w:type="dxa"/>
            <w:gridSpan w:val="3"/>
            <w:vAlign w:val="center"/>
          </w:tcPr>
          <w:p w14:paraId="45ABC6CC" w14:textId="77777777" w:rsidR="00B50935" w:rsidRPr="007B62AA" w:rsidRDefault="00B50935" w:rsidP="00427764">
            <w:pPr>
              <w:spacing w:before="20" w:after="20"/>
              <w:rPr>
                <w:noProof/>
              </w:rPr>
            </w:pPr>
            <w:r w:rsidRPr="007B62AA">
              <w:rPr>
                <w:sz w:val="22"/>
              </w:rPr>
              <w:sym w:font="Wingdings" w:char="F09F"/>
            </w:r>
            <w:r w:rsidRPr="007B62AA">
              <w:rPr>
                <w:sz w:val="22"/>
              </w:rPr>
              <w:t xml:space="preserve"> Ľudské zdroje </w:t>
            </w:r>
          </w:p>
        </w:tc>
        <w:tc>
          <w:tcPr>
            <w:tcW w:w="868" w:type="dxa"/>
            <w:vAlign w:val="center"/>
          </w:tcPr>
          <w:p w14:paraId="69F66C9A" w14:textId="77777777" w:rsidR="00B50935" w:rsidRPr="007B62AA" w:rsidRDefault="00B50935" w:rsidP="00427764">
            <w:pPr>
              <w:spacing w:before="20" w:after="20"/>
              <w:jc w:val="right"/>
              <w:rPr>
                <w:noProof/>
                <w:sz w:val="20"/>
              </w:rPr>
            </w:pPr>
          </w:p>
        </w:tc>
        <w:tc>
          <w:tcPr>
            <w:tcW w:w="868" w:type="dxa"/>
            <w:vAlign w:val="center"/>
          </w:tcPr>
          <w:p w14:paraId="2DB150C0" w14:textId="77777777" w:rsidR="00B50935" w:rsidRPr="007B62AA" w:rsidRDefault="00B50935" w:rsidP="00427764">
            <w:pPr>
              <w:spacing w:before="20" w:after="20"/>
              <w:jc w:val="right"/>
              <w:rPr>
                <w:noProof/>
                <w:sz w:val="20"/>
              </w:rPr>
            </w:pPr>
          </w:p>
        </w:tc>
        <w:tc>
          <w:tcPr>
            <w:tcW w:w="868" w:type="dxa"/>
            <w:vAlign w:val="center"/>
          </w:tcPr>
          <w:p w14:paraId="06739272" w14:textId="77777777" w:rsidR="00B50935" w:rsidRPr="007B62AA" w:rsidRDefault="00B50935" w:rsidP="00427764">
            <w:pPr>
              <w:spacing w:before="20" w:after="20"/>
              <w:jc w:val="right"/>
              <w:rPr>
                <w:noProof/>
                <w:sz w:val="20"/>
              </w:rPr>
            </w:pPr>
          </w:p>
        </w:tc>
        <w:tc>
          <w:tcPr>
            <w:tcW w:w="868" w:type="dxa"/>
            <w:vAlign w:val="center"/>
          </w:tcPr>
          <w:p w14:paraId="1AC5D7D6" w14:textId="77777777" w:rsidR="00B50935" w:rsidRPr="007B62AA" w:rsidRDefault="00B50935" w:rsidP="00427764">
            <w:pPr>
              <w:spacing w:before="20" w:after="20"/>
              <w:jc w:val="right"/>
              <w:rPr>
                <w:noProof/>
                <w:sz w:val="20"/>
              </w:rPr>
            </w:pPr>
          </w:p>
        </w:tc>
        <w:tc>
          <w:tcPr>
            <w:tcW w:w="1040" w:type="dxa"/>
            <w:vAlign w:val="center"/>
          </w:tcPr>
          <w:p w14:paraId="32F5FDF7" w14:textId="77777777" w:rsidR="00B50935" w:rsidRPr="007B62AA" w:rsidRDefault="00B50935" w:rsidP="00427764">
            <w:pPr>
              <w:spacing w:before="20" w:after="20"/>
              <w:jc w:val="right"/>
              <w:rPr>
                <w:noProof/>
                <w:sz w:val="20"/>
              </w:rPr>
            </w:pPr>
          </w:p>
        </w:tc>
        <w:tc>
          <w:tcPr>
            <w:tcW w:w="696" w:type="dxa"/>
            <w:vAlign w:val="center"/>
          </w:tcPr>
          <w:p w14:paraId="221CC2AD" w14:textId="77777777" w:rsidR="00B50935" w:rsidRPr="007B62AA" w:rsidRDefault="00B50935" w:rsidP="00427764">
            <w:pPr>
              <w:spacing w:before="20" w:after="20"/>
              <w:jc w:val="right"/>
              <w:rPr>
                <w:noProof/>
                <w:sz w:val="20"/>
              </w:rPr>
            </w:pPr>
          </w:p>
        </w:tc>
        <w:tc>
          <w:tcPr>
            <w:tcW w:w="868" w:type="dxa"/>
            <w:vAlign w:val="center"/>
          </w:tcPr>
          <w:p w14:paraId="44652770" w14:textId="77777777" w:rsidR="00B50935" w:rsidRPr="007B62AA" w:rsidRDefault="00B50935" w:rsidP="00427764">
            <w:pPr>
              <w:spacing w:before="20" w:after="20"/>
              <w:jc w:val="right"/>
              <w:rPr>
                <w:b/>
                <w:noProof/>
                <w:sz w:val="20"/>
              </w:rPr>
            </w:pPr>
          </w:p>
        </w:tc>
        <w:tc>
          <w:tcPr>
            <w:tcW w:w="1777" w:type="dxa"/>
            <w:vAlign w:val="center"/>
          </w:tcPr>
          <w:p w14:paraId="77A6BD30" w14:textId="77777777" w:rsidR="00B50935" w:rsidRPr="007B62AA" w:rsidRDefault="00B50935" w:rsidP="00427764">
            <w:pPr>
              <w:spacing w:before="20" w:after="20"/>
              <w:jc w:val="right"/>
              <w:rPr>
                <w:b/>
                <w:noProof/>
                <w:sz w:val="20"/>
              </w:rPr>
            </w:pPr>
          </w:p>
        </w:tc>
      </w:tr>
      <w:tr w:rsidR="00B50935" w:rsidRPr="007B62AA" w14:paraId="35B262AB" w14:textId="77777777" w:rsidTr="00427764">
        <w:trPr>
          <w:trHeight w:val="351"/>
        </w:trPr>
        <w:tc>
          <w:tcPr>
            <w:tcW w:w="6054" w:type="dxa"/>
            <w:gridSpan w:val="3"/>
            <w:vAlign w:val="center"/>
          </w:tcPr>
          <w:p w14:paraId="004B6AB6" w14:textId="77777777" w:rsidR="00B50935" w:rsidRPr="007B62AA" w:rsidRDefault="00B50935" w:rsidP="00427764">
            <w:pPr>
              <w:spacing w:before="20" w:after="20"/>
              <w:rPr>
                <w:noProof/>
              </w:rPr>
            </w:pPr>
            <w:r w:rsidRPr="007B62AA">
              <w:rPr>
                <w:sz w:val="22"/>
              </w:rPr>
              <w:sym w:font="Wingdings" w:char="F09F"/>
            </w:r>
            <w:r w:rsidRPr="007B62AA">
              <w:rPr>
                <w:sz w:val="22"/>
              </w:rPr>
              <w:t xml:space="preserve"> Ostatné administratívne výdavky </w:t>
            </w:r>
          </w:p>
        </w:tc>
        <w:tc>
          <w:tcPr>
            <w:tcW w:w="868" w:type="dxa"/>
            <w:vAlign w:val="center"/>
          </w:tcPr>
          <w:p w14:paraId="68496B08" w14:textId="77777777" w:rsidR="00B50935" w:rsidRPr="007B62AA" w:rsidRDefault="00B50935" w:rsidP="00427764">
            <w:pPr>
              <w:spacing w:before="20" w:after="20"/>
              <w:jc w:val="right"/>
              <w:rPr>
                <w:b/>
                <w:noProof/>
                <w:sz w:val="20"/>
              </w:rPr>
            </w:pPr>
          </w:p>
        </w:tc>
        <w:tc>
          <w:tcPr>
            <w:tcW w:w="868" w:type="dxa"/>
            <w:vAlign w:val="center"/>
          </w:tcPr>
          <w:p w14:paraId="639C0479" w14:textId="77777777" w:rsidR="00B50935" w:rsidRPr="007B62AA" w:rsidRDefault="00B50935" w:rsidP="00427764">
            <w:pPr>
              <w:spacing w:before="20" w:after="20"/>
              <w:jc w:val="right"/>
              <w:rPr>
                <w:b/>
                <w:noProof/>
                <w:sz w:val="20"/>
              </w:rPr>
            </w:pPr>
          </w:p>
        </w:tc>
        <w:tc>
          <w:tcPr>
            <w:tcW w:w="868" w:type="dxa"/>
            <w:vAlign w:val="center"/>
          </w:tcPr>
          <w:p w14:paraId="736473C4" w14:textId="77777777" w:rsidR="00B50935" w:rsidRPr="007B62AA" w:rsidRDefault="00B50935" w:rsidP="00427764">
            <w:pPr>
              <w:spacing w:before="20" w:after="20"/>
              <w:jc w:val="right"/>
              <w:rPr>
                <w:b/>
                <w:noProof/>
                <w:sz w:val="20"/>
              </w:rPr>
            </w:pPr>
          </w:p>
        </w:tc>
        <w:tc>
          <w:tcPr>
            <w:tcW w:w="868" w:type="dxa"/>
            <w:vAlign w:val="center"/>
          </w:tcPr>
          <w:p w14:paraId="6FBA0FED" w14:textId="77777777" w:rsidR="00B50935" w:rsidRPr="007B62AA" w:rsidRDefault="00B50935" w:rsidP="00427764">
            <w:pPr>
              <w:spacing w:before="20" w:after="20"/>
              <w:jc w:val="right"/>
              <w:rPr>
                <w:b/>
                <w:noProof/>
                <w:sz w:val="20"/>
              </w:rPr>
            </w:pPr>
          </w:p>
        </w:tc>
        <w:tc>
          <w:tcPr>
            <w:tcW w:w="1040" w:type="dxa"/>
            <w:vAlign w:val="center"/>
          </w:tcPr>
          <w:p w14:paraId="5001DC53" w14:textId="77777777" w:rsidR="00B50935" w:rsidRPr="007B62AA" w:rsidRDefault="00B50935" w:rsidP="00427764">
            <w:pPr>
              <w:spacing w:before="20" w:after="20"/>
              <w:jc w:val="right"/>
              <w:rPr>
                <w:b/>
                <w:noProof/>
                <w:sz w:val="20"/>
              </w:rPr>
            </w:pPr>
          </w:p>
        </w:tc>
        <w:tc>
          <w:tcPr>
            <w:tcW w:w="696" w:type="dxa"/>
            <w:vAlign w:val="center"/>
          </w:tcPr>
          <w:p w14:paraId="726E4546" w14:textId="77777777" w:rsidR="00B50935" w:rsidRPr="007B62AA" w:rsidRDefault="00B50935" w:rsidP="00427764">
            <w:pPr>
              <w:spacing w:before="20" w:after="20"/>
              <w:jc w:val="right"/>
              <w:rPr>
                <w:b/>
                <w:noProof/>
                <w:sz w:val="20"/>
              </w:rPr>
            </w:pPr>
          </w:p>
        </w:tc>
        <w:tc>
          <w:tcPr>
            <w:tcW w:w="868" w:type="dxa"/>
            <w:vAlign w:val="center"/>
          </w:tcPr>
          <w:p w14:paraId="0B648891" w14:textId="77777777" w:rsidR="00B50935" w:rsidRPr="007B62AA" w:rsidRDefault="00B50935" w:rsidP="00427764">
            <w:pPr>
              <w:spacing w:before="20" w:after="20"/>
              <w:jc w:val="right"/>
              <w:rPr>
                <w:b/>
                <w:noProof/>
                <w:sz w:val="20"/>
              </w:rPr>
            </w:pPr>
          </w:p>
        </w:tc>
        <w:tc>
          <w:tcPr>
            <w:tcW w:w="1777" w:type="dxa"/>
            <w:vAlign w:val="center"/>
          </w:tcPr>
          <w:p w14:paraId="2AD7D926" w14:textId="77777777" w:rsidR="00B50935" w:rsidRPr="007B62AA" w:rsidRDefault="00B50935" w:rsidP="00427764">
            <w:pPr>
              <w:spacing w:before="20" w:after="20"/>
              <w:jc w:val="right"/>
              <w:rPr>
                <w:b/>
                <w:noProof/>
                <w:sz w:val="20"/>
              </w:rPr>
            </w:pPr>
          </w:p>
        </w:tc>
      </w:tr>
      <w:tr w:rsidR="00B50935" w:rsidRPr="007B62AA" w14:paraId="0BA68E14" w14:textId="77777777" w:rsidTr="00427764">
        <w:tc>
          <w:tcPr>
            <w:tcW w:w="3960" w:type="dxa"/>
            <w:vAlign w:val="center"/>
          </w:tcPr>
          <w:p w14:paraId="17800820" w14:textId="77777777" w:rsidR="00B50935" w:rsidRPr="007B62AA" w:rsidRDefault="00B50935" w:rsidP="00427764">
            <w:pPr>
              <w:jc w:val="center"/>
              <w:rPr>
                <w:b/>
                <w:noProof/>
              </w:rPr>
            </w:pPr>
            <w:r w:rsidRPr="007B62AA">
              <w:rPr>
                <w:b/>
                <w:bCs/>
              </w:rPr>
              <w:t>GR</w:t>
            </w:r>
            <w:r w:rsidRPr="007B62AA">
              <w:t xml:space="preserve"> &lt;…….&gt; </w:t>
            </w:r>
            <w:r w:rsidRPr="007B62AA">
              <w:rPr>
                <w:b/>
                <w:bCs/>
              </w:rPr>
              <w:t>SPOLU</w:t>
            </w:r>
          </w:p>
        </w:tc>
        <w:tc>
          <w:tcPr>
            <w:tcW w:w="2094" w:type="dxa"/>
            <w:gridSpan w:val="2"/>
            <w:vAlign w:val="center"/>
          </w:tcPr>
          <w:p w14:paraId="25C46A79" w14:textId="77777777" w:rsidR="00B50935" w:rsidRPr="007B62AA" w:rsidRDefault="00B50935" w:rsidP="00427764">
            <w:pPr>
              <w:rPr>
                <w:noProof/>
                <w:sz w:val="14"/>
              </w:rPr>
            </w:pPr>
            <w:r w:rsidRPr="007B62AA">
              <w:rPr>
                <w:sz w:val="18"/>
              </w:rPr>
              <w:t xml:space="preserve">Rozpočtové prostriedky </w:t>
            </w:r>
          </w:p>
        </w:tc>
        <w:tc>
          <w:tcPr>
            <w:tcW w:w="868" w:type="dxa"/>
            <w:vAlign w:val="center"/>
          </w:tcPr>
          <w:p w14:paraId="7B357C4B" w14:textId="77777777" w:rsidR="00B50935" w:rsidRPr="007B62AA" w:rsidRDefault="00B50935" w:rsidP="00427764">
            <w:pPr>
              <w:spacing w:before="60" w:after="60"/>
              <w:jc w:val="right"/>
              <w:rPr>
                <w:noProof/>
                <w:sz w:val="20"/>
              </w:rPr>
            </w:pPr>
          </w:p>
        </w:tc>
        <w:tc>
          <w:tcPr>
            <w:tcW w:w="868" w:type="dxa"/>
            <w:vAlign w:val="center"/>
          </w:tcPr>
          <w:p w14:paraId="4DEE4F5E" w14:textId="77777777" w:rsidR="00B50935" w:rsidRPr="007B62AA" w:rsidRDefault="00B50935" w:rsidP="00427764">
            <w:pPr>
              <w:spacing w:before="20" w:after="20"/>
              <w:jc w:val="right"/>
              <w:rPr>
                <w:noProof/>
                <w:sz w:val="20"/>
              </w:rPr>
            </w:pPr>
          </w:p>
        </w:tc>
        <w:tc>
          <w:tcPr>
            <w:tcW w:w="868" w:type="dxa"/>
            <w:vAlign w:val="center"/>
          </w:tcPr>
          <w:p w14:paraId="4A67A862" w14:textId="77777777" w:rsidR="00B50935" w:rsidRPr="007B62AA" w:rsidRDefault="00B50935" w:rsidP="00427764">
            <w:pPr>
              <w:spacing w:before="20" w:after="20"/>
              <w:jc w:val="right"/>
              <w:rPr>
                <w:noProof/>
                <w:sz w:val="20"/>
              </w:rPr>
            </w:pPr>
          </w:p>
        </w:tc>
        <w:tc>
          <w:tcPr>
            <w:tcW w:w="868" w:type="dxa"/>
            <w:vAlign w:val="center"/>
          </w:tcPr>
          <w:p w14:paraId="05B38C46" w14:textId="77777777" w:rsidR="00B50935" w:rsidRPr="007B62AA" w:rsidRDefault="00B50935" w:rsidP="00427764">
            <w:pPr>
              <w:spacing w:before="20" w:after="20"/>
              <w:jc w:val="right"/>
              <w:rPr>
                <w:noProof/>
                <w:sz w:val="20"/>
              </w:rPr>
            </w:pPr>
          </w:p>
        </w:tc>
        <w:tc>
          <w:tcPr>
            <w:tcW w:w="1040" w:type="dxa"/>
            <w:vAlign w:val="center"/>
          </w:tcPr>
          <w:p w14:paraId="541916A5" w14:textId="77777777" w:rsidR="00B50935" w:rsidRPr="007B62AA" w:rsidRDefault="00B50935" w:rsidP="00427764">
            <w:pPr>
              <w:spacing w:before="20" w:after="20"/>
              <w:jc w:val="right"/>
              <w:rPr>
                <w:noProof/>
                <w:sz w:val="20"/>
              </w:rPr>
            </w:pPr>
          </w:p>
        </w:tc>
        <w:tc>
          <w:tcPr>
            <w:tcW w:w="696" w:type="dxa"/>
            <w:vAlign w:val="center"/>
          </w:tcPr>
          <w:p w14:paraId="6186A124" w14:textId="77777777" w:rsidR="00B50935" w:rsidRPr="007B62AA" w:rsidRDefault="00B50935" w:rsidP="00427764">
            <w:pPr>
              <w:spacing w:before="20" w:after="20"/>
              <w:jc w:val="right"/>
              <w:rPr>
                <w:noProof/>
                <w:sz w:val="20"/>
              </w:rPr>
            </w:pPr>
          </w:p>
        </w:tc>
        <w:tc>
          <w:tcPr>
            <w:tcW w:w="868" w:type="dxa"/>
            <w:vAlign w:val="center"/>
          </w:tcPr>
          <w:p w14:paraId="04E0BCD2" w14:textId="77777777" w:rsidR="00B50935" w:rsidRPr="007B62AA" w:rsidRDefault="00B50935" w:rsidP="00427764">
            <w:pPr>
              <w:spacing w:before="20" w:after="20"/>
              <w:jc w:val="right"/>
              <w:rPr>
                <w:b/>
                <w:noProof/>
                <w:sz w:val="20"/>
              </w:rPr>
            </w:pPr>
          </w:p>
        </w:tc>
        <w:tc>
          <w:tcPr>
            <w:tcW w:w="1777" w:type="dxa"/>
            <w:vAlign w:val="center"/>
          </w:tcPr>
          <w:p w14:paraId="3CB8767E" w14:textId="77777777" w:rsidR="00B50935" w:rsidRPr="007B62AA" w:rsidRDefault="00B50935" w:rsidP="00427764">
            <w:pPr>
              <w:spacing w:before="20" w:after="20"/>
              <w:jc w:val="right"/>
              <w:rPr>
                <w:b/>
                <w:noProof/>
                <w:sz w:val="20"/>
              </w:rPr>
            </w:pPr>
          </w:p>
        </w:tc>
      </w:tr>
    </w:tbl>
    <w:p w14:paraId="0FA541A0" w14:textId="77777777" w:rsidR="00B50935" w:rsidRPr="007B62AA" w:rsidRDefault="00B50935" w:rsidP="00B50935">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B50935" w:rsidRPr="007B62AA" w14:paraId="041E838C" w14:textId="77777777" w:rsidTr="00427764">
        <w:tc>
          <w:tcPr>
            <w:tcW w:w="3960" w:type="dxa"/>
            <w:shd w:val="thinDiagStripe" w:color="C0C0C0" w:fill="auto"/>
            <w:vAlign w:val="center"/>
          </w:tcPr>
          <w:p w14:paraId="51D35EFB" w14:textId="77777777" w:rsidR="00B50935" w:rsidRPr="007B62AA" w:rsidRDefault="00B50935" w:rsidP="00427764">
            <w:pPr>
              <w:jc w:val="center"/>
              <w:rPr>
                <w:b/>
                <w:noProof/>
              </w:rPr>
            </w:pPr>
            <w:r w:rsidRPr="007B62AA">
              <w:rPr>
                <w:b/>
                <w:sz w:val="22"/>
              </w:rPr>
              <w:t>Rozpočtové prostriedky</w:t>
            </w:r>
            <w:r w:rsidRPr="007B62AA">
              <w:t xml:space="preserve"> </w:t>
            </w:r>
            <w:r w:rsidRPr="007B62AA">
              <w:br/>
            </w:r>
            <w:r w:rsidRPr="007B62AA">
              <w:rPr>
                <w:b/>
                <w:sz w:val="22"/>
              </w:rPr>
              <w:t>OKRUHU 7</w:t>
            </w:r>
            <w:r w:rsidRPr="007B62AA">
              <w:t xml:space="preserve"> </w:t>
            </w:r>
            <w:r w:rsidRPr="007B62AA">
              <w:br/>
            </w:r>
            <w:r w:rsidRPr="007B62AA">
              <w:rPr>
                <w:sz w:val="22"/>
              </w:rPr>
              <w:t xml:space="preserve">viacročného finančného rámca </w:t>
            </w:r>
            <w:r w:rsidRPr="007B62AA">
              <w:rPr>
                <w:b/>
                <w:bCs/>
                <w:sz w:val="22"/>
              </w:rPr>
              <w:t>SPOLU</w:t>
            </w:r>
            <w:r w:rsidRPr="007B62AA">
              <w:rPr>
                <w:b/>
                <w:sz w:val="22"/>
              </w:rPr>
              <w:t xml:space="preserve"> </w:t>
            </w:r>
          </w:p>
        </w:tc>
        <w:tc>
          <w:tcPr>
            <w:tcW w:w="2094" w:type="dxa"/>
            <w:vAlign w:val="center"/>
          </w:tcPr>
          <w:p w14:paraId="34EFA471" w14:textId="77777777" w:rsidR="00B50935" w:rsidRPr="007B62AA" w:rsidRDefault="00B50935" w:rsidP="00427764">
            <w:pPr>
              <w:spacing w:before="40" w:after="40"/>
              <w:rPr>
                <w:noProof/>
              </w:rPr>
            </w:pPr>
            <w:r w:rsidRPr="007B62AA">
              <w:rPr>
                <w:sz w:val="18"/>
              </w:rPr>
              <w:t>(Záväzky spolu = Platby spolu)</w:t>
            </w:r>
          </w:p>
        </w:tc>
        <w:tc>
          <w:tcPr>
            <w:tcW w:w="868" w:type="dxa"/>
            <w:vAlign w:val="center"/>
          </w:tcPr>
          <w:p w14:paraId="6884540C" w14:textId="77777777" w:rsidR="00B50935" w:rsidRPr="007B62AA" w:rsidRDefault="00B50935" w:rsidP="00427764">
            <w:pPr>
              <w:spacing w:before="20" w:after="20"/>
              <w:jc w:val="right"/>
              <w:rPr>
                <w:noProof/>
                <w:sz w:val="20"/>
              </w:rPr>
            </w:pPr>
          </w:p>
        </w:tc>
        <w:tc>
          <w:tcPr>
            <w:tcW w:w="868" w:type="dxa"/>
            <w:vAlign w:val="center"/>
          </w:tcPr>
          <w:p w14:paraId="379937C3" w14:textId="77777777" w:rsidR="00B50935" w:rsidRPr="007B62AA" w:rsidRDefault="00B50935" w:rsidP="00427764">
            <w:pPr>
              <w:spacing w:before="20" w:after="20"/>
              <w:jc w:val="right"/>
              <w:rPr>
                <w:noProof/>
                <w:sz w:val="20"/>
              </w:rPr>
            </w:pPr>
          </w:p>
        </w:tc>
        <w:tc>
          <w:tcPr>
            <w:tcW w:w="868" w:type="dxa"/>
            <w:vAlign w:val="center"/>
          </w:tcPr>
          <w:p w14:paraId="0BFD00CB" w14:textId="77777777" w:rsidR="00B50935" w:rsidRPr="007B62AA" w:rsidRDefault="00B50935" w:rsidP="00427764">
            <w:pPr>
              <w:spacing w:before="20" w:after="20"/>
              <w:jc w:val="right"/>
              <w:rPr>
                <w:noProof/>
                <w:sz w:val="20"/>
              </w:rPr>
            </w:pPr>
          </w:p>
        </w:tc>
        <w:tc>
          <w:tcPr>
            <w:tcW w:w="868" w:type="dxa"/>
            <w:vAlign w:val="center"/>
          </w:tcPr>
          <w:p w14:paraId="04143421" w14:textId="77777777" w:rsidR="00B50935" w:rsidRPr="007B62AA" w:rsidRDefault="00B50935" w:rsidP="00427764">
            <w:pPr>
              <w:spacing w:before="20" w:after="20"/>
              <w:jc w:val="right"/>
              <w:rPr>
                <w:noProof/>
                <w:sz w:val="20"/>
              </w:rPr>
            </w:pPr>
          </w:p>
        </w:tc>
        <w:tc>
          <w:tcPr>
            <w:tcW w:w="868" w:type="dxa"/>
            <w:vAlign w:val="center"/>
          </w:tcPr>
          <w:p w14:paraId="16209B4D" w14:textId="77777777" w:rsidR="00B50935" w:rsidRPr="007B62AA" w:rsidRDefault="00B50935" w:rsidP="00427764">
            <w:pPr>
              <w:spacing w:before="20" w:after="20"/>
              <w:jc w:val="right"/>
              <w:rPr>
                <w:noProof/>
                <w:sz w:val="20"/>
              </w:rPr>
            </w:pPr>
          </w:p>
        </w:tc>
        <w:tc>
          <w:tcPr>
            <w:tcW w:w="868" w:type="dxa"/>
            <w:vAlign w:val="center"/>
          </w:tcPr>
          <w:p w14:paraId="7BF28D1F" w14:textId="77777777" w:rsidR="00B50935" w:rsidRPr="007B62AA" w:rsidRDefault="00B50935" w:rsidP="00427764">
            <w:pPr>
              <w:spacing w:before="20" w:after="20"/>
              <w:jc w:val="right"/>
              <w:rPr>
                <w:noProof/>
                <w:sz w:val="20"/>
              </w:rPr>
            </w:pPr>
          </w:p>
        </w:tc>
        <w:tc>
          <w:tcPr>
            <w:tcW w:w="868" w:type="dxa"/>
            <w:vAlign w:val="center"/>
          </w:tcPr>
          <w:p w14:paraId="231CC84A" w14:textId="77777777" w:rsidR="00B50935" w:rsidRPr="007B62AA" w:rsidRDefault="00B50935" w:rsidP="00427764">
            <w:pPr>
              <w:spacing w:before="20" w:after="20"/>
              <w:jc w:val="right"/>
              <w:rPr>
                <w:b/>
                <w:noProof/>
                <w:sz w:val="20"/>
              </w:rPr>
            </w:pPr>
          </w:p>
        </w:tc>
        <w:tc>
          <w:tcPr>
            <w:tcW w:w="1777" w:type="dxa"/>
            <w:vAlign w:val="center"/>
          </w:tcPr>
          <w:p w14:paraId="223C7343" w14:textId="77777777" w:rsidR="00B50935" w:rsidRPr="007B62AA" w:rsidRDefault="00B50935" w:rsidP="00427764">
            <w:pPr>
              <w:spacing w:before="20" w:after="20"/>
              <w:jc w:val="right"/>
              <w:rPr>
                <w:b/>
                <w:noProof/>
                <w:sz w:val="20"/>
              </w:rPr>
            </w:pPr>
          </w:p>
        </w:tc>
      </w:tr>
    </w:tbl>
    <w:p w14:paraId="21A939CC" w14:textId="77777777" w:rsidR="00B50935" w:rsidRPr="007B62AA" w:rsidRDefault="00B50935" w:rsidP="00B50935">
      <w:pPr>
        <w:jc w:val="right"/>
        <w:rPr>
          <w:noProof/>
          <w:sz w:val="20"/>
        </w:rPr>
      </w:pPr>
      <w:r w:rsidRPr="007B62AA">
        <w:rPr>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50935" w:rsidRPr="007B62AA" w14:paraId="1781A8A8" w14:textId="77777777" w:rsidTr="00427764">
        <w:tc>
          <w:tcPr>
            <w:tcW w:w="3960" w:type="dxa"/>
            <w:tcBorders>
              <w:top w:val="nil"/>
              <w:left w:val="nil"/>
              <w:right w:val="nil"/>
            </w:tcBorders>
            <w:vAlign w:val="center"/>
          </w:tcPr>
          <w:p w14:paraId="741B19D4" w14:textId="77777777" w:rsidR="00B50935" w:rsidRPr="007B62AA" w:rsidRDefault="00B50935" w:rsidP="00427764">
            <w:pPr>
              <w:jc w:val="center"/>
              <w:rPr>
                <w:noProof/>
              </w:rPr>
            </w:pPr>
          </w:p>
        </w:tc>
        <w:tc>
          <w:tcPr>
            <w:tcW w:w="1560" w:type="dxa"/>
            <w:tcBorders>
              <w:top w:val="nil"/>
              <w:left w:val="nil"/>
              <w:right w:val="nil"/>
            </w:tcBorders>
          </w:tcPr>
          <w:p w14:paraId="4EBAC83C" w14:textId="77777777" w:rsidR="00B50935" w:rsidRPr="007B62AA" w:rsidRDefault="00B50935" w:rsidP="00427764">
            <w:pPr>
              <w:rPr>
                <w:noProof/>
                <w:sz w:val="20"/>
              </w:rPr>
            </w:pPr>
          </w:p>
        </w:tc>
        <w:tc>
          <w:tcPr>
            <w:tcW w:w="534" w:type="dxa"/>
            <w:tcBorders>
              <w:top w:val="nil"/>
              <w:left w:val="nil"/>
            </w:tcBorders>
          </w:tcPr>
          <w:p w14:paraId="6EA08720" w14:textId="77777777" w:rsidR="00B50935" w:rsidRPr="007B62AA" w:rsidRDefault="00B50935" w:rsidP="00427764">
            <w:pPr>
              <w:jc w:val="center"/>
              <w:rPr>
                <w:noProof/>
                <w:sz w:val="20"/>
              </w:rPr>
            </w:pPr>
          </w:p>
        </w:tc>
        <w:tc>
          <w:tcPr>
            <w:tcW w:w="868" w:type="dxa"/>
            <w:vAlign w:val="center"/>
          </w:tcPr>
          <w:p w14:paraId="1F6CD4F5" w14:textId="77777777" w:rsidR="00B50935" w:rsidRPr="007B62AA" w:rsidRDefault="00B50935" w:rsidP="00427764">
            <w:pPr>
              <w:jc w:val="center"/>
              <w:rPr>
                <w:noProof/>
                <w:sz w:val="20"/>
              </w:rPr>
            </w:pPr>
            <w:r w:rsidRPr="007B62AA">
              <w:rPr>
                <w:sz w:val="20"/>
              </w:rPr>
              <w:t>Rok</w:t>
            </w:r>
            <w:r w:rsidRPr="007B62AA">
              <w:t xml:space="preserve"> </w:t>
            </w:r>
            <w:r w:rsidRPr="007B62AA">
              <w:br/>
            </w:r>
            <w:r w:rsidRPr="007B62AA">
              <w:rPr>
                <w:b/>
                <w:sz w:val="20"/>
              </w:rPr>
              <w:t>2021</w:t>
            </w:r>
          </w:p>
        </w:tc>
        <w:tc>
          <w:tcPr>
            <w:tcW w:w="868" w:type="dxa"/>
            <w:vAlign w:val="center"/>
          </w:tcPr>
          <w:p w14:paraId="2D327812" w14:textId="77777777" w:rsidR="00B50935" w:rsidRPr="007B62AA" w:rsidRDefault="00B50935" w:rsidP="00427764">
            <w:pPr>
              <w:jc w:val="center"/>
              <w:rPr>
                <w:noProof/>
                <w:sz w:val="20"/>
              </w:rPr>
            </w:pPr>
            <w:r w:rsidRPr="007B62AA">
              <w:rPr>
                <w:sz w:val="20"/>
              </w:rPr>
              <w:t>Rok</w:t>
            </w:r>
            <w:r w:rsidRPr="007B62AA">
              <w:t xml:space="preserve"> </w:t>
            </w:r>
            <w:r w:rsidRPr="007B62AA">
              <w:br/>
            </w:r>
            <w:r w:rsidRPr="007B62AA">
              <w:rPr>
                <w:b/>
                <w:sz w:val="20"/>
              </w:rPr>
              <w:t>2022</w:t>
            </w:r>
          </w:p>
        </w:tc>
        <w:tc>
          <w:tcPr>
            <w:tcW w:w="868" w:type="dxa"/>
            <w:vAlign w:val="center"/>
          </w:tcPr>
          <w:p w14:paraId="043525CE" w14:textId="77777777" w:rsidR="00B50935" w:rsidRPr="007B62AA" w:rsidRDefault="00B50935" w:rsidP="00427764">
            <w:pPr>
              <w:jc w:val="center"/>
              <w:rPr>
                <w:noProof/>
                <w:sz w:val="20"/>
              </w:rPr>
            </w:pPr>
            <w:r w:rsidRPr="007B62AA">
              <w:rPr>
                <w:sz w:val="20"/>
              </w:rPr>
              <w:t>Rok</w:t>
            </w:r>
            <w:r w:rsidRPr="007B62AA">
              <w:t xml:space="preserve"> </w:t>
            </w:r>
            <w:r w:rsidRPr="007B62AA">
              <w:br/>
            </w:r>
            <w:r w:rsidRPr="007B62AA">
              <w:rPr>
                <w:b/>
                <w:sz w:val="20"/>
              </w:rPr>
              <w:t>2023</w:t>
            </w:r>
          </w:p>
        </w:tc>
        <w:tc>
          <w:tcPr>
            <w:tcW w:w="868" w:type="dxa"/>
            <w:vAlign w:val="center"/>
          </w:tcPr>
          <w:p w14:paraId="05F80C75" w14:textId="77777777" w:rsidR="00B50935" w:rsidRPr="007B62AA" w:rsidRDefault="00B50935" w:rsidP="00427764">
            <w:pPr>
              <w:jc w:val="center"/>
              <w:rPr>
                <w:noProof/>
                <w:sz w:val="20"/>
              </w:rPr>
            </w:pPr>
            <w:r w:rsidRPr="007B62AA">
              <w:rPr>
                <w:sz w:val="20"/>
              </w:rPr>
              <w:t>Rok</w:t>
            </w:r>
            <w:r w:rsidRPr="007B62AA">
              <w:t xml:space="preserve"> </w:t>
            </w:r>
            <w:r w:rsidRPr="007B62AA">
              <w:br/>
            </w:r>
            <w:r w:rsidRPr="007B62AA">
              <w:rPr>
                <w:b/>
                <w:sz w:val="20"/>
              </w:rPr>
              <w:t>2024</w:t>
            </w:r>
          </w:p>
        </w:tc>
        <w:tc>
          <w:tcPr>
            <w:tcW w:w="868" w:type="dxa"/>
            <w:vAlign w:val="center"/>
          </w:tcPr>
          <w:p w14:paraId="180295F6" w14:textId="77777777" w:rsidR="00B50935" w:rsidRPr="007B62AA" w:rsidRDefault="00B50935" w:rsidP="00427764">
            <w:pPr>
              <w:jc w:val="center"/>
              <w:rPr>
                <w:b/>
                <w:noProof/>
                <w:sz w:val="18"/>
              </w:rPr>
            </w:pPr>
            <w:r w:rsidRPr="007B62AA">
              <w:rPr>
                <w:sz w:val="20"/>
              </w:rPr>
              <w:t>Rok</w:t>
            </w:r>
            <w:r w:rsidRPr="007B62AA">
              <w:t xml:space="preserve"> </w:t>
            </w:r>
            <w:r w:rsidRPr="007B62AA">
              <w:br/>
            </w:r>
            <w:r w:rsidRPr="007B62AA">
              <w:rPr>
                <w:b/>
                <w:sz w:val="20"/>
              </w:rPr>
              <w:t>2025</w:t>
            </w:r>
          </w:p>
        </w:tc>
        <w:tc>
          <w:tcPr>
            <w:tcW w:w="868" w:type="dxa"/>
            <w:vAlign w:val="center"/>
          </w:tcPr>
          <w:p w14:paraId="363FAD59" w14:textId="77777777" w:rsidR="00B50935" w:rsidRPr="007B62AA" w:rsidRDefault="00B50935" w:rsidP="00427764">
            <w:pPr>
              <w:jc w:val="center"/>
              <w:rPr>
                <w:b/>
                <w:noProof/>
                <w:sz w:val="18"/>
              </w:rPr>
            </w:pPr>
            <w:r w:rsidRPr="007B62AA">
              <w:rPr>
                <w:sz w:val="20"/>
              </w:rPr>
              <w:t>Rok</w:t>
            </w:r>
            <w:r w:rsidRPr="007B62AA">
              <w:t xml:space="preserve"> </w:t>
            </w:r>
            <w:r w:rsidRPr="007B62AA">
              <w:br/>
            </w:r>
            <w:r w:rsidRPr="007B62AA">
              <w:rPr>
                <w:b/>
                <w:sz w:val="20"/>
              </w:rPr>
              <w:t>2026</w:t>
            </w:r>
          </w:p>
        </w:tc>
        <w:tc>
          <w:tcPr>
            <w:tcW w:w="868" w:type="dxa"/>
            <w:vAlign w:val="center"/>
          </w:tcPr>
          <w:p w14:paraId="43EA04E6" w14:textId="7285326E" w:rsidR="00B50935" w:rsidRPr="007B62AA" w:rsidRDefault="00B50935" w:rsidP="00427764">
            <w:pPr>
              <w:jc w:val="center"/>
              <w:rPr>
                <w:b/>
                <w:noProof/>
                <w:sz w:val="18"/>
              </w:rPr>
            </w:pPr>
            <w:r w:rsidRPr="007B62AA">
              <w:rPr>
                <w:sz w:val="20"/>
              </w:rPr>
              <w:t>Rok</w:t>
            </w:r>
            <w:r w:rsidRPr="007B62AA">
              <w:t xml:space="preserve"> </w:t>
            </w:r>
            <w:r w:rsidRPr="007B62AA">
              <w:br/>
            </w:r>
            <w:r w:rsidRPr="007B62AA">
              <w:rPr>
                <w:b/>
                <w:sz w:val="20"/>
              </w:rPr>
              <w:t>2027</w:t>
            </w:r>
            <w:r w:rsidRPr="007B62AA">
              <w:rPr>
                <w:sz w:val="20"/>
              </w:rPr>
              <w:t xml:space="preserve"> </w:t>
            </w:r>
            <w:r w:rsidR="007D1A43">
              <w:rPr>
                <w:sz w:val="20"/>
              </w:rPr>
              <w:br/>
            </w:r>
            <w:r w:rsidRPr="007B62AA">
              <w:rPr>
                <w:sz w:val="20"/>
              </w:rPr>
              <w:t>a nasl.</w:t>
            </w:r>
          </w:p>
        </w:tc>
        <w:tc>
          <w:tcPr>
            <w:tcW w:w="1777" w:type="dxa"/>
            <w:vAlign w:val="center"/>
          </w:tcPr>
          <w:p w14:paraId="03CAD608" w14:textId="77777777" w:rsidR="00B50935" w:rsidRPr="007B62AA" w:rsidRDefault="00B50935" w:rsidP="00427764">
            <w:pPr>
              <w:jc w:val="center"/>
              <w:rPr>
                <w:b/>
                <w:noProof/>
                <w:sz w:val="20"/>
              </w:rPr>
            </w:pPr>
            <w:r w:rsidRPr="007B62AA">
              <w:rPr>
                <w:b/>
                <w:sz w:val="20"/>
              </w:rPr>
              <w:t>SPOLU</w:t>
            </w:r>
          </w:p>
        </w:tc>
      </w:tr>
      <w:tr w:rsidR="00B50935" w:rsidRPr="007B62AA" w14:paraId="6F9E1699" w14:textId="77777777" w:rsidTr="00427764">
        <w:tc>
          <w:tcPr>
            <w:tcW w:w="3960" w:type="dxa"/>
            <w:vMerge w:val="restart"/>
            <w:shd w:val="clear" w:color="auto" w:fill="C0C0C0"/>
            <w:vAlign w:val="center"/>
          </w:tcPr>
          <w:p w14:paraId="642FEDE6" w14:textId="6720FE0B" w:rsidR="00B50935" w:rsidRPr="007B62AA" w:rsidRDefault="00B50935" w:rsidP="00427764">
            <w:pPr>
              <w:jc w:val="center"/>
              <w:rPr>
                <w:b/>
                <w:noProof/>
              </w:rPr>
            </w:pPr>
            <w:r w:rsidRPr="007B62AA">
              <w:rPr>
                <w:b/>
                <w:sz w:val="22"/>
              </w:rPr>
              <w:t xml:space="preserve">Rozpočtové prostriedky </w:t>
            </w:r>
            <w:r w:rsidRPr="007B62AA">
              <w:br/>
            </w:r>
            <w:r w:rsidRPr="007B62AA">
              <w:rPr>
                <w:b/>
                <w:sz w:val="22"/>
              </w:rPr>
              <w:t>OKRUHOV 1 až 7</w:t>
            </w:r>
            <w:r w:rsidRPr="007B62AA">
              <w:t xml:space="preserve"> </w:t>
            </w:r>
            <w:r w:rsidRPr="007B62AA">
              <w:br/>
            </w:r>
            <w:r w:rsidRPr="007B62AA">
              <w:rPr>
                <w:sz w:val="22"/>
              </w:rPr>
              <w:t xml:space="preserve">viacročného finančného rámca </w:t>
            </w:r>
            <w:r w:rsidRPr="007B62AA">
              <w:rPr>
                <w:b/>
                <w:bCs/>
                <w:sz w:val="22"/>
              </w:rPr>
              <w:t>SPOLU</w:t>
            </w:r>
            <w:r w:rsidRPr="007B62AA">
              <w:rPr>
                <w:b/>
                <w:sz w:val="22"/>
              </w:rPr>
              <w:t xml:space="preserve"> </w:t>
            </w:r>
          </w:p>
        </w:tc>
        <w:tc>
          <w:tcPr>
            <w:tcW w:w="2094" w:type="dxa"/>
            <w:gridSpan w:val="2"/>
            <w:vAlign w:val="center"/>
          </w:tcPr>
          <w:p w14:paraId="1DC68B97" w14:textId="77777777" w:rsidR="00B50935" w:rsidRPr="007B62AA" w:rsidRDefault="00B50935" w:rsidP="00427764">
            <w:pPr>
              <w:rPr>
                <w:noProof/>
                <w:sz w:val="14"/>
              </w:rPr>
            </w:pPr>
            <w:r w:rsidRPr="007B62AA">
              <w:rPr>
                <w:sz w:val="18"/>
              </w:rPr>
              <w:t>Záväzky</w:t>
            </w:r>
          </w:p>
        </w:tc>
        <w:tc>
          <w:tcPr>
            <w:tcW w:w="868" w:type="dxa"/>
            <w:vAlign w:val="center"/>
          </w:tcPr>
          <w:p w14:paraId="64E5DD12" w14:textId="77777777" w:rsidR="00B50935" w:rsidRPr="007B62AA" w:rsidRDefault="00B50935" w:rsidP="00427764">
            <w:pPr>
              <w:spacing w:before="60" w:after="60"/>
              <w:jc w:val="right"/>
              <w:rPr>
                <w:b/>
                <w:noProof/>
                <w:sz w:val="20"/>
              </w:rPr>
            </w:pPr>
            <w:r w:rsidRPr="007B62AA">
              <w:rPr>
                <w:b/>
                <w:sz w:val="20"/>
              </w:rPr>
              <w:t xml:space="preserve"> 16,040 </w:t>
            </w:r>
          </w:p>
        </w:tc>
        <w:tc>
          <w:tcPr>
            <w:tcW w:w="868" w:type="dxa"/>
            <w:vAlign w:val="center"/>
          </w:tcPr>
          <w:p w14:paraId="615EE4BD" w14:textId="77777777" w:rsidR="00B50935" w:rsidRPr="007B62AA" w:rsidRDefault="00B50935" w:rsidP="00427764">
            <w:pPr>
              <w:spacing w:before="60" w:after="60"/>
              <w:jc w:val="right"/>
              <w:rPr>
                <w:b/>
                <w:noProof/>
                <w:sz w:val="20"/>
              </w:rPr>
            </w:pPr>
            <w:r w:rsidRPr="007B62AA">
              <w:rPr>
                <w:b/>
                <w:sz w:val="20"/>
              </w:rPr>
              <w:t xml:space="preserve"> 23,350 </w:t>
            </w:r>
          </w:p>
        </w:tc>
        <w:tc>
          <w:tcPr>
            <w:tcW w:w="868" w:type="dxa"/>
            <w:vAlign w:val="center"/>
          </w:tcPr>
          <w:p w14:paraId="107A0167" w14:textId="77777777" w:rsidR="00B50935" w:rsidRPr="007B62AA" w:rsidRDefault="00B50935" w:rsidP="00427764">
            <w:pPr>
              <w:spacing w:before="60" w:after="60"/>
              <w:jc w:val="right"/>
              <w:rPr>
                <w:b/>
                <w:noProof/>
                <w:sz w:val="20"/>
              </w:rPr>
            </w:pPr>
            <w:r w:rsidRPr="007B62AA">
              <w:rPr>
                <w:b/>
                <w:sz w:val="20"/>
              </w:rPr>
              <w:t xml:space="preserve"> 25,080 </w:t>
            </w:r>
          </w:p>
        </w:tc>
        <w:tc>
          <w:tcPr>
            <w:tcW w:w="868" w:type="dxa"/>
            <w:vAlign w:val="center"/>
          </w:tcPr>
          <w:p w14:paraId="33947E9F" w14:textId="77777777" w:rsidR="00B50935" w:rsidRPr="007B62AA" w:rsidRDefault="00B50935" w:rsidP="00427764">
            <w:pPr>
              <w:spacing w:before="60" w:after="60"/>
              <w:jc w:val="right"/>
              <w:rPr>
                <w:b/>
                <w:noProof/>
                <w:sz w:val="20"/>
              </w:rPr>
            </w:pPr>
            <w:r w:rsidRPr="007B62AA">
              <w:rPr>
                <w:b/>
                <w:sz w:val="20"/>
              </w:rPr>
              <w:t xml:space="preserve"> 25,990 </w:t>
            </w:r>
          </w:p>
        </w:tc>
        <w:tc>
          <w:tcPr>
            <w:tcW w:w="868" w:type="dxa"/>
            <w:vAlign w:val="center"/>
          </w:tcPr>
          <w:p w14:paraId="62CA680F" w14:textId="77777777" w:rsidR="00B50935" w:rsidRPr="007B62AA" w:rsidRDefault="00B50935" w:rsidP="00427764">
            <w:pPr>
              <w:spacing w:before="60" w:after="60"/>
              <w:jc w:val="right"/>
              <w:rPr>
                <w:b/>
                <w:noProof/>
                <w:sz w:val="20"/>
              </w:rPr>
            </w:pPr>
            <w:r w:rsidRPr="007B62AA">
              <w:rPr>
                <w:b/>
                <w:sz w:val="20"/>
              </w:rPr>
              <w:t xml:space="preserve"> 22,990 </w:t>
            </w:r>
          </w:p>
        </w:tc>
        <w:tc>
          <w:tcPr>
            <w:tcW w:w="868" w:type="dxa"/>
            <w:vAlign w:val="center"/>
          </w:tcPr>
          <w:p w14:paraId="0A070089" w14:textId="77777777" w:rsidR="00B50935" w:rsidRPr="007B62AA" w:rsidRDefault="00B50935" w:rsidP="00427764">
            <w:pPr>
              <w:spacing w:before="60" w:after="60"/>
              <w:jc w:val="right"/>
              <w:rPr>
                <w:b/>
                <w:noProof/>
                <w:sz w:val="20"/>
              </w:rPr>
            </w:pPr>
            <w:r w:rsidRPr="007B62AA">
              <w:rPr>
                <w:b/>
                <w:sz w:val="20"/>
              </w:rPr>
              <w:t xml:space="preserve"> 21,990 </w:t>
            </w:r>
          </w:p>
        </w:tc>
        <w:tc>
          <w:tcPr>
            <w:tcW w:w="868" w:type="dxa"/>
            <w:vAlign w:val="center"/>
          </w:tcPr>
          <w:p w14:paraId="49AC4FA0" w14:textId="77777777" w:rsidR="00B50935" w:rsidRPr="007B62AA" w:rsidRDefault="00B50935" w:rsidP="00427764">
            <w:pPr>
              <w:spacing w:before="60" w:after="60"/>
              <w:jc w:val="right"/>
              <w:rPr>
                <w:b/>
                <w:noProof/>
                <w:sz w:val="20"/>
              </w:rPr>
            </w:pPr>
            <w:r w:rsidRPr="007B62AA">
              <w:rPr>
                <w:b/>
                <w:sz w:val="20"/>
              </w:rPr>
              <w:t xml:space="preserve"> 21,990 </w:t>
            </w:r>
          </w:p>
        </w:tc>
        <w:tc>
          <w:tcPr>
            <w:tcW w:w="1777" w:type="dxa"/>
            <w:vAlign w:val="center"/>
          </w:tcPr>
          <w:p w14:paraId="72778E61" w14:textId="77777777" w:rsidR="00B50935" w:rsidRPr="007B62AA" w:rsidRDefault="00B50935" w:rsidP="00427764">
            <w:pPr>
              <w:spacing w:before="60" w:after="60"/>
              <w:jc w:val="right"/>
              <w:rPr>
                <w:b/>
                <w:noProof/>
                <w:sz w:val="20"/>
              </w:rPr>
            </w:pPr>
            <w:r w:rsidRPr="007B62AA">
              <w:rPr>
                <w:b/>
                <w:sz w:val="20"/>
              </w:rPr>
              <w:t>157,430</w:t>
            </w:r>
          </w:p>
        </w:tc>
      </w:tr>
      <w:tr w:rsidR="00B50935" w:rsidRPr="007B62AA" w14:paraId="73DD7D15" w14:textId="77777777" w:rsidTr="00427764">
        <w:tc>
          <w:tcPr>
            <w:tcW w:w="3960" w:type="dxa"/>
            <w:vMerge/>
            <w:vAlign w:val="center"/>
          </w:tcPr>
          <w:p w14:paraId="1ED5D30F" w14:textId="77777777" w:rsidR="00B50935" w:rsidRPr="007B62AA" w:rsidRDefault="00B50935" w:rsidP="00427764">
            <w:pPr>
              <w:rPr>
                <w:b/>
                <w:noProof/>
              </w:rPr>
            </w:pPr>
          </w:p>
        </w:tc>
        <w:tc>
          <w:tcPr>
            <w:tcW w:w="2094" w:type="dxa"/>
            <w:gridSpan w:val="2"/>
            <w:vAlign w:val="center"/>
          </w:tcPr>
          <w:p w14:paraId="0C0EBA73" w14:textId="77777777" w:rsidR="00B50935" w:rsidRPr="007B62AA" w:rsidRDefault="00B50935" w:rsidP="00427764">
            <w:pPr>
              <w:rPr>
                <w:noProof/>
                <w:sz w:val="14"/>
              </w:rPr>
            </w:pPr>
            <w:r w:rsidRPr="007B62AA">
              <w:rPr>
                <w:sz w:val="18"/>
              </w:rPr>
              <w:t>Platby</w:t>
            </w:r>
          </w:p>
        </w:tc>
        <w:tc>
          <w:tcPr>
            <w:tcW w:w="868" w:type="dxa"/>
            <w:vAlign w:val="center"/>
          </w:tcPr>
          <w:p w14:paraId="2C1372A5" w14:textId="77777777" w:rsidR="00B50935" w:rsidRPr="007B62AA" w:rsidRDefault="00B50935" w:rsidP="00427764">
            <w:pPr>
              <w:spacing w:before="60" w:after="60"/>
              <w:jc w:val="right"/>
              <w:rPr>
                <w:b/>
                <w:noProof/>
                <w:sz w:val="20"/>
              </w:rPr>
            </w:pPr>
            <w:r w:rsidRPr="007B62AA">
              <w:rPr>
                <w:b/>
                <w:sz w:val="20"/>
              </w:rPr>
              <w:t xml:space="preserve"> 16,040 </w:t>
            </w:r>
          </w:p>
        </w:tc>
        <w:tc>
          <w:tcPr>
            <w:tcW w:w="868" w:type="dxa"/>
            <w:vAlign w:val="center"/>
          </w:tcPr>
          <w:p w14:paraId="0121E582" w14:textId="77777777" w:rsidR="00B50935" w:rsidRPr="007B62AA" w:rsidRDefault="00B50935" w:rsidP="00427764">
            <w:pPr>
              <w:spacing w:before="60" w:after="60"/>
              <w:jc w:val="right"/>
              <w:rPr>
                <w:b/>
                <w:noProof/>
                <w:sz w:val="20"/>
              </w:rPr>
            </w:pPr>
            <w:r w:rsidRPr="007B62AA">
              <w:rPr>
                <w:b/>
                <w:sz w:val="20"/>
              </w:rPr>
              <w:t xml:space="preserve"> 23,350 </w:t>
            </w:r>
          </w:p>
        </w:tc>
        <w:tc>
          <w:tcPr>
            <w:tcW w:w="868" w:type="dxa"/>
            <w:vAlign w:val="center"/>
          </w:tcPr>
          <w:p w14:paraId="0C6E5D3C" w14:textId="77777777" w:rsidR="00B50935" w:rsidRPr="007B62AA" w:rsidRDefault="00B50935" w:rsidP="00427764">
            <w:pPr>
              <w:spacing w:before="60" w:after="60"/>
              <w:jc w:val="right"/>
              <w:rPr>
                <w:b/>
                <w:noProof/>
                <w:sz w:val="20"/>
              </w:rPr>
            </w:pPr>
            <w:r w:rsidRPr="007B62AA">
              <w:rPr>
                <w:b/>
                <w:sz w:val="20"/>
              </w:rPr>
              <w:t xml:space="preserve"> 25,080 </w:t>
            </w:r>
          </w:p>
        </w:tc>
        <w:tc>
          <w:tcPr>
            <w:tcW w:w="868" w:type="dxa"/>
            <w:vAlign w:val="center"/>
          </w:tcPr>
          <w:p w14:paraId="00FB7256" w14:textId="77777777" w:rsidR="00B50935" w:rsidRPr="007B62AA" w:rsidRDefault="00B50935" w:rsidP="00427764">
            <w:pPr>
              <w:spacing w:before="60" w:after="60"/>
              <w:jc w:val="right"/>
              <w:rPr>
                <w:b/>
                <w:noProof/>
                <w:sz w:val="20"/>
              </w:rPr>
            </w:pPr>
            <w:r w:rsidRPr="007B62AA">
              <w:rPr>
                <w:b/>
                <w:sz w:val="20"/>
              </w:rPr>
              <w:t xml:space="preserve"> 25,990 </w:t>
            </w:r>
          </w:p>
        </w:tc>
        <w:tc>
          <w:tcPr>
            <w:tcW w:w="868" w:type="dxa"/>
            <w:vAlign w:val="center"/>
          </w:tcPr>
          <w:p w14:paraId="495DFA50" w14:textId="77777777" w:rsidR="00B50935" w:rsidRPr="007B62AA" w:rsidRDefault="00B50935" w:rsidP="00427764">
            <w:pPr>
              <w:spacing w:before="60" w:after="60"/>
              <w:jc w:val="right"/>
              <w:rPr>
                <w:b/>
                <w:noProof/>
                <w:sz w:val="20"/>
              </w:rPr>
            </w:pPr>
            <w:r w:rsidRPr="007B62AA">
              <w:rPr>
                <w:b/>
                <w:sz w:val="20"/>
              </w:rPr>
              <w:t xml:space="preserve"> 22,990 </w:t>
            </w:r>
          </w:p>
        </w:tc>
        <w:tc>
          <w:tcPr>
            <w:tcW w:w="868" w:type="dxa"/>
            <w:vAlign w:val="center"/>
          </w:tcPr>
          <w:p w14:paraId="35589F93" w14:textId="77777777" w:rsidR="00B50935" w:rsidRPr="007B62AA" w:rsidRDefault="00B50935" w:rsidP="00427764">
            <w:pPr>
              <w:spacing w:before="60" w:after="60"/>
              <w:jc w:val="right"/>
              <w:rPr>
                <w:b/>
                <w:noProof/>
                <w:sz w:val="20"/>
              </w:rPr>
            </w:pPr>
            <w:r w:rsidRPr="007B62AA">
              <w:rPr>
                <w:b/>
                <w:sz w:val="20"/>
              </w:rPr>
              <w:t xml:space="preserve"> 21,990 </w:t>
            </w:r>
          </w:p>
        </w:tc>
        <w:tc>
          <w:tcPr>
            <w:tcW w:w="868" w:type="dxa"/>
            <w:vAlign w:val="center"/>
          </w:tcPr>
          <w:p w14:paraId="23EEA332" w14:textId="77777777" w:rsidR="00B50935" w:rsidRPr="007B62AA" w:rsidRDefault="00B50935" w:rsidP="00427764">
            <w:pPr>
              <w:spacing w:before="60" w:after="60"/>
              <w:jc w:val="right"/>
              <w:rPr>
                <w:b/>
                <w:noProof/>
                <w:sz w:val="20"/>
              </w:rPr>
            </w:pPr>
            <w:r w:rsidRPr="007B62AA">
              <w:rPr>
                <w:b/>
                <w:sz w:val="20"/>
              </w:rPr>
              <w:t xml:space="preserve"> 21,990 </w:t>
            </w:r>
          </w:p>
        </w:tc>
        <w:tc>
          <w:tcPr>
            <w:tcW w:w="1777" w:type="dxa"/>
            <w:vAlign w:val="center"/>
          </w:tcPr>
          <w:p w14:paraId="14F77202" w14:textId="77777777" w:rsidR="00B50935" w:rsidRPr="007B62AA" w:rsidRDefault="00B50935" w:rsidP="00427764">
            <w:pPr>
              <w:spacing w:before="60" w:after="60"/>
              <w:jc w:val="right"/>
              <w:rPr>
                <w:b/>
                <w:noProof/>
                <w:sz w:val="20"/>
              </w:rPr>
            </w:pPr>
            <w:r w:rsidRPr="007B62AA">
              <w:rPr>
                <w:b/>
                <w:sz w:val="20"/>
              </w:rPr>
              <w:t>157,430</w:t>
            </w:r>
          </w:p>
        </w:tc>
      </w:tr>
    </w:tbl>
    <w:p w14:paraId="13147DFA" w14:textId="77777777" w:rsidR="00B50935" w:rsidRPr="007B62AA" w:rsidRDefault="00B50935" w:rsidP="00B50935">
      <w:pPr>
        <w:rPr>
          <w:noProof/>
        </w:rPr>
        <w:sectPr w:rsidR="00B50935" w:rsidRPr="007B62AA" w:rsidSect="00CA0925">
          <w:headerReference w:type="default" r:id="rId12"/>
          <w:footerReference w:type="default" r:id="rId13"/>
          <w:headerReference w:type="first" r:id="rId14"/>
          <w:footerReference w:type="first" r:id="rId15"/>
          <w:pgSz w:w="15840" w:h="12240" w:orient="landscape"/>
          <w:pgMar w:top="1134" w:right="1077" w:bottom="902" w:left="1247" w:header="709" w:footer="510" w:gutter="0"/>
          <w:cols w:space="720"/>
          <w:docGrid w:linePitch="326"/>
        </w:sectPr>
      </w:pPr>
    </w:p>
    <w:p w14:paraId="1431904D" w14:textId="77777777" w:rsidR="00B50935" w:rsidRPr="007B62AA" w:rsidRDefault="00B50935" w:rsidP="00B50935">
      <w:pPr>
        <w:pStyle w:val="Heading3"/>
        <w:rPr>
          <w:bCs w:val="0"/>
          <w:noProof/>
          <w:szCs w:val="24"/>
        </w:rPr>
      </w:pPr>
      <w:bookmarkStart w:id="72" w:name="_Toc514938687"/>
      <w:bookmarkStart w:id="73" w:name="_Toc58230751"/>
      <w:r w:rsidRPr="007B62AA">
        <w:t>Odhadovaný vplyv na rozpočtové prostriedky ECDC</w:t>
      </w:r>
      <w:bookmarkEnd w:id="72"/>
      <w:bookmarkEnd w:id="73"/>
      <w:r w:rsidRPr="007B62AA">
        <w:t xml:space="preserve"> </w:t>
      </w:r>
    </w:p>
    <w:p w14:paraId="4C79A174" w14:textId="77777777" w:rsidR="00B50935" w:rsidRPr="007B62AA" w:rsidRDefault="00B50935" w:rsidP="006F7C3E">
      <w:pPr>
        <w:pStyle w:val="ListDash1"/>
        <w:rPr>
          <w:noProof/>
        </w:rPr>
      </w:pPr>
      <w:r w:rsidRPr="007B62AA">
        <w:sym w:font="Wingdings" w:char="F0A8"/>
      </w:r>
      <w:r w:rsidRPr="007B62AA">
        <w:tab/>
        <w:t xml:space="preserve">Návrh/iniciatíva si nevyžaduje použitie operačných rozpočtových prostriedkov. </w:t>
      </w:r>
    </w:p>
    <w:p w14:paraId="7133C3EB" w14:textId="77777777" w:rsidR="00B50935" w:rsidRPr="007B62AA" w:rsidRDefault="00B50935" w:rsidP="006F7C3E">
      <w:pPr>
        <w:pStyle w:val="ListDash1"/>
        <w:rPr>
          <w:noProof/>
        </w:rPr>
      </w:pPr>
      <w:r w:rsidRPr="007B62AA">
        <w:sym w:font="Webdings" w:char="F061"/>
      </w:r>
      <w:r w:rsidRPr="007B62AA">
        <w:tab/>
        <w:t>Návrh/iniciatíva si vyžaduje použitie operačných rozpočtových prostriedkov, ako je uvedené v nasledujúcej tabuľke:</w:t>
      </w:r>
    </w:p>
    <w:p w14:paraId="69EFF3F9" w14:textId="77777777" w:rsidR="00B50935" w:rsidRPr="007B62AA" w:rsidRDefault="00B50935" w:rsidP="00B50935">
      <w:pPr>
        <w:jc w:val="right"/>
        <w:rPr>
          <w:noProof/>
          <w:sz w:val="20"/>
        </w:rPr>
      </w:pPr>
      <w:r w:rsidRPr="007B62AA">
        <w:rPr>
          <w:sz w:val="20"/>
        </w:rPr>
        <w:t>viazané rozpočtové prostriedky 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47"/>
        <w:gridCol w:w="542"/>
        <w:gridCol w:w="631"/>
        <w:gridCol w:w="32"/>
        <w:gridCol w:w="9"/>
        <w:gridCol w:w="711"/>
        <w:gridCol w:w="9"/>
        <w:gridCol w:w="531"/>
        <w:gridCol w:w="9"/>
        <w:gridCol w:w="711"/>
        <w:gridCol w:w="9"/>
        <w:gridCol w:w="711"/>
        <w:gridCol w:w="9"/>
        <w:gridCol w:w="711"/>
        <w:gridCol w:w="9"/>
        <w:gridCol w:w="891"/>
        <w:gridCol w:w="51"/>
        <w:gridCol w:w="9"/>
        <w:gridCol w:w="660"/>
        <w:gridCol w:w="12"/>
        <w:gridCol w:w="528"/>
        <w:gridCol w:w="12"/>
        <w:gridCol w:w="636"/>
        <w:gridCol w:w="15"/>
        <w:gridCol w:w="417"/>
        <w:gridCol w:w="15"/>
        <w:gridCol w:w="705"/>
        <w:gridCol w:w="15"/>
        <w:gridCol w:w="48"/>
        <w:gridCol w:w="477"/>
        <w:gridCol w:w="15"/>
        <w:gridCol w:w="708"/>
        <w:gridCol w:w="12"/>
        <w:gridCol w:w="708"/>
        <w:gridCol w:w="12"/>
        <w:gridCol w:w="888"/>
        <w:gridCol w:w="12"/>
      </w:tblGrid>
      <w:tr w:rsidR="00B50935" w:rsidRPr="007B62AA" w14:paraId="65453DFF" w14:textId="77777777" w:rsidTr="00427764">
        <w:trPr>
          <w:gridAfter w:val="1"/>
          <w:wAfter w:w="12" w:type="dxa"/>
          <w:jc w:val="center"/>
        </w:trPr>
        <w:tc>
          <w:tcPr>
            <w:tcW w:w="1696" w:type="dxa"/>
            <w:vMerge w:val="restart"/>
            <w:vAlign w:val="center"/>
          </w:tcPr>
          <w:p w14:paraId="356F7CFC" w14:textId="77777777" w:rsidR="00B50935" w:rsidRPr="007B62AA" w:rsidRDefault="00B50935" w:rsidP="00427764">
            <w:pPr>
              <w:ind w:right="-29"/>
              <w:jc w:val="center"/>
              <w:rPr>
                <w:b/>
                <w:noProof/>
                <w:sz w:val="18"/>
              </w:rPr>
            </w:pPr>
            <w:r w:rsidRPr="007B62AA">
              <w:rPr>
                <w:b/>
                <w:sz w:val="18"/>
              </w:rPr>
              <w:t xml:space="preserve">Uveďte ciele a výstupy </w:t>
            </w:r>
          </w:p>
          <w:p w14:paraId="111AAE1C" w14:textId="77777777" w:rsidR="00B50935" w:rsidRPr="007B62AA" w:rsidRDefault="00B50935" w:rsidP="00427764">
            <w:pPr>
              <w:ind w:right="-29"/>
              <w:jc w:val="center"/>
              <w:rPr>
                <w:b/>
                <w:noProof/>
                <w:sz w:val="18"/>
              </w:rPr>
            </w:pPr>
          </w:p>
          <w:p w14:paraId="4796247D" w14:textId="77777777" w:rsidR="00B50935" w:rsidRPr="007B62AA" w:rsidRDefault="00B50935" w:rsidP="00427764">
            <w:pPr>
              <w:ind w:right="-29"/>
              <w:jc w:val="center"/>
              <w:rPr>
                <w:noProof/>
                <w:sz w:val="18"/>
              </w:rPr>
            </w:pPr>
            <w:r w:rsidRPr="007B62AA">
              <w:rPr>
                <w:sz w:val="18"/>
              </w:rPr>
              <w:sym w:font="Wingdings" w:char="F0F2"/>
            </w:r>
          </w:p>
        </w:tc>
        <w:tc>
          <w:tcPr>
            <w:tcW w:w="447" w:type="dxa"/>
            <w:vAlign w:val="center"/>
          </w:tcPr>
          <w:p w14:paraId="6602B1B7" w14:textId="77777777" w:rsidR="00B50935" w:rsidRPr="007B62AA" w:rsidRDefault="00B50935" w:rsidP="00427764">
            <w:pPr>
              <w:ind w:right="-29"/>
              <w:jc w:val="center"/>
              <w:rPr>
                <w:noProof/>
                <w:sz w:val="18"/>
              </w:rPr>
            </w:pPr>
          </w:p>
        </w:tc>
        <w:tc>
          <w:tcPr>
            <w:tcW w:w="542" w:type="dxa"/>
            <w:vAlign w:val="center"/>
          </w:tcPr>
          <w:p w14:paraId="10689F50" w14:textId="77777777" w:rsidR="00B50935" w:rsidRPr="007B62AA" w:rsidRDefault="00B50935" w:rsidP="00427764">
            <w:pPr>
              <w:ind w:right="-29"/>
              <w:jc w:val="center"/>
              <w:rPr>
                <w:noProof/>
                <w:sz w:val="18"/>
              </w:rPr>
            </w:pPr>
          </w:p>
        </w:tc>
        <w:tc>
          <w:tcPr>
            <w:tcW w:w="1383" w:type="dxa"/>
            <w:gridSpan w:val="4"/>
            <w:tcBorders>
              <w:left w:val="nil"/>
            </w:tcBorders>
            <w:vAlign w:val="center"/>
          </w:tcPr>
          <w:p w14:paraId="18B46DC6" w14:textId="77777777" w:rsidR="00B50935" w:rsidRPr="007B62AA" w:rsidRDefault="00B50935" w:rsidP="00427764">
            <w:pPr>
              <w:ind w:right="-29"/>
              <w:jc w:val="center"/>
              <w:rPr>
                <w:noProof/>
                <w:sz w:val="18"/>
              </w:rPr>
            </w:pPr>
            <w:r w:rsidRPr="007B62AA">
              <w:rPr>
                <w:sz w:val="20"/>
              </w:rPr>
              <w:t>Rok</w:t>
            </w:r>
            <w:r w:rsidRPr="007B62AA">
              <w:t xml:space="preserve"> </w:t>
            </w:r>
            <w:r w:rsidRPr="007B62AA">
              <w:br/>
            </w:r>
            <w:r w:rsidRPr="007B62AA">
              <w:rPr>
                <w:b/>
                <w:sz w:val="20"/>
              </w:rPr>
              <w:t>2021</w:t>
            </w:r>
          </w:p>
        </w:tc>
        <w:tc>
          <w:tcPr>
            <w:tcW w:w="1260" w:type="dxa"/>
            <w:gridSpan w:val="4"/>
            <w:vAlign w:val="center"/>
          </w:tcPr>
          <w:p w14:paraId="5CE3F0C3" w14:textId="77777777" w:rsidR="00B50935" w:rsidRPr="007B62AA" w:rsidRDefault="00B50935" w:rsidP="00427764">
            <w:pPr>
              <w:ind w:right="-29"/>
              <w:jc w:val="center"/>
              <w:rPr>
                <w:noProof/>
                <w:sz w:val="18"/>
              </w:rPr>
            </w:pPr>
            <w:r w:rsidRPr="007B62AA">
              <w:rPr>
                <w:sz w:val="20"/>
              </w:rPr>
              <w:t>Rok</w:t>
            </w:r>
            <w:r w:rsidRPr="007B62AA">
              <w:t xml:space="preserve"> </w:t>
            </w:r>
            <w:r w:rsidRPr="007B62AA">
              <w:br/>
            </w:r>
            <w:r w:rsidRPr="007B62AA">
              <w:rPr>
                <w:b/>
                <w:sz w:val="20"/>
              </w:rPr>
              <w:t>2022</w:t>
            </w:r>
          </w:p>
        </w:tc>
        <w:tc>
          <w:tcPr>
            <w:tcW w:w="1440" w:type="dxa"/>
            <w:gridSpan w:val="4"/>
            <w:vAlign w:val="center"/>
          </w:tcPr>
          <w:p w14:paraId="2F984CA5" w14:textId="77777777" w:rsidR="00B50935" w:rsidRPr="007B62AA" w:rsidRDefault="00B50935" w:rsidP="00427764">
            <w:pPr>
              <w:ind w:right="-29"/>
              <w:jc w:val="center"/>
              <w:rPr>
                <w:noProof/>
                <w:sz w:val="18"/>
              </w:rPr>
            </w:pPr>
            <w:r w:rsidRPr="007B62AA">
              <w:rPr>
                <w:sz w:val="20"/>
              </w:rPr>
              <w:t>Rok</w:t>
            </w:r>
            <w:r w:rsidRPr="007B62AA">
              <w:t xml:space="preserve"> </w:t>
            </w:r>
            <w:r w:rsidRPr="007B62AA">
              <w:br/>
            </w:r>
            <w:r w:rsidRPr="007B62AA">
              <w:rPr>
                <w:b/>
                <w:sz w:val="20"/>
              </w:rPr>
              <w:t>2023</w:t>
            </w:r>
          </w:p>
        </w:tc>
        <w:tc>
          <w:tcPr>
            <w:tcW w:w="1620" w:type="dxa"/>
            <w:gridSpan w:val="5"/>
            <w:vAlign w:val="center"/>
          </w:tcPr>
          <w:p w14:paraId="00C12DB0" w14:textId="77777777" w:rsidR="00B50935" w:rsidRPr="007B62AA" w:rsidRDefault="00B50935" w:rsidP="00427764">
            <w:pPr>
              <w:ind w:right="-29"/>
              <w:jc w:val="center"/>
              <w:rPr>
                <w:noProof/>
                <w:sz w:val="18"/>
              </w:rPr>
            </w:pPr>
            <w:r w:rsidRPr="007B62AA">
              <w:rPr>
                <w:sz w:val="20"/>
              </w:rPr>
              <w:t>Rok</w:t>
            </w:r>
            <w:r w:rsidRPr="007B62AA">
              <w:t xml:space="preserve"> </w:t>
            </w:r>
            <w:r w:rsidRPr="007B62AA">
              <w:br/>
            </w:r>
            <w:r w:rsidRPr="007B62AA">
              <w:rPr>
                <w:b/>
                <w:sz w:val="20"/>
              </w:rPr>
              <w:t>2024</w:t>
            </w:r>
          </w:p>
        </w:tc>
        <w:tc>
          <w:tcPr>
            <w:tcW w:w="1203" w:type="dxa"/>
            <w:gridSpan w:val="5"/>
            <w:vAlign w:val="center"/>
          </w:tcPr>
          <w:p w14:paraId="0E0260F4" w14:textId="77777777" w:rsidR="00B50935" w:rsidRPr="007B62AA" w:rsidRDefault="00B50935" w:rsidP="00427764">
            <w:pPr>
              <w:jc w:val="center"/>
              <w:rPr>
                <w:noProof/>
                <w:sz w:val="18"/>
              </w:rPr>
            </w:pPr>
            <w:r w:rsidRPr="007B62AA">
              <w:rPr>
                <w:sz w:val="20"/>
              </w:rPr>
              <w:t>Rok</w:t>
            </w:r>
            <w:r w:rsidRPr="007B62AA">
              <w:t xml:space="preserve"> </w:t>
            </w:r>
            <w:r w:rsidRPr="007B62AA">
              <w:br/>
            </w:r>
            <w:r w:rsidRPr="007B62AA">
              <w:rPr>
                <w:b/>
                <w:sz w:val="20"/>
              </w:rPr>
              <w:t>2025</w:t>
            </w:r>
          </w:p>
        </w:tc>
        <w:tc>
          <w:tcPr>
            <w:tcW w:w="1200" w:type="dxa"/>
            <w:gridSpan w:val="5"/>
            <w:vAlign w:val="center"/>
          </w:tcPr>
          <w:p w14:paraId="0C4E23F9" w14:textId="77777777" w:rsidR="00B50935" w:rsidRPr="007B62AA" w:rsidRDefault="00B50935" w:rsidP="00427764">
            <w:pPr>
              <w:jc w:val="center"/>
              <w:rPr>
                <w:noProof/>
                <w:sz w:val="18"/>
              </w:rPr>
            </w:pPr>
            <w:r w:rsidRPr="007B62AA">
              <w:rPr>
                <w:sz w:val="20"/>
              </w:rPr>
              <w:t>Rok</w:t>
            </w:r>
            <w:r w:rsidRPr="007B62AA">
              <w:t xml:space="preserve"> </w:t>
            </w:r>
            <w:r w:rsidRPr="007B62AA">
              <w:br/>
            </w:r>
            <w:r w:rsidRPr="007B62AA">
              <w:rPr>
                <w:b/>
                <w:sz w:val="20"/>
              </w:rPr>
              <w:t>2026</w:t>
            </w:r>
          </w:p>
        </w:tc>
        <w:tc>
          <w:tcPr>
            <w:tcW w:w="1200" w:type="dxa"/>
            <w:gridSpan w:val="3"/>
            <w:vAlign w:val="center"/>
          </w:tcPr>
          <w:p w14:paraId="2CC6B055" w14:textId="77777777" w:rsidR="00B50935" w:rsidRPr="007B62AA" w:rsidRDefault="00B50935" w:rsidP="00427764">
            <w:pPr>
              <w:jc w:val="center"/>
              <w:rPr>
                <w:b/>
                <w:noProof/>
                <w:sz w:val="18"/>
              </w:rPr>
            </w:pPr>
            <w:r w:rsidRPr="007B62AA">
              <w:rPr>
                <w:sz w:val="20"/>
              </w:rPr>
              <w:t>Rok</w:t>
            </w:r>
            <w:r w:rsidRPr="007B62AA">
              <w:t xml:space="preserve"> </w:t>
            </w:r>
            <w:r w:rsidRPr="007B62AA">
              <w:br/>
            </w:r>
            <w:r w:rsidRPr="007B62AA">
              <w:rPr>
                <w:b/>
                <w:sz w:val="20"/>
              </w:rPr>
              <w:t>2027</w:t>
            </w:r>
            <w:r w:rsidRPr="007B62AA">
              <w:rPr>
                <w:sz w:val="20"/>
              </w:rPr>
              <w:t xml:space="preserve"> a nasl.</w:t>
            </w:r>
          </w:p>
        </w:tc>
        <w:tc>
          <w:tcPr>
            <w:tcW w:w="1620" w:type="dxa"/>
            <w:gridSpan w:val="4"/>
            <w:tcBorders>
              <w:left w:val="nil"/>
              <w:bottom w:val="nil"/>
            </w:tcBorders>
            <w:vAlign w:val="center"/>
          </w:tcPr>
          <w:p w14:paraId="5D6776CB" w14:textId="77777777" w:rsidR="00B50935" w:rsidRPr="007B62AA" w:rsidRDefault="00B50935" w:rsidP="00427764">
            <w:pPr>
              <w:ind w:right="-29"/>
              <w:jc w:val="center"/>
              <w:rPr>
                <w:noProof/>
                <w:sz w:val="18"/>
              </w:rPr>
            </w:pPr>
            <w:r w:rsidRPr="007B62AA">
              <w:rPr>
                <w:b/>
                <w:sz w:val="20"/>
              </w:rPr>
              <w:t>SPOLU</w:t>
            </w:r>
          </w:p>
        </w:tc>
      </w:tr>
      <w:tr w:rsidR="00B50935" w:rsidRPr="007B62AA" w14:paraId="4467580F" w14:textId="77777777" w:rsidTr="00427764">
        <w:trPr>
          <w:gridAfter w:val="1"/>
          <w:wAfter w:w="12" w:type="dxa"/>
          <w:jc w:val="center"/>
        </w:trPr>
        <w:tc>
          <w:tcPr>
            <w:tcW w:w="1696" w:type="dxa"/>
            <w:vMerge/>
            <w:vAlign w:val="center"/>
          </w:tcPr>
          <w:p w14:paraId="2C68458A" w14:textId="77777777" w:rsidR="00B50935" w:rsidRPr="007B62AA" w:rsidRDefault="00B50935" w:rsidP="00427764">
            <w:pPr>
              <w:rPr>
                <w:noProof/>
                <w:sz w:val="18"/>
              </w:rPr>
            </w:pPr>
          </w:p>
        </w:tc>
        <w:tc>
          <w:tcPr>
            <w:tcW w:w="11915" w:type="dxa"/>
            <w:gridSpan w:val="36"/>
            <w:vAlign w:val="center"/>
          </w:tcPr>
          <w:p w14:paraId="37409A2C" w14:textId="77777777" w:rsidR="00B50935" w:rsidRPr="007B62AA" w:rsidRDefault="00B50935" w:rsidP="00427764">
            <w:pPr>
              <w:spacing w:before="60" w:after="60"/>
              <w:ind w:right="-29"/>
              <w:jc w:val="center"/>
              <w:rPr>
                <w:noProof/>
                <w:sz w:val="18"/>
              </w:rPr>
            </w:pPr>
            <w:r w:rsidRPr="007B62AA">
              <w:rPr>
                <w:b/>
                <w:sz w:val="18"/>
              </w:rPr>
              <w:t>VÝSTUPY</w:t>
            </w:r>
          </w:p>
        </w:tc>
      </w:tr>
      <w:tr w:rsidR="00B50935" w:rsidRPr="007B62AA" w14:paraId="56A09EC3" w14:textId="77777777" w:rsidTr="007B62AA">
        <w:trPr>
          <w:gridAfter w:val="1"/>
          <w:wAfter w:w="12" w:type="dxa"/>
          <w:cantSplit/>
          <w:trHeight w:val="1134"/>
          <w:jc w:val="center"/>
        </w:trPr>
        <w:tc>
          <w:tcPr>
            <w:tcW w:w="1696" w:type="dxa"/>
            <w:vMerge/>
            <w:vAlign w:val="center"/>
          </w:tcPr>
          <w:p w14:paraId="4BAA1BA1" w14:textId="77777777" w:rsidR="00B50935" w:rsidRPr="007B62AA" w:rsidRDefault="00B50935" w:rsidP="00427764">
            <w:pPr>
              <w:rPr>
                <w:noProof/>
                <w:sz w:val="18"/>
              </w:rPr>
            </w:pPr>
          </w:p>
        </w:tc>
        <w:tc>
          <w:tcPr>
            <w:tcW w:w="447" w:type="dxa"/>
            <w:textDirection w:val="btLr"/>
            <w:vAlign w:val="center"/>
          </w:tcPr>
          <w:p w14:paraId="57F2C3B5" w14:textId="77777777" w:rsidR="00B50935" w:rsidRPr="007B62AA" w:rsidRDefault="00B50935" w:rsidP="007B62AA">
            <w:pPr>
              <w:ind w:left="113" w:right="113"/>
              <w:jc w:val="center"/>
              <w:rPr>
                <w:noProof/>
                <w:sz w:val="18"/>
              </w:rPr>
            </w:pPr>
            <w:r w:rsidRPr="007B62AA">
              <w:rPr>
                <w:sz w:val="18"/>
              </w:rPr>
              <w:t>Druh</w:t>
            </w:r>
            <w:r w:rsidRPr="007B62AA">
              <w:rPr>
                <w:rStyle w:val="FootnoteReference"/>
                <w:noProof/>
                <w:sz w:val="18"/>
              </w:rPr>
              <w:footnoteReference w:id="19"/>
            </w:r>
          </w:p>
        </w:tc>
        <w:tc>
          <w:tcPr>
            <w:tcW w:w="542" w:type="dxa"/>
            <w:textDirection w:val="btLr"/>
            <w:vAlign w:val="center"/>
          </w:tcPr>
          <w:p w14:paraId="174AD6E4" w14:textId="77777777" w:rsidR="00B50935" w:rsidRPr="007B62AA" w:rsidRDefault="00B50935" w:rsidP="007B62AA">
            <w:pPr>
              <w:ind w:left="113" w:right="113"/>
              <w:jc w:val="center"/>
              <w:rPr>
                <w:noProof/>
              </w:rPr>
            </w:pPr>
            <w:r w:rsidRPr="007B62AA">
              <w:rPr>
                <w:sz w:val="18"/>
              </w:rPr>
              <w:t>Priemerné náklady</w:t>
            </w:r>
          </w:p>
        </w:tc>
        <w:tc>
          <w:tcPr>
            <w:tcW w:w="663" w:type="dxa"/>
            <w:gridSpan w:val="2"/>
            <w:tcBorders>
              <w:left w:val="nil"/>
              <w:right w:val="dashSmallGap" w:sz="4" w:space="0" w:color="auto"/>
            </w:tcBorders>
            <w:shd w:val="pct10" w:color="auto" w:fill="auto"/>
            <w:textDirection w:val="btLr"/>
            <w:vAlign w:val="center"/>
          </w:tcPr>
          <w:p w14:paraId="2D229E07" w14:textId="77777777" w:rsidR="00B50935" w:rsidRPr="007B62AA" w:rsidRDefault="00B50935" w:rsidP="00427764">
            <w:pPr>
              <w:ind w:left="113" w:right="113"/>
              <w:jc w:val="center"/>
              <w:rPr>
                <w:noProof/>
              </w:rPr>
            </w:pPr>
            <w:r w:rsidRPr="007B62AA">
              <w:rPr>
                <w:sz w:val="18"/>
              </w:rPr>
              <w:t>Počet</w:t>
            </w:r>
          </w:p>
        </w:tc>
        <w:tc>
          <w:tcPr>
            <w:tcW w:w="720" w:type="dxa"/>
            <w:gridSpan w:val="2"/>
            <w:tcBorders>
              <w:left w:val="dashSmallGap" w:sz="4" w:space="0" w:color="auto"/>
            </w:tcBorders>
            <w:shd w:val="pct10" w:color="auto" w:fill="auto"/>
            <w:textDirection w:val="btLr"/>
            <w:vAlign w:val="center"/>
          </w:tcPr>
          <w:p w14:paraId="24154B09" w14:textId="77777777" w:rsidR="00B50935" w:rsidRPr="007B62AA" w:rsidRDefault="00B50935" w:rsidP="007B62AA">
            <w:pPr>
              <w:ind w:left="113" w:right="113"/>
              <w:jc w:val="center"/>
              <w:rPr>
                <w:noProof/>
                <w:sz w:val="18"/>
              </w:rPr>
            </w:pPr>
            <w:r w:rsidRPr="007B62AA">
              <w:rPr>
                <w:sz w:val="18"/>
              </w:rPr>
              <w:t>Náklady</w:t>
            </w:r>
          </w:p>
        </w:tc>
        <w:tc>
          <w:tcPr>
            <w:tcW w:w="540" w:type="dxa"/>
            <w:gridSpan w:val="2"/>
            <w:tcBorders>
              <w:right w:val="dashSmallGap" w:sz="4" w:space="0" w:color="auto"/>
            </w:tcBorders>
            <w:shd w:val="pct10" w:color="auto" w:fill="auto"/>
            <w:textDirection w:val="btLr"/>
            <w:vAlign w:val="center"/>
          </w:tcPr>
          <w:p w14:paraId="5FEC5F9A" w14:textId="77777777" w:rsidR="00B50935" w:rsidRPr="007B62AA" w:rsidRDefault="00B50935" w:rsidP="00427764">
            <w:pPr>
              <w:ind w:left="113" w:right="113"/>
              <w:jc w:val="center"/>
              <w:rPr>
                <w:noProof/>
              </w:rPr>
            </w:pPr>
            <w:r w:rsidRPr="007B62AA">
              <w:rPr>
                <w:sz w:val="18"/>
              </w:rPr>
              <w:t>Počet</w:t>
            </w:r>
          </w:p>
        </w:tc>
        <w:tc>
          <w:tcPr>
            <w:tcW w:w="720" w:type="dxa"/>
            <w:gridSpan w:val="2"/>
            <w:tcBorders>
              <w:left w:val="dashSmallGap" w:sz="4" w:space="0" w:color="auto"/>
            </w:tcBorders>
            <w:shd w:val="pct10" w:color="auto" w:fill="auto"/>
            <w:textDirection w:val="btLr"/>
            <w:vAlign w:val="center"/>
          </w:tcPr>
          <w:p w14:paraId="0A1C6DCA" w14:textId="77777777" w:rsidR="00B50935" w:rsidRPr="007B62AA" w:rsidRDefault="00B50935" w:rsidP="007B62AA">
            <w:pPr>
              <w:ind w:left="113" w:right="113"/>
              <w:jc w:val="center"/>
              <w:rPr>
                <w:noProof/>
                <w:sz w:val="18"/>
              </w:rPr>
            </w:pPr>
            <w:r w:rsidRPr="007B62AA">
              <w:rPr>
                <w:sz w:val="18"/>
              </w:rPr>
              <w:t>Náklady</w:t>
            </w:r>
          </w:p>
        </w:tc>
        <w:tc>
          <w:tcPr>
            <w:tcW w:w="720" w:type="dxa"/>
            <w:gridSpan w:val="2"/>
            <w:tcBorders>
              <w:right w:val="dashSmallGap" w:sz="4" w:space="0" w:color="auto"/>
            </w:tcBorders>
            <w:shd w:val="pct10" w:color="auto" w:fill="auto"/>
            <w:textDirection w:val="btLr"/>
            <w:vAlign w:val="center"/>
          </w:tcPr>
          <w:p w14:paraId="7FACA5DC" w14:textId="77777777" w:rsidR="00B50935" w:rsidRPr="007B62AA" w:rsidRDefault="00B50935" w:rsidP="00427764">
            <w:pPr>
              <w:ind w:left="113" w:right="113"/>
              <w:jc w:val="center"/>
              <w:rPr>
                <w:noProof/>
              </w:rPr>
            </w:pPr>
            <w:r w:rsidRPr="007B62AA">
              <w:rPr>
                <w:sz w:val="18"/>
              </w:rPr>
              <w:t>Počet</w:t>
            </w:r>
          </w:p>
        </w:tc>
        <w:tc>
          <w:tcPr>
            <w:tcW w:w="720" w:type="dxa"/>
            <w:gridSpan w:val="2"/>
            <w:tcBorders>
              <w:left w:val="dashSmallGap" w:sz="4" w:space="0" w:color="auto"/>
            </w:tcBorders>
            <w:shd w:val="pct10" w:color="auto" w:fill="auto"/>
            <w:textDirection w:val="btLr"/>
            <w:vAlign w:val="center"/>
          </w:tcPr>
          <w:p w14:paraId="1D63F411" w14:textId="77777777" w:rsidR="00B50935" w:rsidRPr="007B62AA" w:rsidRDefault="00B50935" w:rsidP="007B62AA">
            <w:pPr>
              <w:ind w:left="113" w:right="113"/>
              <w:jc w:val="center"/>
              <w:rPr>
                <w:noProof/>
                <w:sz w:val="18"/>
              </w:rPr>
            </w:pPr>
            <w:r w:rsidRPr="007B62AA">
              <w:rPr>
                <w:sz w:val="18"/>
              </w:rPr>
              <w:t>Náklady</w:t>
            </w:r>
          </w:p>
        </w:tc>
        <w:tc>
          <w:tcPr>
            <w:tcW w:w="900" w:type="dxa"/>
            <w:gridSpan w:val="2"/>
            <w:tcBorders>
              <w:right w:val="dashSmallGap" w:sz="4" w:space="0" w:color="auto"/>
            </w:tcBorders>
            <w:shd w:val="pct10" w:color="auto" w:fill="auto"/>
            <w:textDirection w:val="btLr"/>
            <w:vAlign w:val="center"/>
          </w:tcPr>
          <w:p w14:paraId="1E96EF7E" w14:textId="77777777" w:rsidR="00B50935" w:rsidRPr="007B62AA" w:rsidRDefault="00B50935" w:rsidP="00427764">
            <w:pPr>
              <w:ind w:left="113" w:right="113"/>
              <w:jc w:val="center"/>
              <w:rPr>
                <w:noProof/>
              </w:rPr>
            </w:pPr>
            <w:r w:rsidRPr="007B62AA">
              <w:rPr>
                <w:sz w:val="18"/>
              </w:rPr>
              <w:t>Počet</w:t>
            </w:r>
          </w:p>
        </w:tc>
        <w:tc>
          <w:tcPr>
            <w:tcW w:w="720" w:type="dxa"/>
            <w:gridSpan w:val="3"/>
            <w:tcBorders>
              <w:left w:val="dashSmallGap" w:sz="4" w:space="0" w:color="auto"/>
            </w:tcBorders>
            <w:shd w:val="pct10" w:color="auto" w:fill="auto"/>
            <w:textDirection w:val="btLr"/>
            <w:vAlign w:val="center"/>
          </w:tcPr>
          <w:p w14:paraId="1F6E7AE9" w14:textId="77777777" w:rsidR="00B50935" w:rsidRPr="007B62AA" w:rsidRDefault="00B50935" w:rsidP="007B62AA">
            <w:pPr>
              <w:ind w:left="113" w:right="113"/>
              <w:jc w:val="center"/>
              <w:rPr>
                <w:noProof/>
                <w:sz w:val="18"/>
              </w:rPr>
            </w:pPr>
            <w:r w:rsidRPr="007B62AA">
              <w:rPr>
                <w:sz w:val="18"/>
              </w:rPr>
              <w:t>Náklady</w:t>
            </w:r>
          </w:p>
        </w:tc>
        <w:tc>
          <w:tcPr>
            <w:tcW w:w="540" w:type="dxa"/>
            <w:gridSpan w:val="2"/>
            <w:tcBorders>
              <w:right w:val="dashSmallGap" w:sz="4" w:space="0" w:color="auto"/>
            </w:tcBorders>
            <w:shd w:val="pct10" w:color="auto" w:fill="auto"/>
            <w:textDirection w:val="btLr"/>
            <w:vAlign w:val="center"/>
          </w:tcPr>
          <w:p w14:paraId="6C6DF0B8" w14:textId="77777777" w:rsidR="00B50935" w:rsidRPr="007B62AA" w:rsidRDefault="00B50935" w:rsidP="00427764">
            <w:pPr>
              <w:ind w:left="113" w:right="113"/>
              <w:jc w:val="center"/>
              <w:rPr>
                <w:noProof/>
              </w:rPr>
            </w:pPr>
            <w:r w:rsidRPr="007B62AA">
              <w:rPr>
                <w:sz w:val="18"/>
              </w:rPr>
              <w:t>Počet</w:t>
            </w:r>
          </w:p>
        </w:tc>
        <w:tc>
          <w:tcPr>
            <w:tcW w:w="648" w:type="dxa"/>
            <w:gridSpan w:val="2"/>
            <w:tcBorders>
              <w:left w:val="dashSmallGap" w:sz="4" w:space="0" w:color="auto"/>
            </w:tcBorders>
            <w:shd w:val="pct10" w:color="auto" w:fill="auto"/>
            <w:textDirection w:val="btLr"/>
            <w:vAlign w:val="center"/>
          </w:tcPr>
          <w:p w14:paraId="50B8A5E6" w14:textId="77777777" w:rsidR="00B50935" w:rsidRPr="007B62AA" w:rsidRDefault="00B50935" w:rsidP="007B62AA">
            <w:pPr>
              <w:ind w:left="113" w:right="113"/>
              <w:jc w:val="center"/>
              <w:rPr>
                <w:noProof/>
                <w:sz w:val="18"/>
              </w:rPr>
            </w:pPr>
            <w:r w:rsidRPr="007B62AA">
              <w:rPr>
                <w:sz w:val="18"/>
              </w:rPr>
              <w:t>Náklady</w:t>
            </w:r>
          </w:p>
        </w:tc>
        <w:tc>
          <w:tcPr>
            <w:tcW w:w="432" w:type="dxa"/>
            <w:gridSpan w:val="2"/>
            <w:tcBorders>
              <w:right w:val="dashSmallGap" w:sz="4" w:space="0" w:color="auto"/>
            </w:tcBorders>
            <w:shd w:val="pct10" w:color="auto" w:fill="auto"/>
            <w:textDirection w:val="btLr"/>
            <w:vAlign w:val="center"/>
          </w:tcPr>
          <w:p w14:paraId="56C1477D" w14:textId="77777777" w:rsidR="00B50935" w:rsidRPr="007B62AA" w:rsidRDefault="00B50935" w:rsidP="00427764">
            <w:pPr>
              <w:ind w:left="113" w:right="113"/>
              <w:jc w:val="center"/>
              <w:rPr>
                <w:noProof/>
              </w:rPr>
            </w:pPr>
            <w:r w:rsidRPr="007B62AA">
              <w:rPr>
                <w:sz w:val="18"/>
              </w:rPr>
              <w:t>Počet</w:t>
            </w:r>
          </w:p>
        </w:tc>
        <w:tc>
          <w:tcPr>
            <w:tcW w:w="720" w:type="dxa"/>
            <w:gridSpan w:val="2"/>
            <w:tcBorders>
              <w:left w:val="dashSmallGap" w:sz="4" w:space="0" w:color="auto"/>
            </w:tcBorders>
            <w:shd w:val="pct10" w:color="auto" w:fill="auto"/>
            <w:textDirection w:val="btLr"/>
            <w:vAlign w:val="center"/>
          </w:tcPr>
          <w:p w14:paraId="4FE06592" w14:textId="77777777" w:rsidR="00B50935" w:rsidRPr="007B62AA" w:rsidRDefault="00B50935" w:rsidP="007B62AA">
            <w:pPr>
              <w:ind w:left="113" w:right="113"/>
              <w:jc w:val="center"/>
              <w:rPr>
                <w:noProof/>
                <w:sz w:val="18"/>
              </w:rPr>
            </w:pPr>
            <w:r w:rsidRPr="007B62AA">
              <w:rPr>
                <w:sz w:val="18"/>
              </w:rPr>
              <w:t>Náklady</w:t>
            </w:r>
          </w:p>
        </w:tc>
        <w:tc>
          <w:tcPr>
            <w:tcW w:w="540" w:type="dxa"/>
            <w:gridSpan w:val="3"/>
            <w:tcBorders>
              <w:right w:val="dashSmallGap" w:sz="4" w:space="0" w:color="auto"/>
            </w:tcBorders>
            <w:shd w:val="pct10" w:color="auto" w:fill="auto"/>
            <w:textDirection w:val="btLr"/>
            <w:vAlign w:val="center"/>
          </w:tcPr>
          <w:p w14:paraId="6EA55FBD" w14:textId="77777777" w:rsidR="00B50935" w:rsidRPr="007B62AA" w:rsidRDefault="00B50935" w:rsidP="00427764">
            <w:pPr>
              <w:ind w:left="113" w:right="113"/>
              <w:jc w:val="center"/>
              <w:rPr>
                <w:noProof/>
              </w:rPr>
            </w:pPr>
            <w:r w:rsidRPr="007B62AA">
              <w:rPr>
                <w:sz w:val="18"/>
              </w:rPr>
              <w:t>Počet</w:t>
            </w:r>
          </w:p>
        </w:tc>
        <w:tc>
          <w:tcPr>
            <w:tcW w:w="723" w:type="dxa"/>
            <w:gridSpan w:val="2"/>
            <w:tcBorders>
              <w:left w:val="dashSmallGap" w:sz="4" w:space="0" w:color="auto"/>
            </w:tcBorders>
            <w:shd w:val="pct10" w:color="auto" w:fill="auto"/>
            <w:textDirection w:val="btLr"/>
            <w:vAlign w:val="center"/>
          </w:tcPr>
          <w:p w14:paraId="5956BD5C" w14:textId="77777777" w:rsidR="00B50935" w:rsidRPr="007B62AA" w:rsidRDefault="00B50935" w:rsidP="007B62AA">
            <w:pPr>
              <w:ind w:left="113" w:right="113"/>
              <w:jc w:val="center"/>
              <w:rPr>
                <w:noProof/>
                <w:sz w:val="18"/>
              </w:rPr>
            </w:pPr>
            <w:r w:rsidRPr="007B62AA">
              <w:rPr>
                <w:sz w:val="18"/>
              </w:rPr>
              <w:t>Náklady</w:t>
            </w:r>
          </w:p>
        </w:tc>
        <w:tc>
          <w:tcPr>
            <w:tcW w:w="720" w:type="dxa"/>
            <w:gridSpan w:val="2"/>
            <w:tcBorders>
              <w:right w:val="dashSmallGap" w:sz="4" w:space="0" w:color="auto"/>
            </w:tcBorders>
            <w:shd w:val="pct10" w:color="auto" w:fill="auto"/>
            <w:textDirection w:val="btLr"/>
            <w:vAlign w:val="center"/>
          </w:tcPr>
          <w:p w14:paraId="6FAB5B3E" w14:textId="77777777" w:rsidR="00B50935" w:rsidRPr="007B62AA" w:rsidRDefault="00B50935" w:rsidP="007B62AA">
            <w:pPr>
              <w:ind w:left="113" w:right="113"/>
              <w:jc w:val="center"/>
              <w:rPr>
                <w:noProof/>
                <w:sz w:val="18"/>
              </w:rPr>
            </w:pPr>
            <w:r w:rsidRPr="007B62AA">
              <w:rPr>
                <w:sz w:val="18"/>
              </w:rPr>
              <w:t>Celkový počet</w:t>
            </w:r>
          </w:p>
        </w:tc>
        <w:tc>
          <w:tcPr>
            <w:tcW w:w="900" w:type="dxa"/>
            <w:gridSpan w:val="2"/>
            <w:tcBorders>
              <w:left w:val="dashSmallGap" w:sz="4" w:space="0" w:color="auto"/>
            </w:tcBorders>
            <w:shd w:val="pct10" w:color="auto" w:fill="auto"/>
            <w:vAlign w:val="center"/>
          </w:tcPr>
          <w:p w14:paraId="1BD85E26" w14:textId="77777777" w:rsidR="00B50935" w:rsidRPr="007B62AA" w:rsidRDefault="00B50935" w:rsidP="00427764">
            <w:pPr>
              <w:jc w:val="center"/>
              <w:rPr>
                <w:noProof/>
              </w:rPr>
            </w:pPr>
            <w:r w:rsidRPr="007B62AA">
              <w:rPr>
                <w:sz w:val="18"/>
              </w:rPr>
              <w:t>Náklady spolu</w:t>
            </w:r>
          </w:p>
        </w:tc>
      </w:tr>
      <w:tr w:rsidR="00B50935" w:rsidRPr="007B62AA" w14:paraId="32F19BFB" w14:textId="77777777" w:rsidTr="00427764">
        <w:trPr>
          <w:gridAfter w:val="1"/>
          <w:wAfter w:w="12" w:type="dxa"/>
          <w:jc w:val="center"/>
        </w:trPr>
        <w:tc>
          <w:tcPr>
            <w:tcW w:w="13611" w:type="dxa"/>
            <w:gridSpan w:val="37"/>
            <w:vAlign w:val="center"/>
          </w:tcPr>
          <w:p w14:paraId="6AF77933" w14:textId="77777777" w:rsidR="00B50935" w:rsidRPr="007B62AA" w:rsidRDefault="00B50935" w:rsidP="00427764">
            <w:pPr>
              <w:spacing w:before="60" w:after="60"/>
              <w:ind w:right="-29"/>
              <w:jc w:val="center"/>
              <w:rPr>
                <w:noProof/>
                <w:sz w:val="18"/>
              </w:rPr>
            </w:pPr>
            <w:r w:rsidRPr="007B62AA">
              <w:t>ŠPECIFICKÝ CIEĽ č. 1: poskytovanie včasných informácií vrátane hodnotenia rizík Komisii, členským štátom, agentúram EÚ, ako aj medzinárodným organizáciám pôsobiacim v oblasti verejného zdravia</w:t>
            </w:r>
          </w:p>
        </w:tc>
      </w:tr>
      <w:tr w:rsidR="00B50935" w:rsidRPr="007B62AA" w14:paraId="2412D7B9" w14:textId="77777777" w:rsidTr="00427764">
        <w:trPr>
          <w:gridAfter w:val="1"/>
          <w:wAfter w:w="12" w:type="dxa"/>
          <w:trHeight w:hRule="exact" w:val="3884"/>
          <w:jc w:val="center"/>
        </w:trPr>
        <w:tc>
          <w:tcPr>
            <w:tcW w:w="1696" w:type="dxa"/>
          </w:tcPr>
          <w:p w14:paraId="79F9A8CC" w14:textId="47A82D61" w:rsidR="00B50935" w:rsidRPr="007B62AA" w:rsidRDefault="00B50935" w:rsidP="00427764">
            <w:pPr>
              <w:ind w:right="-29"/>
              <w:jc w:val="center"/>
              <w:rPr>
                <w:noProof/>
                <w:sz w:val="18"/>
              </w:rPr>
            </w:pPr>
            <w:r w:rsidRPr="007B62AA">
              <w:rPr>
                <w:sz w:val="18"/>
              </w:rPr>
              <w:t>– Výstup: zriadenie novej platformy, ktorú budú spoločne prevádzkovať EMA a ECDC, na štúdie dohľadu po uvedení na trh, monitorovanie bezpečnosti, účinnosti a vplyvu očkovania; pripravované vakcíny proti COVID-19 by mali byť prvými vakcínami monitorovanými v rámci tohto mechanizmu platformy</w:t>
            </w:r>
          </w:p>
        </w:tc>
        <w:tc>
          <w:tcPr>
            <w:tcW w:w="447" w:type="dxa"/>
          </w:tcPr>
          <w:p w14:paraId="79CD9849" w14:textId="77777777" w:rsidR="00B50935" w:rsidRPr="007B62AA" w:rsidRDefault="00B50935" w:rsidP="00427764">
            <w:pPr>
              <w:ind w:right="-29"/>
              <w:jc w:val="center"/>
              <w:rPr>
                <w:noProof/>
                <w:sz w:val="18"/>
              </w:rPr>
            </w:pPr>
          </w:p>
        </w:tc>
        <w:tc>
          <w:tcPr>
            <w:tcW w:w="542" w:type="dxa"/>
          </w:tcPr>
          <w:p w14:paraId="5F582439" w14:textId="77777777" w:rsidR="00B50935" w:rsidRPr="007B62AA" w:rsidRDefault="00B50935" w:rsidP="00427764">
            <w:pPr>
              <w:ind w:right="-29"/>
              <w:jc w:val="center"/>
              <w:rPr>
                <w:noProof/>
                <w:sz w:val="18"/>
              </w:rPr>
            </w:pPr>
          </w:p>
        </w:tc>
        <w:tc>
          <w:tcPr>
            <w:tcW w:w="663" w:type="dxa"/>
            <w:gridSpan w:val="2"/>
            <w:tcBorders>
              <w:right w:val="dashSmallGap" w:sz="4" w:space="0" w:color="auto"/>
            </w:tcBorders>
          </w:tcPr>
          <w:p w14:paraId="53729AB6" w14:textId="77777777" w:rsidR="00B50935" w:rsidRPr="007B62AA" w:rsidRDefault="00B50935" w:rsidP="00427764">
            <w:pPr>
              <w:ind w:right="-29"/>
              <w:jc w:val="center"/>
              <w:rPr>
                <w:noProof/>
                <w:sz w:val="18"/>
              </w:rPr>
            </w:pPr>
          </w:p>
        </w:tc>
        <w:tc>
          <w:tcPr>
            <w:tcW w:w="720" w:type="dxa"/>
            <w:gridSpan w:val="2"/>
            <w:tcBorders>
              <w:left w:val="dashSmallGap" w:sz="4" w:space="0" w:color="auto"/>
            </w:tcBorders>
          </w:tcPr>
          <w:p w14:paraId="6EA6298E" w14:textId="77777777" w:rsidR="00B50935" w:rsidRPr="007B62AA" w:rsidRDefault="00B50935" w:rsidP="00427764">
            <w:pPr>
              <w:ind w:right="-29"/>
              <w:jc w:val="center"/>
              <w:rPr>
                <w:noProof/>
                <w:sz w:val="18"/>
              </w:rPr>
            </w:pPr>
            <w:r w:rsidRPr="007B62AA">
              <w:rPr>
                <w:sz w:val="18"/>
              </w:rPr>
              <w:t>7,000</w:t>
            </w:r>
          </w:p>
        </w:tc>
        <w:tc>
          <w:tcPr>
            <w:tcW w:w="540" w:type="dxa"/>
            <w:gridSpan w:val="2"/>
            <w:tcBorders>
              <w:right w:val="dashSmallGap" w:sz="4" w:space="0" w:color="auto"/>
            </w:tcBorders>
          </w:tcPr>
          <w:p w14:paraId="77952CEF" w14:textId="77777777" w:rsidR="00B50935" w:rsidRPr="007B62AA" w:rsidRDefault="00B50935" w:rsidP="00427764">
            <w:pPr>
              <w:ind w:right="-29"/>
              <w:jc w:val="center"/>
              <w:rPr>
                <w:noProof/>
                <w:sz w:val="18"/>
              </w:rPr>
            </w:pPr>
          </w:p>
        </w:tc>
        <w:tc>
          <w:tcPr>
            <w:tcW w:w="720" w:type="dxa"/>
            <w:gridSpan w:val="2"/>
            <w:tcBorders>
              <w:left w:val="dashSmallGap" w:sz="4" w:space="0" w:color="auto"/>
            </w:tcBorders>
          </w:tcPr>
          <w:p w14:paraId="30E9D2DF" w14:textId="77777777" w:rsidR="00B50935" w:rsidRPr="007B62AA" w:rsidRDefault="00B50935" w:rsidP="00427764">
            <w:pPr>
              <w:ind w:right="-29"/>
              <w:jc w:val="center"/>
              <w:rPr>
                <w:noProof/>
                <w:sz w:val="18"/>
              </w:rPr>
            </w:pPr>
            <w:r w:rsidRPr="007B62AA">
              <w:rPr>
                <w:sz w:val="18"/>
              </w:rPr>
              <w:t>7,000</w:t>
            </w:r>
          </w:p>
        </w:tc>
        <w:tc>
          <w:tcPr>
            <w:tcW w:w="720" w:type="dxa"/>
            <w:gridSpan w:val="2"/>
            <w:tcBorders>
              <w:right w:val="dashSmallGap" w:sz="4" w:space="0" w:color="auto"/>
            </w:tcBorders>
          </w:tcPr>
          <w:p w14:paraId="154B8D35" w14:textId="77777777" w:rsidR="00B50935" w:rsidRPr="007B62AA" w:rsidRDefault="00B50935" w:rsidP="00427764">
            <w:pPr>
              <w:ind w:right="-29"/>
              <w:jc w:val="center"/>
              <w:rPr>
                <w:noProof/>
                <w:sz w:val="18"/>
              </w:rPr>
            </w:pPr>
          </w:p>
        </w:tc>
        <w:tc>
          <w:tcPr>
            <w:tcW w:w="720" w:type="dxa"/>
            <w:gridSpan w:val="2"/>
            <w:tcBorders>
              <w:left w:val="dashSmallGap" w:sz="4" w:space="0" w:color="auto"/>
            </w:tcBorders>
          </w:tcPr>
          <w:p w14:paraId="0E74D5B7" w14:textId="77777777" w:rsidR="00B50935" w:rsidRPr="007B62AA" w:rsidRDefault="00B50935" w:rsidP="00427764">
            <w:pPr>
              <w:ind w:right="-29"/>
              <w:jc w:val="center"/>
              <w:rPr>
                <w:noProof/>
                <w:sz w:val="18"/>
              </w:rPr>
            </w:pPr>
            <w:r w:rsidRPr="007B62AA">
              <w:rPr>
                <w:sz w:val="18"/>
              </w:rPr>
              <w:t>6,800</w:t>
            </w:r>
          </w:p>
        </w:tc>
        <w:tc>
          <w:tcPr>
            <w:tcW w:w="900" w:type="dxa"/>
            <w:gridSpan w:val="2"/>
            <w:tcBorders>
              <w:right w:val="dashSmallGap" w:sz="4" w:space="0" w:color="auto"/>
            </w:tcBorders>
          </w:tcPr>
          <w:p w14:paraId="33378E72" w14:textId="77777777" w:rsidR="00B50935" w:rsidRPr="007B62AA" w:rsidRDefault="00B50935" w:rsidP="00427764">
            <w:pPr>
              <w:ind w:right="-29"/>
              <w:jc w:val="center"/>
              <w:rPr>
                <w:noProof/>
                <w:sz w:val="18"/>
              </w:rPr>
            </w:pPr>
          </w:p>
        </w:tc>
        <w:tc>
          <w:tcPr>
            <w:tcW w:w="720" w:type="dxa"/>
            <w:gridSpan w:val="3"/>
            <w:tcBorders>
              <w:left w:val="dashSmallGap" w:sz="4" w:space="0" w:color="auto"/>
            </w:tcBorders>
          </w:tcPr>
          <w:p w14:paraId="75607165" w14:textId="77777777" w:rsidR="00B50935" w:rsidRPr="007B62AA" w:rsidRDefault="00B50935" w:rsidP="00427764">
            <w:pPr>
              <w:ind w:right="-29"/>
              <w:jc w:val="center"/>
              <w:rPr>
                <w:noProof/>
                <w:sz w:val="18"/>
              </w:rPr>
            </w:pPr>
            <w:r w:rsidRPr="007B62AA">
              <w:rPr>
                <w:sz w:val="18"/>
              </w:rPr>
              <w:t>6,800</w:t>
            </w:r>
          </w:p>
        </w:tc>
        <w:tc>
          <w:tcPr>
            <w:tcW w:w="540" w:type="dxa"/>
            <w:gridSpan w:val="2"/>
            <w:tcBorders>
              <w:right w:val="dashSmallGap" w:sz="4" w:space="0" w:color="auto"/>
            </w:tcBorders>
          </w:tcPr>
          <w:p w14:paraId="0FEB228F" w14:textId="77777777" w:rsidR="00B50935" w:rsidRPr="007B62AA" w:rsidRDefault="00B50935" w:rsidP="00427764">
            <w:pPr>
              <w:ind w:right="-29"/>
              <w:jc w:val="center"/>
              <w:rPr>
                <w:noProof/>
                <w:sz w:val="18"/>
              </w:rPr>
            </w:pPr>
          </w:p>
        </w:tc>
        <w:tc>
          <w:tcPr>
            <w:tcW w:w="648" w:type="dxa"/>
            <w:gridSpan w:val="2"/>
            <w:tcBorders>
              <w:left w:val="dashSmallGap" w:sz="4" w:space="0" w:color="auto"/>
            </w:tcBorders>
          </w:tcPr>
          <w:p w14:paraId="4A998CF5" w14:textId="77777777" w:rsidR="00B50935" w:rsidRPr="007B62AA" w:rsidRDefault="00B50935" w:rsidP="00427764">
            <w:pPr>
              <w:ind w:right="-29"/>
              <w:jc w:val="center"/>
              <w:rPr>
                <w:noProof/>
                <w:sz w:val="18"/>
              </w:rPr>
            </w:pPr>
            <w:r w:rsidRPr="007B62AA">
              <w:rPr>
                <w:sz w:val="18"/>
              </w:rPr>
              <w:t>6,800</w:t>
            </w:r>
          </w:p>
        </w:tc>
        <w:tc>
          <w:tcPr>
            <w:tcW w:w="432" w:type="dxa"/>
            <w:gridSpan w:val="2"/>
            <w:tcBorders>
              <w:right w:val="dashSmallGap" w:sz="4" w:space="0" w:color="auto"/>
            </w:tcBorders>
          </w:tcPr>
          <w:p w14:paraId="7FC17801" w14:textId="77777777" w:rsidR="00B50935" w:rsidRPr="007B62AA" w:rsidRDefault="00B50935" w:rsidP="00427764">
            <w:pPr>
              <w:ind w:right="-29"/>
              <w:jc w:val="center"/>
              <w:rPr>
                <w:noProof/>
                <w:sz w:val="18"/>
              </w:rPr>
            </w:pPr>
          </w:p>
        </w:tc>
        <w:tc>
          <w:tcPr>
            <w:tcW w:w="720" w:type="dxa"/>
            <w:gridSpan w:val="2"/>
            <w:tcBorders>
              <w:left w:val="dashSmallGap" w:sz="4" w:space="0" w:color="auto"/>
            </w:tcBorders>
          </w:tcPr>
          <w:p w14:paraId="3C25B8DF" w14:textId="77777777" w:rsidR="00B50935" w:rsidRPr="007B62AA" w:rsidRDefault="00B50935" w:rsidP="00427764">
            <w:pPr>
              <w:ind w:right="-29"/>
              <w:jc w:val="center"/>
              <w:rPr>
                <w:noProof/>
                <w:sz w:val="18"/>
              </w:rPr>
            </w:pPr>
            <w:r w:rsidRPr="007B62AA">
              <w:rPr>
                <w:sz w:val="18"/>
              </w:rPr>
              <w:t>6,800</w:t>
            </w:r>
          </w:p>
        </w:tc>
        <w:tc>
          <w:tcPr>
            <w:tcW w:w="540" w:type="dxa"/>
            <w:gridSpan w:val="3"/>
            <w:tcBorders>
              <w:right w:val="dashSmallGap" w:sz="4" w:space="0" w:color="auto"/>
            </w:tcBorders>
          </w:tcPr>
          <w:p w14:paraId="0E321C41" w14:textId="77777777" w:rsidR="00B50935" w:rsidRPr="007B62AA" w:rsidRDefault="00B50935" w:rsidP="00427764">
            <w:pPr>
              <w:ind w:right="-29"/>
              <w:jc w:val="center"/>
              <w:rPr>
                <w:noProof/>
                <w:sz w:val="18"/>
              </w:rPr>
            </w:pPr>
          </w:p>
        </w:tc>
        <w:tc>
          <w:tcPr>
            <w:tcW w:w="723" w:type="dxa"/>
            <w:gridSpan w:val="2"/>
            <w:tcBorders>
              <w:left w:val="dashSmallGap" w:sz="4" w:space="0" w:color="auto"/>
            </w:tcBorders>
          </w:tcPr>
          <w:p w14:paraId="3372A9E7" w14:textId="77777777" w:rsidR="00B50935" w:rsidRPr="007B62AA" w:rsidRDefault="00B50935" w:rsidP="00427764">
            <w:pPr>
              <w:ind w:right="-29"/>
              <w:jc w:val="center"/>
              <w:rPr>
                <w:noProof/>
                <w:sz w:val="18"/>
              </w:rPr>
            </w:pPr>
            <w:r w:rsidRPr="007B62AA">
              <w:rPr>
                <w:sz w:val="18"/>
              </w:rPr>
              <w:t>6,800</w:t>
            </w:r>
          </w:p>
        </w:tc>
        <w:tc>
          <w:tcPr>
            <w:tcW w:w="720" w:type="dxa"/>
            <w:gridSpan w:val="2"/>
          </w:tcPr>
          <w:p w14:paraId="50ECD6E9" w14:textId="77777777" w:rsidR="00B50935" w:rsidRPr="007B62AA" w:rsidRDefault="00B50935" w:rsidP="00427764">
            <w:pPr>
              <w:ind w:right="-29"/>
              <w:jc w:val="center"/>
              <w:rPr>
                <w:noProof/>
                <w:sz w:val="18"/>
              </w:rPr>
            </w:pPr>
          </w:p>
        </w:tc>
        <w:tc>
          <w:tcPr>
            <w:tcW w:w="900" w:type="dxa"/>
            <w:gridSpan w:val="2"/>
          </w:tcPr>
          <w:p w14:paraId="28FD9A3D" w14:textId="77777777" w:rsidR="00B50935" w:rsidRPr="007B62AA" w:rsidRDefault="00B50935" w:rsidP="00427764">
            <w:pPr>
              <w:ind w:right="-29"/>
              <w:jc w:val="center"/>
              <w:rPr>
                <w:noProof/>
                <w:sz w:val="18"/>
              </w:rPr>
            </w:pPr>
            <w:r w:rsidRPr="007B62AA">
              <w:rPr>
                <w:sz w:val="18"/>
              </w:rPr>
              <w:t>48,000</w:t>
            </w:r>
          </w:p>
        </w:tc>
      </w:tr>
      <w:tr w:rsidR="00B50935" w:rsidRPr="007B62AA" w14:paraId="7C757BF9" w14:textId="77777777" w:rsidTr="00427764">
        <w:trPr>
          <w:gridAfter w:val="1"/>
          <w:wAfter w:w="12" w:type="dxa"/>
          <w:trHeight w:hRule="exact" w:val="369"/>
          <w:jc w:val="center"/>
        </w:trPr>
        <w:tc>
          <w:tcPr>
            <w:tcW w:w="1696" w:type="dxa"/>
          </w:tcPr>
          <w:p w14:paraId="01EAAB94" w14:textId="77777777" w:rsidR="00B50935" w:rsidRPr="007B62AA" w:rsidRDefault="00B50935" w:rsidP="00427764">
            <w:pPr>
              <w:ind w:right="-29"/>
              <w:jc w:val="center"/>
              <w:rPr>
                <w:noProof/>
                <w:sz w:val="18"/>
              </w:rPr>
            </w:pPr>
            <w:r w:rsidRPr="007B62AA">
              <w:rPr>
                <w:sz w:val="18"/>
              </w:rPr>
              <w:t>‒ Výstup</w:t>
            </w:r>
          </w:p>
        </w:tc>
        <w:tc>
          <w:tcPr>
            <w:tcW w:w="447" w:type="dxa"/>
          </w:tcPr>
          <w:p w14:paraId="22C4F84D" w14:textId="77777777" w:rsidR="00B50935" w:rsidRPr="007B62AA" w:rsidRDefault="00B50935" w:rsidP="00427764">
            <w:pPr>
              <w:ind w:right="-29"/>
              <w:jc w:val="center"/>
              <w:rPr>
                <w:noProof/>
                <w:sz w:val="18"/>
              </w:rPr>
            </w:pPr>
          </w:p>
        </w:tc>
        <w:tc>
          <w:tcPr>
            <w:tcW w:w="542" w:type="dxa"/>
          </w:tcPr>
          <w:p w14:paraId="797669E7" w14:textId="77777777" w:rsidR="00B50935" w:rsidRPr="007B62AA" w:rsidRDefault="00B50935" w:rsidP="00427764">
            <w:pPr>
              <w:ind w:right="-29"/>
              <w:jc w:val="center"/>
              <w:rPr>
                <w:noProof/>
                <w:sz w:val="18"/>
              </w:rPr>
            </w:pPr>
          </w:p>
        </w:tc>
        <w:tc>
          <w:tcPr>
            <w:tcW w:w="663" w:type="dxa"/>
            <w:gridSpan w:val="2"/>
            <w:tcBorders>
              <w:right w:val="dashSmallGap" w:sz="4" w:space="0" w:color="auto"/>
            </w:tcBorders>
          </w:tcPr>
          <w:p w14:paraId="4EC9C225" w14:textId="77777777" w:rsidR="00B50935" w:rsidRPr="007B62AA" w:rsidRDefault="00B50935" w:rsidP="00427764">
            <w:pPr>
              <w:ind w:right="-29"/>
              <w:jc w:val="center"/>
              <w:rPr>
                <w:noProof/>
                <w:sz w:val="18"/>
              </w:rPr>
            </w:pPr>
          </w:p>
        </w:tc>
        <w:tc>
          <w:tcPr>
            <w:tcW w:w="720" w:type="dxa"/>
            <w:gridSpan w:val="2"/>
            <w:tcBorders>
              <w:left w:val="dashSmallGap" w:sz="4" w:space="0" w:color="auto"/>
            </w:tcBorders>
          </w:tcPr>
          <w:p w14:paraId="2D29EFC4" w14:textId="77777777" w:rsidR="00B50935" w:rsidRPr="007B62AA" w:rsidRDefault="00B50935" w:rsidP="00427764">
            <w:pPr>
              <w:ind w:right="-29"/>
              <w:jc w:val="center"/>
              <w:rPr>
                <w:noProof/>
                <w:sz w:val="18"/>
              </w:rPr>
            </w:pPr>
          </w:p>
        </w:tc>
        <w:tc>
          <w:tcPr>
            <w:tcW w:w="540" w:type="dxa"/>
            <w:gridSpan w:val="2"/>
            <w:tcBorders>
              <w:right w:val="dashSmallGap" w:sz="4" w:space="0" w:color="auto"/>
            </w:tcBorders>
          </w:tcPr>
          <w:p w14:paraId="3CE00260" w14:textId="77777777" w:rsidR="00B50935" w:rsidRPr="007B62AA" w:rsidRDefault="00B50935" w:rsidP="00427764">
            <w:pPr>
              <w:ind w:right="-29"/>
              <w:jc w:val="center"/>
              <w:rPr>
                <w:noProof/>
                <w:sz w:val="18"/>
              </w:rPr>
            </w:pPr>
          </w:p>
        </w:tc>
        <w:tc>
          <w:tcPr>
            <w:tcW w:w="720" w:type="dxa"/>
            <w:gridSpan w:val="2"/>
            <w:tcBorders>
              <w:left w:val="dashSmallGap" w:sz="4" w:space="0" w:color="auto"/>
            </w:tcBorders>
          </w:tcPr>
          <w:p w14:paraId="78C80459" w14:textId="77777777" w:rsidR="00B50935" w:rsidRPr="007B62AA" w:rsidRDefault="00B50935" w:rsidP="00427764">
            <w:pPr>
              <w:ind w:right="-29"/>
              <w:jc w:val="center"/>
              <w:rPr>
                <w:noProof/>
                <w:sz w:val="18"/>
              </w:rPr>
            </w:pPr>
          </w:p>
        </w:tc>
        <w:tc>
          <w:tcPr>
            <w:tcW w:w="720" w:type="dxa"/>
            <w:gridSpan w:val="2"/>
            <w:tcBorders>
              <w:right w:val="dashSmallGap" w:sz="4" w:space="0" w:color="auto"/>
            </w:tcBorders>
          </w:tcPr>
          <w:p w14:paraId="2C5BC49E" w14:textId="77777777" w:rsidR="00B50935" w:rsidRPr="007B62AA" w:rsidRDefault="00B50935" w:rsidP="00427764">
            <w:pPr>
              <w:ind w:right="-29"/>
              <w:jc w:val="center"/>
              <w:rPr>
                <w:noProof/>
                <w:sz w:val="18"/>
              </w:rPr>
            </w:pPr>
          </w:p>
        </w:tc>
        <w:tc>
          <w:tcPr>
            <w:tcW w:w="720" w:type="dxa"/>
            <w:gridSpan w:val="2"/>
            <w:tcBorders>
              <w:left w:val="dashSmallGap" w:sz="4" w:space="0" w:color="auto"/>
            </w:tcBorders>
          </w:tcPr>
          <w:p w14:paraId="5792A5A8" w14:textId="77777777" w:rsidR="00B50935" w:rsidRPr="007B62AA" w:rsidRDefault="00B50935" w:rsidP="00427764">
            <w:pPr>
              <w:ind w:right="-29"/>
              <w:jc w:val="center"/>
              <w:rPr>
                <w:noProof/>
                <w:sz w:val="18"/>
              </w:rPr>
            </w:pPr>
          </w:p>
        </w:tc>
        <w:tc>
          <w:tcPr>
            <w:tcW w:w="900" w:type="dxa"/>
            <w:gridSpan w:val="2"/>
            <w:tcBorders>
              <w:right w:val="dashSmallGap" w:sz="4" w:space="0" w:color="auto"/>
            </w:tcBorders>
          </w:tcPr>
          <w:p w14:paraId="2FEA0A14" w14:textId="77777777" w:rsidR="00B50935" w:rsidRPr="007B62AA" w:rsidRDefault="00B50935" w:rsidP="00427764">
            <w:pPr>
              <w:ind w:right="-29"/>
              <w:jc w:val="center"/>
              <w:rPr>
                <w:noProof/>
                <w:sz w:val="18"/>
              </w:rPr>
            </w:pPr>
          </w:p>
        </w:tc>
        <w:tc>
          <w:tcPr>
            <w:tcW w:w="720" w:type="dxa"/>
            <w:gridSpan w:val="3"/>
            <w:tcBorders>
              <w:left w:val="dashSmallGap" w:sz="4" w:space="0" w:color="auto"/>
            </w:tcBorders>
          </w:tcPr>
          <w:p w14:paraId="40917842" w14:textId="77777777" w:rsidR="00B50935" w:rsidRPr="007B62AA" w:rsidRDefault="00B50935" w:rsidP="00427764">
            <w:pPr>
              <w:ind w:right="-29"/>
              <w:jc w:val="center"/>
              <w:rPr>
                <w:noProof/>
                <w:sz w:val="18"/>
              </w:rPr>
            </w:pPr>
          </w:p>
        </w:tc>
        <w:tc>
          <w:tcPr>
            <w:tcW w:w="540" w:type="dxa"/>
            <w:gridSpan w:val="2"/>
            <w:tcBorders>
              <w:right w:val="dashSmallGap" w:sz="4" w:space="0" w:color="auto"/>
            </w:tcBorders>
          </w:tcPr>
          <w:p w14:paraId="27BF5166" w14:textId="77777777" w:rsidR="00B50935" w:rsidRPr="007B62AA" w:rsidRDefault="00B50935" w:rsidP="00427764">
            <w:pPr>
              <w:ind w:right="-29"/>
              <w:jc w:val="center"/>
              <w:rPr>
                <w:noProof/>
                <w:sz w:val="18"/>
              </w:rPr>
            </w:pPr>
          </w:p>
        </w:tc>
        <w:tc>
          <w:tcPr>
            <w:tcW w:w="648" w:type="dxa"/>
            <w:gridSpan w:val="2"/>
            <w:tcBorders>
              <w:left w:val="dashSmallGap" w:sz="4" w:space="0" w:color="auto"/>
            </w:tcBorders>
          </w:tcPr>
          <w:p w14:paraId="71A26C3A" w14:textId="77777777" w:rsidR="00B50935" w:rsidRPr="007B62AA" w:rsidRDefault="00B50935" w:rsidP="00427764">
            <w:pPr>
              <w:ind w:right="-29"/>
              <w:jc w:val="center"/>
              <w:rPr>
                <w:noProof/>
                <w:sz w:val="18"/>
              </w:rPr>
            </w:pPr>
          </w:p>
        </w:tc>
        <w:tc>
          <w:tcPr>
            <w:tcW w:w="432" w:type="dxa"/>
            <w:gridSpan w:val="2"/>
            <w:tcBorders>
              <w:right w:val="dashSmallGap" w:sz="4" w:space="0" w:color="auto"/>
            </w:tcBorders>
          </w:tcPr>
          <w:p w14:paraId="7F1ED36B" w14:textId="77777777" w:rsidR="00B50935" w:rsidRPr="007B62AA" w:rsidRDefault="00B50935" w:rsidP="00427764">
            <w:pPr>
              <w:ind w:right="-29"/>
              <w:jc w:val="center"/>
              <w:rPr>
                <w:noProof/>
                <w:sz w:val="18"/>
              </w:rPr>
            </w:pPr>
          </w:p>
        </w:tc>
        <w:tc>
          <w:tcPr>
            <w:tcW w:w="720" w:type="dxa"/>
            <w:gridSpan w:val="2"/>
            <w:tcBorders>
              <w:left w:val="dashSmallGap" w:sz="4" w:space="0" w:color="auto"/>
            </w:tcBorders>
          </w:tcPr>
          <w:p w14:paraId="5CA1B4DE" w14:textId="77777777" w:rsidR="00B50935" w:rsidRPr="007B62AA" w:rsidRDefault="00B50935" w:rsidP="00427764">
            <w:pPr>
              <w:ind w:right="-29"/>
              <w:jc w:val="center"/>
              <w:rPr>
                <w:noProof/>
                <w:sz w:val="18"/>
              </w:rPr>
            </w:pPr>
          </w:p>
        </w:tc>
        <w:tc>
          <w:tcPr>
            <w:tcW w:w="540" w:type="dxa"/>
            <w:gridSpan w:val="3"/>
            <w:tcBorders>
              <w:right w:val="dashSmallGap" w:sz="4" w:space="0" w:color="auto"/>
            </w:tcBorders>
          </w:tcPr>
          <w:p w14:paraId="42A4925F" w14:textId="77777777" w:rsidR="00B50935" w:rsidRPr="007B62AA" w:rsidRDefault="00B50935" w:rsidP="00427764">
            <w:pPr>
              <w:ind w:right="-29"/>
              <w:jc w:val="center"/>
              <w:rPr>
                <w:noProof/>
                <w:sz w:val="18"/>
              </w:rPr>
            </w:pPr>
          </w:p>
        </w:tc>
        <w:tc>
          <w:tcPr>
            <w:tcW w:w="723" w:type="dxa"/>
            <w:gridSpan w:val="2"/>
            <w:tcBorders>
              <w:left w:val="dashSmallGap" w:sz="4" w:space="0" w:color="auto"/>
            </w:tcBorders>
          </w:tcPr>
          <w:p w14:paraId="3E902BAA" w14:textId="77777777" w:rsidR="00B50935" w:rsidRPr="007B62AA" w:rsidRDefault="00B50935" w:rsidP="00427764">
            <w:pPr>
              <w:ind w:right="-29"/>
              <w:jc w:val="center"/>
              <w:rPr>
                <w:noProof/>
                <w:sz w:val="18"/>
              </w:rPr>
            </w:pPr>
          </w:p>
        </w:tc>
        <w:tc>
          <w:tcPr>
            <w:tcW w:w="720" w:type="dxa"/>
            <w:gridSpan w:val="2"/>
          </w:tcPr>
          <w:p w14:paraId="3BE7FAD7" w14:textId="77777777" w:rsidR="00B50935" w:rsidRPr="007B62AA" w:rsidRDefault="00B50935" w:rsidP="00427764">
            <w:pPr>
              <w:ind w:right="-29"/>
              <w:jc w:val="center"/>
              <w:rPr>
                <w:noProof/>
                <w:sz w:val="18"/>
              </w:rPr>
            </w:pPr>
          </w:p>
        </w:tc>
        <w:tc>
          <w:tcPr>
            <w:tcW w:w="900" w:type="dxa"/>
            <w:gridSpan w:val="2"/>
          </w:tcPr>
          <w:p w14:paraId="4D8EDB07" w14:textId="77777777" w:rsidR="00B50935" w:rsidRPr="007B62AA" w:rsidRDefault="00B50935" w:rsidP="00427764">
            <w:pPr>
              <w:ind w:right="-29"/>
              <w:jc w:val="center"/>
              <w:rPr>
                <w:noProof/>
                <w:sz w:val="18"/>
              </w:rPr>
            </w:pPr>
          </w:p>
        </w:tc>
      </w:tr>
      <w:tr w:rsidR="00B50935" w:rsidRPr="007B62AA" w14:paraId="12676278" w14:textId="77777777" w:rsidTr="00427764">
        <w:trPr>
          <w:gridAfter w:val="1"/>
          <w:wAfter w:w="12" w:type="dxa"/>
          <w:trHeight w:hRule="exact" w:val="369"/>
          <w:jc w:val="center"/>
        </w:trPr>
        <w:tc>
          <w:tcPr>
            <w:tcW w:w="1696" w:type="dxa"/>
          </w:tcPr>
          <w:p w14:paraId="4221F6E5" w14:textId="77777777" w:rsidR="00B50935" w:rsidRPr="007B62AA" w:rsidRDefault="00B50935" w:rsidP="00427764">
            <w:pPr>
              <w:ind w:right="-29"/>
              <w:jc w:val="center"/>
              <w:rPr>
                <w:noProof/>
                <w:sz w:val="18"/>
              </w:rPr>
            </w:pPr>
            <w:r w:rsidRPr="007B62AA">
              <w:rPr>
                <w:sz w:val="18"/>
              </w:rPr>
              <w:t>‒ Výstup</w:t>
            </w:r>
          </w:p>
        </w:tc>
        <w:tc>
          <w:tcPr>
            <w:tcW w:w="447" w:type="dxa"/>
          </w:tcPr>
          <w:p w14:paraId="2C097759" w14:textId="77777777" w:rsidR="00B50935" w:rsidRPr="007B62AA" w:rsidRDefault="00B50935" w:rsidP="00427764">
            <w:pPr>
              <w:ind w:right="-29"/>
              <w:jc w:val="center"/>
              <w:rPr>
                <w:noProof/>
                <w:sz w:val="18"/>
              </w:rPr>
            </w:pPr>
          </w:p>
        </w:tc>
        <w:tc>
          <w:tcPr>
            <w:tcW w:w="542" w:type="dxa"/>
          </w:tcPr>
          <w:p w14:paraId="0234681A" w14:textId="77777777" w:rsidR="00B50935" w:rsidRPr="007B62AA" w:rsidRDefault="00B50935" w:rsidP="00427764">
            <w:pPr>
              <w:ind w:right="-29"/>
              <w:jc w:val="center"/>
              <w:rPr>
                <w:noProof/>
                <w:sz w:val="18"/>
              </w:rPr>
            </w:pPr>
          </w:p>
        </w:tc>
        <w:tc>
          <w:tcPr>
            <w:tcW w:w="663" w:type="dxa"/>
            <w:gridSpan w:val="2"/>
          </w:tcPr>
          <w:p w14:paraId="2F8A6DF6" w14:textId="77777777" w:rsidR="00B50935" w:rsidRPr="007B62AA" w:rsidRDefault="00B50935" w:rsidP="00427764">
            <w:pPr>
              <w:ind w:right="-29"/>
              <w:jc w:val="center"/>
              <w:rPr>
                <w:noProof/>
                <w:sz w:val="18"/>
              </w:rPr>
            </w:pPr>
          </w:p>
        </w:tc>
        <w:tc>
          <w:tcPr>
            <w:tcW w:w="720" w:type="dxa"/>
            <w:gridSpan w:val="2"/>
          </w:tcPr>
          <w:p w14:paraId="6CA938E7" w14:textId="77777777" w:rsidR="00B50935" w:rsidRPr="007B62AA" w:rsidRDefault="00B50935" w:rsidP="00427764">
            <w:pPr>
              <w:ind w:right="-29"/>
              <w:jc w:val="center"/>
              <w:rPr>
                <w:noProof/>
                <w:sz w:val="18"/>
              </w:rPr>
            </w:pPr>
          </w:p>
        </w:tc>
        <w:tc>
          <w:tcPr>
            <w:tcW w:w="540" w:type="dxa"/>
            <w:gridSpan w:val="2"/>
          </w:tcPr>
          <w:p w14:paraId="32F8F226" w14:textId="77777777" w:rsidR="00B50935" w:rsidRPr="007B62AA" w:rsidRDefault="00B50935" w:rsidP="00427764">
            <w:pPr>
              <w:ind w:right="-29"/>
              <w:jc w:val="center"/>
              <w:rPr>
                <w:noProof/>
                <w:sz w:val="18"/>
              </w:rPr>
            </w:pPr>
          </w:p>
        </w:tc>
        <w:tc>
          <w:tcPr>
            <w:tcW w:w="720" w:type="dxa"/>
            <w:gridSpan w:val="2"/>
          </w:tcPr>
          <w:p w14:paraId="136E7BF1" w14:textId="77777777" w:rsidR="00B50935" w:rsidRPr="007B62AA" w:rsidRDefault="00B50935" w:rsidP="00427764">
            <w:pPr>
              <w:ind w:right="-29"/>
              <w:jc w:val="center"/>
              <w:rPr>
                <w:noProof/>
                <w:sz w:val="18"/>
              </w:rPr>
            </w:pPr>
          </w:p>
        </w:tc>
        <w:tc>
          <w:tcPr>
            <w:tcW w:w="720" w:type="dxa"/>
            <w:gridSpan w:val="2"/>
          </w:tcPr>
          <w:p w14:paraId="109581C1" w14:textId="77777777" w:rsidR="00B50935" w:rsidRPr="007B62AA" w:rsidRDefault="00B50935" w:rsidP="00427764">
            <w:pPr>
              <w:ind w:right="-29"/>
              <w:jc w:val="center"/>
              <w:rPr>
                <w:noProof/>
                <w:sz w:val="18"/>
              </w:rPr>
            </w:pPr>
          </w:p>
        </w:tc>
        <w:tc>
          <w:tcPr>
            <w:tcW w:w="720" w:type="dxa"/>
            <w:gridSpan w:val="2"/>
          </w:tcPr>
          <w:p w14:paraId="529F7B3D" w14:textId="77777777" w:rsidR="00B50935" w:rsidRPr="007B62AA" w:rsidRDefault="00B50935" w:rsidP="00427764">
            <w:pPr>
              <w:ind w:right="-29"/>
              <w:jc w:val="center"/>
              <w:rPr>
                <w:noProof/>
                <w:sz w:val="18"/>
              </w:rPr>
            </w:pPr>
          </w:p>
        </w:tc>
        <w:tc>
          <w:tcPr>
            <w:tcW w:w="900" w:type="dxa"/>
            <w:gridSpan w:val="2"/>
          </w:tcPr>
          <w:p w14:paraId="4B47C0DB" w14:textId="77777777" w:rsidR="00B50935" w:rsidRPr="007B62AA" w:rsidRDefault="00B50935" w:rsidP="00427764">
            <w:pPr>
              <w:ind w:right="-29"/>
              <w:jc w:val="center"/>
              <w:rPr>
                <w:noProof/>
                <w:sz w:val="18"/>
              </w:rPr>
            </w:pPr>
          </w:p>
        </w:tc>
        <w:tc>
          <w:tcPr>
            <w:tcW w:w="720" w:type="dxa"/>
            <w:gridSpan w:val="3"/>
          </w:tcPr>
          <w:p w14:paraId="1ABE6867" w14:textId="77777777" w:rsidR="00B50935" w:rsidRPr="007B62AA" w:rsidRDefault="00B50935" w:rsidP="00427764">
            <w:pPr>
              <w:ind w:right="-29"/>
              <w:jc w:val="center"/>
              <w:rPr>
                <w:noProof/>
                <w:sz w:val="18"/>
              </w:rPr>
            </w:pPr>
          </w:p>
        </w:tc>
        <w:tc>
          <w:tcPr>
            <w:tcW w:w="540" w:type="dxa"/>
            <w:gridSpan w:val="2"/>
          </w:tcPr>
          <w:p w14:paraId="15B7FEE7" w14:textId="77777777" w:rsidR="00B50935" w:rsidRPr="007B62AA" w:rsidRDefault="00B50935" w:rsidP="00427764">
            <w:pPr>
              <w:ind w:right="-29"/>
              <w:jc w:val="center"/>
              <w:rPr>
                <w:noProof/>
                <w:sz w:val="18"/>
              </w:rPr>
            </w:pPr>
          </w:p>
        </w:tc>
        <w:tc>
          <w:tcPr>
            <w:tcW w:w="648" w:type="dxa"/>
            <w:gridSpan w:val="2"/>
          </w:tcPr>
          <w:p w14:paraId="4EBAA255" w14:textId="77777777" w:rsidR="00B50935" w:rsidRPr="007B62AA" w:rsidRDefault="00B50935" w:rsidP="00427764">
            <w:pPr>
              <w:ind w:right="-29"/>
              <w:jc w:val="center"/>
              <w:rPr>
                <w:noProof/>
                <w:sz w:val="18"/>
              </w:rPr>
            </w:pPr>
          </w:p>
        </w:tc>
        <w:tc>
          <w:tcPr>
            <w:tcW w:w="432" w:type="dxa"/>
            <w:gridSpan w:val="2"/>
          </w:tcPr>
          <w:p w14:paraId="68F27C7B" w14:textId="77777777" w:rsidR="00B50935" w:rsidRPr="007B62AA" w:rsidRDefault="00B50935" w:rsidP="00427764">
            <w:pPr>
              <w:ind w:right="-29"/>
              <w:jc w:val="center"/>
              <w:rPr>
                <w:noProof/>
                <w:sz w:val="18"/>
              </w:rPr>
            </w:pPr>
          </w:p>
        </w:tc>
        <w:tc>
          <w:tcPr>
            <w:tcW w:w="720" w:type="dxa"/>
            <w:gridSpan w:val="2"/>
          </w:tcPr>
          <w:p w14:paraId="399E6036" w14:textId="77777777" w:rsidR="00B50935" w:rsidRPr="007B62AA" w:rsidRDefault="00B50935" w:rsidP="00427764">
            <w:pPr>
              <w:ind w:right="-29"/>
              <w:jc w:val="center"/>
              <w:rPr>
                <w:noProof/>
                <w:sz w:val="18"/>
              </w:rPr>
            </w:pPr>
          </w:p>
        </w:tc>
        <w:tc>
          <w:tcPr>
            <w:tcW w:w="540" w:type="dxa"/>
            <w:gridSpan w:val="3"/>
          </w:tcPr>
          <w:p w14:paraId="0BDDD62E" w14:textId="77777777" w:rsidR="00B50935" w:rsidRPr="007B62AA" w:rsidRDefault="00B50935" w:rsidP="00427764">
            <w:pPr>
              <w:ind w:right="-29"/>
              <w:jc w:val="center"/>
              <w:rPr>
                <w:noProof/>
                <w:sz w:val="18"/>
              </w:rPr>
            </w:pPr>
          </w:p>
        </w:tc>
        <w:tc>
          <w:tcPr>
            <w:tcW w:w="723" w:type="dxa"/>
            <w:gridSpan w:val="2"/>
          </w:tcPr>
          <w:p w14:paraId="586E5F07" w14:textId="77777777" w:rsidR="00B50935" w:rsidRPr="007B62AA" w:rsidRDefault="00B50935" w:rsidP="00427764">
            <w:pPr>
              <w:ind w:right="-29"/>
              <w:jc w:val="center"/>
              <w:rPr>
                <w:noProof/>
                <w:sz w:val="18"/>
              </w:rPr>
            </w:pPr>
          </w:p>
        </w:tc>
        <w:tc>
          <w:tcPr>
            <w:tcW w:w="720" w:type="dxa"/>
            <w:gridSpan w:val="2"/>
          </w:tcPr>
          <w:p w14:paraId="1D4071DA" w14:textId="77777777" w:rsidR="00B50935" w:rsidRPr="007B62AA" w:rsidRDefault="00B50935" w:rsidP="00427764">
            <w:pPr>
              <w:ind w:right="-29"/>
              <w:jc w:val="center"/>
              <w:rPr>
                <w:noProof/>
                <w:sz w:val="18"/>
              </w:rPr>
            </w:pPr>
          </w:p>
        </w:tc>
        <w:tc>
          <w:tcPr>
            <w:tcW w:w="900" w:type="dxa"/>
            <w:gridSpan w:val="2"/>
          </w:tcPr>
          <w:p w14:paraId="4C5C77A9" w14:textId="77777777" w:rsidR="00B50935" w:rsidRPr="007B62AA" w:rsidRDefault="00B50935" w:rsidP="00427764">
            <w:pPr>
              <w:ind w:right="-29"/>
              <w:jc w:val="center"/>
              <w:rPr>
                <w:noProof/>
                <w:sz w:val="18"/>
              </w:rPr>
            </w:pPr>
          </w:p>
        </w:tc>
      </w:tr>
      <w:tr w:rsidR="00B50935" w:rsidRPr="007B62AA" w14:paraId="2D4A36D9" w14:textId="77777777" w:rsidTr="00427764">
        <w:trPr>
          <w:gridAfter w:val="1"/>
          <w:wAfter w:w="12" w:type="dxa"/>
          <w:jc w:val="center"/>
        </w:trPr>
        <w:tc>
          <w:tcPr>
            <w:tcW w:w="2685" w:type="dxa"/>
            <w:gridSpan w:val="3"/>
            <w:tcBorders>
              <w:bottom w:val="single" w:sz="12" w:space="0" w:color="auto"/>
            </w:tcBorders>
            <w:vAlign w:val="center"/>
          </w:tcPr>
          <w:p w14:paraId="2339416E" w14:textId="77777777" w:rsidR="00B50935" w:rsidRPr="007B62AA" w:rsidRDefault="00B50935" w:rsidP="00427764">
            <w:pPr>
              <w:ind w:right="-29"/>
              <w:jc w:val="center"/>
              <w:rPr>
                <w:noProof/>
                <w:sz w:val="18"/>
              </w:rPr>
            </w:pPr>
            <w:r w:rsidRPr="007B62AA">
              <w:rPr>
                <w:sz w:val="18"/>
              </w:rPr>
              <w:t>Špecifický cieľ č. 1 medzisúčet</w:t>
            </w:r>
          </w:p>
        </w:tc>
        <w:tc>
          <w:tcPr>
            <w:tcW w:w="663" w:type="dxa"/>
            <w:gridSpan w:val="2"/>
            <w:tcBorders>
              <w:bottom w:val="single" w:sz="12" w:space="0" w:color="auto"/>
            </w:tcBorders>
          </w:tcPr>
          <w:p w14:paraId="668FD666"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37210529" w14:textId="77777777" w:rsidR="00B50935" w:rsidRPr="007B62AA" w:rsidRDefault="00B50935" w:rsidP="00427764">
            <w:pPr>
              <w:ind w:right="-29"/>
              <w:jc w:val="center"/>
              <w:rPr>
                <w:noProof/>
                <w:sz w:val="18"/>
              </w:rPr>
            </w:pPr>
            <w:r w:rsidRPr="007B62AA">
              <w:rPr>
                <w:sz w:val="18"/>
              </w:rPr>
              <w:t>7,000</w:t>
            </w:r>
          </w:p>
        </w:tc>
        <w:tc>
          <w:tcPr>
            <w:tcW w:w="540" w:type="dxa"/>
            <w:gridSpan w:val="2"/>
            <w:tcBorders>
              <w:bottom w:val="single" w:sz="12" w:space="0" w:color="auto"/>
            </w:tcBorders>
          </w:tcPr>
          <w:p w14:paraId="08CFC446"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25A964C2" w14:textId="77777777" w:rsidR="00B50935" w:rsidRPr="007B62AA" w:rsidRDefault="00B50935" w:rsidP="00427764">
            <w:pPr>
              <w:ind w:right="-29"/>
              <w:jc w:val="center"/>
              <w:rPr>
                <w:noProof/>
                <w:sz w:val="18"/>
              </w:rPr>
            </w:pPr>
            <w:r w:rsidRPr="007B62AA">
              <w:rPr>
                <w:sz w:val="18"/>
              </w:rPr>
              <w:t>7,000</w:t>
            </w:r>
          </w:p>
        </w:tc>
        <w:tc>
          <w:tcPr>
            <w:tcW w:w="720" w:type="dxa"/>
            <w:gridSpan w:val="2"/>
            <w:tcBorders>
              <w:bottom w:val="single" w:sz="12" w:space="0" w:color="auto"/>
            </w:tcBorders>
          </w:tcPr>
          <w:p w14:paraId="6E8B2A36"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6BDF3B3F" w14:textId="77777777" w:rsidR="00B50935" w:rsidRPr="007B62AA" w:rsidRDefault="00B50935" w:rsidP="00427764">
            <w:pPr>
              <w:ind w:right="-29"/>
              <w:jc w:val="center"/>
              <w:rPr>
                <w:noProof/>
                <w:sz w:val="18"/>
              </w:rPr>
            </w:pPr>
            <w:r w:rsidRPr="007B62AA">
              <w:rPr>
                <w:sz w:val="18"/>
              </w:rPr>
              <w:t>6,800</w:t>
            </w:r>
          </w:p>
        </w:tc>
        <w:tc>
          <w:tcPr>
            <w:tcW w:w="900" w:type="dxa"/>
            <w:gridSpan w:val="2"/>
            <w:tcBorders>
              <w:bottom w:val="single" w:sz="12" w:space="0" w:color="auto"/>
            </w:tcBorders>
          </w:tcPr>
          <w:p w14:paraId="6DF0D3CC" w14:textId="77777777" w:rsidR="00B50935" w:rsidRPr="007B62AA" w:rsidRDefault="00B50935" w:rsidP="00427764">
            <w:pPr>
              <w:ind w:right="-29"/>
              <w:jc w:val="center"/>
              <w:rPr>
                <w:noProof/>
                <w:sz w:val="18"/>
              </w:rPr>
            </w:pPr>
          </w:p>
        </w:tc>
        <w:tc>
          <w:tcPr>
            <w:tcW w:w="720" w:type="dxa"/>
            <w:gridSpan w:val="3"/>
            <w:tcBorders>
              <w:bottom w:val="single" w:sz="12" w:space="0" w:color="auto"/>
            </w:tcBorders>
          </w:tcPr>
          <w:p w14:paraId="4AFA3950" w14:textId="77777777" w:rsidR="00B50935" w:rsidRPr="007B62AA" w:rsidRDefault="00B50935" w:rsidP="00427764">
            <w:pPr>
              <w:ind w:right="-29"/>
              <w:jc w:val="center"/>
              <w:rPr>
                <w:noProof/>
                <w:sz w:val="18"/>
              </w:rPr>
            </w:pPr>
            <w:r w:rsidRPr="007B62AA">
              <w:rPr>
                <w:sz w:val="18"/>
              </w:rPr>
              <w:t>6,800</w:t>
            </w:r>
          </w:p>
        </w:tc>
        <w:tc>
          <w:tcPr>
            <w:tcW w:w="540" w:type="dxa"/>
            <w:gridSpan w:val="2"/>
            <w:tcBorders>
              <w:bottom w:val="single" w:sz="12" w:space="0" w:color="auto"/>
            </w:tcBorders>
          </w:tcPr>
          <w:p w14:paraId="7C7583CE" w14:textId="77777777" w:rsidR="00B50935" w:rsidRPr="007B62AA" w:rsidRDefault="00B50935" w:rsidP="00427764">
            <w:pPr>
              <w:ind w:right="-29"/>
              <w:jc w:val="center"/>
              <w:rPr>
                <w:noProof/>
                <w:sz w:val="18"/>
              </w:rPr>
            </w:pPr>
          </w:p>
        </w:tc>
        <w:tc>
          <w:tcPr>
            <w:tcW w:w="648" w:type="dxa"/>
            <w:gridSpan w:val="2"/>
            <w:tcBorders>
              <w:bottom w:val="single" w:sz="12" w:space="0" w:color="auto"/>
            </w:tcBorders>
          </w:tcPr>
          <w:p w14:paraId="434E7C8F" w14:textId="77777777" w:rsidR="00B50935" w:rsidRPr="007B62AA" w:rsidRDefault="00B50935" w:rsidP="00427764">
            <w:pPr>
              <w:ind w:right="-29"/>
              <w:jc w:val="center"/>
              <w:rPr>
                <w:noProof/>
                <w:sz w:val="18"/>
              </w:rPr>
            </w:pPr>
            <w:r w:rsidRPr="007B62AA">
              <w:rPr>
                <w:sz w:val="18"/>
              </w:rPr>
              <w:t>6,800</w:t>
            </w:r>
          </w:p>
        </w:tc>
        <w:tc>
          <w:tcPr>
            <w:tcW w:w="432" w:type="dxa"/>
            <w:gridSpan w:val="2"/>
            <w:tcBorders>
              <w:bottom w:val="single" w:sz="12" w:space="0" w:color="auto"/>
            </w:tcBorders>
          </w:tcPr>
          <w:p w14:paraId="350D4434"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58FE58F4" w14:textId="77777777" w:rsidR="00B50935" w:rsidRPr="007B62AA" w:rsidRDefault="00B50935" w:rsidP="00427764">
            <w:pPr>
              <w:ind w:right="-29"/>
              <w:jc w:val="center"/>
              <w:rPr>
                <w:noProof/>
                <w:sz w:val="18"/>
              </w:rPr>
            </w:pPr>
            <w:r w:rsidRPr="007B62AA">
              <w:rPr>
                <w:sz w:val="18"/>
              </w:rPr>
              <w:t>6,800</w:t>
            </w:r>
          </w:p>
        </w:tc>
        <w:tc>
          <w:tcPr>
            <w:tcW w:w="540" w:type="dxa"/>
            <w:gridSpan w:val="3"/>
            <w:tcBorders>
              <w:bottom w:val="single" w:sz="12" w:space="0" w:color="auto"/>
            </w:tcBorders>
          </w:tcPr>
          <w:p w14:paraId="30A76F38" w14:textId="77777777" w:rsidR="00B50935" w:rsidRPr="007B62AA" w:rsidRDefault="00B50935" w:rsidP="00427764">
            <w:pPr>
              <w:ind w:right="-29"/>
              <w:jc w:val="center"/>
              <w:rPr>
                <w:noProof/>
                <w:sz w:val="18"/>
              </w:rPr>
            </w:pPr>
          </w:p>
        </w:tc>
        <w:tc>
          <w:tcPr>
            <w:tcW w:w="723" w:type="dxa"/>
            <w:gridSpan w:val="2"/>
            <w:tcBorders>
              <w:bottom w:val="single" w:sz="12" w:space="0" w:color="auto"/>
            </w:tcBorders>
          </w:tcPr>
          <w:p w14:paraId="2262845F" w14:textId="77777777" w:rsidR="00B50935" w:rsidRPr="007B62AA" w:rsidRDefault="00B50935" w:rsidP="00427764">
            <w:pPr>
              <w:ind w:right="-29"/>
              <w:jc w:val="center"/>
              <w:rPr>
                <w:noProof/>
                <w:sz w:val="18"/>
              </w:rPr>
            </w:pPr>
            <w:r w:rsidRPr="007B62AA">
              <w:rPr>
                <w:sz w:val="18"/>
              </w:rPr>
              <w:t>6,800</w:t>
            </w:r>
          </w:p>
        </w:tc>
        <w:tc>
          <w:tcPr>
            <w:tcW w:w="720" w:type="dxa"/>
            <w:gridSpan w:val="2"/>
            <w:tcBorders>
              <w:bottom w:val="single" w:sz="12" w:space="0" w:color="auto"/>
            </w:tcBorders>
          </w:tcPr>
          <w:p w14:paraId="387CFFDD" w14:textId="77777777" w:rsidR="00B50935" w:rsidRPr="007B62AA" w:rsidRDefault="00B50935" w:rsidP="00427764">
            <w:pPr>
              <w:ind w:right="-29"/>
              <w:jc w:val="center"/>
              <w:rPr>
                <w:noProof/>
                <w:sz w:val="18"/>
              </w:rPr>
            </w:pPr>
          </w:p>
        </w:tc>
        <w:tc>
          <w:tcPr>
            <w:tcW w:w="900" w:type="dxa"/>
            <w:gridSpan w:val="2"/>
            <w:tcBorders>
              <w:bottom w:val="single" w:sz="12" w:space="0" w:color="auto"/>
            </w:tcBorders>
          </w:tcPr>
          <w:p w14:paraId="2E708279" w14:textId="77777777" w:rsidR="00B50935" w:rsidRPr="007B62AA" w:rsidRDefault="00B50935" w:rsidP="00427764">
            <w:pPr>
              <w:ind w:right="-29"/>
              <w:jc w:val="center"/>
              <w:rPr>
                <w:noProof/>
                <w:sz w:val="18"/>
              </w:rPr>
            </w:pPr>
            <w:r w:rsidRPr="007B62AA">
              <w:rPr>
                <w:sz w:val="18"/>
              </w:rPr>
              <w:t>48,000</w:t>
            </w:r>
          </w:p>
        </w:tc>
      </w:tr>
      <w:tr w:rsidR="00B50935" w:rsidRPr="007B62AA" w14:paraId="47F80B6C" w14:textId="77777777" w:rsidTr="00427764">
        <w:trPr>
          <w:gridAfter w:val="1"/>
          <w:wAfter w:w="12" w:type="dxa"/>
          <w:jc w:val="center"/>
        </w:trPr>
        <w:tc>
          <w:tcPr>
            <w:tcW w:w="13611" w:type="dxa"/>
            <w:gridSpan w:val="37"/>
            <w:tcBorders>
              <w:bottom w:val="single" w:sz="12" w:space="0" w:color="auto"/>
            </w:tcBorders>
            <w:vAlign w:val="center"/>
          </w:tcPr>
          <w:p w14:paraId="1326E2F9" w14:textId="77777777" w:rsidR="00B50935" w:rsidRPr="007B62AA" w:rsidRDefault="00B50935" w:rsidP="00427764">
            <w:pPr>
              <w:ind w:right="-29"/>
              <w:jc w:val="center"/>
              <w:rPr>
                <w:noProof/>
                <w:sz w:val="18"/>
              </w:rPr>
            </w:pPr>
            <w:r w:rsidRPr="007B62AA">
              <w:rPr>
                <w:sz w:val="18"/>
              </w:rPr>
              <w:t>ŠPECIFICKÝ CIEĽ č. 2: ECDC bude členským štátom a Komisii poskytovať vedecké a technické odborné znalosti v oblasti plánovania pripravenosti a reakcie vrátane odbornej prípravy.</w:t>
            </w:r>
          </w:p>
          <w:p w14:paraId="55DE3084" w14:textId="77777777" w:rsidR="00B50935" w:rsidRPr="007B62AA" w:rsidRDefault="00B50935" w:rsidP="00427764">
            <w:pPr>
              <w:ind w:right="-29"/>
              <w:jc w:val="center"/>
              <w:rPr>
                <w:noProof/>
                <w:sz w:val="18"/>
              </w:rPr>
            </w:pPr>
          </w:p>
        </w:tc>
      </w:tr>
      <w:tr w:rsidR="00B50935" w:rsidRPr="007B62AA" w14:paraId="1C006380" w14:textId="77777777" w:rsidTr="00427764">
        <w:trPr>
          <w:gridAfter w:val="1"/>
          <w:wAfter w:w="12" w:type="dxa"/>
          <w:jc w:val="center"/>
        </w:trPr>
        <w:tc>
          <w:tcPr>
            <w:tcW w:w="2685" w:type="dxa"/>
            <w:gridSpan w:val="3"/>
            <w:tcBorders>
              <w:bottom w:val="single" w:sz="12" w:space="0" w:color="auto"/>
            </w:tcBorders>
            <w:vAlign w:val="center"/>
          </w:tcPr>
          <w:p w14:paraId="11DB156A" w14:textId="0E3D19BC" w:rsidR="00B50935" w:rsidRPr="007B62AA" w:rsidRDefault="00191442" w:rsidP="00427764">
            <w:pPr>
              <w:ind w:right="-29"/>
              <w:jc w:val="center"/>
              <w:rPr>
                <w:noProof/>
                <w:sz w:val="18"/>
              </w:rPr>
            </w:pPr>
            <w:r>
              <w:rPr>
                <w:sz w:val="18"/>
              </w:rPr>
              <w:t xml:space="preserve">Výstup: </w:t>
            </w:r>
            <w:r w:rsidR="00B50935" w:rsidRPr="007B62AA">
              <w:rPr>
                <w:sz w:val="18"/>
              </w:rPr>
              <w:t>programy odbornej prípravy pre špecialistov, najmä v oblasti epidemiologického dohľadu a vyšetrovania v teréne, ako aj na získanie spôsobilosti určiť zdravotné opatrenia na kontrolu ohnísk chorôb</w:t>
            </w:r>
          </w:p>
        </w:tc>
        <w:tc>
          <w:tcPr>
            <w:tcW w:w="663" w:type="dxa"/>
            <w:gridSpan w:val="2"/>
            <w:tcBorders>
              <w:bottom w:val="single" w:sz="12" w:space="0" w:color="auto"/>
            </w:tcBorders>
          </w:tcPr>
          <w:p w14:paraId="1CD13B8F"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21E68B55" w14:textId="77777777" w:rsidR="00B50935" w:rsidRPr="007B62AA" w:rsidRDefault="00B50935" w:rsidP="00427764">
            <w:pPr>
              <w:ind w:right="-29"/>
              <w:jc w:val="center"/>
              <w:rPr>
                <w:noProof/>
                <w:sz w:val="18"/>
              </w:rPr>
            </w:pPr>
            <w:r w:rsidRPr="007B62AA">
              <w:rPr>
                <w:sz w:val="18"/>
              </w:rPr>
              <w:t>0,100</w:t>
            </w:r>
          </w:p>
        </w:tc>
        <w:tc>
          <w:tcPr>
            <w:tcW w:w="540" w:type="dxa"/>
            <w:gridSpan w:val="2"/>
            <w:tcBorders>
              <w:bottom w:val="single" w:sz="12" w:space="0" w:color="auto"/>
            </w:tcBorders>
          </w:tcPr>
          <w:p w14:paraId="247C0011"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441B4AE4" w14:textId="77777777" w:rsidR="00B50935" w:rsidRPr="007B62AA" w:rsidRDefault="00B50935" w:rsidP="00427764">
            <w:pPr>
              <w:ind w:right="-29"/>
              <w:jc w:val="center"/>
              <w:rPr>
                <w:noProof/>
                <w:sz w:val="18"/>
              </w:rPr>
            </w:pPr>
            <w:r w:rsidRPr="007B62AA">
              <w:rPr>
                <w:sz w:val="18"/>
              </w:rPr>
              <w:t>0,100</w:t>
            </w:r>
          </w:p>
        </w:tc>
        <w:tc>
          <w:tcPr>
            <w:tcW w:w="720" w:type="dxa"/>
            <w:gridSpan w:val="2"/>
            <w:tcBorders>
              <w:bottom w:val="single" w:sz="12" w:space="0" w:color="auto"/>
            </w:tcBorders>
          </w:tcPr>
          <w:p w14:paraId="6614E7F0"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4B12DD98" w14:textId="77777777" w:rsidR="00B50935" w:rsidRPr="007B62AA" w:rsidRDefault="00B50935" w:rsidP="00427764">
            <w:pPr>
              <w:ind w:right="-29"/>
              <w:jc w:val="center"/>
              <w:rPr>
                <w:noProof/>
                <w:sz w:val="18"/>
              </w:rPr>
            </w:pPr>
            <w:r w:rsidRPr="007B62AA">
              <w:rPr>
                <w:sz w:val="18"/>
              </w:rPr>
              <w:t>0,100</w:t>
            </w:r>
          </w:p>
        </w:tc>
        <w:tc>
          <w:tcPr>
            <w:tcW w:w="900" w:type="dxa"/>
            <w:gridSpan w:val="2"/>
            <w:tcBorders>
              <w:bottom w:val="single" w:sz="12" w:space="0" w:color="auto"/>
            </w:tcBorders>
          </w:tcPr>
          <w:p w14:paraId="2DCBF047" w14:textId="77777777" w:rsidR="00B50935" w:rsidRPr="007B62AA" w:rsidRDefault="00B50935" w:rsidP="00427764">
            <w:pPr>
              <w:ind w:right="-29"/>
              <w:jc w:val="center"/>
              <w:rPr>
                <w:noProof/>
                <w:sz w:val="18"/>
              </w:rPr>
            </w:pPr>
          </w:p>
        </w:tc>
        <w:tc>
          <w:tcPr>
            <w:tcW w:w="720" w:type="dxa"/>
            <w:gridSpan w:val="3"/>
            <w:tcBorders>
              <w:bottom w:val="single" w:sz="12" w:space="0" w:color="auto"/>
            </w:tcBorders>
          </w:tcPr>
          <w:p w14:paraId="03CDA864" w14:textId="77777777" w:rsidR="00B50935" w:rsidRPr="007B62AA" w:rsidRDefault="00B50935" w:rsidP="00427764">
            <w:pPr>
              <w:ind w:right="-29"/>
              <w:jc w:val="center"/>
              <w:rPr>
                <w:noProof/>
                <w:sz w:val="18"/>
              </w:rPr>
            </w:pPr>
            <w:r w:rsidRPr="007B62AA">
              <w:rPr>
                <w:sz w:val="18"/>
              </w:rPr>
              <w:t>0,100</w:t>
            </w:r>
          </w:p>
        </w:tc>
        <w:tc>
          <w:tcPr>
            <w:tcW w:w="540" w:type="dxa"/>
            <w:gridSpan w:val="2"/>
            <w:tcBorders>
              <w:bottom w:val="single" w:sz="12" w:space="0" w:color="auto"/>
            </w:tcBorders>
          </w:tcPr>
          <w:p w14:paraId="03C1BA95" w14:textId="77777777" w:rsidR="00B50935" w:rsidRPr="007B62AA" w:rsidRDefault="00B50935" w:rsidP="00427764">
            <w:pPr>
              <w:ind w:right="-29"/>
              <w:jc w:val="center"/>
              <w:rPr>
                <w:noProof/>
                <w:sz w:val="18"/>
              </w:rPr>
            </w:pPr>
          </w:p>
        </w:tc>
        <w:tc>
          <w:tcPr>
            <w:tcW w:w="648" w:type="dxa"/>
            <w:gridSpan w:val="2"/>
            <w:tcBorders>
              <w:bottom w:val="single" w:sz="12" w:space="0" w:color="auto"/>
            </w:tcBorders>
          </w:tcPr>
          <w:p w14:paraId="3A1F86B9" w14:textId="77777777" w:rsidR="00B50935" w:rsidRPr="007B62AA" w:rsidRDefault="00B50935" w:rsidP="00427764">
            <w:pPr>
              <w:ind w:right="-29"/>
              <w:jc w:val="center"/>
              <w:rPr>
                <w:noProof/>
                <w:sz w:val="18"/>
              </w:rPr>
            </w:pPr>
            <w:r w:rsidRPr="007B62AA">
              <w:rPr>
                <w:sz w:val="18"/>
              </w:rPr>
              <w:t>0,100</w:t>
            </w:r>
          </w:p>
        </w:tc>
        <w:tc>
          <w:tcPr>
            <w:tcW w:w="432" w:type="dxa"/>
            <w:gridSpan w:val="2"/>
            <w:tcBorders>
              <w:bottom w:val="single" w:sz="12" w:space="0" w:color="auto"/>
            </w:tcBorders>
          </w:tcPr>
          <w:p w14:paraId="66804192"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61605A20" w14:textId="77777777" w:rsidR="00B50935" w:rsidRPr="007B62AA" w:rsidRDefault="00B50935" w:rsidP="00427764">
            <w:pPr>
              <w:ind w:right="-29"/>
              <w:jc w:val="center"/>
              <w:rPr>
                <w:noProof/>
                <w:sz w:val="18"/>
              </w:rPr>
            </w:pPr>
            <w:r w:rsidRPr="007B62AA">
              <w:rPr>
                <w:sz w:val="18"/>
              </w:rPr>
              <w:t>0,100</w:t>
            </w:r>
          </w:p>
        </w:tc>
        <w:tc>
          <w:tcPr>
            <w:tcW w:w="540" w:type="dxa"/>
            <w:gridSpan w:val="3"/>
            <w:tcBorders>
              <w:bottom w:val="single" w:sz="12" w:space="0" w:color="auto"/>
            </w:tcBorders>
          </w:tcPr>
          <w:p w14:paraId="486E6088" w14:textId="77777777" w:rsidR="00B50935" w:rsidRPr="007B62AA" w:rsidRDefault="00B50935" w:rsidP="00427764">
            <w:pPr>
              <w:ind w:right="-29"/>
              <w:jc w:val="center"/>
              <w:rPr>
                <w:noProof/>
                <w:sz w:val="18"/>
              </w:rPr>
            </w:pPr>
          </w:p>
        </w:tc>
        <w:tc>
          <w:tcPr>
            <w:tcW w:w="723" w:type="dxa"/>
            <w:gridSpan w:val="2"/>
            <w:tcBorders>
              <w:bottom w:val="single" w:sz="12" w:space="0" w:color="auto"/>
            </w:tcBorders>
          </w:tcPr>
          <w:p w14:paraId="4D7A1241" w14:textId="77777777" w:rsidR="00B50935" w:rsidRPr="007B62AA" w:rsidRDefault="00B50935" w:rsidP="00427764">
            <w:pPr>
              <w:ind w:right="-29"/>
              <w:jc w:val="center"/>
              <w:rPr>
                <w:noProof/>
                <w:sz w:val="18"/>
              </w:rPr>
            </w:pPr>
            <w:r w:rsidRPr="007B62AA">
              <w:rPr>
                <w:sz w:val="18"/>
              </w:rPr>
              <w:t>0,100</w:t>
            </w:r>
          </w:p>
        </w:tc>
        <w:tc>
          <w:tcPr>
            <w:tcW w:w="720" w:type="dxa"/>
            <w:gridSpan w:val="2"/>
            <w:tcBorders>
              <w:bottom w:val="single" w:sz="12" w:space="0" w:color="auto"/>
            </w:tcBorders>
          </w:tcPr>
          <w:p w14:paraId="5F1B2113" w14:textId="77777777" w:rsidR="00B50935" w:rsidRPr="007B62AA" w:rsidRDefault="00B50935" w:rsidP="00427764">
            <w:pPr>
              <w:ind w:right="-29"/>
              <w:jc w:val="center"/>
              <w:rPr>
                <w:noProof/>
                <w:sz w:val="18"/>
              </w:rPr>
            </w:pPr>
          </w:p>
        </w:tc>
        <w:tc>
          <w:tcPr>
            <w:tcW w:w="900" w:type="dxa"/>
            <w:gridSpan w:val="2"/>
            <w:tcBorders>
              <w:bottom w:val="single" w:sz="12" w:space="0" w:color="auto"/>
            </w:tcBorders>
          </w:tcPr>
          <w:p w14:paraId="2ED0D176" w14:textId="77777777" w:rsidR="00B50935" w:rsidRPr="007B62AA" w:rsidRDefault="00B50935" w:rsidP="00427764">
            <w:pPr>
              <w:ind w:right="-29"/>
              <w:jc w:val="center"/>
              <w:rPr>
                <w:noProof/>
                <w:sz w:val="18"/>
              </w:rPr>
            </w:pPr>
            <w:r w:rsidRPr="007B62AA">
              <w:rPr>
                <w:sz w:val="18"/>
              </w:rPr>
              <w:t>0,700</w:t>
            </w:r>
          </w:p>
        </w:tc>
      </w:tr>
      <w:tr w:rsidR="00B50935" w:rsidRPr="007B62AA" w14:paraId="0B0AF14A" w14:textId="77777777" w:rsidTr="00427764">
        <w:trPr>
          <w:gridAfter w:val="1"/>
          <w:wAfter w:w="12" w:type="dxa"/>
          <w:jc w:val="center"/>
        </w:trPr>
        <w:tc>
          <w:tcPr>
            <w:tcW w:w="2685" w:type="dxa"/>
            <w:gridSpan w:val="3"/>
            <w:tcBorders>
              <w:bottom w:val="single" w:sz="12" w:space="0" w:color="auto"/>
            </w:tcBorders>
            <w:vAlign w:val="center"/>
          </w:tcPr>
          <w:p w14:paraId="55F5F1DA" w14:textId="77777777" w:rsidR="00B50935" w:rsidRPr="007B62AA" w:rsidRDefault="00B50935" w:rsidP="00427764">
            <w:pPr>
              <w:ind w:right="-29"/>
              <w:jc w:val="center"/>
              <w:rPr>
                <w:noProof/>
                <w:sz w:val="18"/>
              </w:rPr>
            </w:pPr>
            <w:r w:rsidRPr="007B62AA">
              <w:rPr>
                <w:sz w:val="18"/>
              </w:rPr>
              <w:t>Výstup: činnosti plánovania pripravenosti a reakcie vrátane modelovania, monitorovania a posudzovania</w:t>
            </w:r>
          </w:p>
        </w:tc>
        <w:tc>
          <w:tcPr>
            <w:tcW w:w="663" w:type="dxa"/>
            <w:gridSpan w:val="2"/>
            <w:tcBorders>
              <w:bottom w:val="single" w:sz="12" w:space="0" w:color="auto"/>
            </w:tcBorders>
          </w:tcPr>
          <w:p w14:paraId="574C158E"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1CE3CEDE" w14:textId="77777777" w:rsidR="00B50935" w:rsidRPr="007B62AA" w:rsidRDefault="00B50935" w:rsidP="00427764">
            <w:pPr>
              <w:ind w:right="-29"/>
              <w:jc w:val="center"/>
              <w:rPr>
                <w:noProof/>
                <w:sz w:val="18"/>
              </w:rPr>
            </w:pPr>
            <w:r w:rsidRPr="007B62AA">
              <w:rPr>
                <w:sz w:val="18"/>
              </w:rPr>
              <w:t>1,000</w:t>
            </w:r>
          </w:p>
        </w:tc>
        <w:tc>
          <w:tcPr>
            <w:tcW w:w="540" w:type="dxa"/>
            <w:gridSpan w:val="2"/>
            <w:tcBorders>
              <w:bottom w:val="single" w:sz="12" w:space="0" w:color="auto"/>
            </w:tcBorders>
          </w:tcPr>
          <w:p w14:paraId="6A83CBCD"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5D2E574E" w14:textId="77777777" w:rsidR="00B50935" w:rsidRPr="007B62AA" w:rsidRDefault="00B50935" w:rsidP="00427764">
            <w:pPr>
              <w:ind w:right="-29"/>
              <w:jc w:val="center"/>
              <w:rPr>
                <w:noProof/>
                <w:sz w:val="18"/>
              </w:rPr>
            </w:pPr>
            <w:r w:rsidRPr="007B62AA">
              <w:rPr>
                <w:sz w:val="18"/>
              </w:rPr>
              <w:t>1,000</w:t>
            </w:r>
          </w:p>
        </w:tc>
        <w:tc>
          <w:tcPr>
            <w:tcW w:w="720" w:type="dxa"/>
            <w:gridSpan w:val="2"/>
            <w:tcBorders>
              <w:bottom w:val="single" w:sz="12" w:space="0" w:color="auto"/>
            </w:tcBorders>
          </w:tcPr>
          <w:p w14:paraId="55D83163"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61EB8BF0" w14:textId="77777777" w:rsidR="00B50935" w:rsidRPr="007B62AA" w:rsidRDefault="00B50935" w:rsidP="00427764">
            <w:pPr>
              <w:ind w:right="-29"/>
              <w:jc w:val="center"/>
              <w:rPr>
                <w:noProof/>
                <w:sz w:val="18"/>
              </w:rPr>
            </w:pPr>
            <w:r w:rsidRPr="007B62AA">
              <w:rPr>
                <w:sz w:val="18"/>
              </w:rPr>
              <w:t>1,000</w:t>
            </w:r>
          </w:p>
        </w:tc>
        <w:tc>
          <w:tcPr>
            <w:tcW w:w="900" w:type="dxa"/>
            <w:gridSpan w:val="2"/>
            <w:tcBorders>
              <w:bottom w:val="single" w:sz="12" w:space="0" w:color="auto"/>
            </w:tcBorders>
          </w:tcPr>
          <w:p w14:paraId="24646263" w14:textId="77777777" w:rsidR="00B50935" w:rsidRPr="007B62AA" w:rsidRDefault="00B50935" w:rsidP="00427764">
            <w:pPr>
              <w:ind w:right="-29"/>
              <w:jc w:val="center"/>
              <w:rPr>
                <w:noProof/>
                <w:sz w:val="18"/>
              </w:rPr>
            </w:pPr>
          </w:p>
        </w:tc>
        <w:tc>
          <w:tcPr>
            <w:tcW w:w="720" w:type="dxa"/>
            <w:gridSpan w:val="3"/>
            <w:tcBorders>
              <w:bottom w:val="single" w:sz="12" w:space="0" w:color="auto"/>
            </w:tcBorders>
          </w:tcPr>
          <w:p w14:paraId="3A1F2E88" w14:textId="77777777" w:rsidR="00B50935" w:rsidRPr="007B62AA" w:rsidRDefault="00B50935" w:rsidP="00427764">
            <w:pPr>
              <w:ind w:right="-29"/>
              <w:jc w:val="center"/>
              <w:rPr>
                <w:noProof/>
                <w:sz w:val="18"/>
              </w:rPr>
            </w:pPr>
            <w:r w:rsidRPr="007B62AA">
              <w:rPr>
                <w:sz w:val="18"/>
              </w:rPr>
              <w:t>1,000</w:t>
            </w:r>
          </w:p>
        </w:tc>
        <w:tc>
          <w:tcPr>
            <w:tcW w:w="540" w:type="dxa"/>
            <w:gridSpan w:val="2"/>
            <w:tcBorders>
              <w:bottom w:val="single" w:sz="12" w:space="0" w:color="auto"/>
            </w:tcBorders>
          </w:tcPr>
          <w:p w14:paraId="5948E495" w14:textId="77777777" w:rsidR="00B50935" w:rsidRPr="007B62AA" w:rsidRDefault="00B50935" w:rsidP="00427764">
            <w:pPr>
              <w:ind w:right="-29"/>
              <w:jc w:val="center"/>
              <w:rPr>
                <w:noProof/>
                <w:sz w:val="18"/>
              </w:rPr>
            </w:pPr>
          </w:p>
        </w:tc>
        <w:tc>
          <w:tcPr>
            <w:tcW w:w="648" w:type="dxa"/>
            <w:gridSpan w:val="2"/>
            <w:tcBorders>
              <w:bottom w:val="single" w:sz="12" w:space="0" w:color="auto"/>
            </w:tcBorders>
          </w:tcPr>
          <w:p w14:paraId="5C76056A" w14:textId="77777777" w:rsidR="00B50935" w:rsidRPr="007B62AA" w:rsidRDefault="00B50935" w:rsidP="00427764">
            <w:pPr>
              <w:ind w:right="-29"/>
              <w:jc w:val="center"/>
              <w:rPr>
                <w:noProof/>
                <w:sz w:val="18"/>
              </w:rPr>
            </w:pPr>
            <w:r w:rsidRPr="007B62AA">
              <w:rPr>
                <w:sz w:val="18"/>
              </w:rPr>
              <w:t>1,000</w:t>
            </w:r>
          </w:p>
        </w:tc>
        <w:tc>
          <w:tcPr>
            <w:tcW w:w="432" w:type="dxa"/>
            <w:gridSpan w:val="2"/>
            <w:tcBorders>
              <w:bottom w:val="single" w:sz="12" w:space="0" w:color="auto"/>
            </w:tcBorders>
          </w:tcPr>
          <w:p w14:paraId="36BA92D1"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2E9F3791" w14:textId="77777777" w:rsidR="00B50935" w:rsidRPr="007B62AA" w:rsidRDefault="00B50935" w:rsidP="00427764">
            <w:pPr>
              <w:ind w:right="-29"/>
              <w:jc w:val="center"/>
              <w:rPr>
                <w:noProof/>
                <w:sz w:val="18"/>
              </w:rPr>
            </w:pPr>
            <w:r w:rsidRPr="007B62AA">
              <w:rPr>
                <w:sz w:val="18"/>
              </w:rPr>
              <w:t>1,000</w:t>
            </w:r>
          </w:p>
        </w:tc>
        <w:tc>
          <w:tcPr>
            <w:tcW w:w="540" w:type="dxa"/>
            <w:gridSpan w:val="3"/>
            <w:tcBorders>
              <w:bottom w:val="single" w:sz="12" w:space="0" w:color="auto"/>
            </w:tcBorders>
          </w:tcPr>
          <w:p w14:paraId="2D236EC6" w14:textId="77777777" w:rsidR="00B50935" w:rsidRPr="007B62AA" w:rsidRDefault="00B50935" w:rsidP="00427764">
            <w:pPr>
              <w:ind w:right="-29"/>
              <w:jc w:val="center"/>
              <w:rPr>
                <w:noProof/>
                <w:sz w:val="18"/>
              </w:rPr>
            </w:pPr>
          </w:p>
        </w:tc>
        <w:tc>
          <w:tcPr>
            <w:tcW w:w="723" w:type="dxa"/>
            <w:gridSpan w:val="2"/>
            <w:tcBorders>
              <w:bottom w:val="single" w:sz="12" w:space="0" w:color="auto"/>
            </w:tcBorders>
          </w:tcPr>
          <w:p w14:paraId="435D6524" w14:textId="77777777" w:rsidR="00B50935" w:rsidRPr="007B62AA" w:rsidRDefault="00B50935" w:rsidP="00427764">
            <w:pPr>
              <w:ind w:right="-29"/>
              <w:jc w:val="center"/>
              <w:rPr>
                <w:noProof/>
                <w:sz w:val="18"/>
              </w:rPr>
            </w:pPr>
            <w:r w:rsidRPr="007B62AA">
              <w:rPr>
                <w:sz w:val="18"/>
              </w:rPr>
              <w:t>1,000</w:t>
            </w:r>
          </w:p>
        </w:tc>
        <w:tc>
          <w:tcPr>
            <w:tcW w:w="720" w:type="dxa"/>
            <w:gridSpan w:val="2"/>
            <w:tcBorders>
              <w:bottom w:val="single" w:sz="12" w:space="0" w:color="auto"/>
            </w:tcBorders>
          </w:tcPr>
          <w:p w14:paraId="70FDED4B" w14:textId="77777777" w:rsidR="00B50935" w:rsidRPr="007B62AA" w:rsidRDefault="00B50935" w:rsidP="00427764">
            <w:pPr>
              <w:ind w:right="-29"/>
              <w:jc w:val="center"/>
              <w:rPr>
                <w:noProof/>
                <w:sz w:val="18"/>
              </w:rPr>
            </w:pPr>
          </w:p>
        </w:tc>
        <w:tc>
          <w:tcPr>
            <w:tcW w:w="900" w:type="dxa"/>
            <w:gridSpan w:val="2"/>
            <w:tcBorders>
              <w:bottom w:val="single" w:sz="12" w:space="0" w:color="auto"/>
            </w:tcBorders>
          </w:tcPr>
          <w:p w14:paraId="58854091" w14:textId="77777777" w:rsidR="00B50935" w:rsidRPr="007B62AA" w:rsidRDefault="00B50935" w:rsidP="00427764">
            <w:pPr>
              <w:ind w:right="-29"/>
              <w:jc w:val="center"/>
              <w:rPr>
                <w:noProof/>
                <w:sz w:val="18"/>
              </w:rPr>
            </w:pPr>
            <w:r w:rsidRPr="007B62AA">
              <w:rPr>
                <w:sz w:val="18"/>
              </w:rPr>
              <w:t>7,000</w:t>
            </w:r>
          </w:p>
        </w:tc>
      </w:tr>
      <w:tr w:rsidR="00B50935" w:rsidRPr="007B62AA" w14:paraId="13D50A7F" w14:textId="77777777" w:rsidTr="00427764">
        <w:trPr>
          <w:gridAfter w:val="1"/>
          <w:wAfter w:w="12" w:type="dxa"/>
          <w:jc w:val="center"/>
        </w:trPr>
        <w:tc>
          <w:tcPr>
            <w:tcW w:w="2685" w:type="dxa"/>
            <w:gridSpan w:val="3"/>
            <w:tcBorders>
              <w:bottom w:val="single" w:sz="12" w:space="0" w:color="auto"/>
            </w:tcBorders>
            <w:vAlign w:val="center"/>
          </w:tcPr>
          <w:p w14:paraId="3DD76BF7" w14:textId="77777777" w:rsidR="00B50935" w:rsidRPr="007B62AA" w:rsidRDefault="00B50935" w:rsidP="00427764">
            <w:pPr>
              <w:ind w:right="-29"/>
              <w:jc w:val="center"/>
              <w:rPr>
                <w:noProof/>
                <w:sz w:val="18"/>
              </w:rPr>
            </w:pPr>
            <w:r w:rsidRPr="007B62AA">
              <w:rPr>
                <w:sz w:val="18"/>
              </w:rPr>
              <w:t>Špecifický cieľ č. 2 medzisúčet</w:t>
            </w:r>
          </w:p>
        </w:tc>
        <w:tc>
          <w:tcPr>
            <w:tcW w:w="663" w:type="dxa"/>
            <w:gridSpan w:val="2"/>
            <w:tcBorders>
              <w:bottom w:val="single" w:sz="12" w:space="0" w:color="auto"/>
            </w:tcBorders>
          </w:tcPr>
          <w:p w14:paraId="0C55B288"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4EAED00A" w14:textId="77777777" w:rsidR="00B50935" w:rsidRPr="007B62AA" w:rsidRDefault="00B50935" w:rsidP="00427764">
            <w:pPr>
              <w:ind w:right="-29"/>
              <w:jc w:val="center"/>
              <w:rPr>
                <w:noProof/>
                <w:sz w:val="18"/>
              </w:rPr>
            </w:pPr>
            <w:r w:rsidRPr="007B62AA">
              <w:rPr>
                <w:sz w:val="18"/>
              </w:rPr>
              <w:t>1,100</w:t>
            </w:r>
          </w:p>
        </w:tc>
        <w:tc>
          <w:tcPr>
            <w:tcW w:w="540" w:type="dxa"/>
            <w:gridSpan w:val="2"/>
            <w:tcBorders>
              <w:bottom w:val="single" w:sz="12" w:space="0" w:color="auto"/>
            </w:tcBorders>
          </w:tcPr>
          <w:p w14:paraId="236FF829"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198FFF49" w14:textId="77777777" w:rsidR="00B50935" w:rsidRPr="007B62AA" w:rsidRDefault="00B50935" w:rsidP="00427764">
            <w:pPr>
              <w:ind w:right="-29"/>
              <w:jc w:val="center"/>
              <w:rPr>
                <w:noProof/>
                <w:sz w:val="18"/>
              </w:rPr>
            </w:pPr>
            <w:r w:rsidRPr="007B62AA">
              <w:rPr>
                <w:sz w:val="18"/>
              </w:rPr>
              <w:t>1,100</w:t>
            </w:r>
          </w:p>
        </w:tc>
        <w:tc>
          <w:tcPr>
            <w:tcW w:w="720" w:type="dxa"/>
            <w:gridSpan w:val="2"/>
            <w:tcBorders>
              <w:bottom w:val="single" w:sz="12" w:space="0" w:color="auto"/>
            </w:tcBorders>
          </w:tcPr>
          <w:p w14:paraId="44414473"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16EBBAB5" w14:textId="77777777" w:rsidR="00B50935" w:rsidRPr="007B62AA" w:rsidRDefault="00B50935" w:rsidP="00427764">
            <w:pPr>
              <w:ind w:right="-29"/>
              <w:jc w:val="center"/>
              <w:rPr>
                <w:noProof/>
                <w:sz w:val="18"/>
              </w:rPr>
            </w:pPr>
            <w:r w:rsidRPr="007B62AA">
              <w:rPr>
                <w:sz w:val="18"/>
              </w:rPr>
              <w:t>1,100</w:t>
            </w:r>
          </w:p>
        </w:tc>
        <w:tc>
          <w:tcPr>
            <w:tcW w:w="900" w:type="dxa"/>
            <w:gridSpan w:val="2"/>
            <w:tcBorders>
              <w:bottom w:val="single" w:sz="12" w:space="0" w:color="auto"/>
            </w:tcBorders>
          </w:tcPr>
          <w:p w14:paraId="6C667DCE" w14:textId="77777777" w:rsidR="00B50935" w:rsidRPr="007B62AA" w:rsidRDefault="00B50935" w:rsidP="00427764">
            <w:pPr>
              <w:ind w:right="-29"/>
              <w:jc w:val="center"/>
              <w:rPr>
                <w:noProof/>
                <w:sz w:val="18"/>
              </w:rPr>
            </w:pPr>
          </w:p>
        </w:tc>
        <w:tc>
          <w:tcPr>
            <w:tcW w:w="720" w:type="dxa"/>
            <w:gridSpan w:val="3"/>
            <w:tcBorders>
              <w:bottom w:val="single" w:sz="12" w:space="0" w:color="auto"/>
            </w:tcBorders>
          </w:tcPr>
          <w:p w14:paraId="32F52FB0" w14:textId="77777777" w:rsidR="00B50935" w:rsidRPr="007B62AA" w:rsidRDefault="00B50935" w:rsidP="00427764">
            <w:pPr>
              <w:ind w:right="-29"/>
              <w:jc w:val="center"/>
              <w:rPr>
                <w:noProof/>
                <w:sz w:val="18"/>
              </w:rPr>
            </w:pPr>
            <w:r w:rsidRPr="007B62AA">
              <w:rPr>
                <w:sz w:val="18"/>
              </w:rPr>
              <w:t>1,100</w:t>
            </w:r>
          </w:p>
        </w:tc>
        <w:tc>
          <w:tcPr>
            <w:tcW w:w="540" w:type="dxa"/>
            <w:gridSpan w:val="2"/>
            <w:tcBorders>
              <w:bottom w:val="single" w:sz="12" w:space="0" w:color="auto"/>
            </w:tcBorders>
          </w:tcPr>
          <w:p w14:paraId="0333437D" w14:textId="77777777" w:rsidR="00B50935" w:rsidRPr="007B62AA" w:rsidRDefault="00B50935" w:rsidP="00427764">
            <w:pPr>
              <w:ind w:right="-29"/>
              <w:jc w:val="center"/>
              <w:rPr>
                <w:noProof/>
                <w:sz w:val="18"/>
              </w:rPr>
            </w:pPr>
          </w:p>
        </w:tc>
        <w:tc>
          <w:tcPr>
            <w:tcW w:w="648" w:type="dxa"/>
            <w:gridSpan w:val="2"/>
            <w:tcBorders>
              <w:bottom w:val="single" w:sz="12" w:space="0" w:color="auto"/>
            </w:tcBorders>
          </w:tcPr>
          <w:p w14:paraId="60B0D000" w14:textId="77777777" w:rsidR="00B50935" w:rsidRPr="007B62AA" w:rsidRDefault="00B50935" w:rsidP="00427764">
            <w:pPr>
              <w:ind w:right="-29"/>
              <w:jc w:val="center"/>
              <w:rPr>
                <w:noProof/>
                <w:sz w:val="18"/>
              </w:rPr>
            </w:pPr>
            <w:r w:rsidRPr="007B62AA">
              <w:rPr>
                <w:sz w:val="18"/>
              </w:rPr>
              <w:t>1,100</w:t>
            </w:r>
          </w:p>
        </w:tc>
        <w:tc>
          <w:tcPr>
            <w:tcW w:w="432" w:type="dxa"/>
            <w:gridSpan w:val="2"/>
            <w:tcBorders>
              <w:bottom w:val="single" w:sz="12" w:space="0" w:color="auto"/>
            </w:tcBorders>
          </w:tcPr>
          <w:p w14:paraId="7A2875AD"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7D377158" w14:textId="77777777" w:rsidR="00B50935" w:rsidRPr="007B62AA" w:rsidRDefault="00B50935" w:rsidP="00427764">
            <w:pPr>
              <w:ind w:right="-29"/>
              <w:jc w:val="center"/>
              <w:rPr>
                <w:noProof/>
                <w:sz w:val="18"/>
              </w:rPr>
            </w:pPr>
            <w:r w:rsidRPr="007B62AA">
              <w:rPr>
                <w:sz w:val="18"/>
              </w:rPr>
              <w:t>1,100</w:t>
            </w:r>
          </w:p>
        </w:tc>
        <w:tc>
          <w:tcPr>
            <w:tcW w:w="540" w:type="dxa"/>
            <w:gridSpan w:val="3"/>
            <w:tcBorders>
              <w:bottom w:val="single" w:sz="12" w:space="0" w:color="auto"/>
            </w:tcBorders>
          </w:tcPr>
          <w:p w14:paraId="530434C7" w14:textId="77777777" w:rsidR="00B50935" w:rsidRPr="007B62AA" w:rsidRDefault="00B50935" w:rsidP="00427764">
            <w:pPr>
              <w:ind w:right="-29"/>
              <w:jc w:val="center"/>
              <w:rPr>
                <w:noProof/>
                <w:sz w:val="18"/>
              </w:rPr>
            </w:pPr>
          </w:p>
        </w:tc>
        <w:tc>
          <w:tcPr>
            <w:tcW w:w="723" w:type="dxa"/>
            <w:gridSpan w:val="2"/>
            <w:tcBorders>
              <w:bottom w:val="single" w:sz="12" w:space="0" w:color="auto"/>
            </w:tcBorders>
          </w:tcPr>
          <w:p w14:paraId="6369A137" w14:textId="77777777" w:rsidR="00B50935" w:rsidRPr="007B62AA" w:rsidRDefault="00B50935" w:rsidP="00427764">
            <w:pPr>
              <w:ind w:right="-29"/>
              <w:jc w:val="center"/>
              <w:rPr>
                <w:noProof/>
                <w:sz w:val="18"/>
              </w:rPr>
            </w:pPr>
            <w:r w:rsidRPr="007B62AA">
              <w:rPr>
                <w:sz w:val="18"/>
              </w:rPr>
              <w:t>1,100</w:t>
            </w:r>
          </w:p>
        </w:tc>
        <w:tc>
          <w:tcPr>
            <w:tcW w:w="720" w:type="dxa"/>
            <w:gridSpan w:val="2"/>
            <w:tcBorders>
              <w:bottom w:val="single" w:sz="12" w:space="0" w:color="auto"/>
            </w:tcBorders>
          </w:tcPr>
          <w:p w14:paraId="665A9C89" w14:textId="77777777" w:rsidR="00B50935" w:rsidRPr="007B62AA" w:rsidRDefault="00B50935" w:rsidP="00427764">
            <w:pPr>
              <w:ind w:right="-29"/>
              <w:jc w:val="center"/>
              <w:rPr>
                <w:noProof/>
                <w:sz w:val="18"/>
              </w:rPr>
            </w:pPr>
          </w:p>
        </w:tc>
        <w:tc>
          <w:tcPr>
            <w:tcW w:w="900" w:type="dxa"/>
            <w:gridSpan w:val="2"/>
            <w:tcBorders>
              <w:bottom w:val="single" w:sz="12" w:space="0" w:color="auto"/>
            </w:tcBorders>
          </w:tcPr>
          <w:p w14:paraId="3D3420A4" w14:textId="77777777" w:rsidR="00B50935" w:rsidRPr="007B62AA" w:rsidRDefault="00B50935" w:rsidP="00427764">
            <w:pPr>
              <w:ind w:right="-29"/>
              <w:jc w:val="center"/>
              <w:rPr>
                <w:noProof/>
                <w:sz w:val="18"/>
              </w:rPr>
            </w:pPr>
            <w:r w:rsidRPr="007B62AA">
              <w:rPr>
                <w:sz w:val="18"/>
              </w:rPr>
              <w:t>7,700</w:t>
            </w:r>
          </w:p>
        </w:tc>
      </w:tr>
      <w:tr w:rsidR="00B50935" w:rsidRPr="007B62AA" w14:paraId="087563D4" w14:textId="77777777" w:rsidTr="00427764">
        <w:trPr>
          <w:gridAfter w:val="1"/>
          <w:wAfter w:w="12" w:type="dxa"/>
          <w:jc w:val="center"/>
        </w:trPr>
        <w:tc>
          <w:tcPr>
            <w:tcW w:w="2685" w:type="dxa"/>
            <w:gridSpan w:val="3"/>
            <w:tcBorders>
              <w:bottom w:val="single" w:sz="12" w:space="0" w:color="auto"/>
            </w:tcBorders>
            <w:vAlign w:val="center"/>
          </w:tcPr>
          <w:p w14:paraId="6F007896" w14:textId="77777777" w:rsidR="00B50935" w:rsidRPr="007B62AA" w:rsidRDefault="00B50935" w:rsidP="00427764">
            <w:pPr>
              <w:ind w:right="-29"/>
              <w:jc w:val="center"/>
              <w:rPr>
                <w:noProof/>
                <w:sz w:val="18"/>
              </w:rPr>
            </w:pPr>
          </w:p>
        </w:tc>
        <w:tc>
          <w:tcPr>
            <w:tcW w:w="663" w:type="dxa"/>
            <w:gridSpan w:val="2"/>
            <w:tcBorders>
              <w:bottom w:val="single" w:sz="12" w:space="0" w:color="auto"/>
            </w:tcBorders>
          </w:tcPr>
          <w:p w14:paraId="001EF327"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3E62DEEF" w14:textId="77777777" w:rsidR="00B50935" w:rsidRPr="007B62AA" w:rsidRDefault="00B50935" w:rsidP="00427764">
            <w:pPr>
              <w:ind w:right="-29"/>
              <w:jc w:val="center"/>
              <w:rPr>
                <w:noProof/>
                <w:sz w:val="18"/>
              </w:rPr>
            </w:pPr>
          </w:p>
        </w:tc>
        <w:tc>
          <w:tcPr>
            <w:tcW w:w="540" w:type="dxa"/>
            <w:gridSpan w:val="2"/>
            <w:tcBorders>
              <w:bottom w:val="single" w:sz="12" w:space="0" w:color="auto"/>
            </w:tcBorders>
          </w:tcPr>
          <w:p w14:paraId="720F4067"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4E26A5E1"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3BB68952"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64BEEDCC" w14:textId="77777777" w:rsidR="00B50935" w:rsidRPr="007B62AA" w:rsidRDefault="00B50935" w:rsidP="00427764">
            <w:pPr>
              <w:ind w:right="-29"/>
              <w:jc w:val="center"/>
              <w:rPr>
                <w:noProof/>
                <w:sz w:val="18"/>
              </w:rPr>
            </w:pPr>
          </w:p>
        </w:tc>
        <w:tc>
          <w:tcPr>
            <w:tcW w:w="900" w:type="dxa"/>
            <w:gridSpan w:val="2"/>
            <w:tcBorders>
              <w:bottom w:val="single" w:sz="12" w:space="0" w:color="auto"/>
            </w:tcBorders>
          </w:tcPr>
          <w:p w14:paraId="0BB5913D" w14:textId="77777777" w:rsidR="00B50935" w:rsidRPr="007B62AA" w:rsidRDefault="00B50935" w:rsidP="00427764">
            <w:pPr>
              <w:ind w:right="-29"/>
              <w:jc w:val="center"/>
              <w:rPr>
                <w:noProof/>
                <w:sz w:val="18"/>
              </w:rPr>
            </w:pPr>
          </w:p>
        </w:tc>
        <w:tc>
          <w:tcPr>
            <w:tcW w:w="720" w:type="dxa"/>
            <w:gridSpan w:val="3"/>
            <w:tcBorders>
              <w:bottom w:val="single" w:sz="12" w:space="0" w:color="auto"/>
            </w:tcBorders>
          </w:tcPr>
          <w:p w14:paraId="4F919ABD" w14:textId="77777777" w:rsidR="00B50935" w:rsidRPr="007B62AA" w:rsidRDefault="00B50935" w:rsidP="00427764">
            <w:pPr>
              <w:ind w:right="-29"/>
              <w:jc w:val="center"/>
              <w:rPr>
                <w:noProof/>
                <w:sz w:val="18"/>
              </w:rPr>
            </w:pPr>
          </w:p>
        </w:tc>
        <w:tc>
          <w:tcPr>
            <w:tcW w:w="540" w:type="dxa"/>
            <w:gridSpan w:val="2"/>
            <w:tcBorders>
              <w:bottom w:val="single" w:sz="12" w:space="0" w:color="auto"/>
            </w:tcBorders>
          </w:tcPr>
          <w:p w14:paraId="1FEA2CBD" w14:textId="77777777" w:rsidR="00B50935" w:rsidRPr="007B62AA" w:rsidRDefault="00B50935" w:rsidP="00427764">
            <w:pPr>
              <w:ind w:right="-29"/>
              <w:jc w:val="center"/>
              <w:rPr>
                <w:noProof/>
                <w:sz w:val="18"/>
              </w:rPr>
            </w:pPr>
          </w:p>
        </w:tc>
        <w:tc>
          <w:tcPr>
            <w:tcW w:w="648" w:type="dxa"/>
            <w:gridSpan w:val="2"/>
            <w:tcBorders>
              <w:bottom w:val="single" w:sz="12" w:space="0" w:color="auto"/>
            </w:tcBorders>
          </w:tcPr>
          <w:p w14:paraId="75C30D99" w14:textId="77777777" w:rsidR="00B50935" w:rsidRPr="007B62AA" w:rsidRDefault="00B50935" w:rsidP="00427764">
            <w:pPr>
              <w:ind w:right="-29"/>
              <w:jc w:val="center"/>
              <w:rPr>
                <w:noProof/>
                <w:sz w:val="18"/>
              </w:rPr>
            </w:pPr>
          </w:p>
        </w:tc>
        <w:tc>
          <w:tcPr>
            <w:tcW w:w="432" w:type="dxa"/>
            <w:gridSpan w:val="2"/>
            <w:tcBorders>
              <w:bottom w:val="single" w:sz="12" w:space="0" w:color="auto"/>
            </w:tcBorders>
          </w:tcPr>
          <w:p w14:paraId="56ED9699"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73B75AB3" w14:textId="77777777" w:rsidR="00B50935" w:rsidRPr="007B62AA" w:rsidRDefault="00B50935" w:rsidP="00427764">
            <w:pPr>
              <w:ind w:right="-29"/>
              <w:jc w:val="center"/>
              <w:rPr>
                <w:noProof/>
                <w:sz w:val="18"/>
              </w:rPr>
            </w:pPr>
          </w:p>
        </w:tc>
        <w:tc>
          <w:tcPr>
            <w:tcW w:w="540" w:type="dxa"/>
            <w:gridSpan w:val="3"/>
            <w:tcBorders>
              <w:bottom w:val="single" w:sz="12" w:space="0" w:color="auto"/>
            </w:tcBorders>
          </w:tcPr>
          <w:p w14:paraId="5C1F6D2D" w14:textId="77777777" w:rsidR="00B50935" w:rsidRPr="007B62AA" w:rsidRDefault="00B50935" w:rsidP="00427764">
            <w:pPr>
              <w:ind w:right="-29"/>
              <w:jc w:val="center"/>
              <w:rPr>
                <w:noProof/>
                <w:sz w:val="18"/>
              </w:rPr>
            </w:pPr>
          </w:p>
        </w:tc>
        <w:tc>
          <w:tcPr>
            <w:tcW w:w="723" w:type="dxa"/>
            <w:gridSpan w:val="2"/>
            <w:tcBorders>
              <w:bottom w:val="single" w:sz="12" w:space="0" w:color="auto"/>
            </w:tcBorders>
          </w:tcPr>
          <w:p w14:paraId="3CAC43C5"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37B0B00A" w14:textId="77777777" w:rsidR="00B50935" w:rsidRPr="007B62AA" w:rsidRDefault="00B50935" w:rsidP="00427764">
            <w:pPr>
              <w:ind w:right="-29"/>
              <w:jc w:val="center"/>
              <w:rPr>
                <w:noProof/>
                <w:sz w:val="18"/>
              </w:rPr>
            </w:pPr>
          </w:p>
        </w:tc>
        <w:tc>
          <w:tcPr>
            <w:tcW w:w="900" w:type="dxa"/>
            <w:gridSpan w:val="2"/>
            <w:tcBorders>
              <w:bottom w:val="single" w:sz="12" w:space="0" w:color="auto"/>
            </w:tcBorders>
          </w:tcPr>
          <w:p w14:paraId="105E3073" w14:textId="77777777" w:rsidR="00B50935" w:rsidRPr="007B62AA" w:rsidRDefault="00B50935" w:rsidP="00427764">
            <w:pPr>
              <w:ind w:right="-29"/>
              <w:jc w:val="center"/>
              <w:rPr>
                <w:noProof/>
                <w:sz w:val="18"/>
              </w:rPr>
            </w:pPr>
          </w:p>
        </w:tc>
      </w:tr>
      <w:tr w:rsidR="00B50935" w:rsidRPr="007B62AA" w14:paraId="3E958F3D" w14:textId="77777777" w:rsidTr="00427764">
        <w:trPr>
          <w:gridAfter w:val="1"/>
          <w:wAfter w:w="12" w:type="dxa"/>
          <w:jc w:val="center"/>
        </w:trPr>
        <w:tc>
          <w:tcPr>
            <w:tcW w:w="13611" w:type="dxa"/>
            <w:gridSpan w:val="37"/>
            <w:vAlign w:val="center"/>
          </w:tcPr>
          <w:p w14:paraId="1A836A66" w14:textId="77777777" w:rsidR="00B50935" w:rsidRPr="007B62AA" w:rsidRDefault="00B50935" w:rsidP="00427764">
            <w:pPr>
              <w:spacing w:before="60" w:after="60"/>
              <w:ind w:right="-29"/>
              <w:jc w:val="center"/>
              <w:rPr>
                <w:noProof/>
                <w:sz w:val="18"/>
              </w:rPr>
            </w:pPr>
            <w:r w:rsidRPr="007B62AA">
              <w:rPr>
                <w:sz w:val="18"/>
              </w:rPr>
              <w:t>ŠPECIFICKÝ CIEĽ č. 3: prevádzkovanie špecializovaných sietí v oblasti prenosných chorôb a látok ľudského pôvodu</w:t>
            </w:r>
          </w:p>
        </w:tc>
      </w:tr>
      <w:tr w:rsidR="00B50935" w:rsidRPr="007B62AA" w14:paraId="38580B08" w14:textId="77777777" w:rsidTr="00427764">
        <w:trPr>
          <w:gridAfter w:val="1"/>
          <w:wAfter w:w="12" w:type="dxa"/>
          <w:trHeight w:hRule="exact" w:val="1697"/>
          <w:jc w:val="center"/>
        </w:trPr>
        <w:tc>
          <w:tcPr>
            <w:tcW w:w="1696" w:type="dxa"/>
          </w:tcPr>
          <w:p w14:paraId="0AA4FC3E" w14:textId="77777777" w:rsidR="00B50935" w:rsidRPr="007B62AA" w:rsidRDefault="00B50935" w:rsidP="00427764">
            <w:pPr>
              <w:ind w:right="-29"/>
              <w:jc w:val="center"/>
              <w:rPr>
                <w:noProof/>
                <w:sz w:val="18"/>
              </w:rPr>
            </w:pPr>
            <w:r w:rsidRPr="007B62AA">
              <w:rPr>
                <w:sz w:val="18"/>
              </w:rPr>
              <w:t>‒ Výstup: nová sieť v oblasti transfúzie, transplantácie a medicínsky asistovanej reprodukcie</w:t>
            </w:r>
          </w:p>
        </w:tc>
        <w:tc>
          <w:tcPr>
            <w:tcW w:w="447" w:type="dxa"/>
          </w:tcPr>
          <w:p w14:paraId="766D8B45" w14:textId="77777777" w:rsidR="00B50935" w:rsidRPr="007B62AA" w:rsidRDefault="00B50935" w:rsidP="00427764">
            <w:pPr>
              <w:ind w:right="-29"/>
              <w:jc w:val="center"/>
              <w:rPr>
                <w:noProof/>
                <w:sz w:val="18"/>
              </w:rPr>
            </w:pPr>
          </w:p>
        </w:tc>
        <w:tc>
          <w:tcPr>
            <w:tcW w:w="542" w:type="dxa"/>
          </w:tcPr>
          <w:p w14:paraId="6384D179" w14:textId="77777777" w:rsidR="00B50935" w:rsidRPr="007B62AA" w:rsidRDefault="00B50935" w:rsidP="00427764">
            <w:pPr>
              <w:ind w:right="-29"/>
              <w:jc w:val="center"/>
              <w:rPr>
                <w:noProof/>
                <w:sz w:val="18"/>
              </w:rPr>
            </w:pPr>
          </w:p>
        </w:tc>
        <w:tc>
          <w:tcPr>
            <w:tcW w:w="663" w:type="dxa"/>
            <w:gridSpan w:val="2"/>
          </w:tcPr>
          <w:p w14:paraId="7964EF16" w14:textId="77777777" w:rsidR="00B50935" w:rsidRPr="007B62AA" w:rsidRDefault="00B50935" w:rsidP="00427764">
            <w:pPr>
              <w:ind w:right="-29"/>
              <w:jc w:val="center"/>
              <w:rPr>
                <w:noProof/>
                <w:sz w:val="18"/>
              </w:rPr>
            </w:pPr>
          </w:p>
        </w:tc>
        <w:tc>
          <w:tcPr>
            <w:tcW w:w="720" w:type="dxa"/>
            <w:gridSpan w:val="2"/>
          </w:tcPr>
          <w:p w14:paraId="303520EB" w14:textId="77777777" w:rsidR="00B50935" w:rsidRPr="007B62AA" w:rsidRDefault="00B50935" w:rsidP="00427764">
            <w:pPr>
              <w:ind w:right="-29"/>
              <w:jc w:val="center"/>
              <w:rPr>
                <w:noProof/>
                <w:sz w:val="18"/>
              </w:rPr>
            </w:pPr>
            <w:r w:rsidRPr="007B62AA">
              <w:rPr>
                <w:sz w:val="18"/>
              </w:rPr>
              <w:t>0,300</w:t>
            </w:r>
          </w:p>
        </w:tc>
        <w:tc>
          <w:tcPr>
            <w:tcW w:w="540" w:type="dxa"/>
            <w:gridSpan w:val="2"/>
          </w:tcPr>
          <w:p w14:paraId="013CB004" w14:textId="77777777" w:rsidR="00B50935" w:rsidRPr="007B62AA" w:rsidRDefault="00B50935" w:rsidP="00427764">
            <w:pPr>
              <w:ind w:right="-29"/>
              <w:jc w:val="center"/>
              <w:rPr>
                <w:noProof/>
                <w:sz w:val="18"/>
              </w:rPr>
            </w:pPr>
          </w:p>
        </w:tc>
        <w:tc>
          <w:tcPr>
            <w:tcW w:w="720" w:type="dxa"/>
            <w:gridSpan w:val="2"/>
          </w:tcPr>
          <w:p w14:paraId="1039385D" w14:textId="77777777" w:rsidR="00B50935" w:rsidRPr="007B62AA" w:rsidRDefault="00B50935" w:rsidP="00427764">
            <w:pPr>
              <w:ind w:right="-29"/>
              <w:jc w:val="center"/>
              <w:rPr>
                <w:noProof/>
                <w:sz w:val="18"/>
              </w:rPr>
            </w:pPr>
            <w:r w:rsidRPr="007B62AA">
              <w:rPr>
                <w:sz w:val="18"/>
              </w:rPr>
              <w:t>0,300</w:t>
            </w:r>
          </w:p>
        </w:tc>
        <w:tc>
          <w:tcPr>
            <w:tcW w:w="720" w:type="dxa"/>
            <w:gridSpan w:val="2"/>
          </w:tcPr>
          <w:p w14:paraId="7E33F005" w14:textId="77777777" w:rsidR="00B50935" w:rsidRPr="007B62AA" w:rsidRDefault="00B50935" w:rsidP="00427764">
            <w:pPr>
              <w:ind w:right="-29"/>
              <w:jc w:val="center"/>
              <w:rPr>
                <w:noProof/>
                <w:sz w:val="18"/>
              </w:rPr>
            </w:pPr>
          </w:p>
        </w:tc>
        <w:tc>
          <w:tcPr>
            <w:tcW w:w="720" w:type="dxa"/>
            <w:gridSpan w:val="2"/>
          </w:tcPr>
          <w:p w14:paraId="298BE9EA" w14:textId="77777777" w:rsidR="00B50935" w:rsidRPr="007B62AA" w:rsidRDefault="00B50935" w:rsidP="00427764">
            <w:pPr>
              <w:ind w:right="-29"/>
              <w:jc w:val="center"/>
              <w:rPr>
                <w:noProof/>
                <w:sz w:val="18"/>
              </w:rPr>
            </w:pPr>
            <w:r w:rsidRPr="007B62AA">
              <w:rPr>
                <w:sz w:val="18"/>
              </w:rPr>
              <w:t>0,300</w:t>
            </w:r>
          </w:p>
        </w:tc>
        <w:tc>
          <w:tcPr>
            <w:tcW w:w="900" w:type="dxa"/>
            <w:gridSpan w:val="2"/>
          </w:tcPr>
          <w:p w14:paraId="77997C10" w14:textId="77777777" w:rsidR="00B50935" w:rsidRPr="007B62AA" w:rsidRDefault="00B50935" w:rsidP="00427764">
            <w:pPr>
              <w:ind w:right="-29"/>
              <w:jc w:val="center"/>
              <w:rPr>
                <w:noProof/>
                <w:sz w:val="18"/>
              </w:rPr>
            </w:pPr>
          </w:p>
        </w:tc>
        <w:tc>
          <w:tcPr>
            <w:tcW w:w="720" w:type="dxa"/>
            <w:gridSpan w:val="3"/>
          </w:tcPr>
          <w:p w14:paraId="56396BA5" w14:textId="77777777" w:rsidR="00B50935" w:rsidRPr="007B62AA" w:rsidRDefault="00B50935" w:rsidP="00427764">
            <w:pPr>
              <w:ind w:right="-29"/>
              <w:jc w:val="center"/>
              <w:rPr>
                <w:noProof/>
                <w:sz w:val="18"/>
              </w:rPr>
            </w:pPr>
            <w:r w:rsidRPr="007B62AA">
              <w:rPr>
                <w:sz w:val="18"/>
              </w:rPr>
              <w:t>0,300</w:t>
            </w:r>
          </w:p>
        </w:tc>
        <w:tc>
          <w:tcPr>
            <w:tcW w:w="540" w:type="dxa"/>
            <w:gridSpan w:val="2"/>
          </w:tcPr>
          <w:p w14:paraId="73E38044" w14:textId="77777777" w:rsidR="00B50935" w:rsidRPr="007B62AA" w:rsidRDefault="00B50935" w:rsidP="00427764">
            <w:pPr>
              <w:ind w:right="-29"/>
              <w:jc w:val="center"/>
              <w:rPr>
                <w:noProof/>
                <w:sz w:val="18"/>
              </w:rPr>
            </w:pPr>
          </w:p>
        </w:tc>
        <w:tc>
          <w:tcPr>
            <w:tcW w:w="648" w:type="dxa"/>
            <w:gridSpan w:val="2"/>
          </w:tcPr>
          <w:p w14:paraId="79BC9D0C" w14:textId="77777777" w:rsidR="00B50935" w:rsidRPr="007B62AA" w:rsidRDefault="00B50935" w:rsidP="00427764">
            <w:pPr>
              <w:ind w:right="-29"/>
              <w:jc w:val="center"/>
              <w:rPr>
                <w:noProof/>
                <w:sz w:val="18"/>
              </w:rPr>
            </w:pPr>
            <w:r w:rsidRPr="007B62AA">
              <w:rPr>
                <w:sz w:val="18"/>
              </w:rPr>
              <w:t>0,300</w:t>
            </w:r>
          </w:p>
        </w:tc>
        <w:tc>
          <w:tcPr>
            <w:tcW w:w="432" w:type="dxa"/>
            <w:gridSpan w:val="2"/>
          </w:tcPr>
          <w:p w14:paraId="53E1C860" w14:textId="77777777" w:rsidR="00B50935" w:rsidRPr="007B62AA" w:rsidRDefault="00B50935" w:rsidP="00427764">
            <w:pPr>
              <w:ind w:right="-29"/>
              <w:jc w:val="center"/>
              <w:rPr>
                <w:noProof/>
                <w:sz w:val="18"/>
              </w:rPr>
            </w:pPr>
          </w:p>
        </w:tc>
        <w:tc>
          <w:tcPr>
            <w:tcW w:w="720" w:type="dxa"/>
            <w:gridSpan w:val="2"/>
          </w:tcPr>
          <w:p w14:paraId="17D0DDD3" w14:textId="77777777" w:rsidR="00B50935" w:rsidRPr="007B62AA" w:rsidRDefault="00B50935" w:rsidP="00427764">
            <w:pPr>
              <w:ind w:right="-29"/>
              <w:jc w:val="center"/>
              <w:rPr>
                <w:noProof/>
                <w:sz w:val="18"/>
              </w:rPr>
            </w:pPr>
            <w:r w:rsidRPr="007B62AA">
              <w:rPr>
                <w:sz w:val="18"/>
              </w:rPr>
              <w:t>0,300</w:t>
            </w:r>
          </w:p>
        </w:tc>
        <w:tc>
          <w:tcPr>
            <w:tcW w:w="540" w:type="dxa"/>
            <w:gridSpan w:val="3"/>
          </w:tcPr>
          <w:p w14:paraId="42DA9E0D" w14:textId="77777777" w:rsidR="00B50935" w:rsidRPr="007B62AA" w:rsidRDefault="00B50935" w:rsidP="00427764">
            <w:pPr>
              <w:ind w:right="-29"/>
              <w:jc w:val="center"/>
              <w:rPr>
                <w:noProof/>
                <w:sz w:val="18"/>
              </w:rPr>
            </w:pPr>
          </w:p>
        </w:tc>
        <w:tc>
          <w:tcPr>
            <w:tcW w:w="723" w:type="dxa"/>
            <w:gridSpan w:val="2"/>
          </w:tcPr>
          <w:p w14:paraId="57EE2D9E" w14:textId="77777777" w:rsidR="00B50935" w:rsidRPr="007B62AA" w:rsidRDefault="00B50935" w:rsidP="00427764">
            <w:pPr>
              <w:ind w:right="-29"/>
              <w:jc w:val="center"/>
              <w:rPr>
                <w:noProof/>
                <w:sz w:val="18"/>
              </w:rPr>
            </w:pPr>
            <w:r w:rsidRPr="007B62AA">
              <w:rPr>
                <w:sz w:val="18"/>
              </w:rPr>
              <w:t>0,300</w:t>
            </w:r>
          </w:p>
        </w:tc>
        <w:tc>
          <w:tcPr>
            <w:tcW w:w="720" w:type="dxa"/>
            <w:gridSpan w:val="2"/>
          </w:tcPr>
          <w:p w14:paraId="6758D885" w14:textId="77777777" w:rsidR="00B50935" w:rsidRPr="007B62AA" w:rsidRDefault="00B50935" w:rsidP="00427764">
            <w:pPr>
              <w:ind w:right="-29"/>
              <w:jc w:val="center"/>
              <w:rPr>
                <w:noProof/>
                <w:sz w:val="18"/>
              </w:rPr>
            </w:pPr>
          </w:p>
        </w:tc>
        <w:tc>
          <w:tcPr>
            <w:tcW w:w="900" w:type="dxa"/>
            <w:gridSpan w:val="2"/>
          </w:tcPr>
          <w:p w14:paraId="56774327" w14:textId="77777777" w:rsidR="00B50935" w:rsidRPr="007B62AA" w:rsidRDefault="00B50935" w:rsidP="00427764">
            <w:pPr>
              <w:ind w:right="-29"/>
              <w:jc w:val="center"/>
              <w:rPr>
                <w:noProof/>
                <w:sz w:val="18"/>
              </w:rPr>
            </w:pPr>
            <w:r w:rsidRPr="007B62AA">
              <w:rPr>
                <w:sz w:val="18"/>
              </w:rPr>
              <w:t>2,100</w:t>
            </w:r>
          </w:p>
        </w:tc>
      </w:tr>
      <w:tr w:rsidR="00B50935" w:rsidRPr="007B62AA" w14:paraId="184907D6" w14:textId="77777777" w:rsidTr="00427764">
        <w:trPr>
          <w:gridAfter w:val="1"/>
          <w:wAfter w:w="12" w:type="dxa"/>
          <w:trHeight w:hRule="exact" w:val="1967"/>
          <w:jc w:val="center"/>
        </w:trPr>
        <w:tc>
          <w:tcPr>
            <w:tcW w:w="1696" w:type="dxa"/>
          </w:tcPr>
          <w:p w14:paraId="24ABFFE9" w14:textId="77777777" w:rsidR="00B50935" w:rsidRPr="007B62AA" w:rsidRDefault="00B50935" w:rsidP="00427764">
            <w:pPr>
              <w:ind w:right="-29"/>
              <w:jc w:val="center"/>
              <w:rPr>
                <w:noProof/>
                <w:sz w:val="18"/>
              </w:rPr>
            </w:pPr>
            <w:r w:rsidRPr="007B62AA">
              <w:rPr>
                <w:sz w:val="18"/>
              </w:rPr>
              <w:t>‒ Výstup: posilnenie siete laboratórií v súlade s oznámením Komisie C(2020) 2391 Usmernenia k diagnostickým testom in vitro na COVID-19 a ich funkčnosti</w:t>
            </w:r>
          </w:p>
        </w:tc>
        <w:tc>
          <w:tcPr>
            <w:tcW w:w="447" w:type="dxa"/>
          </w:tcPr>
          <w:p w14:paraId="7585447D" w14:textId="77777777" w:rsidR="00B50935" w:rsidRPr="007B62AA" w:rsidRDefault="00B50935" w:rsidP="00427764">
            <w:pPr>
              <w:ind w:right="-29"/>
              <w:jc w:val="center"/>
              <w:rPr>
                <w:noProof/>
                <w:sz w:val="18"/>
              </w:rPr>
            </w:pPr>
          </w:p>
        </w:tc>
        <w:tc>
          <w:tcPr>
            <w:tcW w:w="542" w:type="dxa"/>
          </w:tcPr>
          <w:p w14:paraId="14A16E1E" w14:textId="77777777" w:rsidR="00B50935" w:rsidRPr="007B62AA" w:rsidRDefault="00B50935" w:rsidP="00427764">
            <w:pPr>
              <w:ind w:right="-29"/>
              <w:jc w:val="center"/>
              <w:rPr>
                <w:noProof/>
                <w:sz w:val="18"/>
              </w:rPr>
            </w:pPr>
          </w:p>
        </w:tc>
        <w:tc>
          <w:tcPr>
            <w:tcW w:w="663" w:type="dxa"/>
            <w:gridSpan w:val="2"/>
          </w:tcPr>
          <w:p w14:paraId="100A2E5F" w14:textId="77777777" w:rsidR="00B50935" w:rsidRPr="007B62AA" w:rsidRDefault="00B50935" w:rsidP="00427764">
            <w:pPr>
              <w:ind w:right="-29"/>
              <w:jc w:val="center"/>
              <w:rPr>
                <w:noProof/>
                <w:sz w:val="18"/>
              </w:rPr>
            </w:pPr>
          </w:p>
        </w:tc>
        <w:tc>
          <w:tcPr>
            <w:tcW w:w="720" w:type="dxa"/>
            <w:gridSpan w:val="2"/>
          </w:tcPr>
          <w:p w14:paraId="71A1B233" w14:textId="77777777" w:rsidR="00B50935" w:rsidRPr="007B62AA" w:rsidRDefault="00B50935" w:rsidP="00427764">
            <w:pPr>
              <w:ind w:right="-29"/>
              <w:jc w:val="center"/>
              <w:rPr>
                <w:noProof/>
                <w:sz w:val="18"/>
              </w:rPr>
            </w:pPr>
            <w:r w:rsidRPr="007B62AA">
              <w:rPr>
                <w:sz w:val="18"/>
              </w:rPr>
              <w:t>0,200</w:t>
            </w:r>
          </w:p>
        </w:tc>
        <w:tc>
          <w:tcPr>
            <w:tcW w:w="540" w:type="dxa"/>
            <w:gridSpan w:val="2"/>
          </w:tcPr>
          <w:p w14:paraId="633E3780" w14:textId="77777777" w:rsidR="00B50935" w:rsidRPr="007B62AA" w:rsidRDefault="00B50935" w:rsidP="00427764">
            <w:pPr>
              <w:ind w:right="-29"/>
              <w:jc w:val="center"/>
              <w:rPr>
                <w:noProof/>
                <w:sz w:val="18"/>
              </w:rPr>
            </w:pPr>
          </w:p>
        </w:tc>
        <w:tc>
          <w:tcPr>
            <w:tcW w:w="720" w:type="dxa"/>
            <w:gridSpan w:val="2"/>
          </w:tcPr>
          <w:p w14:paraId="64E415C5" w14:textId="77777777" w:rsidR="00B50935" w:rsidRPr="007B62AA" w:rsidRDefault="00B50935" w:rsidP="00427764">
            <w:pPr>
              <w:ind w:right="-29"/>
              <w:jc w:val="center"/>
              <w:rPr>
                <w:noProof/>
                <w:sz w:val="18"/>
              </w:rPr>
            </w:pPr>
            <w:r w:rsidRPr="007B62AA">
              <w:rPr>
                <w:sz w:val="18"/>
              </w:rPr>
              <w:t>0,200</w:t>
            </w:r>
          </w:p>
        </w:tc>
        <w:tc>
          <w:tcPr>
            <w:tcW w:w="720" w:type="dxa"/>
            <w:gridSpan w:val="2"/>
          </w:tcPr>
          <w:p w14:paraId="1D241277" w14:textId="77777777" w:rsidR="00B50935" w:rsidRPr="007B62AA" w:rsidRDefault="00B50935" w:rsidP="00427764">
            <w:pPr>
              <w:ind w:right="-29"/>
              <w:jc w:val="center"/>
              <w:rPr>
                <w:noProof/>
                <w:sz w:val="18"/>
              </w:rPr>
            </w:pPr>
          </w:p>
        </w:tc>
        <w:tc>
          <w:tcPr>
            <w:tcW w:w="720" w:type="dxa"/>
            <w:gridSpan w:val="2"/>
          </w:tcPr>
          <w:p w14:paraId="0BE5284A" w14:textId="77777777" w:rsidR="00B50935" w:rsidRPr="007B62AA" w:rsidRDefault="00B50935" w:rsidP="00427764">
            <w:pPr>
              <w:ind w:right="-29"/>
              <w:jc w:val="center"/>
              <w:rPr>
                <w:noProof/>
                <w:sz w:val="18"/>
              </w:rPr>
            </w:pPr>
            <w:r w:rsidRPr="007B62AA">
              <w:rPr>
                <w:sz w:val="18"/>
              </w:rPr>
              <w:t>0,200</w:t>
            </w:r>
          </w:p>
        </w:tc>
        <w:tc>
          <w:tcPr>
            <w:tcW w:w="900" w:type="dxa"/>
            <w:gridSpan w:val="2"/>
          </w:tcPr>
          <w:p w14:paraId="7147562D" w14:textId="77777777" w:rsidR="00B50935" w:rsidRPr="007B62AA" w:rsidRDefault="00B50935" w:rsidP="00427764">
            <w:pPr>
              <w:ind w:right="-29"/>
              <w:jc w:val="center"/>
              <w:rPr>
                <w:noProof/>
                <w:sz w:val="18"/>
              </w:rPr>
            </w:pPr>
          </w:p>
        </w:tc>
        <w:tc>
          <w:tcPr>
            <w:tcW w:w="720" w:type="dxa"/>
            <w:gridSpan w:val="3"/>
          </w:tcPr>
          <w:p w14:paraId="58C1FE7F" w14:textId="77777777" w:rsidR="00B50935" w:rsidRPr="007B62AA" w:rsidRDefault="00B50935" w:rsidP="00427764">
            <w:pPr>
              <w:ind w:right="-29"/>
              <w:jc w:val="center"/>
              <w:rPr>
                <w:noProof/>
                <w:sz w:val="18"/>
              </w:rPr>
            </w:pPr>
            <w:r w:rsidRPr="007B62AA">
              <w:rPr>
                <w:sz w:val="18"/>
              </w:rPr>
              <w:t>0,200</w:t>
            </w:r>
          </w:p>
        </w:tc>
        <w:tc>
          <w:tcPr>
            <w:tcW w:w="540" w:type="dxa"/>
            <w:gridSpan w:val="2"/>
          </w:tcPr>
          <w:p w14:paraId="254D3B9C" w14:textId="77777777" w:rsidR="00B50935" w:rsidRPr="007B62AA" w:rsidRDefault="00B50935" w:rsidP="00427764">
            <w:pPr>
              <w:ind w:right="-29"/>
              <w:jc w:val="center"/>
              <w:rPr>
                <w:noProof/>
                <w:sz w:val="18"/>
              </w:rPr>
            </w:pPr>
          </w:p>
        </w:tc>
        <w:tc>
          <w:tcPr>
            <w:tcW w:w="648" w:type="dxa"/>
            <w:gridSpan w:val="2"/>
          </w:tcPr>
          <w:p w14:paraId="1EF4919C" w14:textId="77777777" w:rsidR="00B50935" w:rsidRPr="007B62AA" w:rsidRDefault="00B50935" w:rsidP="00427764">
            <w:pPr>
              <w:ind w:right="-29"/>
              <w:jc w:val="center"/>
              <w:rPr>
                <w:noProof/>
                <w:sz w:val="18"/>
              </w:rPr>
            </w:pPr>
            <w:r w:rsidRPr="007B62AA">
              <w:rPr>
                <w:sz w:val="18"/>
              </w:rPr>
              <w:t>0,200</w:t>
            </w:r>
          </w:p>
        </w:tc>
        <w:tc>
          <w:tcPr>
            <w:tcW w:w="432" w:type="dxa"/>
            <w:gridSpan w:val="2"/>
          </w:tcPr>
          <w:p w14:paraId="2782E185" w14:textId="77777777" w:rsidR="00B50935" w:rsidRPr="007B62AA" w:rsidRDefault="00B50935" w:rsidP="00427764">
            <w:pPr>
              <w:ind w:right="-29"/>
              <w:jc w:val="center"/>
              <w:rPr>
                <w:noProof/>
                <w:sz w:val="18"/>
              </w:rPr>
            </w:pPr>
          </w:p>
        </w:tc>
        <w:tc>
          <w:tcPr>
            <w:tcW w:w="720" w:type="dxa"/>
            <w:gridSpan w:val="2"/>
          </w:tcPr>
          <w:p w14:paraId="6312689B" w14:textId="77777777" w:rsidR="00B50935" w:rsidRPr="007B62AA" w:rsidRDefault="00B50935" w:rsidP="00427764">
            <w:pPr>
              <w:ind w:right="-29"/>
              <w:jc w:val="center"/>
              <w:rPr>
                <w:noProof/>
                <w:sz w:val="18"/>
              </w:rPr>
            </w:pPr>
            <w:r w:rsidRPr="007B62AA">
              <w:rPr>
                <w:sz w:val="18"/>
              </w:rPr>
              <w:t>0,200</w:t>
            </w:r>
          </w:p>
        </w:tc>
        <w:tc>
          <w:tcPr>
            <w:tcW w:w="540" w:type="dxa"/>
            <w:gridSpan w:val="3"/>
          </w:tcPr>
          <w:p w14:paraId="5443F27A" w14:textId="77777777" w:rsidR="00B50935" w:rsidRPr="007B62AA" w:rsidRDefault="00B50935" w:rsidP="00427764">
            <w:pPr>
              <w:ind w:right="-29"/>
              <w:jc w:val="center"/>
              <w:rPr>
                <w:noProof/>
                <w:sz w:val="18"/>
              </w:rPr>
            </w:pPr>
          </w:p>
        </w:tc>
        <w:tc>
          <w:tcPr>
            <w:tcW w:w="723" w:type="dxa"/>
            <w:gridSpan w:val="2"/>
          </w:tcPr>
          <w:p w14:paraId="4DBA08F0" w14:textId="77777777" w:rsidR="00B50935" w:rsidRPr="007B62AA" w:rsidRDefault="00B50935" w:rsidP="00427764">
            <w:pPr>
              <w:ind w:right="-29"/>
              <w:jc w:val="center"/>
              <w:rPr>
                <w:noProof/>
                <w:sz w:val="18"/>
              </w:rPr>
            </w:pPr>
            <w:r w:rsidRPr="007B62AA">
              <w:rPr>
                <w:sz w:val="18"/>
              </w:rPr>
              <w:t>0,200</w:t>
            </w:r>
          </w:p>
        </w:tc>
        <w:tc>
          <w:tcPr>
            <w:tcW w:w="720" w:type="dxa"/>
            <w:gridSpan w:val="2"/>
          </w:tcPr>
          <w:p w14:paraId="74F5B820" w14:textId="77777777" w:rsidR="00B50935" w:rsidRPr="007B62AA" w:rsidRDefault="00B50935" w:rsidP="00427764">
            <w:pPr>
              <w:ind w:right="-29"/>
              <w:jc w:val="center"/>
              <w:rPr>
                <w:noProof/>
                <w:sz w:val="18"/>
              </w:rPr>
            </w:pPr>
          </w:p>
        </w:tc>
        <w:tc>
          <w:tcPr>
            <w:tcW w:w="900" w:type="dxa"/>
            <w:gridSpan w:val="2"/>
          </w:tcPr>
          <w:p w14:paraId="11A594C5" w14:textId="77777777" w:rsidR="00B50935" w:rsidRPr="007B62AA" w:rsidRDefault="00B50935" w:rsidP="00427764">
            <w:pPr>
              <w:ind w:right="-29"/>
              <w:jc w:val="center"/>
              <w:rPr>
                <w:noProof/>
                <w:sz w:val="18"/>
              </w:rPr>
            </w:pPr>
            <w:r w:rsidRPr="007B62AA">
              <w:rPr>
                <w:sz w:val="18"/>
              </w:rPr>
              <w:t>1,400</w:t>
            </w:r>
          </w:p>
        </w:tc>
      </w:tr>
      <w:tr w:rsidR="00B50935" w:rsidRPr="007B62AA" w14:paraId="430C34D9" w14:textId="77777777" w:rsidTr="00427764">
        <w:trPr>
          <w:gridAfter w:val="1"/>
          <w:wAfter w:w="12" w:type="dxa"/>
          <w:jc w:val="center"/>
        </w:trPr>
        <w:tc>
          <w:tcPr>
            <w:tcW w:w="2685" w:type="dxa"/>
            <w:gridSpan w:val="3"/>
            <w:tcBorders>
              <w:bottom w:val="single" w:sz="12" w:space="0" w:color="auto"/>
            </w:tcBorders>
            <w:vAlign w:val="center"/>
          </w:tcPr>
          <w:p w14:paraId="44BE4E0C" w14:textId="77777777" w:rsidR="00B50935" w:rsidRPr="007B62AA" w:rsidRDefault="00B50935" w:rsidP="00427764">
            <w:pPr>
              <w:jc w:val="center"/>
              <w:rPr>
                <w:noProof/>
                <w:sz w:val="18"/>
              </w:rPr>
            </w:pPr>
            <w:r w:rsidRPr="007B62AA">
              <w:rPr>
                <w:sz w:val="18"/>
              </w:rPr>
              <w:t>Špecifický cieľ č. 3 medzisúčet</w:t>
            </w:r>
          </w:p>
        </w:tc>
        <w:tc>
          <w:tcPr>
            <w:tcW w:w="663" w:type="dxa"/>
            <w:gridSpan w:val="2"/>
            <w:tcBorders>
              <w:bottom w:val="single" w:sz="12" w:space="0" w:color="auto"/>
            </w:tcBorders>
          </w:tcPr>
          <w:p w14:paraId="53C4E9C4"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4448E203" w14:textId="77777777" w:rsidR="00B50935" w:rsidRPr="007B62AA" w:rsidRDefault="00B50935" w:rsidP="00427764">
            <w:pPr>
              <w:ind w:right="-29"/>
              <w:jc w:val="center"/>
              <w:rPr>
                <w:noProof/>
                <w:sz w:val="18"/>
              </w:rPr>
            </w:pPr>
            <w:r w:rsidRPr="007B62AA">
              <w:rPr>
                <w:sz w:val="18"/>
              </w:rPr>
              <w:t>0,500</w:t>
            </w:r>
          </w:p>
        </w:tc>
        <w:tc>
          <w:tcPr>
            <w:tcW w:w="540" w:type="dxa"/>
            <w:gridSpan w:val="2"/>
            <w:tcBorders>
              <w:bottom w:val="single" w:sz="12" w:space="0" w:color="auto"/>
            </w:tcBorders>
          </w:tcPr>
          <w:p w14:paraId="3B1376D0"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74C1EEB6" w14:textId="77777777" w:rsidR="00B50935" w:rsidRPr="007B62AA" w:rsidRDefault="00B50935" w:rsidP="00427764">
            <w:pPr>
              <w:ind w:right="-29"/>
              <w:jc w:val="center"/>
              <w:rPr>
                <w:noProof/>
                <w:sz w:val="18"/>
              </w:rPr>
            </w:pPr>
            <w:r w:rsidRPr="007B62AA">
              <w:rPr>
                <w:sz w:val="18"/>
              </w:rPr>
              <w:t>0,500</w:t>
            </w:r>
          </w:p>
        </w:tc>
        <w:tc>
          <w:tcPr>
            <w:tcW w:w="720" w:type="dxa"/>
            <w:gridSpan w:val="2"/>
            <w:tcBorders>
              <w:bottom w:val="single" w:sz="12" w:space="0" w:color="auto"/>
            </w:tcBorders>
          </w:tcPr>
          <w:p w14:paraId="4EEFC490"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5F54994F" w14:textId="77777777" w:rsidR="00B50935" w:rsidRPr="007B62AA" w:rsidRDefault="00B50935" w:rsidP="00427764">
            <w:pPr>
              <w:ind w:right="-29"/>
              <w:jc w:val="center"/>
              <w:rPr>
                <w:noProof/>
                <w:sz w:val="18"/>
              </w:rPr>
            </w:pPr>
            <w:r w:rsidRPr="007B62AA">
              <w:rPr>
                <w:sz w:val="18"/>
              </w:rPr>
              <w:t>0,500</w:t>
            </w:r>
          </w:p>
        </w:tc>
        <w:tc>
          <w:tcPr>
            <w:tcW w:w="951" w:type="dxa"/>
            <w:gridSpan w:val="3"/>
            <w:tcBorders>
              <w:bottom w:val="single" w:sz="12" w:space="0" w:color="auto"/>
            </w:tcBorders>
          </w:tcPr>
          <w:p w14:paraId="4B8A531A" w14:textId="77777777" w:rsidR="00B50935" w:rsidRPr="007B62AA" w:rsidRDefault="00B50935" w:rsidP="00427764">
            <w:pPr>
              <w:ind w:right="-29"/>
              <w:jc w:val="center"/>
              <w:rPr>
                <w:noProof/>
                <w:sz w:val="18"/>
              </w:rPr>
            </w:pPr>
          </w:p>
        </w:tc>
        <w:tc>
          <w:tcPr>
            <w:tcW w:w="669" w:type="dxa"/>
            <w:gridSpan w:val="2"/>
            <w:tcBorders>
              <w:bottom w:val="single" w:sz="12" w:space="0" w:color="auto"/>
            </w:tcBorders>
          </w:tcPr>
          <w:p w14:paraId="14A2D966" w14:textId="77777777" w:rsidR="00B50935" w:rsidRPr="007B62AA" w:rsidRDefault="00B50935" w:rsidP="00427764">
            <w:pPr>
              <w:ind w:right="-29"/>
              <w:jc w:val="center"/>
              <w:rPr>
                <w:noProof/>
                <w:sz w:val="18"/>
              </w:rPr>
            </w:pPr>
            <w:r w:rsidRPr="007B62AA">
              <w:rPr>
                <w:sz w:val="18"/>
              </w:rPr>
              <w:t>0,500</w:t>
            </w:r>
          </w:p>
        </w:tc>
        <w:tc>
          <w:tcPr>
            <w:tcW w:w="540" w:type="dxa"/>
            <w:gridSpan w:val="2"/>
            <w:tcBorders>
              <w:bottom w:val="single" w:sz="12" w:space="0" w:color="auto"/>
            </w:tcBorders>
          </w:tcPr>
          <w:p w14:paraId="467AE66F" w14:textId="77777777" w:rsidR="00B50935" w:rsidRPr="007B62AA" w:rsidRDefault="00B50935" w:rsidP="00427764">
            <w:pPr>
              <w:ind w:right="-29"/>
              <w:jc w:val="center"/>
              <w:rPr>
                <w:noProof/>
                <w:sz w:val="18"/>
              </w:rPr>
            </w:pPr>
          </w:p>
        </w:tc>
        <w:tc>
          <w:tcPr>
            <w:tcW w:w="648" w:type="dxa"/>
            <w:gridSpan w:val="2"/>
            <w:tcBorders>
              <w:bottom w:val="single" w:sz="12" w:space="0" w:color="auto"/>
            </w:tcBorders>
          </w:tcPr>
          <w:p w14:paraId="73E71BFE" w14:textId="77777777" w:rsidR="00B50935" w:rsidRPr="007B62AA" w:rsidRDefault="00B50935" w:rsidP="00427764">
            <w:pPr>
              <w:ind w:right="-29"/>
              <w:jc w:val="center"/>
              <w:rPr>
                <w:noProof/>
                <w:sz w:val="18"/>
              </w:rPr>
            </w:pPr>
            <w:r w:rsidRPr="007B62AA">
              <w:rPr>
                <w:sz w:val="18"/>
              </w:rPr>
              <w:t>0,500</w:t>
            </w:r>
          </w:p>
        </w:tc>
        <w:tc>
          <w:tcPr>
            <w:tcW w:w="432" w:type="dxa"/>
            <w:gridSpan w:val="2"/>
            <w:tcBorders>
              <w:bottom w:val="single" w:sz="12" w:space="0" w:color="auto"/>
            </w:tcBorders>
          </w:tcPr>
          <w:p w14:paraId="0429E027" w14:textId="77777777" w:rsidR="00B50935" w:rsidRPr="007B62AA" w:rsidRDefault="00B50935" w:rsidP="00427764">
            <w:pPr>
              <w:ind w:right="-29"/>
              <w:jc w:val="center"/>
              <w:rPr>
                <w:noProof/>
                <w:sz w:val="18"/>
              </w:rPr>
            </w:pPr>
          </w:p>
        </w:tc>
        <w:tc>
          <w:tcPr>
            <w:tcW w:w="720" w:type="dxa"/>
            <w:gridSpan w:val="2"/>
            <w:tcBorders>
              <w:bottom w:val="single" w:sz="12" w:space="0" w:color="auto"/>
            </w:tcBorders>
          </w:tcPr>
          <w:p w14:paraId="5588FBD4" w14:textId="77777777" w:rsidR="00B50935" w:rsidRPr="007B62AA" w:rsidRDefault="00B50935" w:rsidP="00427764">
            <w:pPr>
              <w:ind w:right="-29"/>
              <w:jc w:val="center"/>
              <w:rPr>
                <w:noProof/>
                <w:sz w:val="18"/>
              </w:rPr>
            </w:pPr>
            <w:r w:rsidRPr="007B62AA">
              <w:rPr>
                <w:sz w:val="18"/>
              </w:rPr>
              <w:t>0,500</w:t>
            </w:r>
          </w:p>
        </w:tc>
        <w:tc>
          <w:tcPr>
            <w:tcW w:w="540" w:type="dxa"/>
            <w:gridSpan w:val="3"/>
            <w:tcBorders>
              <w:bottom w:val="single" w:sz="12" w:space="0" w:color="auto"/>
            </w:tcBorders>
          </w:tcPr>
          <w:p w14:paraId="0331CEAF" w14:textId="77777777" w:rsidR="00B50935" w:rsidRPr="007B62AA" w:rsidRDefault="00B50935" w:rsidP="00427764">
            <w:pPr>
              <w:ind w:right="-29"/>
              <w:jc w:val="center"/>
              <w:rPr>
                <w:noProof/>
                <w:sz w:val="18"/>
              </w:rPr>
            </w:pPr>
          </w:p>
        </w:tc>
        <w:tc>
          <w:tcPr>
            <w:tcW w:w="723" w:type="dxa"/>
            <w:gridSpan w:val="2"/>
            <w:tcBorders>
              <w:bottom w:val="single" w:sz="12" w:space="0" w:color="auto"/>
            </w:tcBorders>
          </w:tcPr>
          <w:p w14:paraId="28D2BACF" w14:textId="77777777" w:rsidR="00B50935" w:rsidRPr="007B62AA" w:rsidRDefault="00B50935" w:rsidP="00427764">
            <w:pPr>
              <w:ind w:right="-29"/>
              <w:jc w:val="center"/>
              <w:rPr>
                <w:noProof/>
                <w:sz w:val="18"/>
              </w:rPr>
            </w:pPr>
            <w:r w:rsidRPr="007B62AA">
              <w:rPr>
                <w:sz w:val="18"/>
              </w:rPr>
              <w:t>0,500</w:t>
            </w:r>
          </w:p>
        </w:tc>
        <w:tc>
          <w:tcPr>
            <w:tcW w:w="720" w:type="dxa"/>
            <w:gridSpan w:val="2"/>
            <w:tcBorders>
              <w:bottom w:val="single" w:sz="12" w:space="0" w:color="auto"/>
            </w:tcBorders>
          </w:tcPr>
          <w:p w14:paraId="375569A0" w14:textId="77777777" w:rsidR="00B50935" w:rsidRPr="007B62AA" w:rsidRDefault="00B50935" w:rsidP="00427764">
            <w:pPr>
              <w:ind w:right="-29"/>
              <w:jc w:val="center"/>
              <w:rPr>
                <w:noProof/>
                <w:sz w:val="18"/>
              </w:rPr>
            </w:pPr>
          </w:p>
        </w:tc>
        <w:tc>
          <w:tcPr>
            <w:tcW w:w="900" w:type="dxa"/>
            <w:gridSpan w:val="2"/>
            <w:tcBorders>
              <w:bottom w:val="single" w:sz="12" w:space="0" w:color="auto"/>
            </w:tcBorders>
          </w:tcPr>
          <w:p w14:paraId="62C1E21C" w14:textId="77777777" w:rsidR="00B50935" w:rsidRPr="007B62AA" w:rsidRDefault="00B50935" w:rsidP="00427764">
            <w:pPr>
              <w:ind w:right="-29"/>
              <w:jc w:val="center"/>
              <w:rPr>
                <w:noProof/>
                <w:sz w:val="18"/>
              </w:rPr>
            </w:pPr>
            <w:r w:rsidRPr="007B62AA">
              <w:rPr>
                <w:sz w:val="18"/>
              </w:rPr>
              <w:t>3,500</w:t>
            </w:r>
          </w:p>
        </w:tc>
      </w:tr>
      <w:tr w:rsidR="00B50935" w:rsidRPr="007B62AA" w14:paraId="289B59CF" w14:textId="77777777" w:rsidTr="00427764">
        <w:trPr>
          <w:jc w:val="center"/>
        </w:trPr>
        <w:tc>
          <w:tcPr>
            <w:tcW w:w="13623" w:type="dxa"/>
            <w:gridSpan w:val="38"/>
            <w:tcBorders>
              <w:top w:val="single" w:sz="12" w:space="0" w:color="auto"/>
              <w:left w:val="single" w:sz="12" w:space="0" w:color="auto"/>
              <w:bottom w:val="single" w:sz="12" w:space="0" w:color="auto"/>
              <w:right w:val="single" w:sz="12" w:space="0" w:color="auto"/>
            </w:tcBorders>
            <w:vAlign w:val="center"/>
          </w:tcPr>
          <w:p w14:paraId="46543928" w14:textId="77777777" w:rsidR="00B50935" w:rsidRPr="007B62AA" w:rsidRDefault="00B50935" w:rsidP="00427764">
            <w:pPr>
              <w:ind w:right="-29"/>
              <w:jc w:val="center"/>
              <w:rPr>
                <w:noProof/>
                <w:sz w:val="18"/>
              </w:rPr>
            </w:pPr>
            <w:r w:rsidRPr="007B62AA">
              <w:rPr>
                <w:sz w:val="18"/>
              </w:rPr>
              <w:t>ŠPECIFICKÝ CIEĽ č. 4: ECDC bude koordinovať zber, overovanie, analýzu a šírenie údajov na úrovni EÚ, a tak v rámci európskeho priestoru pre údaje týkajúce sa zdravia vytvorí spoľahlivý európsky systém dohľadu nad prenosnými chorobami.</w:t>
            </w:r>
          </w:p>
          <w:p w14:paraId="28218295" w14:textId="77777777" w:rsidR="00B50935" w:rsidRPr="007B62AA" w:rsidRDefault="00B50935" w:rsidP="00427764">
            <w:pPr>
              <w:spacing w:before="180" w:after="180"/>
              <w:ind w:right="-29"/>
              <w:jc w:val="center"/>
              <w:rPr>
                <w:noProof/>
                <w:sz w:val="18"/>
              </w:rPr>
            </w:pPr>
          </w:p>
        </w:tc>
      </w:tr>
      <w:tr w:rsidR="00B50935" w:rsidRPr="007B62AA" w14:paraId="5301F81E" w14:textId="77777777" w:rsidTr="00427764">
        <w:trPr>
          <w:jc w:val="center"/>
        </w:trPr>
        <w:tc>
          <w:tcPr>
            <w:tcW w:w="2685" w:type="dxa"/>
            <w:gridSpan w:val="3"/>
            <w:tcBorders>
              <w:top w:val="single" w:sz="12" w:space="0" w:color="auto"/>
              <w:left w:val="single" w:sz="12" w:space="0" w:color="auto"/>
              <w:bottom w:val="single" w:sz="12" w:space="0" w:color="auto"/>
            </w:tcBorders>
            <w:vAlign w:val="center"/>
          </w:tcPr>
          <w:p w14:paraId="6AD11F35" w14:textId="77777777" w:rsidR="00B50935" w:rsidRPr="007B62AA" w:rsidRDefault="00B50935" w:rsidP="00427764">
            <w:pPr>
              <w:ind w:right="-29"/>
              <w:jc w:val="center"/>
              <w:rPr>
                <w:b/>
                <w:noProof/>
                <w:sz w:val="18"/>
              </w:rPr>
            </w:pPr>
            <w:r w:rsidRPr="007B62AA">
              <w:rPr>
                <w:sz w:val="18"/>
              </w:rPr>
              <w:t>Výstup: nový uzol v ECDC na prenos informácií z vnútroštátnej úrovne do ECDC vytvorený rozšírením TESSy (zvýšenie kapacity)</w:t>
            </w:r>
          </w:p>
        </w:tc>
        <w:tc>
          <w:tcPr>
            <w:tcW w:w="672" w:type="dxa"/>
            <w:gridSpan w:val="3"/>
            <w:tcBorders>
              <w:top w:val="single" w:sz="12" w:space="0" w:color="auto"/>
              <w:bottom w:val="single" w:sz="12" w:space="0" w:color="auto"/>
            </w:tcBorders>
          </w:tcPr>
          <w:p w14:paraId="73A71941"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C80CD1E" w14:textId="77777777" w:rsidR="00B50935" w:rsidRPr="007B62AA" w:rsidRDefault="00B50935" w:rsidP="00427764">
            <w:pPr>
              <w:spacing w:before="180" w:after="180"/>
              <w:ind w:right="-29"/>
              <w:jc w:val="center"/>
              <w:rPr>
                <w:noProof/>
                <w:sz w:val="18"/>
              </w:rPr>
            </w:pPr>
            <w:r w:rsidRPr="007B62AA">
              <w:rPr>
                <w:sz w:val="18"/>
              </w:rPr>
              <w:t>2,000</w:t>
            </w:r>
          </w:p>
        </w:tc>
        <w:tc>
          <w:tcPr>
            <w:tcW w:w="540" w:type="dxa"/>
            <w:gridSpan w:val="2"/>
            <w:tcBorders>
              <w:top w:val="single" w:sz="12" w:space="0" w:color="auto"/>
              <w:bottom w:val="single" w:sz="12" w:space="0" w:color="auto"/>
            </w:tcBorders>
          </w:tcPr>
          <w:p w14:paraId="2449F781"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4A8D03A" w14:textId="77777777" w:rsidR="00B50935" w:rsidRPr="007B62AA" w:rsidRDefault="00B50935" w:rsidP="00427764">
            <w:pPr>
              <w:spacing w:before="180" w:after="180"/>
              <w:ind w:right="-29"/>
              <w:jc w:val="center"/>
              <w:rPr>
                <w:noProof/>
                <w:sz w:val="18"/>
              </w:rPr>
            </w:pPr>
            <w:r w:rsidRPr="007B62AA">
              <w:rPr>
                <w:sz w:val="18"/>
              </w:rPr>
              <w:t>5,000</w:t>
            </w:r>
          </w:p>
        </w:tc>
        <w:tc>
          <w:tcPr>
            <w:tcW w:w="720" w:type="dxa"/>
            <w:gridSpan w:val="2"/>
            <w:tcBorders>
              <w:top w:val="single" w:sz="12" w:space="0" w:color="auto"/>
              <w:bottom w:val="single" w:sz="12" w:space="0" w:color="auto"/>
            </w:tcBorders>
          </w:tcPr>
          <w:p w14:paraId="1B491C09"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5EC54C60" w14:textId="77777777" w:rsidR="00B50935" w:rsidRPr="007B62AA" w:rsidRDefault="00B50935" w:rsidP="00427764">
            <w:pPr>
              <w:spacing w:before="180" w:after="180"/>
              <w:ind w:right="-29"/>
              <w:jc w:val="center"/>
              <w:rPr>
                <w:noProof/>
                <w:sz w:val="18"/>
              </w:rPr>
            </w:pPr>
            <w:r w:rsidRPr="007B62AA">
              <w:rPr>
                <w:sz w:val="18"/>
              </w:rPr>
              <w:t>5,000</w:t>
            </w:r>
          </w:p>
        </w:tc>
        <w:tc>
          <w:tcPr>
            <w:tcW w:w="951" w:type="dxa"/>
            <w:gridSpan w:val="3"/>
            <w:tcBorders>
              <w:top w:val="single" w:sz="12" w:space="0" w:color="auto"/>
              <w:bottom w:val="single" w:sz="12" w:space="0" w:color="auto"/>
            </w:tcBorders>
          </w:tcPr>
          <w:p w14:paraId="520FE72D" w14:textId="77777777" w:rsidR="00B50935" w:rsidRPr="007B62AA" w:rsidRDefault="00B50935" w:rsidP="00427764">
            <w:pPr>
              <w:spacing w:before="180" w:after="180"/>
              <w:ind w:right="-29"/>
              <w:jc w:val="center"/>
              <w:rPr>
                <w:noProof/>
                <w:sz w:val="18"/>
              </w:rPr>
            </w:pPr>
          </w:p>
        </w:tc>
        <w:tc>
          <w:tcPr>
            <w:tcW w:w="672" w:type="dxa"/>
            <w:gridSpan w:val="2"/>
            <w:tcBorders>
              <w:top w:val="single" w:sz="12" w:space="0" w:color="auto"/>
              <w:bottom w:val="single" w:sz="12" w:space="0" w:color="auto"/>
            </w:tcBorders>
          </w:tcPr>
          <w:p w14:paraId="47247D31" w14:textId="77777777" w:rsidR="00B50935" w:rsidRPr="007B62AA" w:rsidRDefault="00B50935" w:rsidP="00427764">
            <w:pPr>
              <w:spacing w:before="180" w:after="180"/>
              <w:ind w:right="-29"/>
              <w:jc w:val="center"/>
              <w:rPr>
                <w:noProof/>
                <w:sz w:val="18"/>
              </w:rPr>
            </w:pPr>
            <w:r w:rsidRPr="007B62AA">
              <w:rPr>
                <w:sz w:val="18"/>
              </w:rPr>
              <w:t>5,000</w:t>
            </w:r>
          </w:p>
        </w:tc>
        <w:tc>
          <w:tcPr>
            <w:tcW w:w="540" w:type="dxa"/>
            <w:gridSpan w:val="2"/>
            <w:tcBorders>
              <w:top w:val="single" w:sz="12" w:space="0" w:color="auto"/>
              <w:bottom w:val="single" w:sz="12" w:space="0" w:color="auto"/>
            </w:tcBorders>
          </w:tcPr>
          <w:p w14:paraId="5DE3A474" w14:textId="77777777" w:rsidR="00B50935" w:rsidRPr="007B62AA" w:rsidRDefault="00B50935" w:rsidP="00427764">
            <w:pPr>
              <w:spacing w:before="180" w:after="180"/>
              <w:ind w:right="-29"/>
              <w:jc w:val="center"/>
              <w:rPr>
                <w:noProof/>
                <w:sz w:val="18"/>
              </w:rPr>
            </w:pPr>
          </w:p>
        </w:tc>
        <w:tc>
          <w:tcPr>
            <w:tcW w:w="651" w:type="dxa"/>
            <w:gridSpan w:val="2"/>
            <w:tcBorders>
              <w:top w:val="single" w:sz="12" w:space="0" w:color="auto"/>
              <w:bottom w:val="single" w:sz="12" w:space="0" w:color="auto"/>
            </w:tcBorders>
          </w:tcPr>
          <w:p w14:paraId="0128E650" w14:textId="77777777" w:rsidR="00B50935" w:rsidRPr="007B62AA" w:rsidRDefault="00B50935" w:rsidP="00427764">
            <w:pPr>
              <w:spacing w:before="180" w:after="180"/>
              <w:ind w:right="-29"/>
              <w:jc w:val="center"/>
              <w:rPr>
                <w:noProof/>
                <w:sz w:val="18"/>
              </w:rPr>
            </w:pPr>
            <w:r w:rsidRPr="007B62AA">
              <w:rPr>
                <w:sz w:val="18"/>
              </w:rPr>
              <w:t>3,000</w:t>
            </w:r>
          </w:p>
        </w:tc>
        <w:tc>
          <w:tcPr>
            <w:tcW w:w="432" w:type="dxa"/>
            <w:gridSpan w:val="2"/>
            <w:tcBorders>
              <w:top w:val="single" w:sz="12" w:space="0" w:color="auto"/>
              <w:bottom w:val="single" w:sz="12" w:space="0" w:color="auto"/>
            </w:tcBorders>
          </w:tcPr>
          <w:p w14:paraId="19183B52"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51A86B5E" w14:textId="77777777" w:rsidR="00B50935" w:rsidRPr="007B62AA" w:rsidRDefault="00B50935" w:rsidP="00427764">
            <w:pPr>
              <w:spacing w:before="180" w:after="180"/>
              <w:ind w:right="-29"/>
              <w:jc w:val="center"/>
              <w:rPr>
                <w:noProof/>
                <w:sz w:val="18"/>
              </w:rPr>
            </w:pPr>
            <w:r w:rsidRPr="007B62AA">
              <w:rPr>
                <w:sz w:val="18"/>
              </w:rPr>
              <w:t>2,000</w:t>
            </w:r>
          </w:p>
        </w:tc>
        <w:tc>
          <w:tcPr>
            <w:tcW w:w="540" w:type="dxa"/>
            <w:gridSpan w:val="3"/>
            <w:tcBorders>
              <w:top w:val="single" w:sz="12" w:space="0" w:color="auto"/>
              <w:bottom w:val="single" w:sz="12" w:space="0" w:color="auto"/>
            </w:tcBorders>
          </w:tcPr>
          <w:p w14:paraId="452BCB6E"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C2807B0" w14:textId="77777777" w:rsidR="00B50935" w:rsidRPr="007B62AA" w:rsidRDefault="00B50935" w:rsidP="00427764">
            <w:pPr>
              <w:spacing w:before="180" w:after="180"/>
              <w:ind w:right="-29"/>
              <w:jc w:val="center"/>
              <w:rPr>
                <w:noProof/>
                <w:sz w:val="18"/>
              </w:rPr>
            </w:pPr>
            <w:r w:rsidRPr="007B62AA">
              <w:rPr>
                <w:sz w:val="18"/>
              </w:rPr>
              <w:t>2,000</w:t>
            </w:r>
          </w:p>
        </w:tc>
        <w:tc>
          <w:tcPr>
            <w:tcW w:w="720" w:type="dxa"/>
            <w:gridSpan w:val="2"/>
            <w:tcBorders>
              <w:top w:val="single" w:sz="12" w:space="0" w:color="auto"/>
              <w:bottom w:val="single" w:sz="12" w:space="0" w:color="auto"/>
            </w:tcBorders>
          </w:tcPr>
          <w:p w14:paraId="66BBC4C6" w14:textId="77777777" w:rsidR="00B50935" w:rsidRPr="007B62AA"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4C78D7F7" w14:textId="77777777" w:rsidR="00B50935" w:rsidRPr="007B62AA" w:rsidRDefault="00B50935" w:rsidP="00427764">
            <w:pPr>
              <w:spacing w:before="180" w:after="180"/>
              <w:ind w:right="-29"/>
              <w:jc w:val="center"/>
              <w:rPr>
                <w:noProof/>
                <w:sz w:val="18"/>
              </w:rPr>
            </w:pPr>
            <w:r w:rsidRPr="007B62AA">
              <w:rPr>
                <w:sz w:val="18"/>
              </w:rPr>
              <w:t>24,000</w:t>
            </w:r>
          </w:p>
        </w:tc>
      </w:tr>
      <w:tr w:rsidR="00B50935" w:rsidRPr="007B62AA" w14:paraId="5DF9F193"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0D988B7E" w14:textId="77777777" w:rsidR="00B50935" w:rsidRPr="007B62AA" w:rsidRDefault="00B50935" w:rsidP="00427764">
            <w:pPr>
              <w:ind w:right="-29"/>
              <w:jc w:val="center"/>
              <w:rPr>
                <w:noProof/>
                <w:sz w:val="18"/>
              </w:rPr>
            </w:pPr>
            <w:r w:rsidRPr="007B62AA">
              <w:rPr>
                <w:sz w:val="18"/>
              </w:rPr>
              <w:t>Výstup: posilnenie systému včasného varovania a reakcie, čím sa zvýši jeho rozšíriteľnosť bez toho, aby sa zmenil účel systému spočívajúci v podpore rýchlej výmeny informácií s epidemiologickými inštitúciami a verejnými výskumnými inštitúciami na vnútroštátnej úrovni a na úrovni EÚ počas pandémie.</w:t>
            </w:r>
          </w:p>
        </w:tc>
        <w:tc>
          <w:tcPr>
            <w:tcW w:w="631" w:type="dxa"/>
            <w:tcBorders>
              <w:top w:val="single" w:sz="12" w:space="0" w:color="auto"/>
              <w:bottom w:val="single" w:sz="12" w:space="0" w:color="auto"/>
            </w:tcBorders>
          </w:tcPr>
          <w:p w14:paraId="302C062A" w14:textId="77777777" w:rsidR="00B50935" w:rsidRPr="007B62AA" w:rsidRDefault="00B50935" w:rsidP="00427764">
            <w:pPr>
              <w:spacing w:before="180" w:after="180"/>
              <w:ind w:right="-29"/>
              <w:jc w:val="center"/>
              <w:rPr>
                <w:noProof/>
                <w:sz w:val="18"/>
              </w:rPr>
            </w:pPr>
          </w:p>
        </w:tc>
        <w:tc>
          <w:tcPr>
            <w:tcW w:w="752" w:type="dxa"/>
            <w:gridSpan w:val="3"/>
            <w:tcBorders>
              <w:top w:val="single" w:sz="12" w:space="0" w:color="auto"/>
              <w:bottom w:val="single" w:sz="12" w:space="0" w:color="auto"/>
            </w:tcBorders>
          </w:tcPr>
          <w:p w14:paraId="23F5453D" w14:textId="77777777" w:rsidR="00B50935" w:rsidRPr="007B62AA" w:rsidRDefault="00B50935" w:rsidP="00427764">
            <w:pPr>
              <w:spacing w:before="180" w:after="180"/>
              <w:ind w:right="-29"/>
              <w:jc w:val="center"/>
              <w:rPr>
                <w:noProof/>
                <w:sz w:val="18"/>
              </w:rPr>
            </w:pPr>
            <w:r w:rsidRPr="007B62AA">
              <w:rPr>
                <w:sz w:val="18"/>
              </w:rPr>
              <w:t>1,000</w:t>
            </w:r>
          </w:p>
        </w:tc>
        <w:tc>
          <w:tcPr>
            <w:tcW w:w="540" w:type="dxa"/>
            <w:gridSpan w:val="2"/>
            <w:tcBorders>
              <w:top w:val="single" w:sz="12" w:space="0" w:color="auto"/>
              <w:bottom w:val="single" w:sz="12" w:space="0" w:color="auto"/>
            </w:tcBorders>
          </w:tcPr>
          <w:p w14:paraId="136DEFAF"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7B90BABA" w14:textId="77777777" w:rsidR="00B50935" w:rsidRPr="007B62AA" w:rsidRDefault="00B50935" w:rsidP="00427764">
            <w:pPr>
              <w:spacing w:before="180" w:after="180"/>
              <w:ind w:right="-29"/>
              <w:jc w:val="center"/>
              <w:rPr>
                <w:noProof/>
                <w:sz w:val="18"/>
              </w:rPr>
            </w:pPr>
            <w:r w:rsidRPr="007B62AA">
              <w:rPr>
                <w:sz w:val="18"/>
              </w:rPr>
              <w:t>2,000</w:t>
            </w:r>
          </w:p>
        </w:tc>
        <w:tc>
          <w:tcPr>
            <w:tcW w:w="720" w:type="dxa"/>
            <w:gridSpan w:val="2"/>
            <w:tcBorders>
              <w:top w:val="single" w:sz="12" w:space="0" w:color="auto"/>
              <w:bottom w:val="single" w:sz="12" w:space="0" w:color="auto"/>
            </w:tcBorders>
          </w:tcPr>
          <w:p w14:paraId="7A586D93"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D7091EC" w14:textId="77777777" w:rsidR="00B50935" w:rsidRPr="007B62AA" w:rsidRDefault="00B50935" w:rsidP="00427764">
            <w:pPr>
              <w:spacing w:before="180" w:after="180"/>
              <w:ind w:right="-29"/>
              <w:jc w:val="center"/>
              <w:rPr>
                <w:noProof/>
                <w:sz w:val="18"/>
              </w:rPr>
            </w:pPr>
            <w:r w:rsidRPr="007B62AA">
              <w:rPr>
                <w:sz w:val="18"/>
              </w:rPr>
              <w:t>2,000</w:t>
            </w:r>
          </w:p>
        </w:tc>
        <w:tc>
          <w:tcPr>
            <w:tcW w:w="900" w:type="dxa"/>
            <w:gridSpan w:val="2"/>
            <w:tcBorders>
              <w:top w:val="single" w:sz="12" w:space="0" w:color="auto"/>
              <w:bottom w:val="single" w:sz="12" w:space="0" w:color="auto"/>
            </w:tcBorders>
          </w:tcPr>
          <w:p w14:paraId="529AC567" w14:textId="77777777" w:rsidR="00B50935" w:rsidRPr="007B62AA"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1693E2E0" w14:textId="77777777" w:rsidR="00B50935" w:rsidRPr="007B62AA" w:rsidRDefault="00B50935" w:rsidP="00427764">
            <w:pPr>
              <w:spacing w:before="180" w:after="180"/>
              <w:ind w:right="-29"/>
              <w:jc w:val="center"/>
              <w:rPr>
                <w:noProof/>
                <w:sz w:val="18"/>
              </w:rPr>
            </w:pPr>
            <w:r w:rsidRPr="007B62AA">
              <w:rPr>
                <w:sz w:val="18"/>
              </w:rPr>
              <w:t>2,000</w:t>
            </w:r>
          </w:p>
        </w:tc>
        <w:tc>
          <w:tcPr>
            <w:tcW w:w="540" w:type="dxa"/>
            <w:gridSpan w:val="2"/>
            <w:tcBorders>
              <w:top w:val="single" w:sz="12" w:space="0" w:color="auto"/>
              <w:bottom w:val="single" w:sz="12" w:space="0" w:color="auto"/>
            </w:tcBorders>
          </w:tcPr>
          <w:p w14:paraId="427378C7" w14:textId="77777777" w:rsidR="00B50935" w:rsidRPr="007B62AA"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62ED361E" w14:textId="77777777" w:rsidR="00B50935" w:rsidRPr="007B62AA" w:rsidRDefault="00B50935" w:rsidP="00427764">
            <w:pPr>
              <w:spacing w:before="180" w:after="180"/>
              <w:ind w:right="-29"/>
              <w:jc w:val="center"/>
              <w:rPr>
                <w:noProof/>
                <w:sz w:val="18"/>
              </w:rPr>
            </w:pPr>
            <w:r w:rsidRPr="007B62AA">
              <w:rPr>
                <w:sz w:val="18"/>
              </w:rPr>
              <w:t>1,000</w:t>
            </w:r>
          </w:p>
        </w:tc>
        <w:tc>
          <w:tcPr>
            <w:tcW w:w="432" w:type="dxa"/>
            <w:gridSpan w:val="2"/>
            <w:tcBorders>
              <w:top w:val="single" w:sz="12" w:space="0" w:color="auto"/>
              <w:bottom w:val="single" w:sz="12" w:space="0" w:color="auto"/>
            </w:tcBorders>
          </w:tcPr>
          <w:p w14:paraId="41421635"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1F5ACC04" w14:textId="77777777" w:rsidR="00B50935" w:rsidRPr="007B62AA" w:rsidRDefault="00B50935" w:rsidP="00427764">
            <w:pPr>
              <w:spacing w:before="180" w:after="180"/>
              <w:ind w:right="-29"/>
              <w:jc w:val="center"/>
              <w:rPr>
                <w:noProof/>
                <w:sz w:val="18"/>
              </w:rPr>
            </w:pPr>
            <w:r w:rsidRPr="007B62AA">
              <w:rPr>
                <w:sz w:val="18"/>
              </w:rPr>
              <w:t>1,000</w:t>
            </w:r>
          </w:p>
        </w:tc>
        <w:tc>
          <w:tcPr>
            <w:tcW w:w="540" w:type="dxa"/>
            <w:gridSpan w:val="3"/>
            <w:tcBorders>
              <w:top w:val="single" w:sz="12" w:space="0" w:color="auto"/>
              <w:bottom w:val="single" w:sz="12" w:space="0" w:color="auto"/>
            </w:tcBorders>
          </w:tcPr>
          <w:p w14:paraId="79518A58" w14:textId="77777777" w:rsidR="00B50935" w:rsidRPr="007B62AA"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48354A74" w14:textId="77777777" w:rsidR="00B50935" w:rsidRPr="007B62AA" w:rsidRDefault="00B50935" w:rsidP="00427764">
            <w:pPr>
              <w:spacing w:before="180" w:after="180"/>
              <w:ind w:right="-29"/>
              <w:jc w:val="center"/>
              <w:rPr>
                <w:noProof/>
                <w:sz w:val="18"/>
              </w:rPr>
            </w:pPr>
            <w:r w:rsidRPr="007B62AA">
              <w:rPr>
                <w:sz w:val="18"/>
              </w:rPr>
              <w:t>1,000</w:t>
            </w:r>
          </w:p>
        </w:tc>
        <w:tc>
          <w:tcPr>
            <w:tcW w:w="720" w:type="dxa"/>
            <w:gridSpan w:val="2"/>
            <w:tcBorders>
              <w:top w:val="single" w:sz="12" w:space="0" w:color="auto"/>
              <w:bottom w:val="single" w:sz="12" w:space="0" w:color="auto"/>
            </w:tcBorders>
          </w:tcPr>
          <w:p w14:paraId="3F7620FA" w14:textId="77777777" w:rsidR="00B50935" w:rsidRPr="007B62AA"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31DBF2AF" w14:textId="77777777" w:rsidR="00B50935" w:rsidRPr="007B62AA" w:rsidRDefault="00B50935" w:rsidP="00427764">
            <w:pPr>
              <w:spacing w:before="180" w:after="180"/>
              <w:ind w:right="-29"/>
              <w:jc w:val="center"/>
              <w:rPr>
                <w:noProof/>
                <w:sz w:val="18"/>
              </w:rPr>
            </w:pPr>
            <w:r w:rsidRPr="007B62AA">
              <w:rPr>
                <w:sz w:val="18"/>
              </w:rPr>
              <w:t>10,000</w:t>
            </w:r>
          </w:p>
        </w:tc>
      </w:tr>
      <w:tr w:rsidR="00B50935" w:rsidRPr="007B62AA" w14:paraId="24D2CCFB"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58B5719D" w14:textId="77777777" w:rsidR="00B50935" w:rsidRPr="007B62AA" w:rsidRDefault="00B50935" w:rsidP="00427764">
            <w:pPr>
              <w:ind w:right="-29"/>
              <w:jc w:val="center"/>
              <w:rPr>
                <w:b/>
                <w:noProof/>
                <w:sz w:val="18"/>
              </w:rPr>
            </w:pPr>
            <w:r w:rsidRPr="007B62AA">
              <w:rPr>
                <w:sz w:val="18"/>
              </w:rPr>
              <w:t>Špecifický cieľ č. 4 medzisúčet</w:t>
            </w:r>
          </w:p>
        </w:tc>
        <w:tc>
          <w:tcPr>
            <w:tcW w:w="663" w:type="dxa"/>
            <w:gridSpan w:val="2"/>
            <w:tcBorders>
              <w:top w:val="single" w:sz="12" w:space="0" w:color="auto"/>
              <w:bottom w:val="single" w:sz="12" w:space="0" w:color="auto"/>
            </w:tcBorders>
          </w:tcPr>
          <w:p w14:paraId="43D46C60"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74E7EA2" w14:textId="77777777" w:rsidR="00B50935" w:rsidRPr="007B62AA" w:rsidRDefault="00B50935" w:rsidP="00427764">
            <w:pPr>
              <w:spacing w:before="180" w:after="180"/>
              <w:ind w:right="-29"/>
              <w:jc w:val="center"/>
              <w:rPr>
                <w:noProof/>
                <w:sz w:val="18"/>
              </w:rPr>
            </w:pPr>
            <w:r w:rsidRPr="007B62AA">
              <w:rPr>
                <w:sz w:val="18"/>
              </w:rPr>
              <w:t>3,000</w:t>
            </w:r>
          </w:p>
        </w:tc>
        <w:tc>
          <w:tcPr>
            <w:tcW w:w="540" w:type="dxa"/>
            <w:gridSpan w:val="2"/>
            <w:tcBorders>
              <w:top w:val="single" w:sz="12" w:space="0" w:color="auto"/>
              <w:bottom w:val="single" w:sz="12" w:space="0" w:color="auto"/>
            </w:tcBorders>
          </w:tcPr>
          <w:p w14:paraId="295CEBF0"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CD41CEB" w14:textId="77777777" w:rsidR="00B50935" w:rsidRPr="007B62AA" w:rsidRDefault="00B50935" w:rsidP="00427764">
            <w:pPr>
              <w:spacing w:before="180" w:after="180"/>
              <w:ind w:right="-29"/>
              <w:jc w:val="center"/>
              <w:rPr>
                <w:noProof/>
                <w:sz w:val="18"/>
              </w:rPr>
            </w:pPr>
            <w:r w:rsidRPr="007B62AA">
              <w:rPr>
                <w:sz w:val="18"/>
              </w:rPr>
              <w:t>7,000</w:t>
            </w:r>
          </w:p>
        </w:tc>
        <w:tc>
          <w:tcPr>
            <w:tcW w:w="720" w:type="dxa"/>
            <w:gridSpan w:val="2"/>
            <w:tcBorders>
              <w:top w:val="single" w:sz="12" w:space="0" w:color="auto"/>
              <w:bottom w:val="single" w:sz="12" w:space="0" w:color="auto"/>
            </w:tcBorders>
          </w:tcPr>
          <w:p w14:paraId="20664F32"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0FF8F354" w14:textId="77777777" w:rsidR="00B50935" w:rsidRPr="007B62AA" w:rsidRDefault="00B50935" w:rsidP="00427764">
            <w:pPr>
              <w:spacing w:before="180" w:after="180"/>
              <w:ind w:right="-29"/>
              <w:jc w:val="center"/>
              <w:rPr>
                <w:noProof/>
                <w:sz w:val="18"/>
              </w:rPr>
            </w:pPr>
            <w:r w:rsidRPr="007B62AA">
              <w:rPr>
                <w:sz w:val="18"/>
              </w:rPr>
              <w:t>7,000</w:t>
            </w:r>
          </w:p>
        </w:tc>
        <w:tc>
          <w:tcPr>
            <w:tcW w:w="900" w:type="dxa"/>
            <w:gridSpan w:val="2"/>
            <w:tcBorders>
              <w:top w:val="single" w:sz="12" w:space="0" w:color="auto"/>
              <w:bottom w:val="single" w:sz="12" w:space="0" w:color="auto"/>
            </w:tcBorders>
          </w:tcPr>
          <w:p w14:paraId="5C9B9FE7" w14:textId="77777777" w:rsidR="00B50935" w:rsidRPr="007B62AA"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59523835" w14:textId="77777777" w:rsidR="00B50935" w:rsidRPr="007B62AA" w:rsidRDefault="00B50935" w:rsidP="00427764">
            <w:pPr>
              <w:spacing w:before="180" w:after="180"/>
              <w:ind w:right="-29"/>
              <w:jc w:val="center"/>
              <w:rPr>
                <w:noProof/>
                <w:sz w:val="18"/>
              </w:rPr>
            </w:pPr>
            <w:r w:rsidRPr="007B62AA">
              <w:rPr>
                <w:sz w:val="18"/>
              </w:rPr>
              <w:t>7,000</w:t>
            </w:r>
          </w:p>
        </w:tc>
        <w:tc>
          <w:tcPr>
            <w:tcW w:w="540" w:type="dxa"/>
            <w:gridSpan w:val="2"/>
            <w:tcBorders>
              <w:top w:val="single" w:sz="12" w:space="0" w:color="auto"/>
              <w:bottom w:val="single" w:sz="12" w:space="0" w:color="auto"/>
            </w:tcBorders>
          </w:tcPr>
          <w:p w14:paraId="42433A8C" w14:textId="77777777" w:rsidR="00B50935" w:rsidRPr="007B62AA"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2829D8EA" w14:textId="77777777" w:rsidR="00B50935" w:rsidRPr="007B62AA" w:rsidRDefault="00B50935" w:rsidP="00427764">
            <w:pPr>
              <w:spacing w:before="180" w:after="180"/>
              <w:ind w:right="-29"/>
              <w:jc w:val="center"/>
              <w:rPr>
                <w:noProof/>
                <w:sz w:val="18"/>
              </w:rPr>
            </w:pPr>
            <w:r w:rsidRPr="007B62AA">
              <w:rPr>
                <w:sz w:val="18"/>
              </w:rPr>
              <w:t>4,000</w:t>
            </w:r>
          </w:p>
        </w:tc>
        <w:tc>
          <w:tcPr>
            <w:tcW w:w="432" w:type="dxa"/>
            <w:gridSpan w:val="2"/>
            <w:tcBorders>
              <w:top w:val="single" w:sz="12" w:space="0" w:color="auto"/>
              <w:bottom w:val="single" w:sz="12" w:space="0" w:color="auto"/>
            </w:tcBorders>
          </w:tcPr>
          <w:p w14:paraId="68734A7E"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9FDBA89" w14:textId="77777777" w:rsidR="00B50935" w:rsidRPr="007B62AA" w:rsidRDefault="00B50935" w:rsidP="00427764">
            <w:pPr>
              <w:spacing w:before="180" w:after="180"/>
              <w:ind w:right="-29"/>
              <w:jc w:val="center"/>
              <w:rPr>
                <w:noProof/>
                <w:sz w:val="18"/>
              </w:rPr>
            </w:pPr>
            <w:r w:rsidRPr="007B62AA">
              <w:rPr>
                <w:sz w:val="18"/>
              </w:rPr>
              <w:t>3,000</w:t>
            </w:r>
          </w:p>
        </w:tc>
        <w:tc>
          <w:tcPr>
            <w:tcW w:w="540" w:type="dxa"/>
            <w:gridSpan w:val="3"/>
            <w:tcBorders>
              <w:top w:val="single" w:sz="12" w:space="0" w:color="auto"/>
              <w:bottom w:val="single" w:sz="12" w:space="0" w:color="auto"/>
            </w:tcBorders>
          </w:tcPr>
          <w:p w14:paraId="05E9EFCB" w14:textId="77777777" w:rsidR="00B50935" w:rsidRPr="007B62AA"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7AA0DFF0" w14:textId="77777777" w:rsidR="00B50935" w:rsidRPr="007B62AA" w:rsidRDefault="00B50935" w:rsidP="00427764">
            <w:pPr>
              <w:spacing w:before="180" w:after="180"/>
              <w:ind w:right="-29"/>
              <w:jc w:val="center"/>
              <w:rPr>
                <w:noProof/>
                <w:sz w:val="18"/>
              </w:rPr>
            </w:pPr>
            <w:r w:rsidRPr="007B62AA">
              <w:rPr>
                <w:sz w:val="18"/>
              </w:rPr>
              <w:t>3,000</w:t>
            </w:r>
          </w:p>
        </w:tc>
        <w:tc>
          <w:tcPr>
            <w:tcW w:w="720" w:type="dxa"/>
            <w:gridSpan w:val="2"/>
            <w:tcBorders>
              <w:top w:val="single" w:sz="12" w:space="0" w:color="auto"/>
              <w:bottom w:val="single" w:sz="12" w:space="0" w:color="auto"/>
            </w:tcBorders>
          </w:tcPr>
          <w:p w14:paraId="08BBE5F0" w14:textId="77777777" w:rsidR="00B50935" w:rsidRPr="007B62AA"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2B70E375" w14:textId="77777777" w:rsidR="00B50935" w:rsidRPr="007B62AA" w:rsidRDefault="00B50935" w:rsidP="00427764">
            <w:pPr>
              <w:spacing w:before="180" w:after="180"/>
              <w:ind w:right="-29"/>
              <w:jc w:val="center"/>
              <w:rPr>
                <w:noProof/>
                <w:sz w:val="18"/>
              </w:rPr>
            </w:pPr>
            <w:r w:rsidRPr="007B62AA">
              <w:rPr>
                <w:sz w:val="18"/>
              </w:rPr>
              <w:t>34,000</w:t>
            </w:r>
          </w:p>
        </w:tc>
      </w:tr>
      <w:tr w:rsidR="00B50935" w:rsidRPr="007B62AA" w14:paraId="371CEB02" w14:textId="77777777" w:rsidTr="00427764">
        <w:trPr>
          <w:gridAfter w:val="1"/>
          <w:wAfter w:w="12" w:type="dxa"/>
          <w:jc w:val="center"/>
        </w:trPr>
        <w:tc>
          <w:tcPr>
            <w:tcW w:w="13611" w:type="dxa"/>
            <w:gridSpan w:val="37"/>
            <w:tcBorders>
              <w:top w:val="single" w:sz="12" w:space="0" w:color="auto"/>
              <w:left w:val="single" w:sz="12" w:space="0" w:color="auto"/>
              <w:bottom w:val="single" w:sz="12" w:space="0" w:color="auto"/>
              <w:right w:val="single" w:sz="12" w:space="0" w:color="auto"/>
            </w:tcBorders>
            <w:vAlign w:val="center"/>
          </w:tcPr>
          <w:p w14:paraId="460E8BFB" w14:textId="30B541DC" w:rsidR="00B50935" w:rsidRPr="007B62AA" w:rsidRDefault="00B50935" w:rsidP="00427764">
            <w:pPr>
              <w:spacing w:before="180" w:after="180"/>
              <w:ind w:right="-29"/>
              <w:jc w:val="center"/>
              <w:rPr>
                <w:noProof/>
                <w:sz w:val="18"/>
              </w:rPr>
            </w:pPr>
            <w:r w:rsidRPr="007B62AA">
              <w:rPr>
                <w:sz w:val="18"/>
              </w:rPr>
              <w:t>ŠPECIFICKÝ CIEĽ č. 5: ECDC bude hostiteľskou štruktúrou tímu na pomoc pri vypuknutí ohnísk chorôb (osobitná skupina EÚ pre oblasť zdravia), ktorý bude neustále poskytovať krajinám podporu posilnením pripravenosti a rýchlo zasiahne v prípade krízy v oblasti zdravia.</w:t>
            </w:r>
          </w:p>
        </w:tc>
      </w:tr>
      <w:tr w:rsidR="00B50935" w:rsidRPr="007B62AA" w14:paraId="0D366676"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6B7088DC" w14:textId="77777777" w:rsidR="00B50935" w:rsidRPr="007B62AA" w:rsidRDefault="00B50935" w:rsidP="00427764">
            <w:pPr>
              <w:ind w:right="-29"/>
              <w:jc w:val="center"/>
              <w:rPr>
                <w:noProof/>
                <w:sz w:val="18"/>
              </w:rPr>
            </w:pPr>
            <w:r w:rsidRPr="007B62AA">
              <w:rPr>
                <w:sz w:val="18"/>
              </w:rPr>
              <w:t>Výstup: proaktívna praktická podpora krajín EÚ/EHP podľa ich požiadaviek</w:t>
            </w:r>
          </w:p>
        </w:tc>
        <w:tc>
          <w:tcPr>
            <w:tcW w:w="663" w:type="dxa"/>
            <w:gridSpan w:val="2"/>
            <w:tcBorders>
              <w:top w:val="single" w:sz="12" w:space="0" w:color="auto"/>
              <w:bottom w:val="single" w:sz="12" w:space="0" w:color="auto"/>
            </w:tcBorders>
          </w:tcPr>
          <w:p w14:paraId="573F57A8"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412AC10" w14:textId="77777777" w:rsidR="00B50935" w:rsidRPr="007B62AA" w:rsidRDefault="00B50935" w:rsidP="00427764">
            <w:pPr>
              <w:spacing w:before="180" w:after="180"/>
              <w:ind w:right="-29"/>
              <w:jc w:val="center"/>
              <w:rPr>
                <w:noProof/>
                <w:sz w:val="18"/>
              </w:rPr>
            </w:pPr>
            <w:r w:rsidRPr="007B62AA">
              <w:rPr>
                <w:sz w:val="18"/>
              </w:rPr>
              <w:t>0,500</w:t>
            </w:r>
          </w:p>
        </w:tc>
        <w:tc>
          <w:tcPr>
            <w:tcW w:w="540" w:type="dxa"/>
            <w:gridSpan w:val="2"/>
            <w:tcBorders>
              <w:top w:val="single" w:sz="12" w:space="0" w:color="auto"/>
              <w:bottom w:val="single" w:sz="12" w:space="0" w:color="auto"/>
            </w:tcBorders>
          </w:tcPr>
          <w:p w14:paraId="4B5FA818"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FC08918" w14:textId="77777777" w:rsidR="00B50935" w:rsidRPr="007B62AA" w:rsidRDefault="00B50935" w:rsidP="00427764">
            <w:pPr>
              <w:spacing w:before="180" w:after="180"/>
              <w:ind w:right="-29"/>
              <w:jc w:val="center"/>
              <w:rPr>
                <w:noProof/>
                <w:sz w:val="18"/>
              </w:rPr>
            </w:pPr>
            <w:r w:rsidRPr="007B62AA">
              <w:rPr>
                <w:sz w:val="18"/>
              </w:rPr>
              <w:t>0,500</w:t>
            </w:r>
          </w:p>
        </w:tc>
        <w:tc>
          <w:tcPr>
            <w:tcW w:w="720" w:type="dxa"/>
            <w:gridSpan w:val="2"/>
            <w:tcBorders>
              <w:top w:val="single" w:sz="12" w:space="0" w:color="auto"/>
              <w:bottom w:val="single" w:sz="12" w:space="0" w:color="auto"/>
            </w:tcBorders>
          </w:tcPr>
          <w:p w14:paraId="08583889"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B7D98F1" w14:textId="77777777" w:rsidR="00B50935" w:rsidRPr="007B62AA" w:rsidRDefault="00B50935" w:rsidP="00427764">
            <w:pPr>
              <w:spacing w:before="180" w:after="180"/>
              <w:ind w:right="-29"/>
              <w:jc w:val="center"/>
              <w:rPr>
                <w:noProof/>
                <w:sz w:val="18"/>
              </w:rPr>
            </w:pPr>
            <w:r w:rsidRPr="007B62AA">
              <w:rPr>
                <w:sz w:val="18"/>
              </w:rPr>
              <w:t>0,500</w:t>
            </w:r>
          </w:p>
        </w:tc>
        <w:tc>
          <w:tcPr>
            <w:tcW w:w="900" w:type="dxa"/>
            <w:gridSpan w:val="2"/>
            <w:tcBorders>
              <w:top w:val="single" w:sz="12" w:space="0" w:color="auto"/>
              <w:bottom w:val="single" w:sz="12" w:space="0" w:color="auto"/>
            </w:tcBorders>
          </w:tcPr>
          <w:p w14:paraId="5C611FBA" w14:textId="77777777" w:rsidR="00B50935" w:rsidRPr="007B62AA"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150B1C08" w14:textId="77777777" w:rsidR="00B50935" w:rsidRPr="007B62AA" w:rsidRDefault="00B50935" w:rsidP="00427764">
            <w:pPr>
              <w:spacing w:before="180" w:after="180"/>
              <w:ind w:right="-29"/>
              <w:jc w:val="center"/>
              <w:rPr>
                <w:noProof/>
                <w:sz w:val="18"/>
              </w:rPr>
            </w:pPr>
            <w:r w:rsidRPr="007B62AA">
              <w:rPr>
                <w:sz w:val="18"/>
              </w:rPr>
              <w:t>0,500</w:t>
            </w:r>
          </w:p>
        </w:tc>
        <w:tc>
          <w:tcPr>
            <w:tcW w:w="540" w:type="dxa"/>
            <w:gridSpan w:val="2"/>
            <w:tcBorders>
              <w:top w:val="single" w:sz="12" w:space="0" w:color="auto"/>
              <w:bottom w:val="single" w:sz="12" w:space="0" w:color="auto"/>
            </w:tcBorders>
          </w:tcPr>
          <w:p w14:paraId="663F233D" w14:textId="77777777" w:rsidR="00B50935" w:rsidRPr="007B62AA"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1F37CE2D" w14:textId="77777777" w:rsidR="00B50935" w:rsidRPr="007B62AA" w:rsidRDefault="00B50935" w:rsidP="00427764">
            <w:pPr>
              <w:spacing w:before="180" w:after="180"/>
              <w:ind w:right="-29"/>
              <w:jc w:val="center"/>
              <w:rPr>
                <w:noProof/>
                <w:sz w:val="18"/>
              </w:rPr>
            </w:pPr>
            <w:r w:rsidRPr="007B62AA">
              <w:rPr>
                <w:sz w:val="18"/>
              </w:rPr>
              <w:t>0,500</w:t>
            </w:r>
          </w:p>
        </w:tc>
        <w:tc>
          <w:tcPr>
            <w:tcW w:w="432" w:type="dxa"/>
            <w:gridSpan w:val="2"/>
            <w:tcBorders>
              <w:top w:val="single" w:sz="12" w:space="0" w:color="auto"/>
              <w:bottom w:val="single" w:sz="12" w:space="0" w:color="auto"/>
            </w:tcBorders>
          </w:tcPr>
          <w:p w14:paraId="3AED6738"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09DA523" w14:textId="77777777" w:rsidR="00B50935" w:rsidRPr="007B62AA" w:rsidRDefault="00B50935" w:rsidP="00427764">
            <w:pPr>
              <w:spacing w:before="180" w:after="180"/>
              <w:ind w:right="-29"/>
              <w:jc w:val="center"/>
              <w:rPr>
                <w:noProof/>
                <w:sz w:val="18"/>
              </w:rPr>
            </w:pPr>
            <w:r w:rsidRPr="007B62AA">
              <w:rPr>
                <w:sz w:val="18"/>
              </w:rPr>
              <w:t>0,500</w:t>
            </w:r>
          </w:p>
        </w:tc>
        <w:tc>
          <w:tcPr>
            <w:tcW w:w="540" w:type="dxa"/>
            <w:gridSpan w:val="3"/>
            <w:tcBorders>
              <w:top w:val="single" w:sz="12" w:space="0" w:color="auto"/>
              <w:bottom w:val="single" w:sz="12" w:space="0" w:color="auto"/>
            </w:tcBorders>
          </w:tcPr>
          <w:p w14:paraId="7AD508BA" w14:textId="77777777" w:rsidR="00B50935" w:rsidRPr="007B62AA"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59BCBFAE" w14:textId="77777777" w:rsidR="00B50935" w:rsidRPr="007B62AA" w:rsidRDefault="00B50935" w:rsidP="00427764">
            <w:pPr>
              <w:spacing w:before="180" w:after="180"/>
              <w:ind w:right="-29"/>
              <w:jc w:val="center"/>
              <w:rPr>
                <w:noProof/>
                <w:sz w:val="18"/>
              </w:rPr>
            </w:pPr>
            <w:r w:rsidRPr="007B62AA">
              <w:rPr>
                <w:sz w:val="18"/>
              </w:rPr>
              <w:t>0,500</w:t>
            </w:r>
          </w:p>
        </w:tc>
        <w:tc>
          <w:tcPr>
            <w:tcW w:w="720" w:type="dxa"/>
            <w:gridSpan w:val="2"/>
            <w:tcBorders>
              <w:top w:val="single" w:sz="12" w:space="0" w:color="auto"/>
              <w:bottom w:val="single" w:sz="12" w:space="0" w:color="auto"/>
            </w:tcBorders>
          </w:tcPr>
          <w:p w14:paraId="391256A5" w14:textId="77777777" w:rsidR="00B50935" w:rsidRPr="007B62AA"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0F92C904" w14:textId="77777777" w:rsidR="00B50935" w:rsidRPr="007B62AA" w:rsidRDefault="00B50935" w:rsidP="00427764">
            <w:pPr>
              <w:spacing w:before="180" w:after="180"/>
              <w:ind w:right="-29"/>
              <w:jc w:val="center"/>
              <w:rPr>
                <w:noProof/>
                <w:sz w:val="18"/>
              </w:rPr>
            </w:pPr>
            <w:r w:rsidRPr="007B62AA">
              <w:rPr>
                <w:sz w:val="18"/>
              </w:rPr>
              <w:t>3,500</w:t>
            </w:r>
          </w:p>
        </w:tc>
      </w:tr>
      <w:tr w:rsidR="00B50935" w:rsidRPr="007B62AA" w14:paraId="1E4BCB06"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7B0585B2" w14:textId="77777777" w:rsidR="00B50935" w:rsidRPr="007B62AA" w:rsidRDefault="00B50935" w:rsidP="00427764">
            <w:pPr>
              <w:ind w:right="-29"/>
              <w:jc w:val="center"/>
              <w:rPr>
                <w:noProof/>
                <w:sz w:val="18"/>
              </w:rPr>
            </w:pPr>
            <w:r w:rsidRPr="007B62AA">
              <w:rPr>
                <w:sz w:val="18"/>
              </w:rPr>
              <w:t>Výstup: lokálne zásahy na krízových miestach EÚ – na požiadanie, koordinácia s vnútroštátnymi špecialistami, ktorí tím podporujú.</w:t>
            </w:r>
          </w:p>
        </w:tc>
        <w:tc>
          <w:tcPr>
            <w:tcW w:w="663" w:type="dxa"/>
            <w:gridSpan w:val="2"/>
            <w:tcBorders>
              <w:top w:val="single" w:sz="12" w:space="0" w:color="auto"/>
              <w:bottom w:val="single" w:sz="12" w:space="0" w:color="auto"/>
            </w:tcBorders>
          </w:tcPr>
          <w:p w14:paraId="1DE6ECC9"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F169CE2" w14:textId="77777777" w:rsidR="00B50935" w:rsidRPr="007B62AA" w:rsidRDefault="00B50935" w:rsidP="00427764">
            <w:pPr>
              <w:spacing w:before="180" w:after="180"/>
              <w:ind w:right="-29"/>
              <w:jc w:val="center"/>
              <w:rPr>
                <w:noProof/>
                <w:sz w:val="18"/>
              </w:rPr>
            </w:pPr>
            <w:r w:rsidRPr="007B62AA">
              <w:rPr>
                <w:sz w:val="18"/>
              </w:rPr>
              <w:t>0,100</w:t>
            </w:r>
          </w:p>
        </w:tc>
        <w:tc>
          <w:tcPr>
            <w:tcW w:w="540" w:type="dxa"/>
            <w:gridSpan w:val="2"/>
            <w:tcBorders>
              <w:top w:val="single" w:sz="12" w:space="0" w:color="auto"/>
              <w:bottom w:val="single" w:sz="12" w:space="0" w:color="auto"/>
            </w:tcBorders>
          </w:tcPr>
          <w:p w14:paraId="618D56FA"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064E9C9A" w14:textId="77777777" w:rsidR="00B50935" w:rsidRPr="007B62AA" w:rsidRDefault="00B50935" w:rsidP="00427764">
            <w:pPr>
              <w:spacing w:before="180" w:after="180"/>
              <w:ind w:right="-29"/>
              <w:jc w:val="center"/>
              <w:rPr>
                <w:noProof/>
                <w:sz w:val="18"/>
              </w:rPr>
            </w:pPr>
            <w:r w:rsidRPr="007B62AA">
              <w:rPr>
                <w:sz w:val="18"/>
              </w:rPr>
              <w:t>0,100</w:t>
            </w:r>
          </w:p>
        </w:tc>
        <w:tc>
          <w:tcPr>
            <w:tcW w:w="720" w:type="dxa"/>
            <w:gridSpan w:val="2"/>
            <w:tcBorders>
              <w:top w:val="single" w:sz="12" w:space="0" w:color="auto"/>
              <w:bottom w:val="single" w:sz="12" w:space="0" w:color="auto"/>
            </w:tcBorders>
          </w:tcPr>
          <w:p w14:paraId="10DA6304"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515443B" w14:textId="77777777" w:rsidR="00B50935" w:rsidRPr="007B62AA" w:rsidRDefault="00B50935" w:rsidP="00427764">
            <w:pPr>
              <w:spacing w:before="180" w:after="180"/>
              <w:ind w:right="-29"/>
              <w:jc w:val="center"/>
              <w:rPr>
                <w:noProof/>
                <w:sz w:val="18"/>
              </w:rPr>
            </w:pPr>
            <w:r w:rsidRPr="007B62AA">
              <w:rPr>
                <w:sz w:val="18"/>
              </w:rPr>
              <w:t>0,100</w:t>
            </w:r>
          </w:p>
        </w:tc>
        <w:tc>
          <w:tcPr>
            <w:tcW w:w="900" w:type="dxa"/>
            <w:gridSpan w:val="2"/>
            <w:tcBorders>
              <w:top w:val="single" w:sz="12" w:space="0" w:color="auto"/>
              <w:bottom w:val="single" w:sz="12" w:space="0" w:color="auto"/>
            </w:tcBorders>
          </w:tcPr>
          <w:p w14:paraId="3BE7529E" w14:textId="77777777" w:rsidR="00B50935" w:rsidRPr="007B62AA"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3459404E" w14:textId="77777777" w:rsidR="00B50935" w:rsidRPr="007B62AA" w:rsidRDefault="00B50935" w:rsidP="00427764">
            <w:pPr>
              <w:spacing w:before="180" w:after="180"/>
              <w:ind w:right="-29"/>
              <w:jc w:val="center"/>
              <w:rPr>
                <w:noProof/>
                <w:sz w:val="18"/>
              </w:rPr>
            </w:pPr>
            <w:r w:rsidRPr="007B62AA">
              <w:rPr>
                <w:sz w:val="18"/>
              </w:rPr>
              <w:t>0,100</w:t>
            </w:r>
          </w:p>
        </w:tc>
        <w:tc>
          <w:tcPr>
            <w:tcW w:w="540" w:type="dxa"/>
            <w:gridSpan w:val="2"/>
            <w:tcBorders>
              <w:top w:val="single" w:sz="12" w:space="0" w:color="auto"/>
              <w:bottom w:val="single" w:sz="12" w:space="0" w:color="auto"/>
            </w:tcBorders>
          </w:tcPr>
          <w:p w14:paraId="5F04C00F" w14:textId="77777777" w:rsidR="00B50935" w:rsidRPr="007B62AA"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5448E37A" w14:textId="77777777" w:rsidR="00B50935" w:rsidRPr="007B62AA" w:rsidRDefault="00B50935" w:rsidP="00427764">
            <w:pPr>
              <w:spacing w:before="180" w:after="180"/>
              <w:ind w:right="-29"/>
              <w:jc w:val="center"/>
              <w:rPr>
                <w:noProof/>
                <w:sz w:val="18"/>
              </w:rPr>
            </w:pPr>
            <w:r w:rsidRPr="007B62AA">
              <w:rPr>
                <w:sz w:val="18"/>
              </w:rPr>
              <w:t>0,100</w:t>
            </w:r>
          </w:p>
        </w:tc>
        <w:tc>
          <w:tcPr>
            <w:tcW w:w="432" w:type="dxa"/>
            <w:gridSpan w:val="2"/>
            <w:tcBorders>
              <w:top w:val="single" w:sz="12" w:space="0" w:color="auto"/>
              <w:bottom w:val="single" w:sz="12" w:space="0" w:color="auto"/>
            </w:tcBorders>
          </w:tcPr>
          <w:p w14:paraId="0B4BABF8"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71110B1A" w14:textId="77777777" w:rsidR="00B50935" w:rsidRPr="007B62AA" w:rsidRDefault="00B50935" w:rsidP="00427764">
            <w:pPr>
              <w:spacing w:before="180" w:after="180"/>
              <w:ind w:right="-29"/>
              <w:jc w:val="center"/>
              <w:rPr>
                <w:noProof/>
                <w:sz w:val="18"/>
              </w:rPr>
            </w:pPr>
            <w:r w:rsidRPr="007B62AA">
              <w:rPr>
                <w:sz w:val="18"/>
              </w:rPr>
              <w:t>0,100</w:t>
            </w:r>
          </w:p>
        </w:tc>
        <w:tc>
          <w:tcPr>
            <w:tcW w:w="540" w:type="dxa"/>
            <w:gridSpan w:val="3"/>
            <w:tcBorders>
              <w:top w:val="single" w:sz="12" w:space="0" w:color="auto"/>
              <w:bottom w:val="single" w:sz="12" w:space="0" w:color="auto"/>
            </w:tcBorders>
          </w:tcPr>
          <w:p w14:paraId="35E3E59F" w14:textId="77777777" w:rsidR="00B50935" w:rsidRPr="007B62AA"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02ECE44D" w14:textId="77777777" w:rsidR="00B50935" w:rsidRPr="007B62AA" w:rsidRDefault="00B50935" w:rsidP="00427764">
            <w:pPr>
              <w:spacing w:before="180" w:after="180"/>
              <w:ind w:right="-29"/>
              <w:jc w:val="center"/>
              <w:rPr>
                <w:noProof/>
                <w:sz w:val="18"/>
              </w:rPr>
            </w:pPr>
            <w:r w:rsidRPr="007B62AA">
              <w:rPr>
                <w:sz w:val="18"/>
              </w:rPr>
              <w:t>0,100</w:t>
            </w:r>
          </w:p>
        </w:tc>
        <w:tc>
          <w:tcPr>
            <w:tcW w:w="720" w:type="dxa"/>
            <w:gridSpan w:val="2"/>
            <w:tcBorders>
              <w:top w:val="single" w:sz="12" w:space="0" w:color="auto"/>
              <w:bottom w:val="single" w:sz="12" w:space="0" w:color="auto"/>
            </w:tcBorders>
          </w:tcPr>
          <w:p w14:paraId="54FF01CA" w14:textId="77777777" w:rsidR="00B50935" w:rsidRPr="007B62AA"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55F4757B" w14:textId="77777777" w:rsidR="00B50935" w:rsidRPr="007B62AA" w:rsidRDefault="00B50935" w:rsidP="00427764">
            <w:pPr>
              <w:spacing w:before="180" w:after="180"/>
              <w:ind w:right="-29"/>
              <w:jc w:val="center"/>
              <w:rPr>
                <w:noProof/>
                <w:sz w:val="18"/>
              </w:rPr>
            </w:pPr>
            <w:r w:rsidRPr="007B62AA">
              <w:rPr>
                <w:sz w:val="18"/>
              </w:rPr>
              <w:t>0,700</w:t>
            </w:r>
          </w:p>
        </w:tc>
      </w:tr>
      <w:tr w:rsidR="00B50935" w:rsidRPr="007B62AA" w14:paraId="0E835E63"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5CB868C3" w14:textId="77777777" w:rsidR="00B50935" w:rsidRPr="007B62AA" w:rsidRDefault="00B50935" w:rsidP="00427764">
            <w:pPr>
              <w:ind w:right="-29"/>
              <w:jc w:val="center"/>
              <w:rPr>
                <w:noProof/>
                <w:sz w:val="18"/>
              </w:rPr>
            </w:pPr>
            <w:r w:rsidRPr="007B62AA">
              <w:rPr>
                <w:sz w:val="18"/>
              </w:rPr>
              <w:t>Špecifický cieľ č. 5 medzisúčet</w:t>
            </w:r>
          </w:p>
        </w:tc>
        <w:tc>
          <w:tcPr>
            <w:tcW w:w="663" w:type="dxa"/>
            <w:gridSpan w:val="2"/>
            <w:tcBorders>
              <w:top w:val="single" w:sz="12" w:space="0" w:color="auto"/>
              <w:bottom w:val="single" w:sz="12" w:space="0" w:color="auto"/>
            </w:tcBorders>
          </w:tcPr>
          <w:p w14:paraId="2997FAE6"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6811F46" w14:textId="77777777" w:rsidR="00B50935" w:rsidRPr="007B62AA" w:rsidRDefault="00B50935" w:rsidP="00427764">
            <w:pPr>
              <w:spacing w:before="180" w:after="180"/>
              <w:ind w:right="-29"/>
              <w:jc w:val="center"/>
              <w:rPr>
                <w:noProof/>
                <w:sz w:val="18"/>
              </w:rPr>
            </w:pPr>
            <w:r w:rsidRPr="007B62AA">
              <w:rPr>
                <w:sz w:val="18"/>
              </w:rPr>
              <w:t>0,600</w:t>
            </w:r>
          </w:p>
        </w:tc>
        <w:tc>
          <w:tcPr>
            <w:tcW w:w="540" w:type="dxa"/>
            <w:gridSpan w:val="2"/>
            <w:tcBorders>
              <w:top w:val="single" w:sz="12" w:space="0" w:color="auto"/>
              <w:bottom w:val="single" w:sz="12" w:space="0" w:color="auto"/>
            </w:tcBorders>
          </w:tcPr>
          <w:p w14:paraId="62999279"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8952830" w14:textId="77777777" w:rsidR="00B50935" w:rsidRPr="007B62AA" w:rsidRDefault="00B50935" w:rsidP="00427764">
            <w:pPr>
              <w:spacing w:before="180" w:after="180"/>
              <w:ind w:right="-29"/>
              <w:jc w:val="center"/>
              <w:rPr>
                <w:noProof/>
                <w:sz w:val="18"/>
              </w:rPr>
            </w:pPr>
            <w:r w:rsidRPr="007B62AA">
              <w:rPr>
                <w:sz w:val="18"/>
              </w:rPr>
              <w:t>0,600</w:t>
            </w:r>
          </w:p>
        </w:tc>
        <w:tc>
          <w:tcPr>
            <w:tcW w:w="720" w:type="dxa"/>
            <w:gridSpan w:val="2"/>
            <w:tcBorders>
              <w:top w:val="single" w:sz="12" w:space="0" w:color="auto"/>
              <w:bottom w:val="single" w:sz="12" w:space="0" w:color="auto"/>
            </w:tcBorders>
          </w:tcPr>
          <w:p w14:paraId="4D33996C"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F9191DC" w14:textId="77777777" w:rsidR="00B50935" w:rsidRPr="007B62AA" w:rsidRDefault="00B50935" w:rsidP="00427764">
            <w:pPr>
              <w:spacing w:before="180" w:after="180"/>
              <w:ind w:right="-29"/>
              <w:jc w:val="center"/>
              <w:rPr>
                <w:noProof/>
                <w:sz w:val="18"/>
              </w:rPr>
            </w:pPr>
            <w:r w:rsidRPr="007B62AA">
              <w:rPr>
                <w:sz w:val="18"/>
              </w:rPr>
              <w:t>0,600</w:t>
            </w:r>
          </w:p>
        </w:tc>
        <w:tc>
          <w:tcPr>
            <w:tcW w:w="900" w:type="dxa"/>
            <w:gridSpan w:val="2"/>
            <w:tcBorders>
              <w:top w:val="single" w:sz="12" w:space="0" w:color="auto"/>
              <w:bottom w:val="single" w:sz="12" w:space="0" w:color="auto"/>
            </w:tcBorders>
          </w:tcPr>
          <w:p w14:paraId="1E9585A8" w14:textId="77777777" w:rsidR="00B50935" w:rsidRPr="007B62AA"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6935449D" w14:textId="77777777" w:rsidR="00B50935" w:rsidRPr="007B62AA" w:rsidRDefault="00B50935" w:rsidP="00427764">
            <w:pPr>
              <w:spacing w:before="180" w:after="180"/>
              <w:ind w:right="-29"/>
              <w:jc w:val="center"/>
              <w:rPr>
                <w:noProof/>
                <w:sz w:val="18"/>
              </w:rPr>
            </w:pPr>
            <w:r w:rsidRPr="007B62AA">
              <w:rPr>
                <w:sz w:val="18"/>
              </w:rPr>
              <w:t>0,600</w:t>
            </w:r>
          </w:p>
        </w:tc>
        <w:tc>
          <w:tcPr>
            <w:tcW w:w="540" w:type="dxa"/>
            <w:gridSpan w:val="2"/>
            <w:tcBorders>
              <w:top w:val="single" w:sz="12" w:space="0" w:color="auto"/>
              <w:bottom w:val="single" w:sz="12" w:space="0" w:color="auto"/>
            </w:tcBorders>
          </w:tcPr>
          <w:p w14:paraId="3B9618EC" w14:textId="77777777" w:rsidR="00B50935" w:rsidRPr="007B62AA"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0846E011" w14:textId="77777777" w:rsidR="00B50935" w:rsidRPr="007B62AA" w:rsidRDefault="00B50935" w:rsidP="00427764">
            <w:pPr>
              <w:spacing w:before="180" w:after="180"/>
              <w:ind w:right="-29"/>
              <w:jc w:val="center"/>
              <w:rPr>
                <w:noProof/>
                <w:sz w:val="18"/>
              </w:rPr>
            </w:pPr>
            <w:r w:rsidRPr="007B62AA">
              <w:rPr>
                <w:sz w:val="18"/>
              </w:rPr>
              <w:t>0,600</w:t>
            </w:r>
          </w:p>
        </w:tc>
        <w:tc>
          <w:tcPr>
            <w:tcW w:w="432" w:type="dxa"/>
            <w:gridSpan w:val="2"/>
            <w:tcBorders>
              <w:top w:val="single" w:sz="12" w:space="0" w:color="auto"/>
              <w:bottom w:val="single" w:sz="12" w:space="0" w:color="auto"/>
            </w:tcBorders>
          </w:tcPr>
          <w:p w14:paraId="220EA6D9"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7238EED" w14:textId="77777777" w:rsidR="00B50935" w:rsidRPr="007B62AA" w:rsidRDefault="00B50935" w:rsidP="00427764">
            <w:pPr>
              <w:spacing w:before="180" w:after="180"/>
              <w:ind w:right="-29"/>
              <w:jc w:val="center"/>
              <w:rPr>
                <w:noProof/>
                <w:sz w:val="18"/>
              </w:rPr>
            </w:pPr>
            <w:r w:rsidRPr="007B62AA">
              <w:rPr>
                <w:sz w:val="18"/>
              </w:rPr>
              <w:t>0,600</w:t>
            </w:r>
          </w:p>
        </w:tc>
        <w:tc>
          <w:tcPr>
            <w:tcW w:w="540" w:type="dxa"/>
            <w:gridSpan w:val="3"/>
            <w:tcBorders>
              <w:top w:val="single" w:sz="12" w:space="0" w:color="auto"/>
              <w:bottom w:val="single" w:sz="12" w:space="0" w:color="auto"/>
            </w:tcBorders>
          </w:tcPr>
          <w:p w14:paraId="1A2EE780" w14:textId="77777777" w:rsidR="00B50935" w:rsidRPr="007B62AA"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1473E555" w14:textId="77777777" w:rsidR="00B50935" w:rsidRPr="007B62AA" w:rsidRDefault="00B50935" w:rsidP="00427764">
            <w:pPr>
              <w:spacing w:before="180" w:after="180"/>
              <w:ind w:right="-29"/>
              <w:jc w:val="center"/>
              <w:rPr>
                <w:noProof/>
                <w:sz w:val="18"/>
              </w:rPr>
            </w:pPr>
            <w:r w:rsidRPr="007B62AA">
              <w:rPr>
                <w:sz w:val="18"/>
              </w:rPr>
              <w:t>0,600</w:t>
            </w:r>
          </w:p>
        </w:tc>
        <w:tc>
          <w:tcPr>
            <w:tcW w:w="720" w:type="dxa"/>
            <w:gridSpan w:val="2"/>
            <w:tcBorders>
              <w:top w:val="single" w:sz="12" w:space="0" w:color="auto"/>
              <w:bottom w:val="single" w:sz="12" w:space="0" w:color="auto"/>
            </w:tcBorders>
          </w:tcPr>
          <w:p w14:paraId="3D319A76" w14:textId="77777777" w:rsidR="00B50935" w:rsidRPr="007B62AA"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32FF7DA1" w14:textId="77777777" w:rsidR="00B50935" w:rsidRPr="007B62AA" w:rsidRDefault="00B50935" w:rsidP="00427764">
            <w:pPr>
              <w:spacing w:before="180" w:after="180"/>
              <w:ind w:right="-29"/>
              <w:jc w:val="center"/>
              <w:rPr>
                <w:noProof/>
                <w:sz w:val="18"/>
              </w:rPr>
            </w:pPr>
            <w:r w:rsidRPr="007B62AA">
              <w:rPr>
                <w:sz w:val="18"/>
              </w:rPr>
              <w:t>4,200</w:t>
            </w:r>
          </w:p>
        </w:tc>
      </w:tr>
      <w:tr w:rsidR="00B50935" w:rsidRPr="007B62AA" w14:paraId="0CD7410C" w14:textId="77777777" w:rsidTr="00427764">
        <w:trPr>
          <w:gridAfter w:val="1"/>
          <w:wAfter w:w="12" w:type="dxa"/>
          <w:jc w:val="center"/>
        </w:trPr>
        <w:tc>
          <w:tcPr>
            <w:tcW w:w="13611" w:type="dxa"/>
            <w:gridSpan w:val="37"/>
            <w:tcBorders>
              <w:top w:val="single" w:sz="12" w:space="0" w:color="auto"/>
              <w:left w:val="single" w:sz="12" w:space="0" w:color="auto"/>
              <w:bottom w:val="single" w:sz="12" w:space="0" w:color="auto"/>
              <w:right w:val="single" w:sz="12" w:space="0" w:color="auto"/>
            </w:tcBorders>
            <w:vAlign w:val="center"/>
          </w:tcPr>
          <w:p w14:paraId="60C8A7B9" w14:textId="77777777" w:rsidR="00B50935" w:rsidRPr="007B62AA" w:rsidRDefault="00B50935" w:rsidP="00427764">
            <w:pPr>
              <w:spacing w:before="180" w:after="180"/>
              <w:ind w:right="-29"/>
              <w:jc w:val="center"/>
              <w:rPr>
                <w:noProof/>
                <w:sz w:val="18"/>
              </w:rPr>
            </w:pPr>
            <w:r w:rsidRPr="007B62AA">
              <w:rPr>
                <w:sz w:val="18"/>
              </w:rPr>
              <w:t>ŠPECIFICKÝ CIEĽ č. 6: zlepšovanie medzinárodnej spolupráce a zhromažďovanie regionálnych/vnútroštátnych informácií.</w:t>
            </w:r>
          </w:p>
        </w:tc>
      </w:tr>
      <w:tr w:rsidR="00B50935" w:rsidRPr="007B62AA" w14:paraId="247853D7"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38E71EDC" w14:textId="77777777" w:rsidR="00B50935" w:rsidRPr="007B62AA" w:rsidRDefault="00B50935" w:rsidP="00427764">
            <w:pPr>
              <w:ind w:right="-29"/>
              <w:jc w:val="center"/>
              <w:rPr>
                <w:noProof/>
                <w:sz w:val="18"/>
              </w:rPr>
            </w:pPr>
            <w:r w:rsidRPr="007B62AA">
              <w:rPr>
                <w:sz w:val="18"/>
              </w:rPr>
              <w:t>Výstup: koordinácia na mieste s medzinárodnými orgánmi a inými CDC</w:t>
            </w:r>
          </w:p>
        </w:tc>
        <w:tc>
          <w:tcPr>
            <w:tcW w:w="663" w:type="dxa"/>
            <w:gridSpan w:val="2"/>
            <w:tcBorders>
              <w:top w:val="single" w:sz="12" w:space="0" w:color="auto"/>
              <w:bottom w:val="single" w:sz="12" w:space="0" w:color="auto"/>
            </w:tcBorders>
          </w:tcPr>
          <w:p w14:paraId="1597ABED"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76AB59F1" w14:textId="77777777" w:rsidR="00B50935" w:rsidRPr="007B62AA" w:rsidRDefault="00B50935" w:rsidP="00427764">
            <w:pPr>
              <w:spacing w:before="180" w:after="180"/>
              <w:ind w:right="-29"/>
              <w:jc w:val="center"/>
              <w:rPr>
                <w:noProof/>
                <w:sz w:val="18"/>
              </w:rPr>
            </w:pPr>
            <w:r w:rsidRPr="007B62AA">
              <w:rPr>
                <w:sz w:val="18"/>
              </w:rPr>
              <w:t>0,050</w:t>
            </w:r>
          </w:p>
        </w:tc>
        <w:tc>
          <w:tcPr>
            <w:tcW w:w="540" w:type="dxa"/>
            <w:gridSpan w:val="2"/>
            <w:tcBorders>
              <w:top w:val="single" w:sz="12" w:space="0" w:color="auto"/>
              <w:bottom w:val="single" w:sz="12" w:space="0" w:color="auto"/>
            </w:tcBorders>
          </w:tcPr>
          <w:p w14:paraId="26A67142"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5A53AA72" w14:textId="77777777" w:rsidR="00B50935" w:rsidRPr="007B62AA" w:rsidRDefault="00B50935" w:rsidP="00427764">
            <w:pPr>
              <w:spacing w:before="180" w:after="180"/>
              <w:ind w:right="-29"/>
              <w:jc w:val="center"/>
              <w:rPr>
                <w:noProof/>
                <w:sz w:val="18"/>
              </w:rPr>
            </w:pPr>
            <w:r w:rsidRPr="007B62AA">
              <w:rPr>
                <w:sz w:val="18"/>
              </w:rPr>
              <w:t>0,150</w:t>
            </w:r>
          </w:p>
        </w:tc>
        <w:tc>
          <w:tcPr>
            <w:tcW w:w="720" w:type="dxa"/>
            <w:gridSpan w:val="2"/>
            <w:tcBorders>
              <w:top w:val="single" w:sz="12" w:space="0" w:color="auto"/>
              <w:bottom w:val="single" w:sz="12" w:space="0" w:color="auto"/>
            </w:tcBorders>
          </w:tcPr>
          <w:p w14:paraId="56BEBD77"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E776734" w14:textId="77777777" w:rsidR="00B50935" w:rsidRPr="007B62AA" w:rsidRDefault="00B50935" w:rsidP="00427764">
            <w:pPr>
              <w:spacing w:before="180" w:after="180"/>
              <w:ind w:right="-29"/>
              <w:jc w:val="center"/>
              <w:rPr>
                <w:noProof/>
                <w:sz w:val="18"/>
              </w:rPr>
            </w:pPr>
            <w:r w:rsidRPr="007B62AA">
              <w:rPr>
                <w:sz w:val="18"/>
              </w:rPr>
              <w:t>0,350</w:t>
            </w:r>
          </w:p>
        </w:tc>
        <w:tc>
          <w:tcPr>
            <w:tcW w:w="900" w:type="dxa"/>
            <w:gridSpan w:val="2"/>
            <w:tcBorders>
              <w:top w:val="single" w:sz="12" w:space="0" w:color="auto"/>
              <w:bottom w:val="single" w:sz="12" w:space="0" w:color="auto"/>
            </w:tcBorders>
          </w:tcPr>
          <w:p w14:paraId="75BF2216" w14:textId="77777777" w:rsidR="00B50935" w:rsidRPr="007B62AA"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408B8AEC" w14:textId="77777777" w:rsidR="00B50935" w:rsidRPr="007B62AA" w:rsidRDefault="00B50935" w:rsidP="00427764">
            <w:pPr>
              <w:spacing w:before="180" w:after="180"/>
              <w:ind w:right="-29"/>
              <w:jc w:val="center"/>
              <w:rPr>
                <w:noProof/>
                <w:sz w:val="18"/>
              </w:rPr>
            </w:pPr>
            <w:r w:rsidRPr="007B62AA">
              <w:rPr>
                <w:sz w:val="18"/>
              </w:rPr>
              <w:t>0,500</w:t>
            </w:r>
          </w:p>
        </w:tc>
        <w:tc>
          <w:tcPr>
            <w:tcW w:w="540" w:type="dxa"/>
            <w:gridSpan w:val="2"/>
            <w:tcBorders>
              <w:top w:val="single" w:sz="12" w:space="0" w:color="auto"/>
              <w:bottom w:val="single" w:sz="12" w:space="0" w:color="auto"/>
            </w:tcBorders>
          </w:tcPr>
          <w:p w14:paraId="445D4CFC" w14:textId="77777777" w:rsidR="00B50935" w:rsidRPr="007B62AA"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4A5F43CD" w14:textId="77777777" w:rsidR="00B50935" w:rsidRPr="007B62AA" w:rsidRDefault="00B50935" w:rsidP="00427764">
            <w:pPr>
              <w:spacing w:before="180" w:after="180"/>
              <w:ind w:right="-29"/>
              <w:jc w:val="center"/>
              <w:rPr>
                <w:noProof/>
                <w:sz w:val="18"/>
              </w:rPr>
            </w:pPr>
            <w:r w:rsidRPr="007B62AA">
              <w:rPr>
                <w:sz w:val="18"/>
              </w:rPr>
              <w:t>0,500</w:t>
            </w:r>
          </w:p>
        </w:tc>
        <w:tc>
          <w:tcPr>
            <w:tcW w:w="432" w:type="dxa"/>
            <w:gridSpan w:val="2"/>
            <w:tcBorders>
              <w:top w:val="single" w:sz="12" w:space="0" w:color="auto"/>
              <w:bottom w:val="single" w:sz="12" w:space="0" w:color="auto"/>
            </w:tcBorders>
          </w:tcPr>
          <w:p w14:paraId="43B8EAA9" w14:textId="77777777" w:rsidR="00B50935" w:rsidRPr="007B62AA" w:rsidRDefault="00B50935" w:rsidP="00427764">
            <w:pPr>
              <w:spacing w:before="180" w:after="180"/>
              <w:ind w:right="-29"/>
              <w:rPr>
                <w:noProof/>
                <w:sz w:val="18"/>
              </w:rPr>
            </w:pPr>
          </w:p>
        </w:tc>
        <w:tc>
          <w:tcPr>
            <w:tcW w:w="720" w:type="dxa"/>
            <w:gridSpan w:val="2"/>
            <w:tcBorders>
              <w:top w:val="single" w:sz="12" w:space="0" w:color="auto"/>
              <w:bottom w:val="single" w:sz="12" w:space="0" w:color="auto"/>
            </w:tcBorders>
          </w:tcPr>
          <w:p w14:paraId="280F3169" w14:textId="77777777" w:rsidR="00B50935" w:rsidRPr="007B62AA" w:rsidRDefault="00B50935" w:rsidP="00427764">
            <w:pPr>
              <w:spacing w:before="180" w:after="180"/>
              <w:ind w:right="-29"/>
              <w:jc w:val="center"/>
              <w:rPr>
                <w:noProof/>
                <w:sz w:val="18"/>
              </w:rPr>
            </w:pPr>
            <w:r w:rsidRPr="007B62AA">
              <w:rPr>
                <w:sz w:val="18"/>
              </w:rPr>
              <w:t>0,500</w:t>
            </w:r>
          </w:p>
        </w:tc>
        <w:tc>
          <w:tcPr>
            <w:tcW w:w="540" w:type="dxa"/>
            <w:gridSpan w:val="3"/>
            <w:tcBorders>
              <w:top w:val="single" w:sz="12" w:space="0" w:color="auto"/>
              <w:bottom w:val="single" w:sz="12" w:space="0" w:color="auto"/>
            </w:tcBorders>
          </w:tcPr>
          <w:p w14:paraId="69E73EB7" w14:textId="77777777" w:rsidR="00B50935" w:rsidRPr="007B62AA"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675DEDCF" w14:textId="77777777" w:rsidR="00B50935" w:rsidRPr="007B62AA" w:rsidRDefault="00B50935" w:rsidP="00427764">
            <w:pPr>
              <w:spacing w:before="180" w:after="180"/>
              <w:ind w:right="-29"/>
              <w:jc w:val="center"/>
              <w:rPr>
                <w:noProof/>
                <w:sz w:val="18"/>
              </w:rPr>
            </w:pPr>
            <w:r w:rsidRPr="007B62AA">
              <w:rPr>
                <w:sz w:val="18"/>
              </w:rPr>
              <w:t>0,500</w:t>
            </w:r>
          </w:p>
        </w:tc>
        <w:tc>
          <w:tcPr>
            <w:tcW w:w="720" w:type="dxa"/>
            <w:gridSpan w:val="2"/>
            <w:tcBorders>
              <w:top w:val="single" w:sz="12" w:space="0" w:color="auto"/>
              <w:bottom w:val="single" w:sz="12" w:space="0" w:color="auto"/>
            </w:tcBorders>
          </w:tcPr>
          <w:p w14:paraId="19791DA8" w14:textId="77777777" w:rsidR="00B50935" w:rsidRPr="007B62AA"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56736862" w14:textId="77777777" w:rsidR="00B50935" w:rsidRPr="007B62AA" w:rsidRDefault="00B50935" w:rsidP="00427764">
            <w:pPr>
              <w:spacing w:before="180" w:after="180"/>
              <w:ind w:right="-29"/>
              <w:jc w:val="center"/>
              <w:rPr>
                <w:noProof/>
                <w:sz w:val="18"/>
              </w:rPr>
            </w:pPr>
            <w:r w:rsidRPr="007B62AA">
              <w:rPr>
                <w:sz w:val="18"/>
              </w:rPr>
              <w:t>2,550</w:t>
            </w:r>
          </w:p>
        </w:tc>
      </w:tr>
      <w:tr w:rsidR="00B50935" w:rsidRPr="007B62AA" w14:paraId="5ABE9410"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37352996" w14:textId="77777777" w:rsidR="00B50935" w:rsidRPr="007B62AA" w:rsidRDefault="00B50935" w:rsidP="00427764">
            <w:pPr>
              <w:ind w:right="-29"/>
              <w:jc w:val="center"/>
              <w:rPr>
                <w:noProof/>
                <w:sz w:val="18"/>
              </w:rPr>
            </w:pPr>
            <w:r w:rsidRPr="007B62AA">
              <w:rPr>
                <w:sz w:val="18"/>
              </w:rPr>
              <w:t>Výstup: zhromažďovanie miestnych informácií a poskytovanie odbornej podpory</w:t>
            </w:r>
          </w:p>
        </w:tc>
        <w:tc>
          <w:tcPr>
            <w:tcW w:w="663" w:type="dxa"/>
            <w:gridSpan w:val="2"/>
            <w:tcBorders>
              <w:top w:val="single" w:sz="12" w:space="0" w:color="auto"/>
              <w:bottom w:val="single" w:sz="12" w:space="0" w:color="auto"/>
            </w:tcBorders>
          </w:tcPr>
          <w:p w14:paraId="0D89281A"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1D4214B" w14:textId="77777777" w:rsidR="00B50935" w:rsidRPr="007B62AA" w:rsidRDefault="00B50935" w:rsidP="00427764">
            <w:pPr>
              <w:spacing w:before="180" w:after="180"/>
              <w:ind w:right="-29"/>
              <w:jc w:val="center"/>
              <w:rPr>
                <w:noProof/>
                <w:sz w:val="18"/>
              </w:rPr>
            </w:pPr>
            <w:r w:rsidRPr="007B62AA">
              <w:rPr>
                <w:sz w:val="18"/>
              </w:rPr>
              <w:t>0,050</w:t>
            </w:r>
          </w:p>
        </w:tc>
        <w:tc>
          <w:tcPr>
            <w:tcW w:w="540" w:type="dxa"/>
            <w:gridSpan w:val="2"/>
            <w:tcBorders>
              <w:top w:val="single" w:sz="12" w:space="0" w:color="auto"/>
              <w:bottom w:val="single" w:sz="12" w:space="0" w:color="auto"/>
            </w:tcBorders>
          </w:tcPr>
          <w:p w14:paraId="220E2EC3"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1524B3A1" w14:textId="77777777" w:rsidR="00B50935" w:rsidRPr="007B62AA" w:rsidRDefault="00B50935" w:rsidP="00427764">
            <w:pPr>
              <w:spacing w:before="180" w:after="180"/>
              <w:ind w:right="-29"/>
              <w:jc w:val="center"/>
              <w:rPr>
                <w:noProof/>
                <w:sz w:val="18"/>
              </w:rPr>
            </w:pPr>
            <w:r w:rsidRPr="007B62AA">
              <w:rPr>
                <w:sz w:val="18"/>
              </w:rPr>
              <w:t>0,150</w:t>
            </w:r>
          </w:p>
        </w:tc>
        <w:tc>
          <w:tcPr>
            <w:tcW w:w="720" w:type="dxa"/>
            <w:gridSpan w:val="2"/>
            <w:tcBorders>
              <w:top w:val="single" w:sz="12" w:space="0" w:color="auto"/>
              <w:bottom w:val="single" w:sz="12" w:space="0" w:color="auto"/>
            </w:tcBorders>
          </w:tcPr>
          <w:p w14:paraId="3C0BD139"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C665837" w14:textId="77777777" w:rsidR="00B50935" w:rsidRPr="007B62AA" w:rsidRDefault="00B50935" w:rsidP="00427764">
            <w:pPr>
              <w:spacing w:before="180" w:after="180"/>
              <w:ind w:right="-29"/>
              <w:jc w:val="center"/>
              <w:rPr>
                <w:noProof/>
                <w:sz w:val="18"/>
              </w:rPr>
            </w:pPr>
            <w:r w:rsidRPr="007B62AA">
              <w:rPr>
                <w:sz w:val="18"/>
              </w:rPr>
              <w:t>0,350</w:t>
            </w:r>
          </w:p>
        </w:tc>
        <w:tc>
          <w:tcPr>
            <w:tcW w:w="900" w:type="dxa"/>
            <w:gridSpan w:val="2"/>
            <w:tcBorders>
              <w:top w:val="single" w:sz="12" w:space="0" w:color="auto"/>
              <w:bottom w:val="single" w:sz="12" w:space="0" w:color="auto"/>
            </w:tcBorders>
          </w:tcPr>
          <w:p w14:paraId="6D530E05" w14:textId="77777777" w:rsidR="00B50935" w:rsidRPr="007B62AA"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264DC011" w14:textId="77777777" w:rsidR="00B50935" w:rsidRPr="007B62AA" w:rsidRDefault="00B50935" w:rsidP="00427764">
            <w:pPr>
              <w:spacing w:before="180" w:after="180"/>
              <w:ind w:right="-29"/>
              <w:jc w:val="center"/>
              <w:rPr>
                <w:noProof/>
                <w:sz w:val="18"/>
              </w:rPr>
            </w:pPr>
            <w:r w:rsidRPr="007B62AA">
              <w:rPr>
                <w:sz w:val="18"/>
              </w:rPr>
              <w:t>0,500</w:t>
            </w:r>
          </w:p>
        </w:tc>
        <w:tc>
          <w:tcPr>
            <w:tcW w:w="540" w:type="dxa"/>
            <w:gridSpan w:val="2"/>
            <w:tcBorders>
              <w:top w:val="single" w:sz="12" w:space="0" w:color="auto"/>
              <w:bottom w:val="single" w:sz="12" w:space="0" w:color="auto"/>
            </w:tcBorders>
          </w:tcPr>
          <w:p w14:paraId="0FCE1589" w14:textId="77777777" w:rsidR="00B50935" w:rsidRPr="007B62AA"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701CD593" w14:textId="77777777" w:rsidR="00B50935" w:rsidRPr="007B62AA" w:rsidRDefault="00B50935" w:rsidP="00427764">
            <w:pPr>
              <w:spacing w:before="180" w:after="180"/>
              <w:ind w:right="-29"/>
              <w:jc w:val="center"/>
              <w:rPr>
                <w:noProof/>
                <w:sz w:val="18"/>
              </w:rPr>
            </w:pPr>
            <w:r w:rsidRPr="007B62AA">
              <w:rPr>
                <w:sz w:val="18"/>
              </w:rPr>
              <w:t>0,500</w:t>
            </w:r>
          </w:p>
        </w:tc>
        <w:tc>
          <w:tcPr>
            <w:tcW w:w="432" w:type="dxa"/>
            <w:gridSpan w:val="2"/>
            <w:tcBorders>
              <w:top w:val="single" w:sz="12" w:space="0" w:color="auto"/>
              <w:bottom w:val="single" w:sz="12" w:space="0" w:color="auto"/>
            </w:tcBorders>
          </w:tcPr>
          <w:p w14:paraId="1D3A5A12"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29E2D25" w14:textId="77777777" w:rsidR="00B50935" w:rsidRPr="007B62AA" w:rsidRDefault="00B50935" w:rsidP="00427764">
            <w:pPr>
              <w:spacing w:before="180" w:after="180"/>
              <w:ind w:right="-29"/>
              <w:jc w:val="center"/>
              <w:rPr>
                <w:noProof/>
                <w:sz w:val="18"/>
              </w:rPr>
            </w:pPr>
            <w:r w:rsidRPr="007B62AA">
              <w:rPr>
                <w:sz w:val="18"/>
              </w:rPr>
              <w:t>0,500</w:t>
            </w:r>
          </w:p>
        </w:tc>
        <w:tc>
          <w:tcPr>
            <w:tcW w:w="540" w:type="dxa"/>
            <w:gridSpan w:val="3"/>
            <w:tcBorders>
              <w:top w:val="single" w:sz="12" w:space="0" w:color="auto"/>
              <w:bottom w:val="single" w:sz="12" w:space="0" w:color="auto"/>
            </w:tcBorders>
          </w:tcPr>
          <w:p w14:paraId="6936BEA7" w14:textId="77777777" w:rsidR="00B50935" w:rsidRPr="007B62AA"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743D012E" w14:textId="77777777" w:rsidR="00B50935" w:rsidRPr="007B62AA" w:rsidRDefault="00B50935" w:rsidP="00427764">
            <w:pPr>
              <w:spacing w:before="180" w:after="180"/>
              <w:ind w:right="-29"/>
              <w:jc w:val="center"/>
              <w:rPr>
                <w:noProof/>
                <w:sz w:val="18"/>
              </w:rPr>
            </w:pPr>
            <w:r w:rsidRPr="007B62AA">
              <w:rPr>
                <w:sz w:val="18"/>
              </w:rPr>
              <w:t>0,500</w:t>
            </w:r>
          </w:p>
        </w:tc>
        <w:tc>
          <w:tcPr>
            <w:tcW w:w="720" w:type="dxa"/>
            <w:gridSpan w:val="2"/>
            <w:tcBorders>
              <w:top w:val="single" w:sz="12" w:space="0" w:color="auto"/>
              <w:bottom w:val="single" w:sz="12" w:space="0" w:color="auto"/>
            </w:tcBorders>
          </w:tcPr>
          <w:p w14:paraId="63632CDB" w14:textId="77777777" w:rsidR="00B50935" w:rsidRPr="007B62AA"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6EBCC42B" w14:textId="77777777" w:rsidR="00B50935" w:rsidRPr="007B62AA" w:rsidRDefault="00B50935" w:rsidP="00427764">
            <w:pPr>
              <w:spacing w:before="180" w:after="180"/>
              <w:ind w:right="-29"/>
              <w:jc w:val="center"/>
              <w:rPr>
                <w:noProof/>
                <w:sz w:val="18"/>
              </w:rPr>
            </w:pPr>
            <w:r w:rsidRPr="007B62AA">
              <w:rPr>
                <w:sz w:val="18"/>
              </w:rPr>
              <w:t>2,550</w:t>
            </w:r>
          </w:p>
        </w:tc>
      </w:tr>
      <w:tr w:rsidR="00B50935" w:rsidRPr="007B62AA" w14:paraId="38486388"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5C43201F" w14:textId="77777777" w:rsidR="00B50935" w:rsidRPr="007B62AA" w:rsidRDefault="00B50935" w:rsidP="00427764">
            <w:pPr>
              <w:ind w:right="-29"/>
              <w:jc w:val="center"/>
              <w:rPr>
                <w:noProof/>
                <w:sz w:val="18"/>
              </w:rPr>
            </w:pPr>
            <w:r w:rsidRPr="007B62AA">
              <w:rPr>
                <w:sz w:val="18"/>
              </w:rPr>
              <w:t>Špecifický cieľ č. 6 medzisúčet</w:t>
            </w:r>
          </w:p>
        </w:tc>
        <w:tc>
          <w:tcPr>
            <w:tcW w:w="663" w:type="dxa"/>
            <w:gridSpan w:val="2"/>
            <w:tcBorders>
              <w:top w:val="single" w:sz="12" w:space="0" w:color="auto"/>
              <w:bottom w:val="single" w:sz="12" w:space="0" w:color="auto"/>
            </w:tcBorders>
          </w:tcPr>
          <w:p w14:paraId="16343E33"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D42E472" w14:textId="77777777" w:rsidR="00B50935" w:rsidRPr="007B62AA" w:rsidRDefault="00B50935" w:rsidP="00427764">
            <w:pPr>
              <w:spacing w:before="180" w:after="180"/>
              <w:ind w:right="-29"/>
              <w:jc w:val="center"/>
              <w:rPr>
                <w:noProof/>
                <w:sz w:val="18"/>
              </w:rPr>
            </w:pPr>
            <w:r w:rsidRPr="007B62AA">
              <w:rPr>
                <w:sz w:val="18"/>
              </w:rPr>
              <w:t>0,100</w:t>
            </w:r>
          </w:p>
        </w:tc>
        <w:tc>
          <w:tcPr>
            <w:tcW w:w="540" w:type="dxa"/>
            <w:gridSpan w:val="2"/>
            <w:tcBorders>
              <w:top w:val="single" w:sz="12" w:space="0" w:color="auto"/>
              <w:bottom w:val="single" w:sz="12" w:space="0" w:color="auto"/>
            </w:tcBorders>
          </w:tcPr>
          <w:p w14:paraId="3A42D2EA"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0A22B42" w14:textId="77777777" w:rsidR="00B50935" w:rsidRPr="007B62AA" w:rsidRDefault="00B50935" w:rsidP="00427764">
            <w:pPr>
              <w:spacing w:before="180" w:after="180"/>
              <w:ind w:right="-29"/>
              <w:jc w:val="center"/>
              <w:rPr>
                <w:noProof/>
                <w:sz w:val="18"/>
              </w:rPr>
            </w:pPr>
            <w:r w:rsidRPr="007B62AA">
              <w:rPr>
                <w:sz w:val="18"/>
              </w:rPr>
              <w:t>0,300</w:t>
            </w:r>
          </w:p>
        </w:tc>
        <w:tc>
          <w:tcPr>
            <w:tcW w:w="720" w:type="dxa"/>
            <w:gridSpan w:val="2"/>
            <w:tcBorders>
              <w:top w:val="single" w:sz="12" w:space="0" w:color="auto"/>
              <w:bottom w:val="single" w:sz="12" w:space="0" w:color="auto"/>
            </w:tcBorders>
          </w:tcPr>
          <w:p w14:paraId="58624B0E"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DE64E3F" w14:textId="77777777" w:rsidR="00B50935" w:rsidRPr="007B62AA" w:rsidRDefault="00B50935" w:rsidP="00427764">
            <w:pPr>
              <w:spacing w:before="180" w:after="180"/>
              <w:ind w:right="-29"/>
              <w:jc w:val="center"/>
              <w:rPr>
                <w:noProof/>
                <w:sz w:val="18"/>
              </w:rPr>
            </w:pPr>
            <w:r w:rsidRPr="007B62AA">
              <w:rPr>
                <w:sz w:val="18"/>
              </w:rPr>
              <w:t>0,700</w:t>
            </w:r>
          </w:p>
        </w:tc>
        <w:tc>
          <w:tcPr>
            <w:tcW w:w="900" w:type="dxa"/>
            <w:gridSpan w:val="2"/>
            <w:tcBorders>
              <w:top w:val="single" w:sz="12" w:space="0" w:color="auto"/>
              <w:bottom w:val="single" w:sz="12" w:space="0" w:color="auto"/>
            </w:tcBorders>
          </w:tcPr>
          <w:p w14:paraId="1754B1E3" w14:textId="77777777" w:rsidR="00B50935" w:rsidRPr="007B62AA"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273913A1" w14:textId="77777777" w:rsidR="00B50935" w:rsidRPr="007B62AA" w:rsidRDefault="00B50935" w:rsidP="00427764">
            <w:pPr>
              <w:spacing w:before="180" w:after="180"/>
              <w:ind w:right="-29"/>
              <w:jc w:val="center"/>
              <w:rPr>
                <w:noProof/>
                <w:sz w:val="18"/>
              </w:rPr>
            </w:pPr>
            <w:r w:rsidRPr="007B62AA">
              <w:rPr>
                <w:sz w:val="18"/>
              </w:rPr>
              <w:t>1,000</w:t>
            </w:r>
          </w:p>
        </w:tc>
        <w:tc>
          <w:tcPr>
            <w:tcW w:w="540" w:type="dxa"/>
            <w:gridSpan w:val="2"/>
            <w:tcBorders>
              <w:top w:val="single" w:sz="12" w:space="0" w:color="auto"/>
              <w:bottom w:val="single" w:sz="12" w:space="0" w:color="auto"/>
            </w:tcBorders>
          </w:tcPr>
          <w:p w14:paraId="53B2C9E0" w14:textId="77777777" w:rsidR="00B50935" w:rsidRPr="007B62AA"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0CF76DAB" w14:textId="77777777" w:rsidR="00B50935" w:rsidRPr="007B62AA" w:rsidRDefault="00B50935" w:rsidP="00427764">
            <w:pPr>
              <w:spacing w:before="180" w:after="180"/>
              <w:ind w:right="-29"/>
              <w:jc w:val="center"/>
              <w:rPr>
                <w:noProof/>
                <w:sz w:val="18"/>
              </w:rPr>
            </w:pPr>
            <w:r w:rsidRPr="007B62AA">
              <w:rPr>
                <w:sz w:val="18"/>
              </w:rPr>
              <w:t>1,000</w:t>
            </w:r>
          </w:p>
        </w:tc>
        <w:tc>
          <w:tcPr>
            <w:tcW w:w="432" w:type="dxa"/>
            <w:gridSpan w:val="2"/>
            <w:tcBorders>
              <w:top w:val="single" w:sz="12" w:space="0" w:color="auto"/>
              <w:bottom w:val="single" w:sz="12" w:space="0" w:color="auto"/>
            </w:tcBorders>
          </w:tcPr>
          <w:p w14:paraId="0B37040E" w14:textId="77777777" w:rsidR="00B50935" w:rsidRPr="007B62AA"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58A332C6" w14:textId="77777777" w:rsidR="00B50935" w:rsidRPr="007B62AA" w:rsidRDefault="00B50935" w:rsidP="00427764">
            <w:pPr>
              <w:spacing w:before="180" w:after="180"/>
              <w:ind w:right="-29"/>
              <w:jc w:val="center"/>
              <w:rPr>
                <w:noProof/>
                <w:sz w:val="18"/>
              </w:rPr>
            </w:pPr>
            <w:r w:rsidRPr="007B62AA">
              <w:rPr>
                <w:sz w:val="18"/>
              </w:rPr>
              <w:t>1,000</w:t>
            </w:r>
          </w:p>
        </w:tc>
        <w:tc>
          <w:tcPr>
            <w:tcW w:w="540" w:type="dxa"/>
            <w:gridSpan w:val="3"/>
            <w:tcBorders>
              <w:top w:val="single" w:sz="12" w:space="0" w:color="auto"/>
              <w:bottom w:val="single" w:sz="12" w:space="0" w:color="auto"/>
            </w:tcBorders>
          </w:tcPr>
          <w:p w14:paraId="07DFBDC9" w14:textId="77777777" w:rsidR="00B50935" w:rsidRPr="007B62AA"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2D80720E" w14:textId="77777777" w:rsidR="00B50935" w:rsidRPr="007B62AA" w:rsidRDefault="00B50935" w:rsidP="00427764">
            <w:pPr>
              <w:spacing w:before="180" w:after="180"/>
              <w:ind w:right="-29"/>
              <w:jc w:val="center"/>
              <w:rPr>
                <w:noProof/>
                <w:sz w:val="18"/>
              </w:rPr>
            </w:pPr>
            <w:r w:rsidRPr="007B62AA">
              <w:rPr>
                <w:sz w:val="18"/>
              </w:rPr>
              <w:t>1,000</w:t>
            </w:r>
          </w:p>
        </w:tc>
        <w:tc>
          <w:tcPr>
            <w:tcW w:w="720" w:type="dxa"/>
            <w:gridSpan w:val="2"/>
            <w:tcBorders>
              <w:top w:val="single" w:sz="12" w:space="0" w:color="auto"/>
              <w:bottom w:val="single" w:sz="12" w:space="0" w:color="auto"/>
            </w:tcBorders>
          </w:tcPr>
          <w:p w14:paraId="33A4591B" w14:textId="77777777" w:rsidR="00B50935" w:rsidRPr="007B62AA"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42FB285E" w14:textId="77777777" w:rsidR="00B50935" w:rsidRPr="007B62AA" w:rsidRDefault="00B50935" w:rsidP="00427764">
            <w:pPr>
              <w:spacing w:before="180" w:after="180"/>
              <w:ind w:right="-29"/>
              <w:jc w:val="center"/>
              <w:rPr>
                <w:noProof/>
                <w:sz w:val="18"/>
              </w:rPr>
            </w:pPr>
            <w:r w:rsidRPr="007B62AA">
              <w:rPr>
                <w:sz w:val="18"/>
              </w:rPr>
              <w:t>5,100</w:t>
            </w:r>
          </w:p>
        </w:tc>
      </w:tr>
      <w:tr w:rsidR="00B50935" w:rsidRPr="007B62AA" w14:paraId="65D1A2CC"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4C1F39E3" w14:textId="77777777" w:rsidR="00B50935" w:rsidRPr="007B62AA" w:rsidRDefault="00B50935" w:rsidP="00427764">
            <w:pPr>
              <w:ind w:right="-29"/>
              <w:jc w:val="center"/>
              <w:rPr>
                <w:b/>
                <w:noProof/>
                <w:sz w:val="18"/>
              </w:rPr>
            </w:pPr>
            <w:r w:rsidRPr="007B62AA">
              <w:rPr>
                <w:b/>
                <w:sz w:val="18"/>
              </w:rPr>
              <w:t>NÁKLADY SPOLU</w:t>
            </w:r>
          </w:p>
        </w:tc>
        <w:tc>
          <w:tcPr>
            <w:tcW w:w="663" w:type="dxa"/>
            <w:gridSpan w:val="2"/>
            <w:tcBorders>
              <w:top w:val="single" w:sz="12" w:space="0" w:color="auto"/>
              <w:bottom w:val="single" w:sz="12" w:space="0" w:color="auto"/>
            </w:tcBorders>
          </w:tcPr>
          <w:p w14:paraId="64FC9F5E" w14:textId="77777777" w:rsidR="00B50935" w:rsidRPr="007B62AA" w:rsidRDefault="00B50935" w:rsidP="00427764">
            <w:pPr>
              <w:spacing w:before="180" w:after="180"/>
              <w:ind w:right="-29"/>
              <w:jc w:val="center"/>
              <w:rPr>
                <w:b/>
                <w:noProof/>
                <w:sz w:val="18"/>
              </w:rPr>
            </w:pPr>
          </w:p>
        </w:tc>
        <w:tc>
          <w:tcPr>
            <w:tcW w:w="720" w:type="dxa"/>
            <w:gridSpan w:val="2"/>
            <w:tcBorders>
              <w:top w:val="single" w:sz="12" w:space="0" w:color="auto"/>
              <w:bottom w:val="single" w:sz="12" w:space="0" w:color="auto"/>
            </w:tcBorders>
          </w:tcPr>
          <w:p w14:paraId="4A7AB430" w14:textId="77777777" w:rsidR="00B50935" w:rsidRPr="007B62AA" w:rsidRDefault="00B50935" w:rsidP="00427764">
            <w:pPr>
              <w:spacing w:before="180" w:after="180"/>
              <w:ind w:right="-29"/>
              <w:jc w:val="center"/>
              <w:rPr>
                <w:b/>
                <w:noProof/>
                <w:sz w:val="18"/>
              </w:rPr>
            </w:pPr>
            <w:r w:rsidRPr="007B62AA">
              <w:rPr>
                <w:b/>
                <w:sz w:val="18"/>
              </w:rPr>
              <w:t>12,300</w:t>
            </w:r>
          </w:p>
        </w:tc>
        <w:tc>
          <w:tcPr>
            <w:tcW w:w="540" w:type="dxa"/>
            <w:gridSpan w:val="2"/>
            <w:tcBorders>
              <w:top w:val="single" w:sz="12" w:space="0" w:color="auto"/>
              <w:bottom w:val="single" w:sz="12" w:space="0" w:color="auto"/>
            </w:tcBorders>
          </w:tcPr>
          <w:p w14:paraId="605F6383" w14:textId="77777777" w:rsidR="00B50935" w:rsidRPr="007B62AA" w:rsidRDefault="00B50935" w:rsidP="00427764">
            <w:pPr>
              <w:spacing w:before="180" w:after="180"/>
              <w:ind w:right="-29"/>
              <w:jc w:val="center"/>
              <w:rPr>
                <w:b/>
                <w:noProof/>
                <w:sz w:val="18"/>
              </w:rPr>
            </w:pPr>
          </w:p>
        </w:tc>
        <w:tc>
          <w:tcPr>
            <w:tcW w:w="720" w:type="dxa"/>
            <w:gridSpan w:val="2"/>
            <w:tcBorders>
              <w:top w:val="single" w:sz="12" w:space="0" w:color="auto"/>
              <w:bottom w:val="single" w:sz="12" w:space="0" w:color="auto"/>
            </w:tcBorders>
          </w:tcPr>
          <w:p w14:paraId="46797CC5" w14:textId="77777777" w:rsidR="00B50935" w:rsidRPr="007B62AA" w:rsidRDefault="00B50935" w:rsidP="00427764">
            <w:pPr>
              <w:spacing w:before="180" w:after="180"/>
              <w:ind w:right="-29"/>
              <w:jc w:val="center"/>
              <w:rPr>
                <w:b/>
                <w:noProof/>
                <w:sz w:val="18"/>
              </w:rPr>
            </w:pPr>
            <w:r w:rsidRPr="007B62AA">
              <w:rPr>
                <w:b/>
                <w:sz w:val="18"/>
              </w:rPr>
              <w:t>16,500</w:t>
            </w:r>
          </w:p>
        </w:tc>
        <w:tc>
          <w:tcPr>
            <w:tcW w:w="720" w:type="dxa"/>
            <w:gridSpan w:val="2"/>
            <w:tcBorders>
              <w:top w:val="single" w:sz="12" w:space="0" w:color="auto"/>
              <w:bottom w:val="single" w:sz="12" w:space="0" w:color="auto"/>
            </w:tcBorders>
          </w:tcPr>
          <w:p w14:paraId="3DB465C9" w14:textId="77777777" w:rsidR="00B50935" w:rsidRPr="007B62AA" w:rsidRDefault="00B50935" w:rsidP="00427764">
            <w:pPr>
              <w:spacing w:before="180" w:after="180"/>
              <w:ind w:right="-29"/>
              <w:jc w:val="center"/>
              <w:rPr>
                <w:b/>
                <w:noProof/>
                <w:sz w:val="18"/>
              </w:rPr>
            </w:pPr>
          </w:p>
        </w:tc>
        <w:tc>
          <w:tcPr>
            <w:tcW w:w="720" w:type="dxa"/>
            <w:gridSpan w:val="2"/>
            <w:tcBorders>
              <w:top w:val="single" w:sz="12" w:space="0" w:color="auto"/>
              <w:bottom w:val="single" w:sz="12" w:space="0" w:color="auto"/>
            </w:tcBorders>
          </w:tcPr>
          <w:p w14:paraId="4CB1B027" w14:textId="77777777" w:rsidR="00B50935" w:rsidRPr="007B62AA" w:rsidRDefault="00B50935" w:rsidP="00427764">
            <w:pPr>
              <w:spacing w:before="180" w:after="180"/>
              <w:ind w:right="-29"/>
              <w:jc w:val="center"/>
              <w:rPr>
                <w:b/>
                <w:noProof/>
                <w:sz w:val="18"/>
              </w:rPr>
            </w:pPr>
            <w:r w:rsidRPr="007B62AA">
              <w:rPr>
                <w:b/>
                <w:sz w:val="18"/>
              </w:rPr>
              <w:t>16,700</w:t>
            </w:r>
          </w:p>
        </w:tc>
        <w:tc>
          <w:tcPr>
            <w:tcW w:w="900" w:type="dxa"/>
            <w:gridSpan w:val="2"/>
            <w:tcBorders>
              <w:top w:val="single" w:sz="12" w:space="0" w:color="auto"/>
              <w:bottom w:val="single" w:sz="12" w:space="0" w:color="auto"/>
            </w:tcBorders>
          </w:tcPr>
          <w:p w14:paraId="57BFA3BB" w14:textId="77777777" w:rsidR="00B50935" w:rsidRPr="007B62AA" w:rsidRDefault="00B50935" w:rsidP="00427764">
            <w:pPr>
              <w:spacing w:before="180" w:after="180"/>
              <w:ind w:right="-29"/>
              <w:jc w:val="center"/>
              <w:rPr>
                <w:b/>
                <w:noProof/>
                <w:sz w:val="18"/>
              </w:rPr>
            </w:pPr>
          </w:p>
        </w:tc>
        <w:tc>
          <w:tcPr>
            <w:tcW w:w="720" w:type="dxa"/>
            <w:gridSpan w:val="3"/>
            <w:tcBorders>
              <w:top w:val="single" w:sz="12" w:space="0" w:color="auto"/>
              <w:bottom w:val="single" w:sz="12" w:space="0" w:color="auto"/>
            </w:tcBorders>
          </w:tcPr>
          <w:p w14:paraId="6DF9156C" w14:textId="77777777" w:rsidR="00B50935" w:rsidRPr="007B62AA" w:rsidRDefault="00B50935" w:rsidP="00427764">
            <w:pPr>
              <w:spacing w:before="180" w:after="180"/>
              <w:ind w:right="-29"/>
              <w:jc w:val="center"/>
              <w:rPr>
                <w:b/>
                <w:noProof/>
                <w:sz w:val="18"/>
              </w:rPr>
            </w:pPr>
            <w:r w:rsidRPr="007B62AA">
              <w:rPr>
                <w:b/>
                <w:sz w:val="18"/>
              </w:rPr>
              <w:t>17,000</w:t>
            </w:r>
          </w:p>
        </w:tc>
        <w:tc>
          <w:tcPr>
            <w:tcW w:w="540" w:type="dxa"/>
            <w:gridSpan w:val="2"/>
            <w:tcBorders>
              <w:top w:val="single" w:sz="12" w:space="0" w:color="auto"/>
              <w:bottom w:val="single" w:sz="12" w:space="0" w:color="auto"/>
            </w:tcBorders>
          </w:tcPr>
          <w:p w14:paraId="07B7BDEF" w14:textId="77777777" w:rsidR="00B50935" w:rsidRPr="007B62AA" w:rsidRDefault="00B50935" w:rsidP="00427764">
            <w:pPr>
              <w:spacing w:before="180" w:after="180"/>
              <w:ind w:right="-29"/>
              <w:jc w:val="center"/>
              <w:rPr>
                <w:b/>
                <w:noProof/>
                <w:sz w:val="18"/>
              </w:rPr>
            </w:pPr>
          </w:p>
        </w:tc>
        <w:tc>
          <w:tcPr>
            <w:tcW w:w="648" w:type="dxa"/>
            <w:gridSpan w:val="2"/>
            <w:tcBorders>
              <w:top w:val="single" w:sz="12" w:space="0" w:color="auto"/>
              <w:bottom w:val="single" w:sz="12" w:space="0" w:color="auto"/>
            </w:tcBorders>
          </w:tcPr>
          <w:p w14:paraId="2EFE2A4E" w14:textId="77777777" w:rsidR="00B50935" w:rsidRPr="007B62AA" w:rsidRDefault="00B50935" w:rsidP="00427764">
            <w:pPr>
              <w:spacing w:before="180" w:after="180"/>
              <w:ind w:right="-29"/>
              <w:jc w:val="center"/>
              <w:rPr>
                <w:b/>
                <w:noProof/>
                <w:sz w:val="18"/>
              </w:rPr>
            </w:pPr>
            <w:r w:rsidRPr="007B62AA">
              <w:rPr>
                <w:b/>
                <w:sz w:val="16"/>
              </w:rPr>
              <w:t>14,000</w:t>
            </w:r>
          </w:p>
        </w:tc>
        <w:tc>
          <w:tcPr>
            <w:tcW w:w="432" w:type="dxa"/>
            <w:gridSpan w:val="2"/>
            <w:tcBorders>
              <w:top w:val="single" w:sz="12" w:space="0" w:color="auto"/>
              <w:bottom w:val="single" w:sz="12" w:space="0" w:color="auto"/>
            </w:tcBorders>
          </w:tcPr>
          <w:p w14:paraId="67A9B9D1" w14:textId="77777777" w:rsidR="00B50935" w:rsidRPr="007B62AA" w:rsidRDefault="00B50935" w:rsidP="00427764">
            <w:pPr>
              <w:spacing w:before="180" w:after="180"/>
              <w:ind w:right="-29"/>
              <w:jc w:val="center"/>
              <w:rPr>
                <w:b/>
                <w:noProof/>
                <w:sz w:val="18"/>
              </w:rPr>
            </w:pPr>
          </w:p>
        </w:tc>
        <w:tc>
          <w:tcPr>
            <w:tcW w:w="720" w:type="dxa"/>
            <w:gridSpan w:val="2"/>
            <w:tcBorders>
              <w:top w:val="single" w:sz="12" w:space="0" w:color="auto"/>
              <w:bottom w:val="single" w:sz="12" w:space="0" w:color="auto"/>
            </w:tcBorders>
          </w:tcPr>
          <w:p w14:paraId="754A6BB4" w14:textId="77777777" w:rsidR="00B50935" w:rsidRPr="007B62AA" w:rsidRDefault="00B50935" w:rsidP="00427764">
            <w:pPr>
              <w:spacing w:before="180" w:after="180"/>
              <w:ind w:right="-29"/>
              <w:jc w:val="center"/>
              <w:rPr>
                <w:b/>
                <w:noProof/>
                <w:sz w:val="18"/>
              </w:rPr>
            </w:pPr>
            <w:r w:rsidRPr="007B62AA">
              <w:rPr>
                <w:b/>
                <w:sz w:val="18"/>
              </w:rPr>
              <w:t>13,000</w:t>
            </w:r>
          </w:p>
        </w:tc>
        <w:tc>
          <w:tcPr>
            <w:tcW w:w="540" w:type="dxa"/>
            <w:gridSpan w:val="3"/>
            <w:tcBorders>
              <w:top w:val="single" w:sz="12" w:space="0" w:color="auto"/>
              <w:bottom w:val="single" w:sz="12" w:space="0" w:color="auto"/>
            </w:tcBorders>
          </w:tcPr>
          <w:p w14:paraId="4312BDFE" w14:textId="77777777" w:rsidR="00B50935" w:rsidRPr="007B62AA" w:rsidRDefault="00B50935" w:rsidP="00427764">
            <w:pPr>
              <w:spacing w:before="180" w:after="180"/>
              <w:ind w:right="-29"/>
              <w:jc w:val="center"/>
              <w:rPr>
                <w:b/>
                <w:noProof/>
                <w:sz w:val="18"/>
              </w:rPr>
            </w:pPr>
          </w:p>
        </w:tc>
        <w:tc>
          <w:tcPr>
            <w:tcW w:w="723" w:type="dxa"/>
            <w:gridSpan w:val="2"/>
            <w:tcBorders>
              <w:top w:val="single" w:sz="12" w:space="0" w:color="auto"/>
              <w:bottom w:val="single" w:sz="12" w:space="0" w:color="auto"/>
            </w:tcBorders>
          </w:tcPr>
          <w:p w14:paraId="410F9ECD" w14:textId="77777777" w:rsidR="00B50935" w:rsidRPr="007B62AA" w:rsidRDefault="00B50935" w:rsidP="00427764">
            <w:pPr>
              <w:spacing w:before="180" w:after="180"/>
              <w:ind w:right="-29"/>
              <w:jc w:val="center"/>
              <w:rPr>
                <w:b/>
                <w:noProof/>
                <w:sz w:val="18"/>
              </w:rPr>
            </w:pPr>
            <w:r w:rsidRPr="007B62AA">
              <w:rPr>
                <w:b/>
                <w:sz w:val="18"/>
              </w:rPr>
              <w:t>13,000</w:t>
            </w:r>
          </w:p>
        </w:tc>
        <w:tc>
          <w:tcPr>
            <w:tcW w:w="720" w:type="dxa"/>
            <w:gridSpan w:val="2"/>
            <w:tcBorders>
              <w:top w:val="single" w:sz="12" w:space="0" w:color="auto"/>
              <w:bottom w:val="single" w:sz="12" w:space="0" w:color="auto"/>
            </w:tcBorders>
          </w:tcPr>
          <w:p w14:paraId="0F4BFD09" w14:textId="77777777" w:rsidR="00B50935" w:rsidRPr="007B62AA" w:rsidRDefault="00B50935" w:rsidP="00427764">
            <w:pPr>
              <w:spacing w:before="180" w:after="180"/>
              <w:ind w:right="-29"/>
              <w:jc w:val="center"/>
              <w:rPr>
                <w:b/>
                <w:noProof/>
                <w:sz w:val="18"/>
              </w:rPr>
            </w:pPr>
          </w:p>
        </w:tc>
        <w:tc>
          <w:tcPr>
            <w:tcW w:w="900" w:type="dxa"/>
            <w:gridSpan w:val="2"/>
            <w:tcBorders>
              <w:top w:val="single" w:sz="12" w:space="0" w:color="auto"/>
              <w:bottom w:val="single" w:sz="12" w:space="0" w:color="auto"/>
              <w:right w:val="single" w:sz="12" w:space="0" w:color="auto"/>
            </w:tcBorders>
          </w:tcPr>
          <w:p w14:paraId="7136FE96" w14:textId="77777777" w:rsidR="00B50935" w:rsidRPr="007B62AA" w:rsidRDefault="00B50935" w:rsidP="00427764">
            <w:pPr>
              <w:spacing w:before="180" w:after="180"/>
              <w:ind w:right="-29"/>
              <w:jc w:val="center"/>
              <w:rPr>
                <w:b/>
                <w:noProof/>
                <w:sz w:val="18"/>
              </w:rPr>
            </w:pPr>
            <w:r w:rsidRPr="007B62AA">
              <w:rPr>
                <w:b/>
                <w:sz w:val="18"/>
              </w:rPr>
              <w:t>102,500</w:t>
            </w:r>
          </w:p>
        </w:tc>
      </w:tr>
    </w:tbl>
    <w:p w14:paraId="365F51F0" w14:textId="77777777" w:rsidR="00B50935" w:rsidRPr="007B62AA" w:rsidRDefault="00B50935" w:rsidP="00B50935">
      <w:pPr>
        <w:rPr>
          <w:noProof/>
        </w:rPr>
        <w:sectPr w:rsidR="00B50935" w:rsidRPr="007B62AA" w:rsidSect="00CA0925">
          <w:headerReference w:type="default" r:id="rId16"/>
          <w:footerReference w:type="default" r:id="rId17"/>
          <w:headerReference w:type="first" r:id="rId18"/>
          <w:footerReference w:type="first" r:id="rId19"/>
          <w:pgSz w:w="15840" w:h="12240" w:orient="landscape"/>
          <w:pgMar w:top="1418" w:right="902" w:bottom="902" w:left="567" w:header="709" w:footer="709" w:gutter="0"/>
          <w:cols w:space="720"/>
          <w:docGrid w:linePitch="326"/>
        </w:sectPr>
      </w:pPr>
    </w:p>
    <w:p w14:paraId="01D73843" w14:textId="77777777" w:rsidR="00B50935" w:rsidRPr="007B62AA" w:rsidRDefault="00B50935" w:rsidP="00B50935">
      <w:pPr>
        <w:pStyle w:val="Heading3"/>
        <w:rPr>
          <w:bCs w:val="0"/>
          <w:noProof/>
          <w:szCs w:val="24"/>
        </w:rPr>
      </w:pPr>
      <w:bookmarkStart w:id="74" w:name="_Toc514938688"/>
      <w:bookmarkStart w:id="75" w:name="_Toc58230752"/>
      <w:r w:rsidRPr="007B62AA">
        <w:t>Odhadovaný vplyv na ľudské zdroje [subjektu]</w:t>
      </w:r>
      <w:bookmarkEnd w:id="74"/>
      <w:bookmarkEnd w:id="75"/>
      <w:r w:rsidRPr="007B62AA">
        <w:t xml:space="preserve"> </w:t>
      </w:r>
    </w:p>
    <w:p w14:paraId="38960E2C" w14:textId="77777777" w:rsidR="00B50935" w:rsidRPr="007B62AA" w:rsidRDefault="00B50935" w:rsidP="00B50935">
      <w:pPr>
        <w:pStyle w:val="Heading4"/>
        <w:rPr>
          <w:bCs w:val="0"/>
          <w:noProof/>
          <w:szCs w:val="24"/>
        </w:rPr>
      </w:pPr>
      <w:r w:rsidRPr="007B62AA">
        <w:t xml:space="preserve">Zhrnutie </w:t>
      </w:r>
    </w:p>
    <w:p w14:paraId="6FAA91CA" w14:textId="77777777" w:rsidR="00B50935" w:rsidRPr="007B62AA" w:rsidRDefault="00B50935" w:rsidP="006F7C3E">
      <w:pPr>
        <w:pStyle w:val="ListDash1"/>
        <w:rPr>
          <w:noProof/>
        </w:rPr>
      </w:pPr>
      <w:r w:rsidRPr="007B62AA">
        <w:sym w:font="Wingdings" w:char="F0A8"/>
      </w:r>
      <w:r w:rsidRPr="007B62AA">
        <w:tab/>
        <w:t xml:space="preserve">Návrh/iniciatíva si nevyžaduje použitie administratívnych rozpočtových prostriedkov. </w:t>
      </w:r>
    </w:p>
    <w:p w14:paraId="7DA7E120" w14:textId="77777777" w:rsidR="00B50935" w:rsidRPr="007B62AA" w:rsidRDefault="00B50935" w:rsidP="006F7C3E">
      <w:pPr>
        <w:pStyle w:val="ListDash1"/>
        <w:rPr>
          <w:noProof/>
        </w:rPr>
      </w:pPr>
      <w:r w:rsidRPr="007B62AA">
        <w:sym w:font="Webdings" w:char="F061"/>
      </w:r>
      <w:r w:rsidRPr="007B62AA">
        <w:tab/>
        <w:t>Návrh/iniciatíva si vyžaduje použitie administratívnych rozpočtových prostriedkov, ako je uvedené v nasledujúcej tabuľke:</w:t>
      </w:r>
    </w:p>
    <w:p w14:paraId="2C747473" w14:textId="77777777" w:rsidR="00B50935" w:rsidRPr="007B62AA" w:rsidRDefault="00B50935" w:rsidP="00B50935">
      <w:pPr>
        <w:rPr>
          <w:noProof/>
          <w:sz w:val="20"/>
        </w:rPr>
      </w:pPr>
      <w:r w:rsidRPr="007B62AA">
        <w:rPr>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7B62AA" w14:paraId="7D7DE097" w14:textId="77777777" w:rsidTr="00427764">
        <w:trPr>
          <w:trHeight w:val="585"/>
        </w:trPr>
        <w:tc>
          <w:tcPr>
            <w:tcW w:w="1980" w:type="dxa"/>
          </w:tcPr>
          <w:p w14:paraId="0AA421F1" w14:textId="77777777" w:rsidR="00B50935" w:rsidRPr="007B62AA" w:rsidRDefault="00B50935" w:rsidP="00427764">
            <w:pPr>
              <w:spacing w:before="60" w:after="60"/>
              <w:rPr>
                <w:noProof/>
                <w:sz w:val="20"/>
              </w:rPr>
            </w:pPr>
          </w:p>
        </w:tc>
        <w:tc>
          <w:tcPr>
            <w:tcW w:w="1080" w:type="dxa"/>
            <w:vAlign w:val="center"/>
          </w:tcPr>
          <w:p w14:paraId="55B6DCF0" w14:textId="77777777" w:rsidR="00B50935" w:rsidRPr="007B62AA" w:rsidRDefault="00B50935" w:rsidP="00427764">
            <w:pPr>
              <w:spacing w:before="60" w:after="60"/>
              <w:jc w:val="center"/>
              <w:rPr>
                <w:noProof/>
                <w:sz w:val="20"/>
              </w:rPr>
            </w:pPr>
            <w:r w:rsidRPr="007B62AA">
              <w:rPr>
                <w:sz w:val="20"/>
              </w:rPr>
              <w:t>Rok</w:t>
            </w:r>
            <w:r w:rsidRPr="007B62AA">
              <w:t xml:space="preserve"> </w:t>
            </w:r>
            <w:r w:rsidRPr="007B62AA">
              <w:br/>
            </w:r>
            <w:r w:rsidRPr="007B62AA">
              <w:rPr>
                <w:b/>
                <w:sz w:val="20"/>
              </w:rPr>
              <w:t>2021</w:t>
            </w:r>
          </w:p>
        </w:tc>
        <w:tc>
          <w:tcPr>
            <w:tcW w:w="1080" w:type="dxa"/>
            <w:vAlign w:val="center"/>
          </w:tcPr>
          <w:p w14:paraId="6346BA7A" w14:textId="77777777" w:rsidR="00B50935" w:rsidRPr="007B62AA" w:rsidRDefault="00B50935" w:rsidP="00427764">
            <w:pPr>
              <w:spacing w:before="60" w:after="60"/>
              <w:jc w:val="center"/>
              <w:rPr>
                <w:noProof/>
                <w:sz w:val="20"/>
              </w:rPr>
            </w:pPr>
            <w:r w:rsidRPr="007B62AA">
              <w:rPr>
                <w:sz w:val="20"/>
              </w:rPr>
              <w:t>Rok</w:t>
            </w:r>
            <w:r w:rsidRPr="007B62AA">
              <w:t xml:space="preserve"> </w:t>
            </w:r>
            <w:r w:rsidRPr="007B62AA">
              <w:br/>
            </w:r>
            <w:r w:rsidRPr="007B62AA">
              <w:rPr>
                <w:b/>
                <w:sz w:val="20"/>
              </w:rPr>
              <w:t>2022</w:t>
            </w:r>
          </w:p>
        </w:tc>
        <w:tc>
          <w:tcPr>
            <w:tcW w:w="1080" w:type="dxa"/>
            <w:vAlign w:val="center"/>
          </w:tcPr>
          <w:p w14:paraId="2B6CCB9D" w14:textId="77777777" w:rsidR="00B50935" w:rsidRPr="007B62AA" w:rsidRDefault="00B50935" w:rsidP="00427764">
            <w:pPr>
              <w:spacing w:before="60" w:after="60"/>
              <w:jc w:val="center"/>
              <w:rPr>
                <w:noProof/>
                <w:sz w:val="20"/>
              </w:rPr>
            </w:pPr>
            <w:r w:rsidRPr="007B62AA">
              <w:rPr>
                <w:sz w:val="20"/>
              </w:rPr>
              <w:t>Rok</w:t>
            </w:r>
            <w:r w:rsidRPr="007B62AA">
              <w:t xml:space="preserve"> </w:t>
            </w:r>
            <w:r w:rsidRPr="007B62AA">
              <w:br/>
            </w:r>
            <w:r w:rsidRPr="007B62AA">
              <w:rPr>
                <w:b/>
                <w:sz w:val="20"/>
              </w:rPr>
              <w:t>2023</w:t>
            </w:r>
          </w:p>
        </w:tc>
        <w:tc>
          <w:tcPr>
            <w:tcW w:w="1080" w:type="dxa"/>
            <w:vAlign w:val="center"/>
          </w:tcPr>
          <w:p w14:paraId="07CC1217" w14:textId="77777777" w:rsidR="00B50935" w:rsidRPr="007B62AA" w:rsidRDefault="00B50935" w:rsidP="00427764">
            <w:pPr>
              <w:spacing w:before="60" w:after="60"/>
              <w:jc w:val="center"/>
              <w:rPr>
                <w:noProof/>
                <w:sz w:val="20"/>
              </w:rPr>
            </w:pPr>
            <w:r w:rsidRPr="007B62AA">
              <w:rPr>
                <w:sz w:val="20"/>
              </w:rPr>
              <w:t>Rok</w:t>
            </w:r>
            <w:r w:rsidRPr="007B62AA">
              <w:t xml:space="preserve"> </w:t>
            </w:r>
            <w:r w:rsidRPr="007B62AA">
              <w:br/>
            </w:r>
            <w:r w:rsidRPr="007B62AA">
              <w:rPr>
                <w:b/>
                <w:sz w:val="20"/>
              </w:rPr>
              <w:t>2024</w:t>
            </w:r>
          </w:p>
        </w:tc>
        <w:tc>
          <w:tcPr>
            <w:tcW w:w="1080" w:type="dxa"/>
            <w:vAlign w:val="center"/>
          </w:tcPr>
          <w:p w14:paraId="3ADEBDD8" w14:textId="77777777" w:rsidR="00B50935" w:rsidRPr="007B62AA" w:rsidRDefault="00B50935" w:rsidP="00427764">
            <w:pPr>
              <w:jc w:val="center"/>
              <w:rPr>
                <w:b/>
                <w:noProof/>
                <w:sz w:val="20"/>
              </w:rPr>
            </w:pPr>
            <w:r w:rsidRPr="007B62AA">
              <w:rPr>
                <w:sz w:val="20"/>
              </w:rPr>
              <w:t>Rok</w:t>
            </w:r>
            <w:r w:rsidRPr="007B62AA">
              <w:t xml:space="preserve"> </w:t>
            </w:r>
            <w:r w:rsidRPr="007B62AA">
              <w:br/>
            </w:r>
            <w:r w:rsidRPr="007B62AA">
              <w:rPr>
                <w:b/>
                <w:sz w:val="20"/>
              </w:rPr>
              <w:t>2025</w:t>
            </w:r>
          </w:p>
        </w:tc>
        <w:tc>
          <w:tcPr>
            <w:tcW w:w="1080" w:type="dxa"/>
            <w:vAlign w:val="center"/>
          </w:tcPr>
          <w:p w14:paraId="0E25D7DF" w14:textId="77777777" w:rsidR="00B50935" w:rsidRPr="007B62AA" w:rsidRDefault="00B50935" w:rsidP="00427764">
            <w:pPr>
              <w:jc w:val="center"/>
              <w:rPr>
                <w:b/>
                <w:noProof/>
                <w:sz w:val="20"/>
              </w:rPr>
            </w:pPr>
            <w:r w:rsidRPr="007B62AA">
              <w:rPr>
                <w:sz w:val="20"/>
              </w:rPr>
              <w:t>Rok</w:t>
            </w:r>
            <w:r w:rsidRPr="007B62AA">
              <w:t xml:space="preserve"> </w:t>
            </w:r>
            <w:r w:rsidRPr="007B62AA">
              <w:br/>
            </w:r>
            <w:r w:rsidRPr="007B62AA">
              <w:rPr>
                <w:b/>
                <w:sz w:val="20"/>
              </w:rPr>
              <w:t>2026</w:t>
            </w:r>
          </w:p>
        </w:tc>
        <w:tc>
          <w:tcPr>
            <w:tcW w:w="1080" w:type="dxa"/>
            <w:vAlign w:val="center"/>
          </w:tcPr>
          <w:p w14:paraId="5CD735AA" w14:textId="77777777" w:rsidR="00B50935" w:rsidRPr="007B62AA" w:rsidRDefault="00B50935" w:rsidP="00427764">
            <w:pPr>
              <w:jc w:val="center"/>
              <w:rPr>
                <w:b/>
                <w:noProof/>
                <w:sz w:val="20"/>
              </w:rPr>
            </w:pPr>
            <w:r w:rsidRPr="007B62AA">
              <w:rPr>
                <w:sz w:val="20"/>
              </w:rPr>
              <w:t>Rok</w:t>
            </w:r>
            <w:r w:rsidRPr="007B62AA">
              <w:t xml:space="preserve"> </w:t>
            </w:r>
            <w:r w:rsidRPr="007B62AA">
              <w:br/>
            </w:r>
            <w:r w:rsidRPr="007B62AA">
              <w:rPr>
                <w:b/>
                <w:sz w:val="20"/>
              </w:rPr>
              <w:t>2027</w:t>
            </w:r>
            <w:r w:rsidRPr="007B62AA">
              <w:rPr>
                <w:sz w:val="20"/>
              </w:rPr>
              <w:t xml:space="preserve"> a nasl.</w:t>
            </w:r>
          </w:p>
        </w:tc>
        <w:tc>
          <w:tcPr>
            <w:tcW w:w="1080" w:type="dxa"/>
            <w:vAlign w:val="center"/>
          </w:tcPr>
          <w:p w14:paraId="4732A8AD" w14:textId="77777777" w:rsidR="00B50935" w:rsidRPr="007B62AA" w:rsidRDefault="00B50935" w:rsidP="00427764">
            <w:pPr>
              <w:spacing w:before="60" w:after="60"/>
              <w:jc w:val="center"/>
              <w:rPr>
                <w:b/>
                <w:noProof/>
                <w:sz w:val="20"/>
              </w:rPr>
            </w:pPr>
            <w:r w:rsidRPr="007B62AA">
              <w:rPr>
                <w:b/>
                <w:sz w:val="20"/>
              </w:rPr>
              <w:t>SPOLU</w:t>
            </w:r>
          </w:p>
        </w:tc>
      </w:tr>
    </w:tbl>
    <w:p w14:paraId="611E08B3" w14:textId="77777777" w:rsidR="00B50935" w:rsidRPr="007B62AA" w:rsidRDefault="00B50935" w:rsidP="00B50935">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7B62AA" w14:paraId="59F8BFE7" w14:textId="77777777" w:rsidTr="00427764">
        <w:trPr>
          <w:trHeight w:val="585"/>
        </w:trPr>
        <w:tc>
          <w:tcPr>
            <w:tcW w:w="1980" w:type="dxa"/>
            <w:shd w:val="clear" w:color="auto" w:fill="D9D9D9" w:themeFill="background1" w:themeFillShade="D9"/>
            <w:vAlign w:val="center"/>
          </w:tcPr>
          <w:p w14:paraId="5840A101" w14:textId="77777777" w:rsidR="00B50935" w:rsidRPr="007B62AA" w:rsidRDefault="00B50935" w:rsidP="00427764">
            <w:pPr>
              <w:spacing w:before="60" w:after="60"/>
              <w:jc w:val="center"/>
              <w:rPr>
                <w:noProof/>
              </w:rPr>
            </w:pPr>
            <w:r w:rsidRPr="007B62AA">
              <w:rPr>
                <w:sz w:val="18"/>
              </w:rPr>
              <w:t>Dočasní zamestnanci (funkčná skupina AD)</w:t>
            </w:r>
          </w:p>
        </w:tc>
        <w:tc>
          <w:tcPr>
            <w:tcW w:w="1080" w:type="dxa"/>
            <w:vAlign w:val="bottom"/>
          </w:tcPr>
          <w:p w14:paraId="426D855F" w14:textId="77777777" w:rsidR="00B50935" w:rsidRPr="007B62AA" w:rsidRDefault="00B50935" w:rsidP="00427764">
            <w:pPr>
              <w:spacing w:before="60" w:after="60"/>
              <w:jc w:val="right"/>
              <w:rPr>
                <w:noProof/>
                <w:sz w:val="20"/>
              </w:rPr>
            </w:pPr>
            <w:r w:rsidRPr="007B62AA">
              <w:rPr>
                <w:color w:val="000000"/>
                <w:sz w:val="22"/>
              </w:rPr>
              <w:t>1,650</w:t>
            </w:r>
          </w:p>
        </w:tc>
        <w:tc>
          <w:tcPr>
            <w:tcW w:w="1080" w:type="dxa"/>
            <w:vAlign w:val="bottom"/>
          </w:tcPr>
          <w:p w14:paraId="7EA25776" w14:textId="77777777" w:rsidR="00B50935" w:rsidRPr="007B62AA" w:rsidRDefault="00B50935" w:rsidP="00427764">
            <w:pPr>
              <w:spacing w:before="60" w:after="60"/>
              <w:jc w:val="right"/>
              <w:rPr>
                <w:noProof/>
                <w:sz w:val="20"/>
              </w:rPr>
            </w:pPr>
            <w:r w:rsidRPr="007B62AA">
              <w:rPr>
                <w:color w:val="000000"/>
                <w:sz w:val="22"/>
              </w:rPr>
              <w:t>3,300</w:t>
            </w:r>
          </w:p>
        </w:tc>
        <w:tc>
          <w:tcPr>
            <w:tcW w:w="1080" w:type="dxa"/>
            <w:vAlign w:val="bottom"/>
          </w:tcPr>
          <w:p w14:paraId="350254C9" w14:textId="77777777" w:rsidR="00B50935" w:rsidRPr="007B62AA" w:rsidRDefault="00B50935" w:rsidP="00427764">
            <w:pPr>
              <w:spacing w:before="60" w:after="60"/>
              <w:jc w:val="right"/>
              <w:rPr>
                <w:noProof/>
                <w:sz w:val="20"/>
              </w:rPr>
            </w:pPr>
            <w:r w:rsidRPr="007B62AA">
              <w:rPr>
                <w:color w:val="000000"/>
                <w:sz w:val="22"/>
              </w:rPr>
              <w:t>4,350</w:t>
            </w:r>
          </w:p>
        </w:tc>
        <w:tc>
          <w:tcPr>
            <w:tcW w:w="1080" w:type="dxa"/>
            <w:vAlign w:val="bottom"/>
          </w:tcPr>
          <w:p w14:paraId="357B73DE" w14:textId="77777777" w:rsidR="00B50935" w:rsidRPr="007B62AA" w:rsidRDefault="00B50935" w:rsidP="00427764">
            <w:pPr>
              <w:spacing w:before="60" w:after="60"/>
              <w:jc w:val="right"/>
              <w:rPr>
                <w:noProof/>
                <w:sz w:val="20"/>
              </w:rPr>
            </w:pPr>
            <w:r w:rsidRPr="007B62AA">
              <w:rPr>
                <w:color w:val="000000"/>
                <w:sz w:val="22"/>
              </w:rPr>
              <w:t>4,800</w:t>
            </w:r>
          </w:p>
        </w:tc>
        <w:tc>
          <w:tcPr>
            <w:tcW w:w="1080" w:type="dxa"/>
            <w:vAlign w:val="bottom"/>
          </w:tcPr>
          <w:p w14:paraId="5C18E51D" w14:textId="77777777" w:rsidR="00B50935" w:rsidRPr="007B62AA" w:rsidRDefault="00B50935" w:rsidP="00427764">
            <w:pPr>
              <w:spacing w:before="60" w:after="60"/>
              <w:jc w:val="right"/>
              <w:rPr>
                <w:noProof/>
                <w:sz w:val="20"/>
              </w:rPr>
            </w:pPr>
            <w:r w:rsidRPr="007B62AA">
              <w:rPr>
                <w:color w:val="000000"/>
                <w:sz w:val="22"/>
              </w:rPr>
              <w:t>4,800</w:t>
            </w:r>
          </w:p>
        </w:tc>
        <w:tc>
          <w:tcPr>
            <w:tcW w:w="1080" w:type="dxa"/>
            <w:vAlign w:val="bottom"/>
          </w:tcPr>
          <w:p w14:paraId="421A5EBB" w14:textId="77777777" w:rsidR="00B50935" w:rsidRPr="007B62AA" w:rsidRDefault="00B50935" w:rsidP="00427764">
            <w:pPr>
              <w:spacing w:before="60" w:after="60"/>
              <w:jc w:val="right"/>
              <w:rPr>
                <w:noProof/>
                <w:sz w:val="20"/>
              </w:rPr>
            </w:pPr>
            <w:r w:rsidRPr="007B62AA">
              <w:rPr>
                <w:color w:val="000000"/>
                <w:sz w:val="22"/>
              </w:rPr>
              <w:t>4,800</w:t>
            </w:r>
          </w:p>
        </w:tc>
        <w:tc>
          <w:tcPr>
            <w:tcW w:w="1080" w:type="dxa"/>
            <w:vAlign w:val="bottom"/>
          </w:tcPr>
          <w:p w14:paraId="08B0F392" w14:textId="77777777" w:rsidR="00B50935" w:rsidRPr="007B62AA" w:rsidRDefault="00B50935" w:rsidP="00427764">
            <w:pPr>
              <w:spacing w:before="60" w:after="60"/>
              <w:jc w:val="right"/>
              <w:rPr>
                <w:b/>
                <w:noProof/>
                <w:sz w:val="20"/>
              </w:rPr>
            </w:pPr>
            <w:r w:rsidRPr="007B62AA">
              <w:rPr>
                <w:color w:val="000000"/>
                <w:sz w:val="22"/>
              </w:rPr>
              <w:t>4,800</w:t>
            </w:r>
          </w:p>
        </w:tc>
        <w:tc>
          <w:tcPr>
            <w:tcW w:w="1080" w:type="dxa"/>
            <w:vAlign w:val="bottom"/>
          </w:tcPr>
          <w:p w14:paraId="077CCE08" w14:textId="77777777" w:rsidR="00B50935" w:rsidRPr="007B62AA" w:rsidRDefault="00B50935" w:rsidP="00427764">
            <w:pPr>
              <w:spacing w:before="60" w:after="60"/>
              <w:jc w:val="right"/>
              <w:rPr>
                <w:b/>
                <w:noProof/>
                <w:sz w:val="20"/>
              </w:rPr>
            </w:pPr>
            <w:r w:rsidRPr="007B62AA">
              <w:rPr>
                <w:b/>
                <w:bCs/>
                <w:color w:val="000000"/>
                <w:sz w:val="22"/>
              </w:rPr>
              <w:t>28,500</w:t>
            </w:r>
          </w:p>
        </w:tc>
      </w:tr>
      <w:tr w:rsidR="00B50935" w:rsidRPr="007B62AA" w14:paraId="7916EC51" w14:textId="77777777" w:rsidTr="00427764">
        <w:trPr>
          <w:trHeight w:val="585"/>
        </w:trPr>
        <w:tc>
          <w:tcPr>
            <w:tcW w:w="1980" w:type="dxa"/>
            <w:shd w:val="clear" w:color="auto" w:fill="BFBFBF" w:themeFill="background1" w:themeFillShade="BF"/>
            <w:vAlign w:val="center"/>
          </w:tcPr>
          <w:p w14:paraId="36E6E732" w14:textId="77777777" w:rsidR="00B50935" w:rsidRPr="007B62AA" w:rsidRDefault="00B50935" w:rsidP="00427764">
            <w:pPr>
              <w:spacing w:before="60" w:after="60"/>
              <w:ind w:left="72"/>
              <w:rPr>
                <w:noProof/>
              </w:rPr>
            </w:pPr>
            <w:r w:rsidRPr="007B62AA">
              <w:rPr>
                <w:sz w:val="20"/>
              </w:rPr>
              <w:t>Dočasní zamestnanci (funkčná skupina AST)</w:t>
            </w:r>
          </w:p>
        </w:tc>
        <w:tc>
          <w:tcPr>
            <w:tcW w:w="1080" w:type="dxa"/>
            <w:vAlign w:val="bottom"/>
          </w:tcPr>
          <w:p w14:paraId="534040AE" w14:textId="77777777" w:rsidR="00B50935" w:rsidRPr="007B62AA" w:rsidRDefault="00B50935" w:rsidP="00427764">
            <w:pPr>
              <w:spacing w:before="60" w:after="60"/>
              <w:jc w:val="right"/>
              <w:rPr>
                <w:noProof/>
                <w:sz w:val="20"/>
              </w:rPr>
            </w:pPr>
            <w:r w:rsidRPr="007B62AA">
              <w:rPr>
                <w:color w:val="000000"/>
                <w:sz w:val="22"/>
              </w:rPr>
              <w:t>1,050</w:t>
            </w:r>
          </w:p>
        </w:tc>
        <w:tc>
          <w:tcPr>
            <w:tcW w:w="1080" w:type="dxa"/>
            <w:vAlign w:val="bottom"/>
          </w:tcPr>
          <w:p w14:paraId="62FE330B" w14:textId="77777777" w:rsidR="00B50935" w:rsidRPr="007B62AA" w:rsidRDefault="00B50935" w:rsidP="00427764">
            <w:pPr>
              <w:spacing w:before="60" w:after="60"/>
              <w:jc w:val="right"/>
              <w:rPr>
                <w:noProof/>
                <w:sz w:val="20"/>
              </w:rPr>
            </w:pPr>
            <w:r w:rsidRPr="007B62AA">
              <w:rPr>
                <w:color w:val="000000"/>
                <w:sz w:val="22"/>
              </w:rPr>
              <w:t>1,950</w:t>
            </w:r>
          </w:p>
        </w:tc>
        <w:tc>
          <w:tcPr>
            <w:tcW w:w="1080" w:type="dxa"/>
            <w:vAlign w:val="bottom"/>
          </w:tcPr>
          <w:p w14:paraId="4CF9130C" w14:textId="77777777" w:rsidR="00B50935" w:rsidRPr="007B62AA" w:rsidRDefault="00B50935" w:rsidP="00427764">
            <w:pPr>
              <w:spacing w:before="60" w:after="60"/>
              <w:jc w:val="right"/>
              <w:rPr>
                <w:noProof/>
                <w:sz w:val="20"/>
              </w:rPr>
            </w:pPr>
            <w:r w:rsidRPr="007B62AA">
              <w:rPr>
                <w:color w:val="000000"/>
                <w:sz w:val="22"/>
              </w:rPr>
              <w:t>1,950</w:t>
            </w:r>
          </w:p>
        </w:tc>
        <w:tc>
          <w:tcPr>
            <w:tcW w:w="1080" w:type="dxa"/>
            <w:vAlign w:val="bottom"/>
          </w:tcPr>
          <w:p w14:paraId="0A5C9C56" w14:textId="77777777" w:rsidR="00B50935" w:rsidRPr="007B62AA" w:rsidRDefault="00B50935" w:rsidP="00427764">
            <w:pPr>
              <w:spacing w:before="60" w:after="60"/>
              <w:jc w:val="right"/>
              <w:rPr>
                <w:noProof/>
                <w:sz w:val="20"/>
              </w:rPr>
            </w:pPr>
            <w:r w:rsidRPr="007B62AA">
              <w:rPr>
                <w:color w:val="000000"/>
                <w:sz w:val="22"/>
              </w:rPr>
              <w:t>1,950</w:t>
            </w:r>
          </w:p>
        </w:tc>
        <w:tc>
          <w:tcPr>
            <w:tcW w:w="1080" w:type="dxa"/>
            <w:vAlign w:val="bottom"/>
          </w:tcPr>
          <w:p w14:paraId="1DE65514" w14:textId="77777777" w:rsidR="00B50935" w:rsidRPr="007B62AA" w:rsidRDefault="00B50935" w:rsidP="00427764">
            <w:pPr>
              <w:spacing w:before="60" w:after="60"/>
              <w:jc w:val="right"/>
              <w:rPr>
                <w:noProof/>
                <w:sz w:val="20"/>
              </w:rPr>
            </w:pPr>
            <w:r w:rsidRPr="007B62AA">
              <w:rPr>
                <w:color w:val="000000"/>
                <w:sz w:val="22"/>
              </w:rPr>
              <w:t>1,950</w:t>
            </w:r>
          </w:p>
        </w:tc>
        <w:tc>
          <w:tcPr>
            <w:tcW w:w="1080" w:type="dxa"/>
            <w:vAlign w:val="bottom"/>
          </w:tcPr>
          <w:p w14:paraId="285A9ED5" w14:textId="77777777" w:rsidR="00B50935" w:rsidRPr="007B62AA" w:rsidRDefault="00B50935" w:rsidP="00427764">
            <w:pPr>
              <w:spacing w:before="60" w:after="60"/>
              <w:jc w:val="right"/>
              <w:rPr>
                <w:noProof/>
                <w:sz w:val="20"/>
              </w:rPr>
            </w:pPr>
            <w:r w:rsidRPr="007B62AA">
              <w:rPr>
                <w:color w:val="000000"/>
                <w:sz w:val="22"/>
              </w:rPr>
              <w:t>1,950</w:t>
            </w:r>
          </w:p>
        </w:tc>
        <w:tc>
          <w:tcPr>
            <w:tcW w:w="1080" w:type="dxa"/>
            <w:vAlign w:val="bottom"/>
          </w:tcPr>
          <w:p w14:paraId="378C1E8E" w14:textId="77777777" w:rsidR="00B50935" w:rsidRPr="007B62AA" w:rsidRDefault="00B50935" w:rsidP="00427764">
            <w:pPr>
              <w:spacing w:before="60" w:after="60"/>
              <w:jc w:val="right"/>
              <w:rPr>
                <w:b/>
                <w:noProof/>
                <w:sz w:val="20"/>
              </w:rPr>
            </w:pPr>
            <w:r w:rsidRPr="007B62AA">
              <w:rPr>
                <w:color w:val="000000"/>
                <w:sz w:val="22"/>
              </w:rPr>
              <w:t>1,950</w:t>
            </w:r>
          </w:p>
        </w:tc>
        <w:tc>
          <w:tcPr>
            <w:tcW w:w="1080" w:type="dxa"/>
            <w:vAlign w:val="bottom"/>
          </w:tcPr>
          <w:p w14:paraId="157D0AE0" w14:textId="77777777" w:rsidR="00B50935" w:rsidRPr="007B62AA" w:rsidRDefault="00B50935" w:rsidP="00427764">
            <w:pPr>
              <w:spacing w:before="60" w:after="60"/>
              <w:jc w:val="right"/>
              <w:rPr>
                <w:b/>
                <w:noProof/>
                <w:sz w:val="20"/>
              </w:rPr>
            </w:pPr>
            <w:r w:rsidRPr="007B62AA">
              <w:rPr>
                <w:b/>
                <w:bCs/>
                <w:color w:val="000000"/>
                <w:sz w:val="22"/>
              </w:rPr>
              <w:t>12,750</w:t>
            </w:r>
          </w:p>
        </w:tc>
      </w:tr>
      <w:tr w:rsidR="00B50935" w:rsidRPr="007B62AA" w14:paraId="3CA9DC6C" w14:textId="77777777" w:rsidTr="00427764">
        <w:trPr>
          <w:trHeight w:val="585"/>
        </w:trPr>
        <w:tc>
          <w:tcPr>
            <w:tcW w:w="1980" w:type="dxa"/>
            <w:shd w:val="clear" w:color="auto" w:fill="BFBFBF" w:themeFill="background1" w:themeFillShade="BF"/>
            <w:vAlign w:val="center"/>
          </w:tcPr>
          <w:p w14:paraId="7F74E16C" w14:textId="77777777" w:rsidR="00B50935" w:rsidRPr="007B62AA" w:rsidRDefault="00B50935" w:rsidP="00427764">
            <w:pPr>
              <w:spacing w:before="60" w:after="60"/>
              <w:ind w:left="72"/>
              <w:rPr>
                <w:noProof/>
              </w:rPr>
            </w:pPr>
            <w:r w:rsidRPr="007B62AA">
              <w:rPr>
                <w:sz w:val="20"/>
              </w:rPr>
              <w:t>Zmluvní zamestnanci</w:t>
            </w:r>
          </w:p>
        </w:tc>
        <w:tc>
          <w:tcPr>
            <w:tcW w:w="1080" w:type="dxa"/>
            <w:shd w:val="clear" w:color="auto" w:fill="BFBFBF" w:themeFill="background1" w:themeFillShade="BF"/>
            <w:vAlign w:val="bottom"/>
          </w:tcPr>
          <w:p w14:paraId="41F8F222" w14:textId="77777777" w:rsidR="00B50935" w:rsidRPr="007B62AA" w:rsidRDefault="00B50935" w:rsidP="00427764">
            <w:pPr>
              <w:spacing w:before="60" w:after="60"/>
              <w:jc w:val="right"/>
              <w:rPr>
                <w:color w:val="000000"/>
                <w:sz w:val="20"/>
                <w:szCs w:val="20"/>
              </w:rPr>
            </w:pPr>
            <w:r w:rsidRPr="007B62AA">
              <w:rPr>
                <w:color w:val="000000"/>
                <w:sz w:val="22"/>
              </w:rPr>
              <w:t>1,040</w:t>
            </w:r>
          </w:p>
        </w:tc>
        <w:tc>
          <w:tcPr>
            <w:tcW w:w="1080" w:type="dxa"/>
            <w:shd w:val="clear" w:color="auto" w:fill="BFBFBF" w:themeFill="background1" w:themeFillShade="BF"/>
            <w:vAlign w:val="bottom"/>
          </w:tcPr>
          <w:p w14:paraId="066DCC9C" w14:textId="77777777" w:rsidR="00B50935" w:rsidRPr="007B62AA" w:rsidRDefault="00B50935" w:rsidP="00427764">
            <w:pPr>
              <w:spacing w:before="60" w:after="60"/>
              <w:jc w:val="right"/>
              <w:rPr>
                <w:noProof/>
                <w:sz w:val="20"/>
              </w:rPr>
            </w:pPr>
            <w:r w:rsidRPr="007B62AA">
              <w:rPr>
                <w:color w:val="000000"/>
                <w:sz w:val="22"/>
              </w:rPr>
              <w:t>1,600</w:t>
            </w:r>
          </w:p>
        </w:tc>
        <w:tc>
          <w:tcPr>
            <w:tcW w:w="1080" w:type="dxa"/>
            <w:shd w:val="clear" w:color="auto" w:fill="BFBFBF" w:themeFill="background1" w:themeFillShade="BF"/>
            <w:vAlign w:val="bottom"/>
          </w:tcPr>
          <w:p w14:paraId="3D4F305F" w14:textId="77777777" w:rsidR="00B50935" w:rsidRPr="007B62AA" w:rsidRDefault="00B50935" w:rsidP="00427764">
            <w:pPr>
              <w:spacing w:before="60" w:after="60"/>
              <w:jc w:val="right"/>
              <w:rPr>
                <w:noProof/>
                <w:sz w:val="20"/>
              </w:rPr>
            </w:pPr>
            <w:r w:rsidRPr="007B62AA">
              <w:rPr>
                <w:color w:val="000000"/>
                <w:sz w:val="22"/>
              </w:rPr>
              <w:t>2,080</w:t>
            </w:r>
          </w:p>
        </w:tc>
        <w:tc>
          <w:tcPr>
            <w:tcW w:w="1080" w:type="dxa"/>
            <w:shd w:val="clear" w:color="auto" w:fill="BFBFBF" w:themeFill="background1" w:themeFillShade="BF"/>
            <w:vAlign w:val="bottom"/>
          </w:tcPr>
          <w:p w14:paraId="21FF9317" w14:textId="77777777" w:rsidR="00B50935" w:rsidRPr="007B62AA" w:rsidRDefault="00B50935" w:rsidP="00427764">
            <w:pPr>
              <w:spacing w:before="60" w:after="60"/>
              <w:jc w:val="right"/>
              <w:rPr>
                <w:noProof/>
                <w:sz w:val="20"/>
              </w:rPr>
            </w:pPr>
            <w:r w:rsidRPr="007B62AA">
              <w:rPr>
                <w:color w:val="000000"/>
                <w:sz w:val="22"/>
              </w:rPr>
              <w:t>2,240</w:t>
            </w:r>
          </w:p>
        </w:tc>
        <w:tc>
          <w:tcPr>
            <w:tcW w:w="1080" w:type="dxa"/>
            <w:shd w:val="clear" w:color="auto" w:fill="BFBFBF" w:themeFill="background1" w:themeFillShade="BF"/>
            <w:vAlign w:val="bottom"/>
          </w:tcPr>
          <w:p w14:paraId="64BAA661" w14:textId="77777777" w:rsidR="00B50935" w:rsidRPr="007B62AA" w:rsidRDefault="00B50935" w:rsidP="00427764">
            <w:pPr>
              <w:spacing w:before="60" w:after="60"/>
              <w:jc w:val="right"/>
              <w:rPr>
                <w:noProof/>
                <w:sz w:val="20"/>
              </w:rPr>
            </w:pPr>
            <w:r w:rsidRPr="007B62AA">
              <w:rPr>
                <w:color w:val="000000"/>
                <w:sz w:val="22"/>
              </w:rPr>
              <w:t>2,240</w:t>
            </w:r>
          </w:p>
        </w:tc>
        <w:tc>
          <w:tcPr>
            <w:tcW w:w="1080" w:type="dxa"/>
            <w:shd w:val="clear" w:color="auto" w:fill="BFBFBF" w:themeFill="background1" w:themeFillShade="BF"/>
            <w:vAlign w:val="bottom"/>
          </w:tcPr>
          <w:p w14:paraId="678DCCF3" w14:textId="77777777" w:rsidR="00B50935" w:rsidRPr="007B62AA" w:rsidRDefault="00B50935" w:rsidP="00427764">
            <w:pPr>
              <w:spacing w:before="60" w:after="60"/>
              <w:jc w:val="right"/>
              <w:rPr>
                <w:noProof/>
                <w:sz w:val="20"/>
              </w:rPr>
            </w:pPr>
            <w:r w:rsidRPr="007B62AA">
              <w:rPr>
                <w:color w:val="000000"/>
                <w:sz w:val="22"/>
              </w:rPr>
              <w:t>2,240</w:t>
            </w:r>
          </w:p>
        </w:tc>
        <w:tc>
          <w:tcPr>
            <w:tcW w:w="1080" w:type="dxa"/>
            <w:shd w:val="clear" w:color="auto" w:fill="BFBFBF" w:themeFill="background1" w:themeFillShade="BF"/>
            <w:vAlign w:val="bottom"/>
          </w:tcPr>
          <w:p w14:paraId="45FC6DD4" w14:textId="77777777" w:rsidR="00B50935" w:rsidRPr="007B62AA" w:rsidRDefault="00B50935" w:rsidP="00427764">
            <w:pPr>
              <w:spacing w:before="60" w:after="60"/>
              <w:jc w:val="right"/>
              <w:rPr>
                <w:b/>
                <w:noProof/>
                <w:sz w:val="20"/>
              </w:rPr>
            </w:pPr>
            <w:r w:rsidRPr="007B62AA">
              <w:rPr>
                <w:color w:val="000000"/>
                <w:sz w:val="22"/>
              </w:rPr>
              <w:t>2,240</w:t>
            </w:r>
          </w:p>
        </w:tc>
        <w:tc>
          <w:tcPr>
            <w:tcW w:w="1080" w:type="dxa"/>
            <w:shd w:val="clear" w:color="auto" w:fill="BFBFBF" w:themeFill="background1" w:themeFillShade="BF"/>
            <w:vAlign w:val="bottom"/>
          </w:tcPr>
          <w:p w14:paraId="000E38E8" w14:textId="77777777" w:rsidR="00B50935" w:rsidRPr="007B62AA" w:rsidRDefault="00B50935" w:rsidP="00427764">
            <w:pPr>
              <w:spacing w:before="60" w:after="60"/>
              <w:jc w:val="right"/>
              <w:rPr>
                <w:b/>
                <w:noProof/>
                <w:sz w:val="20"/>
              </w:rPr>
            </w:pPr>
            <w:r w:rsidRPr="007B62AA">
              <w:rPr>
                <w:b/>
                <w:bCs/>
                <w:color w:val="000000"/>
                <w:sz w:val="22"/>
              </w:rPr>
              <w:t>13,680</w:t>
            </w:r>
          </w:p>
        </w:tc>
      </w:tr>
      <w:tr w:rsidR="00B50935" w:rsidRPr="007B62AA" w14:paraId="25B488CE" w14:textId="77777777" w:rsidTr="00427764">
        <w:trPr>
          <w:trHeight w:val="585"/>
        </w:trPr>
        <w:tc>
          <w:tcPr>
            <w:tcW w:w="1980" w:type="dxa"/>
            <w:shd w:val="clear" w:color="auto" w:fill="CCCCCC"/>
            <w:vAlign w:val="center"/>
          </w:tcPr>
          <w:p w14:paraId="5B79E14B" w14:textId="77777777" w:rsidR="00B50935" w:rsidRPr="007B62AA" w:rsidRDefault="00B50935" w:rsidP="00427764">
            <w:pPr>
              <w:spacing w:before="60" w:after="60"/>
              <w:jc w:val="center"/>
              <w:rPr>
                <w:noProof/>
              </w:rPr>
            </w:pPr>
            <w:r w:rsidRPr="007B62AA">
              <w:rPr>
                <w:sz w:val="18"/>
              </w:rPr>
              <w:t>Vyslaní národní experti</w:t>
            </w:r>
          </w:p>
        </w:tc>
        <w:tc>
          <w:tcPr>
            <w:tcW w:w="1080" w:type="dxa"/>
            <w:vAlign w:val="center"/>
          </w:tcPr>
          <w:p w14:paraId="6DC4DB5A" w14:textId="77777777" w:rsidR="00B50935" w:rsidRPr="007B62AA" w:rsidRDefault="00B50935" w:rsidP="00427764">
            <w:pPr>
              <w:spacing w:before="60" w:after="60"/>
              <w:jc w:val="right"/>
              <w:rPr>
                <w:noProof/>
                <w:sz w:val="20"/>
              </w:rPr>
            </w:pPr>
            <w:r w:rsidRPr="007B62AA">
              <w:rPr>
                <w:color w:val="000000"/>
                <w:sz w:val="20"/>
              </w:rPr>
              <w:t>0</w:t>
            </w:r>
          </w:p>
        </w:tc>
        <w:tc>
          <w:tcPr>
            <w:tcW w:w="1080" w:type="dxa"/>
            <w:vAlign w:val="center"/>
          </w:tcPr>
          <w:p w14:paraId="341FF51F" w14:textId="77777777" w:rsidR="00B50935" w:rsidRPr="007B62AA" w:rsidRDefault="00B50935" w:rsidP="00427764">
            <w:pPr>
              <w:spacing w:before="60" w:after="60"/>
              <w:jc w:val="right"/>
              <w:rPr>
                <w:noProof/>
                <w:sz w:val="20"/>
              </w:rPr>
            </w:pPr>
            <w:r w:rsidRPr="007B62AA">
              <w:rPr>
                <w:color w:val="000000"/>
                <w:sz w:val="20"/>
              </w:rPr>
              <w:t>0</w:t>
            </w:r>
          </w:p>
        </w:tc>
        <w:tc>
          <w:tcPr>
            <w:tcW w:w="1080" w:type="dxa"/>
            <w:vAlign w:val="center"/>
          </w:tcPr>
          <w:p w14:paraId="490B6F9E" w14:textId="77777777" w:rsidR="00B50935" w:rsidRPr="007B62AA" w:rsidRDefault="00B50935" w:rsidP="00427764">
            <w:pPr>
              <w:spacing w:before="60" w:after="60"/>
              <w:jc w:val="right"/>
              <w:rPr>
                <w:noProof/>
                <w:sz w:val="20"/>
              </w:rPr>
            </w:pPr>
            <w:r w:rsidRPr="007B62AA">
              <w:rPr>
                <w:color w:val="000000"/>
                <w:sz w:val="20"/>
              </w:rPr>
              <w:t>0</w:t>
            </w:r>
          </w:p>
        </w:tc>
        <w:tc>
          <w:tcPr>
            <w:tcW w:w="1080" w:type="dxa"/>
            <w:vAlign w:val="center"/>
          </w:tcPr>
          <w:p w14:paraId="56C5D391" w14:textId="77777777" w:rsidR="00B50935" w:rsidRPr="007B62AA" w:rsidRDefault="00B50935" w:rsidP="00427764">
            <w:pPr>
              <w:spacing w:before="60" w:after="60"/>
              <w:jc w:val="right"/>
              <w:rPr>
                <w:noProof/>
                <w:sz w:val="20"/>
              </w:rPr>
            </w:pPr>
            <w:r w:rsidRPr="007B62AA">
              <w:rPr>
                <w:color w:val="000000"/>
                <w:sz w:val="20"/>
              </w:rPr>
              <w:t>0</w:t>
            </w:r>
          </w:p>
        </w:tc>
        <w:tc>
          <w:tcPr>
            <w:tcW w:w="1080" w:type="dxa"/>
            <w:vAlign w:val="center"/>
          </w:tcPr>
          <w:p w14:paraId="7E525357" w14:textId="77777777" w:rsidR="00B50935" w:rsidRPr="007B62AA" w:rsidRDefault="00B50935" w:rsidP="00427764">
            <w:pPr>
              <w:spacing w:before="60" w:after="60"/>
              <w:jc w:val="right"/>
              <w:rPr>
                <w:noProof/>
                <w:sz w:val="20"/>
              </w:rPr>
            </w:pPr>
            <w:r w:rsidRPr="007B62AA">
              <w:rPr>
                <w:color w:val="000000"/>
                <w:sz w:val="20"/>
              </w:rPr>
              <w:t>0</w:t>
            </w:r>
          </w:p>
        </w:tc>
        <w:tc>
          <w:tcPr>
            <w:tcW w:w="1080" w:type="dxa"/>
            <w:vAlign w:val="center"/>
          </w:tcPr>
          <w:p w14:paraId="37541F80" w14:textId="77777777" w:rsidR="00B50935" w:rsidRPr="007B62AA" w:rsidRDefault="00B50935" w:rsidP="00427764">
            <w:pPr>
              <w:spacing w:before="60" w:after="60"/>
              <w:jc w:val="right"/>
              <w:rPr>
                <w:noProof/>
                <w:sz w:val="20"/>
              </w:rPr>
            </w:pPr>
            <w:r w:rsidRPr="007B62AA">
              <w:rPr>
                <w:color w:val="000000"/>
                <w:sz w:val="20"/>
              </w:rPr>
              <w:t>0</w:t>
            </w:r>
          </w:p>
        </w:tc>
        <w:tc>
          <w:tcPr>
            <w:tcW w:w="1080" w:type="dxa"/>
            <w:vAlign w:val="center"/>
          </w:tcPr>
          <w:p w14:paraId="314944BF" w14:textId="77777777" w:rsidR="00B50935" w:rsidRPr="007B62AA" w:rsidRDefault="00B50935" w:rsidP="00427764">
            <w:pPr>
              <w:spacing w:before="60" w:after="60"/>
              <w:jc w:val="right"/>
              <w:rPr>
                <w:b/>
                <w:noProof/>
                <w:sz w:val="20"/>
              </w:rPr>
            </w:pPr>
            <w:r w:rsidRPr="007B62AA">
              <w:rPr>
                <w:b/>
                <w:sz w:val="20"/>
              </w:rPr>
              <w:t>0</w:t>
            </w:r>
          </w:p>
        </w:tc>
        <w:tc>
          <w:tcPr>
            <w:tcW w:w="1080" w:type="dxa"/>
            <w:vAlign w:val="center"/>
          </w:tcPr>
          <w:p w14:paraId="62DF25A8" w14:textId="77777777" w:rsidR="00B50935" w:rsidRPr="007B62AA" w:rsidRDefault="00B50935" w:rsidP="00427764">
            <w:pPr>
              <w:spacing w:before="60" w:after="60"/>
              <w:jc w:val="right"/>
              <w:rPr>
                <w:b/>
                <w:noProof/>
                <w:sz w:val="20"/>
              </w:rPr>
            </w:pPr>
            <w:r w:rsidRPr="007B62AA">
              <w:rPr>
                <w:color w:val="000000"/>
                <w:sz w:val="20"/>
                <w:szCs w:val="20"/>
              </w:rPr>
              <w:t>0</w:t>
            </w:r>
          </w:p>
        </w:tc>
      </w:tr>
    </w:tbl>
    <w:p w14:paraId="19F11A75" w14:textId="77777777" w:rsidR="00B50935" w:rsidRPr="007B62AA" w:rsidRDefault="00B50935" w:rsidP="00B50935">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7B62AA" w14:paraId="3EA00D49" w14:textId="77777777" w:rsidTr="0042776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5190C941" w14:textId="77777777" w:rsidR="00B50935" w:rsidRPr="007B62AA" w:rsidRDefault="00B50935" w:rsidP="00427764">
            <w:pPr>
              <w:spacing w:before="60" w:after="60"/>
              <w:jc w:val="center"/>
              <w:rPr>
                <w:noProof/>
                <w:sz w:val="20"/>
              </w:rPr>
            </w:pPr>
            <w:r w:rsidRPr="007B62AA">
              <w:rPr>
                <w:b/>
                <w:sz w:val="20"/>
              </w:rPr>
              <w:t>SPOLU</w:t>
            </w:r>
          </w:p>
        </w:tc>
        <w:tc>
          <w:tcPr>
            <w:tcW w:w="1080" w:type="dxa"/>
            <w:tcBorders>
              <w:top w:val="single" w:sz="12" w:space="0" w:color="auto"/>
              <w:left w:val="single" w:sz="2" w:space="0" w:color="auto"/>
              <w:bottom w:val="single" w:sz="12" w:space="0" w:color="auto"/>
              <w:right w:val="single" w:sz="2" w:space="0" w:color="auto"/>
            </w:tcBorders>
            <w:vAlign w:val="center"/>
          </w:tcPr>
          <w:p w14:paraId="3A8598C8" w14:textId="77777777" w:rsidR="00B50935" w:rsidRPr="007B62AA" w:rsidRDefault="00B50935" w:rsidP="00427764">
            <w:pPr>
              <w:spacing w:before="60" w:after="60"/>
              <w:jc w:val="right"/>
              <w:rPr>
                <w:b/>
                <w:noProof/>
                <w:sz w:val="20"/>
              </w:rPr>
            </w:pPr>
            <w:r w:rsidRPr="007B62AA">
              <w:rPr>
                <w:b/>
                <w:bCs/>
                <w:color w:val="000000"/>
                <w:sz w:val="20"/>
              </w:rPr>
              <w:t>3,740</w:t>
            </w:r>
          </w:p>
        </w:tc>
        <w:tc>
          <w:tcPr>
            <w:tcW w:w="1080" w:type="dxa"/>
            <w:tcBorders>
              <w:top w:val="single" w:sz="12" w:space="0" w:color="auto"/>
              <w:left w:val="single" w:sz="2" w:space="0" w:color="auto"/>
              <w:bottom w:val="single" w:sz="12" w:space="0" w:color="auto"/>
              <w:right w:val="single" w:sz="2" w:space="0" w:color="auto"/>
            </w:tcBorders>
            <w:vAlign w:val="center"/>
          </w:tcPr>
          <w:p w14:paraId="32430627" w14:textId="77777777" w:rsidR="00B50935" w:rsidRPr="007B62AA" w:rsidRDefault="00B50935" w:rsidP="00427764">
            <w:pPr>
              <w:spacing w:before="60" w:after="60"/>
              <w:jc w:val="right"/>
              <w:rPr>
                <w:b/>
                <w:noProof/>
                <w:sz w:val="20"/>
              </w:rPr>
            </w:pPr>
            <w:r w:rsidRPr="007B62AA">
              <w:rPr>
                <w:b/>
                <w:bCs/>
                <w:color w:val="000000"/>
                <w:sz w:val="20"/>
              </w:rPr>
              <w:t>6,850</w:t>
            </w:r>
          </w:p>
        </w:tc>
        <w:tc>
          <w:tcPr>
            <w:tcW w:w="1080" w:type="dxa"/>
            <w:tcBorders>
              <w:top w:val="single" w:sz="12" w:space="0" w:color="auto"/>
              <w:left w:val="single" w:sz="2" w:space="0" w:color="auto"/>
              <w:bottom w:val="single" w:sz="12" w:space="0" w:color="auto"/>
              <w:right w:val="single" w:sz="2" w:space="0" w:color="auto"/>
            </w:tcBorders>
            <w:vAlign w:val="center"/>
          </w:tcPr>
          <w:p w14:paraId="504FC34F" w14:textId="77777777" w:rsidR="00B50935" w:rsidRPr="007B62AA" w:rsidRDefault="00B50935" w:rsidP="00427764">
            <w:pPr>
              <w:spacing w:before="60" w:after="60"/>
              <w:jc w:val="right"/>
              <w:rPr>
                <w:b/>
                <w:noProof/>
                <w:sz w:val="20"/>
              </w:rPr>
            </w:pPr>
            <w:r w:rsidRPr="007B62AA">
              <w:rPr>
                <w:b/>
                <w:bCs/>
                <w:color w:val="000000"/>
                <w:sz w:val="20"/>
              </w:rPr>
              <w:t>8,380</w:t>
            </w:r>
          </w:p>
        </w:tc>
        <w:tc>
          <w:tcPr>
            <w:tcW w:w="1080" w:type="dxa"/>
            <w:tcBorders>
              <w:top w:val="single" w:sz="12" w:space="0" w:color="auto"/>
              <w:left w:val="single" w:sz="2" w:space="0" w:color="auto"/>
              <w:bottom w:val="single" w:sz="12" w:space="0" w:color="auto"/>
              <w:right w:val="single" w:sz="2" w:space="0" w:color="auto"/>
            </w:tcBorders>
            <w:vAlign w:val="center"/>
          </w:tcPr>
          <w:p w14:paraId="1F048FEF" w14:textId="77777777" w:rsidR="00B50935" w:rsidRPr="007B62AA" w:rsidRDefault="00B50935" w:rsidP="00427764">
            <w:pPr>
              <w:spacing w:before="60" w:after="60"/>
              <w:jc w:val="right"/>
              <w:rPr>
                <w:b/>
                <w:noProof/>
                <w:sz w:val="20"/>
              </w:rPr>
            </w:pPr>
            <w:r w:rsidRPr="007B62AA">
              <w:rPr>
                <w:b/>
                <w:bCs/>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14:paraId="0D127C53" w14:textId="77777777" w:rsidR="00B50935" w:rsidRPr="007B62AA" w:rsidRDefault="00B50935" w:rsidP="00427764">
            <w:pPr>
              <w:spacing w:before="60" w:after="60"/>
              <w:jc w:val="right"/>
              <w:rPr>
                <w:b/>
                <w:noProof/>
                <w:sz w:val="20"/>
              </w:rPr>
            </w:pPr>
            <w:r w:rsidRPr="007B62AA">
              <w:rPr>
                <w:b/>
                <w:bCs/>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14:paraId="19382DFB" w14:textId="77777777" w:rsidR="00B50935" w:rsidRPr="007B62AA" w:rsidRDefault="00B50935" w:rsidP="00427764">
            <w:pPr>
              <w:spacing w:before="60" w:after="60"/>
              <w:jc w:val="right"/>
              <w:rPr>
                <w:b/>
                <w:noProof/>
                <w:sz w:val="20"/>
              </w:rPr>
            </w:pPr>
            <w:r w:rsidRPr="007B62AA">
              <w:rPr>
                <w:b/>
                <w:bCs/>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14:paraId="1B48C802" w14:textId="77777777" w:rsidR="00B50935" w:rsidRPr="007B62AA" w:rsidRDefault="00B50935" w:rsidP="00427764">
            <w:pPr>
              <w:spacing w:before="60" w:after="60"/>
              <w:jc w:val="right"/>
              <w:rPr>
                <w:b/>
                <w:noProof/>
                <w:sz w:val="20"/>
              </w:rPr>
            </w:pPr>
            <w:r w:rsidRPr="007B62AA">
              <w:rPr>
                <w:b/>
                <w:sz w:val="20"/>
              </w:rPr>
              <w:t>8,990</w:t>
            </w:r>
          </w:p>
        </w:tc>
        <w:tc>
          <w:tcPr>
            <w:tcW w:w="1080" w:type="dxa"/>
            <w:tcBorders>
              <w:top w:val="single" w:sz="12" w:space="0" w:color="auto"/>
              <w:left w:val="single" w:sz="2" w:space="0" w:color="auto"/>
              <w:bottom w:val="single" w:sz="12" w:space="0" w:color="auto"/>
              <w:right w:val="single" w:sz="12" w:space="0" w:color="auto"/>
            </w:tcBorders>
            <w:vAlign w:val="center"/>
          </w:tcPr>
          <w:p w14:paraId="522DB5B0" w14:textId="77777777" w:rsidR="00B50935" w:rsidRPr="007B62AA" w:rsidRDefault="00B50935" w:rsidP="00427764">
            <w:pPr>
              <w:spacing w:before="0" w:after="0"/>
              <w:jc w:val="right"/>
              <w:rPr>
                <w:b/>
                <w:bCs/>
                <w:color w:val="000000"/>
                <w:sz w:val="20"/>
              </w:rPr>
            </w:pPr>
            <w:r w:rsidRPr="007B62AA">
              <w:rPr>
                <w:b/>
                <w:bCs/>
                <w:color w:val="000000"/>
                <w:sz w:val="20"/>
              </w:rPr>
              <w:t>54,930</w:t>
            </w:r>
          </w:p>
        </w:tc>
      </w:tr>
    </w:tbl>
    <w:p w14:paraId="1D2A7606" w14:textId="77777777" w:rsidR="00B50935" w:rsidRPr="007B62AA" w:rsidRDefault="00B50935" w:rsidP="00B50935">
      <w:pPr>
        <w:rPr>
          <w:noProof/>
          <w:u w:val="single"/>
        </w:rPr>
      </w:pPr>
    </w:p>
    <w:p w14:paraId="00FE891E" w14:textId="77777777" w:rsidR="00B50935" w:rsidRPr="007B62AA" w:rsidRDefault="00B50935" w:rsidP="00B50935">
      <w:pPr>
        <w:rPr>
          <w:noProof/>
          <w:sz w:val="20"/>
        </w:rPr>
      </w:pPr>
      <w:r w:rsidRPr="007B62AA">
        <w:rPr>
          <w:sz w:val="20"/>
        </w:rPr>
        <w:t>Požiadavky na pracovníkov (ekvivalent plného pracovného času):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7B62AA" w14:paraId="01C3425B" w14:textId="77777777" w:rsidTr="00427764">
        <w:trPr>
          <w:trHeight w:val="585"/>
        </w:trPr>
        <w:tc>
          <w:tcPr>
            <w:tcW w:w="1980" w:type="dxa"/>
          </w:tcPr>
          <w:p w14:paraId="3FDEFB92" w14:textId="77777777" w:rsidR="00B50935" w:rsidRPr="007B62AA" w:rsidRDefault="00B50935" w:rsidP="00427764">
            <w:pPr>
              <w:spacing w:before="60" w:after="60"/>
              <w:rPr>
                <w:noProof/>
                <w:sz w:val="20"/>
              </w:rPr>
            </w:pPr>
          </w:p>
        </w:tc>
        <w:tc>
          <w:tcPr>
            <w:tcW w:w="1080" w:type="dxa"/>
            <w:vAlign w:val="center"/>
          </w:tcPr>
          <w:p w14:paraId="6865E84E" w14:textId="77777777" w:rsidR="00B50935" w:rsidRPr="007B62AA" w:rsidRDefault="00B50935" w:rsidP="00427764">
            <w:pPr>
              <w:spacing w:before="60" w:after="60"/>
              <w:jc w:val="center"/>
              <w:rPr>
                <w:noProof/>
                <w:sz w:val="20"/>
              </w:rPr>
            </w:pPr>
            <w:r w:rsidRPr="007B62AA">
              <w:rPr>
                <w:sz w:val="20"/>
              </w:rPr>
              <w:t>Rok</w:t>
            </w:r>
            <w:r w:rsidRPr="007B62AA">
              <w:t xml:space="preserve"> </w:t>
            </w:r>
            <w:r w:rsidRPr="007B62AA">
              <w:br/>
            </w:r>
            <w:r w:rsidRPr="007B62AA">
              <w:rPr>
                <w:b/>
                <w:sz w:val="20"/>
              </w:rPr>
              <w:t>2021</w:t>
            </w:r>
          </w:p>
        </w:tc>
        <w:tc>
          <w:tcPr>
            <w:tcW w:w="1080" w:type="dxa"/>
            <w:vAlign w:val="center"/>
          </w:tcPr>
          <w:p w14:paraId="288DDC97" w14:textId="77777777" w:rsidR="00B50935" w:rsidRPr="007B62AA" w:rsidRDefault="00B50935" w:rsidP="00427764">
            <w:pPr>
              <w:spacing w:before="60" w:after="60"/>
              <w:jc w:val="center"/>
              <w:rPr>
                <w:noProof/>
                <w:sz w:val="20"/>
              </w:rPr>
            </w:pPr>
            <w:r w:rsidRPr="007B62AA">
              <w:rPr>
                <w:sz w:val="20"/>
              </w:rPr>
              <w:t>Rok</w:t>
            </w:r>
            <w:r w:rsidRPr="007B62AA">
              <w:t xml:space="preserve"> </w:t>
            </w:r>
            <w:r w:rsidRPr="007B62AA">
              <w:br/>
            </w:r>
            <w:r w:rsidRPr="007B62AA">
              <w:rPr>
                <w:b/>
                <w:sz w:val="20"/>
              </w:rPr>
              <w:t>2022</w:t>
            </w:r>
          </w:p>
        </w:tc>
        <w:tc>
          <w:tcPr>
            <w:tcW w:w="1080" w:type="dxa"/>
            <w:vAlign w:val="center"/>
          </w:tcPr>
          <w:p w14:paraId="6554680B" w14:textId="77777777" w:rsidR="00B50935" w:rsidRPr="007B62AA" w:rsidRDefault="00B50935" w:rsidP="00427764">
            <w:pPr>
              <w:spacing w:before="60" w:after="60"/>
              <w:jc w:val="center"/>
              <w:rPr>
                <w:noProof/>
                <w:sz w:val="20"/>
              </w:rPr>
            </w:pPr>
            <w:r w:rsidRPr="007B62AA">
              <w:rPr>
                <w:sz w:val="20"/>
              </w:rPr>
              <w:t>Rok</w:t>
            </w:r>
            <w:r w:rsidRPr="007B62AA">
              <w:t xml:space="preserve"> </w:t>
            </w:r>
            <w:r w:rsidRPr="007B62AA">
              <w:br/>
            </w:r>
            <w:r w:rsidRPr="007B62AA">
              <w:rPr>
                <w:b/>
                <w:sz w:val="20"/>
              </w:rPr>
              <w:t>2023</w:t>
            </w:r>
          </w:p>
        </w:tc>
        <w:tc>
          <w:tcPr>
            <w:tcW w:w="1080" w:type="dxa"/>
            <w:vAlign w:val="center"/>
          </w:tcPr>
          <w:p w14:paraId="72284A01" w14:textId="77777777" w:rsidR="00B50935" w:rsidRPr="007B62AA" w:rsidRDefault="00B50935" w:rsidP="00427764">
            <w:pPr>
              <w:spacing w:before="60" w:after="60"/>
              <w:jc w:val="center"/>
              <w:rPr>
                <w:noProof/>
                <w:sz w:val="20"/>
              </w:rPr>
            </w:pPr>
            <w:r w:rsidRPr="007B62AA">
              <w:rPr>
                <w:sz w:val="20"/>
              </w:rPr>
              <w:t>Rok</w:t>
            </w:r>
            <w:r w:rsidRPr="007B62AA">
              <w:t xml:space="preserve"> </w:t>
            </w:r>
            <w:r w:rsidRPr="007B62AA">
              <w:br/>
            </w:r>
            <w:r w:rsidRPr="007B62AA">
              <w:rPr>
                <w:b/>
                <w:sz w:val="20"/>
              </w:rPr>
              <w:t>2024</w:t>
            </w:r>
          </w:p>
        </w:tc>
        <w:tc>
          <w:tcPr>
            <w:tcW w:w="1080" w:type="dxa"/>
            <w:vAlign w:val="center"/>
          </w:tcPr>
          <w:p w14:paraId="0EAC0AAB" w14:textId="77777777" w:rsidR="00B50935" w:rsidRPr="007B62AA" w:rsidRDefault="00B50935" w:rsidP="00427764">
            <w:pPr>
              <w:jc w:val="center"/>
              <w:rPr>
                <w:b/>
                <w:noProof/>
                <w:sz w:val="20"/>
              </w:rPr>
            </w:pPr>
            <w:r w:rsidRPr="007B62AA">
              <w:rPr>
                <w:sz w:val="20"/>
              </w:rPr>
              <w:t>Rok</w:t>
            </w:r>
            <w:r w:rsidRPr="007B62AA">
              <w:t xml:space="preserve"> </w:t>
            </w:r>
            <w:r w:rsidRPr="007B62AA">
              <w:br/>
            </w:r>
            <w:r w:rsidRPr="007B62AA">
              <w:rPr>
                <w:b/>
                <w:sz w:val="20"/>
              </w:rPr>
              <w:t>2025</w:t>
            </w:r>
          </w:p>
        </w:tc>
        <w:tc>
          <w:tcPr>
            <w:tcW w:w="1080" w:type="dxa"/>
            <w:vAlign w:val="center"/>
          </w:tcPr>
          <w:p w14:paraId="7921F0CC" w14:textId="77777777" w:rsidR="00B50935" w:rsidRPr="007B62AA" w:rsidRDefault="00B50935" w:rsidP="00427764">
            <w:pPr>
              <w:jc w:val="center"/>
              <w:rPr>
                <w:b/>
                <w:noProof/>
                <w:sz w:val="20"/>
              </w:rPr>
            </w:pPr>
            <w:r w:rsidRPr="007B62AA">
              <w:rPr>
                <w:sz w:val="20"/>
              </w:rPr>
              <w:t>Rok</w:t>
            </w:r>
            <w:r w:rsidRPr="007B62AA">
              <w:t xml:space="preserve"> </w:t>
            </w:r>
            <w:r w:rsidRPr="007B62AA">
              <w:br/>
            </w:r>
            <w:r w:rsidRPr="007B62AA">
              <w:rPr>
                <w:b/>
                <w:sz w:val="20"/>
              </w:rPr>
              <w:t>2026</w:t>
            </w:r>
          </w:p>
        </w:tc>
        <w:tc>
          <w:tcPr>
            <w:tcW w:w="1080" w:type="dxa"/>
            <w:vAlign w:val="center"/>
          </w:tcPr>
          <w:p w14:paraId="261FC888" w14:textId="77777777" w:rsidR="00B50935" w:rsidRPr="007B62AA" w:rsidRDefault="00B50935" w:rsidP="00427764">
            <w:pPr>
              <w:jc w:val="center"/>
              <w:rPr>
                <w:b/>
                <w:noProof/>
                <w:sz w:val="20"/>
              </w:rPr>
            </w:pPr>
            <w:r w:rsidRPr="007B62AA">
              <w:rPr>
                <w:sz w:val="20"/>
              </w:rPr>
              <w:t>Rok</w:t>
            </w:r>
            <w:r w:rsidRPr="007B62AA">
              <w:t xml:space="preserve"> </w:t>
            </w:r>
            <w:r w:rsidRPr="007B62AA">
              <w:br/>
            </w:r>
            <w:r w:rsidRPr="007B62AA">
              <w:rPr>
                <w:b/>
                <w:sz w:val="20"/>
              </w:rPr>
              <w:t>2027</w:t>
            </w:r>
            <w:r w:rsidRPr="007B62AA">
              <w:rPr>
                <w:sz w:val="20"/>
              </w:rPr>
              <w:t xml:space="preserve"> a nasl.</w:t>
            </w:r>
          </w:p>
        </w:tc>
        <w:tc>
          <w:tcPr>
            <w:tcW w:w="1080" w:type="dxa"/>
            <w:vAlign w:val="center"/>
          </w:tcPr>
          <w:p w14:paraId="2C5CDE27" w14:textId="77777777" w:rsidR="00B50935" w:rsidRPr="007B62AA" w:rsidRDefault="00B50935" w:rsidP="00427764">
            <w:pPr>
              <w:spacing w:before="60" w:after="60"/>
              <w:jc w:val="center"/>
              <w:rPr>
                <w:b/>
                <w:noProof/>
                <w:sz w:val="20"/>
              </w:rPr>
            </w:pPr>
            <w:r w:rsidRPr="007B62AA">
              <w:rPr>
                <w:b/>
                <w:sz w:val="20"/>
              </w:rPr>
              <w:t>SPOLU</w:t>
            </w:r>
          </w:p>
        </w:tc>
      </w:tr>
    </w:tbl>
    <w:p w14:paraId="3AD55BC6" w14:textId="77777777" w:rsidR="00B50935" w:rsidRPr="007B62AA" w:rsidRDefault="00B50935" w:rsidP="00B50935">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7B62AA" w14:paraId="696918E1" w14:textId="77777777" w:rsidTr="00427764">
        <w:trPr>
          <w:trHeight w:val="585"/>
        </w:trPr>
        <w:tc>
          <w:tcPr>
            <w:tcW w:w="1980" w:type="dxa"/>
            <w:shd w:val="clear" w:color="auto" w:fill="D9D9D9" w:themeFill="background1" w:themeFillShade="D9"/>
            <w:vAlign w:val="center"/>
          </w:tcPr>
          <w:p w14:paraId="262E960C" w14:textId="77777777" w:rsidR="00B50935" w:rsidRPr="007B62AA" w:rsidRDefault="00B50935" w:rsidP="00427764">
            <w:pPr>
              <w:spacing w:before="60" w:after="60"/>
              <w:jc w:val="center"/>
              <w:rPr>
                <w:noProof/>
              </w:rPr>
            </w:pPr>
            <w:r w:rsidRPr="007B62AA">
              <w:rPr>
                <w:sz w:val="18"/>
              </w:rPr>
              <w:t>Dočasní zamestnanci (funkčná skupina AD)</w:t>
            </w:r>
          </w:p>
        </w:tc>
        <w:tc>
          <w:tcPr>
            <w:tcW w:w="1080" w:type="dxa"/>
            <w:vAlign w:val="bottom"/>
          </w:tcPr>
          <w:p w14:paraId="643F100A" w14:textId="77777777" w:rsidR="00B50935" w:rsidRPr="007B62AA" w:rsidRDefault="00B50935" w:rsidP="00427764">
            <w:pPr>
              <w:spacing w:before="60" w:after="60"/>
              <w:jc w:val="right"/>
              <w:rPr>
                <w:noProof/>
                <w:color w:val="000000"/>
                <w:sz w:val="20"/>
              </w:rPr>
            </w:pPr>
            <w:r w:rsidRPr="007B62AA">
              <w:rPr>
                <w:color w:val="000000"/>
                <w:sz w:val="20"/>
              </w:rPr>
              <w:t>11</w:t>
            </w:r>
          </w:p>
        </w:tc>
        <w:tc>
          <w:tcPr>
            <w:tcW w:w="1080" w:type="dxa"/>
            <w:vAlign w:val="bottom"/>
          </w:tcPr>
          <w:p w14:paraId="62574CFC" w14:textId="77777777" w:rsidR="00B50935" w:rsidRPr="007B62AA" w:rsidRDefault="00B50935" w:rsidP="00427764">
            <w:pPr>
              <w:spacing w:before="60" w:after="60"/>
              <w:jc w:val="right"/>
              <w:rPr>
                <w:noProof/>
                <w:sz w:val="20"/>
              </w:rPr>
            </w:pPr>
            <w:r w:rsidRPr="007B62AA">
              <w:rPr>
                <w:color w:val="000000"/>
                <w:sz w:val="20"/>
              </w:rPr>
              <w:t>22</w:t>
            </w:r>
          </w:p>
        </w:tc>
        <w:tc>
          <w:tcPr>
            <w:tcW w:w="1080" w:type="dxa"/>
            <w:vAlign w:val="bottom"/>
          </w:tcPr>
          <w:p w14:paraId="4A315B54" w14:textId="77777777" w:rsidR="00B50935" w:rsidRPr="007B62AA" w:rsidRDefault="00B50935" w:rsidP="00427764">
            <w:pPr>
              <w:spacing w:before="60" w:after="60"/>
              <w:jc w:val="right"/>
              <w:rPr>
                <w:noProof/>
                <w:sz w:val="20"/>
              </w:rPr>
            </w:pPr>
            <w:r w:rsidRPr="007B62AA">
              <w:rPr>
                <w:color w:val="000000"/>
                <w:sz w:val="20"/>
              </w:rPr>
              <w:t>29</w:t>
            </w:r>
          </w:p>
        </w:tc>
        <w:tc>
          <w:tcPr>
            <w:tcW w:w="1080" w:type="dxa"/>
            <w:vAlign w:val="bottom"/>
          </w:tcPr>
          <w:p w14:paraId="6289820D" w14:textId="77777777" w:rsidR="00B50935" w:rsidRPr="007B62AA" w:rsidRDefault="00B50935" w:rsidP="00427764">
            <w:pPr>
              <w:spacing w:before="60" w:after="60"/>
              <w:jc w:val="right"/>
              <w:rPr>
                <w:noProof/>
                <w:sz w:val="20"/>
              </w:rPr>
            </w:pPr>
            <w:r w:rsidRPr="007B62AA">
              <w:rPr>
                <w:color w:val="000000"/>
                <w:sz w:val="20"/>
              </w:rPr>
              <w:t>32</w:t>
            </w:r>
          </w:p>
        </w:tc>
        <w:tc>
          <w:tcPr>
            <w:tcW w:w="1080" w:type="dxa"/>
            <w:vAlign w:val="bottom"/>
          </w:tcPr>
          <w:p w14:paraId="504F1313" w14:textId="77777777" w:rsidR="00B50935" w:rsidRPr="007B62AA" w:rsidRDefault="00B50935" w:rsidP="00427764">
            <w:pPr>
              <w:spacing w:before="60" w:after="60"/>
              <w:jc w:val="right"/>
              <w:rPr>
                <w:noProof/>
                <w:sz w:val="20"/>
              </w:rPr>
            </w:pPr>
            <w:r w:rsidRPr="007B62AA">
              <w:rPr>
                <w:color w:val="000000"/>
                <w:sz w:val="20"/>
              </w:rPr>
              <w:t>32</w:t>
            </w:r>
          </w:p>
        </w:tc>
        <w:tc>
          <w:tcPr>
            <w:tcW w:w="1080" w:type="dxa"/>
            <w:vAlign w:val="bottom"/>
          </w:tcPr>
          <w:p w14:paraId="049B9E64" w14:textId="77777777" w:rsidR="00B50935" w:rsidRPr="007B62AA" w:rsidRDefault="00B50935" w:rsidP="00427764">
            <w:pPr>
              <w:spacing w:before="60" w:after="60"/>
              <w:jc w:val="right"/>
              <w:rPr>
                <w:noProof/>
                <w:sz w:val="20"/>
              </w:rPr>
            </w:pPr>
            <w:r w:rsidRPr="007B62AA">
              <w:rPr>
                <w:color w:val="000000"/>
                <w:sz w:val="20"/>
              </w:rPr>
              <w:t>32</w:t>
            </w:r>
          </w:p>
        </w:tc>
        <w:tc>
          <w:tcPr>
            <w:tcW w:w="1080" w:type="dxa"/>
            <w:vAlign w:val="bottom"/>
          </w:tcPr>
          <w:p w14:paraId="611817AD" w14:textId="77777777" w:rsidR="00B50935" w:rsidRPr="007B62AA" w:rsidRDefault="00B50935" w:rsidP="00427764">
            <w:pPr>
              <w:spacing w:before="60" w:after="60"/>
              <w:jc w:val="right"/>
              <w:rPr>
                <w:b/>
                <w:noProof/>
                <w:sz w:val="20"/>
              </w:rPr>
            </w:pPr>
            <w:r w:rsidRPr="007B62AA">
              <w:rPr>
                <w:color w:val="000000"/>
                <w:sz w:val="20"/>
              </w:rPr>
              <w:t>32</w:t>
            </w:r>
          </w:p>
        </w:tc>
        <w:tc>
          <w:tcPr>
            <w:tcW w:w="1080" w:type="dxa"/>
            <w:vAlign w:val="center"/>
          </w:tcPr>
          <w:p w14:paraId="74512E46" w14:textId="77777777" w:rsidR="00B50935" w:rsidRPr="007B62AA" w:rsidRDefault="00B50935" w:rsidP="00427764">
            <w:pPr>
              <w:spacing w:before="60" w:after="60"/>
              <w:jc w:val="right"/>
              <w:rPr>
                <w:b/>
                <w:noProof/>
                <w:sz w:val="20"/>
              </w:rPr>
            </w:pPr>
            <w:r w:rsidRPr="007B62AA">
              <w:rPr>
                <w:color w:val="000000"/>
                <w:sz w:val="20"/>
              </w:rPr>
              <w:t>32</w:t>
            </w:r>
          </w:p>
        </w:tc>
      </w:tr>
      <w:tr w:rsidR="00B50935" w:rsidRPr="007B62AA" w14:paraId="2F0497B3" w14:textId="77777777" w:rsidTr="00427764">
        <w:trPr>
          <w:trHeight w:val="585"/>
        </w:trPr>
        <w:tc>
          <w:tcPr>
            <w:tcW w:w="1980" w:type="dxa"/>
            <w:shd w:val="clear" w:color="auto" w:fill="BFBFBF" w:themeFill="background1" w:themeFillShade="BF"/>
            <w:vAlign w:val="center"/>
          </w:tcPr>
          <w:p w14:paraId="7FEC6DD7" w14:textId="77777777" w:rsidR="00B50935" w:rsidRPr="007B62AA" w:rsidRDefault="00B50935" w:rsidP="00427764">
            <w:pPr>
              <w:spacing w:before="60" w:after="60"/>
              <w:ind w:left="72"/>
              <w:rPr>
                <w:noProof/>
              </w:rPr>
            </w:pPr>
            <w:r w:rsidRPr="007B62AA">
              <w:rPr>
                <w:sz w:val="20"/>
              </w:rPr>
              <w:t>Dočasní zamestnanci (funkčná skupina AST)</w:t>
            </w:r>
          </w:p>
        </w:tc>
        <w:tc>
          <w:tcPr>
            <w:tcW w:w="1080" w:type="dxa"/>
            <w:vAlign w:val="bottom"/>
          </w:tcPr>
          <w:p w14:paraId="2C3EC5D8" w14:textId="77777777" w:rsidR="00B50935" w:rsidRPr="007B62AA" w:rsidRDefault="00B50935" w:rsidP="00427764">
            <w:pPr>
              <w:spacing w:before="60" w:after="60"/>
              <w:jc w:val="right"/>
              <w:rPr>
                <w:noProof/>
                <w:sz w:val="20"/>
              </w:rPr>
            </w:pPr>
            <w:r w:rsidRPr="007B62AA">
              <w:rPr>
                <w:color w:val="000000"/>
                <w:sz w:val="20"/>
              </w:rPr>
              <w:t>7</w:t>
            </w:r>
          </w:p>
        </w:tc>
        <w:tc>
          <w:tcPr>
            <w:tcW w:w="1080" w:type="dxa"/>
            <w:vAlign w:val="bottom"/>
          </w:tcPr>
          <w:p w14:paraId="7F38C94E" w14:textId="77777777" w:rsidR="00B50935" w:rsidRPr="007B62AA" w:rsidRDefault="00B50935" w:rsidP="00427764">
            <w:pPr>
              <w:spacing w:before="60" w:after="60"/>
              <w:jc w:val="right"/>
              <w:rPr>
                <w:noProof/>
                <w:sz w:val="20"/>
              </w:rPr>
            </w:pPr>
            <w:r w:rsidRPr="007B62AA">
              <w:rPr>
                <w:color w:val="000000"/>
                <w:sz w:val="20"/>
              </w:rPr>
              <w:t>13</w:t>
            </w:r>
          </w:p>
        </w:tc>
        <w:tc>
          <w:tcPr>
            <w:tcW w:w="1080" w:type="dxa"/>
            <w:vAlign w:val="bottom"/>
          </w:tcPr>
          <w:p w14:paraId="408FAD5F" w14:textId="77777777" w:rsidR="00B50935" w:rsidRPr="007B62AA" w:rsidRDefault="00B50935" w:rsidP="00427764">
            <w:pPr>
              <w:spacing w:before="60" w:after="60"/>
              <w:jc w:val="right"/>
              <w:rPr>
                <w:noProof/>
                <w:sz w:val="20"/>
              </w:rPr>
            </w:pPr>
            <w:r w:rsidRPr="007B62AA">
              <w:rPr>
                <w:color w:val="000000"/>
                <w:sz w:val="20"/>
              </w:rPr>
              <w:t>13</w:t>
            </w:r>
          </w:p>
        </w:tc>
        <w:tc>
          <w:tcPr>
            <w:tcW w:w="1080" w:type="dxa"/>
            <w:vAlign w:val="bottom"/>
          </w:tcPr>
          <w:p w14:paraId="62FAEF0D" w14:textId="77777777" w:rsidR="00B50935" w:rsidRPr="007B62AA" w:rsidRDefault="00B50935" w:rsidP="00427764">
            <w:pPr>
              <w:spacing w:before="60" w:after="60"/>
              <w:jc w:val="right"/>
              <w:rPr>
                <w:noProof/>
                <w:sz w:val="20"/>
              </w:rPr>
            </w:pPr>
            <w:r w:rsidRPr="007B62AA">
              <w:rPr>
                <w:color w:val="000000"/>
                <w:sz w:val="20"/>
              </w:rPr>
              <w:t>13</w:t>
            </w:r>
          </w:p>
        </w:tc>
        <w:tc>
          <w:tcPr>
            <w:tcW w:w="1080" w:type="dxa"/>
            <w:vAlign w:val="bottom"/>
          </w:tcPr>
          <w:p w14:paraId="4FB1A1E2" w14:textId="77777777" w:rsidR="00B50935" w:rsidRPr="007B62AA" w:rsidRDefault="00B50935" w:rsidP="00427764">
            <w:pPr>
              <w:spacing w:before="60" w:after="60"/>
              <w:jc w:val="right"/>
              <w:rPr>
                <w:noProof/>
                <w:sz w:val="20"/>
              </w:rPr>
            </w:pPr>
            <w:r w:rsidRPr="007B62AA">
              <w:rPr>
                <w:color w:val="000000"/>
                <w:sz w:val="20"/>
              </w:rPr>
              <w:t>13</w:t>
            </w:r>
          </w:p>
        </w:tc>
        <w:tc>
          <w:tcPr>
            <w:tcW w:w="1080" w:type="dxa"/>
            <w:vAlign w:val="bottom"/>
          </w:tcPr>
          <w:p w14:paraId="6C9C44F9" w14:textId="77777777" w:rsidR="00B50935" w:rsidRPr="007B62AA" w:rsidRDefault="00B50935" w:rsidP="00427764">
            <w:pPr>
              <w:spacing w:before="60" w:after="60"/>
              <w:jc w:val="right"/>
              <w:rPr>
                <w:noProof/>
                <w:sz w:val="20"/>
              </w:rPr>
            </w:pPr>
            <w:r w:rsidRPr="007B62AA">
              <w:rPr>
                <w:color w:val="000000"/>
                <w:sz w:val="20"/>
              </w:rPr>
              <w:t>13</w:t>
            </w:r>
          </w:p>
        </w:tc>
        <w:tc>
          <w:tcPr>
            <w:tcW w:w="1080" w:type="dxa"/>
            <w:vAlign w:val="bottom"/>
          </w:tcPr>
          <w:p w14:paraId="420EF78C" w14:textId="77777777" w:rsidR="00B50935" w:rsidRPr="007B62AA" w:rsidRDefault="00B50935" w:rsidP="00427764">
            <w:pPr>
              <w:spacing w:before="60" w:after="60"/>
              <w:jc w:val="right"/>
              <w:rPr>
                <w:b/>
                <w:noProof/>
                <w:sz w:val="20"/>
              </w:rPr>
            </w:pPr>
            <w:r w:rsidRPr="007B62AA">
              <w:rPr>
                <w:color w:val="000000"/>
                <w:sz w:val="20"/>
              </w:rPr>
              <w:t>13</w:t>
            </w:r>
          </w:p>
        </w:tc>
        <w:tc>
          <w:tcPr>
            <w:tcW w:w="1080" w:type="dxa"/>
            <w:vAlign w:val="center"/>
          </w:tcPr>
          <w:p w14:paraId="533B8FB3" w14:textId="77777777" w:rsidR="00B50935" w:rsidRPr="007B62AA" w:rsidRDefault="00B50935" w:rsidP="00427764">
            <w:pPr>
              <w:spacing w:before="60" w:after="60"/>
              <w:jc w:val="right"/>
              <w:rPr>
                <w:b/>
                <w:noProof/>
                <w:sz w:val="20"/>
              </w:rPr>
            </w:pPr>
            <w:r w:rsidRPr="007B62AA">
              <w:rPr>
                <w:color w:val="000000"/>
                <w:sz w:val="20"/>
              </w:rPr>
              <w:t>13</w:t>
            </w:r>
          </w:p>
        </w:tc>
      </w:tr>
      <w:tr w:rsidR="00B50935" w:rsidRPr="007B62AA" w14:paraId="763BB14B" w14:textId="77777777" w:rsidTr="00427764">
        <w:trPr>
          <w:trHeight w:val="585"/>
        </w:trPr>
        <w:tc>
          <w:tcPr>
            <w:tcW w:w="1980" w:type="dxa"/>
            <w:shd w:val="clear" w:color="auto" w:fill="BFBFBF" w:themeFill="background1" w:themeFillShade="BF"/>
            <w:vAlign w:val="center"/>
          </w:tcPr>
          <w:p w14:paraId="5E3C876A" w14:textId="77777777" w:rsidR="00B50935" w:rsidRPr="007B62AA" w:rsidRDefault="00B50935" w:rsidP="00427764">
            <w:pPr>
              <w:spacing w:before="60" w:after="60"/>
              <w:ind w:left="72"/>
              <w:rPr>
                <w:noProof/>
              </w:rPr>
            </w:pPr>
            <w:r w:rsidRPr="007B62AA">
              <w:rPr>
                <w:sz w:val="20"/>
              </w:rPr>
              <w:t>Zmluvní zamestnanci</w:t>
            </w:r>
          </w:p>
        </w:tc>
        <w:tc>
          <w:tcPr>
            <w:tcW w:w="1080" w:type="dxa"/>
            <w:shd w:val="clear" w:color="auto" w:fill="BFBFBF" w:themeFill="background1" w:themeFillShade="BF"/>
            <w:vAlign w:val="bottom"/>
          </w:tcPr>
          <w:p w14:paraId="5323E218" w14:textId="77777777" w:rsidR="00B50935" w:rsidRPr="007B62AA" w:rsidRDefault="00B50935" w:rsidP="00427764">
            <w:pPr>
              <w:spacing w:before="60" w:after="60"/>
              <w:jc w:val="right"/>
              <w:rPr>
                <w:noProof/>
                <w:sz w:val="20"/>
              </w:rPr>
            </w:pPr>
            <w:r w:rsidRPr="007B62AA">
              <w:rPr>
                <w:color w:val="000000"/>
                <w:sz w:val="20"/>
              </w:rPr>
              <w:t>13</w:t>
            </w:r>
          </w:p>
        </w:tc>
        <w:tc>
          <w:tcPr>
            <w:tcW w:w="1080" w:type="dxa"/>
            <w:shd w:val="clear" w:color="auto" w:fill="BFBFBF" w:themeFill="background1" w:themeFillShade="BF"/>
            <w:vAlign w:val="bottom"/>
          </w:tcPr>
          <w:p w14:paraId="22A5A4D6" w14:textId="77777777" w:rsidR="00B50935" w:rsidRPr="007B62AA" w:rsidRDefault="00B50935" w:rsidP="00427764">
            <w:pPr>
              <w:spacing w:before="60" w:after="60"/>
              <w:jc w:val="right"/>
              <w:rPr>
                <w:noProof/>
                <w:sz w:val="20"/>
              </w:rPr>
            </w:pPr>
            <w:r w:rsidRPr="007B62AA">
              <w:rPr>
                <w:color w:val="000000"/>
                <w:sz w:val="20"/>
              </w:rPr>
              <w:t>20</w:t>
            </w:r>
          </w:p>
        </w:tc>
        <w:tc>
          <w:tcPr>
            <w:tcW w:w="1080" w:type="dxa"/>
            <w:shd w:val="clear" w:color="auto" w:fill="BFBFBF" w:themeFill="background1" w:themeFillShade="BF"/>
            <w:vAlign w:val="bottom"/>
          </w:tcPr>
          <w:p w14:paraId="47B171B8" w14:textId="77777777" w:rsidR="00B50935" w:rsidRPr="007B62AA" w:rsidRDefault="00B50935" w:rsidP="00427764">
            <w:pPr>
              <w:spacing w:before="60" w:after="60"/>
              <w:jc w:val="right"/>
              <w:rPr>
                <w:noProof/>
                <w:sz w:val="20"/>
              </w:rPr>
            </w:pPr>
            <w:r w:rsidRPr="007B62AA">
              <w:rPr>
                <w:color w:val="000000"/>
                <w:sz w:val="20"/>
              </w:rPr>
              <w:t>26</w:t>
            </w:r>
          </w:p>
        </w:tc>
        <w:tc>
          <w:tcPr>
            <w:tcW w:w="1080" w:type="dxa"/>
            <w:shd w:val="clear" w:color="auto" w:fill="BFBFBF" w:themeFill="background1" w:themeFillShade="BF"/>
            <w:vAlign w:val="bottom"/>
          </w:tcPr>
          <w:p w14:paraId="7D6480B9" w14:textId="77777777" w:rsidR="00B50935" w:rsidRPr="007B62AA" w:rsidRDefault="00B50935" w:rsidP="00427764">
            <w:pPr>
              <w:spacing w:before="60" w:after="60"/>
              <w:jc w:val="right"/>
              <w:rPr>
                <w:noProof/>
                <w:sz w:val="20"/>
              </w:rPr>
            </w:pPr>
            <w:r w:rsidRPr="007B62AA">
              <w:rPr>
                <w:color w:val="000000"/>
                <w:sz w:val="20"/>
              </w:rPr>
              <w:t>28</w:t>
            </w:r>
          </w:p>
        </w:tc>
        <w:tc>
          <w:tcPr>
            <w:tcW w:w="1080" w:type="dxa"/>
            <w:shd w:val="clear" w:color="auto" w:fill="BFBFBF" w:themeFill="background1" w:themeFillShade="BF"/>
            <w:vAlign w:val="bottom"/>
          </w:tcPr>
          <w:p w14:paraId="13AB3418" w14:textId="77777777" w:rsidR="00B50935" w:rsidRPr="007B62AA" w:rsidRDefault="00B50935" w:rsidP="00427764">
            <w:pPr>
              <w:spacing w:before="60" w:after="60"/>
              <w:jc w:val="right"/>
              <w:rPr>
                <w:noProof/>
                <w:sz w:val="20"/>
              </w:rPr>
            </w:pPr>
            <w:r w:rsidRPr="007B62AA">
              <w:rPr>
                <w:color w:val="000000"/>
                <w:sz w:val="20"/>
              </w:rPr>
              <w:t>28</w:t>
            </w:r>
          </w:p>
        </w:tc>
        <w:tc>
          <w:tcPr>
            <w:tcW w:w="1080" w:type="dxa"/>
            <w:shd w:val="clear" w:color="auto" w:fill="BFBFBF" w:themeFill="background1" w:themeFillShade="BF"/>
            <w:vAlign w:val="bottom"/>
          </w:tcPr>
          <w:p w14:paraId="29FA2C00" w14:textId="77777777" w:rsidR="00B50935" w:rsidRPr="007B62AA" w:rsidRDefault="00B50935" w:rsidP="00427764">
            <w:pPr>
              <w:spacing w:before="60" w:after="60"/>
              <w:jc w:val="right"/>
              <w:rPr>
                <w:noProof/>
                <w:sz w:val="20"/>
              </w:rPr>
            </w:pPr>
            <w:r w:rsidRPr="007B62AA">
              <w:rPr>
                <w:color w:val="000000"/>
                <w:sz w:val="20"/>
              </w:rPr>
              <w:t>28</w:t>
            </w:r>
          </w:p>
        </w:tc>
        <w:tc>
          <w:tcPr>
            <w:tcW w:w="1080" w:type="dxa"/>
            <w:shd w:val="clear" w:color="auto" w:fill="BFBFBF" w:themeFill="background1" w:themeFillShade="BF"/>
            <w:vAlign w:val="bottom"/>
          </w:tcPr>
          <w:p w14:paraId="7D76C713" w14:textId="77777777" w:rsidR="00B50935" w:rsidRPr="007B62AA" w:rsidRDefault="00B50935" w:rsidP="00427764">
            <w:pPr>
              <w:spacing w:before="60" w:after="60"/>
              <w:jc w:val="right"/>
              <w:rPr>
                <w:b/>
                <w:noProof/>
                <w:sz w:val="20"/>
              </w:rPr>
            </w:pPr>
            <w:r w:rsidRPr="007B62AA">
              <w:rPr>
                <w:color w:val="000000"/>
                <w:sz w:val="20"/>
              </w:rPr>
              <w:t>28</w:t>
            </w:r>
          </w:p>
        </w:tc>
        <w:tc>
          <w:tcPr>
            <w:tcW w:w="1080" w:type="dxa"/>
            <w:shd w:val="clear" w:color="auto" w:fill="BFBFBF" w:themeFill="background1" w:themeFillShade="BF"/>
            <w:vAlign w:val="center"/>
          </w:tcPr>
          <w:p w14:paraId="50C02441" w14:textId="77777777" w:rsidR="00B50935" w:rsidRPr="007B62AA" w:rsidRDefault="00B50935" w:rsidP="00427764">
            <w:pPr>
              <w:spacing w:before="60" w:after="60"/>
              <w:jc w:val="right"/>
              <w:rPr>
                <w:b/>
                <w:noProof/>
                <w:sz w:val="20"/>
              </w:rPr>
            </w:pPr>
            <w:r w:rsidRPr="007B62AA">
              <w:rPr>
                <w:color w:val="000000"/>
                <w:sz w:val="20"/>
              </w:rPr>
              <w:t>28</w:t>
            </w:r>
          </w:p>
        </w:tc>
      </w:tr>
      <w:tr w:rsidR="00B50935" w:rsidRPr="007B62AA" w14:paraId="7B4D8226" w14:textId="77777777" w:rsidTr="00427764">
        <w:trPr>
          <w:trHeight w:val="585"/>
        </w:trPr>
        <w:tc>
          <w:tcPr>
            <w:tcW w:w="1980" w:type="dxa"/>
            <w:shd w:val="clear" w:color="auto" w:fill="CCCCCC"/>
            <w:vAlign w:val="center"/>
          </w:tcPr>
          <w:p w14:paraId="6B0D88B9" w14:textId="77777777" w:rsidR="00B50935" w:rsidRPr="007B62AA" w:rsidRDefault="00B50935" w:rsidP="00427764">
            <w:pPr>
              <w:spacing w:before="60" w:after="60"/>
              <w:jc w:val="center"/>
              <w:rPr>
                <w:noProof/>
              </w:rPr>
            </w:pPr>
            <w:r w:rsidRPr="007B62AA">
              <w:rPr>
                <w:sz w:val="18"/>
              </w:rPr>
              <w:t>Vyslaní národní experti</w:t>
            </w:r>
          </w:p>
        </w:tc>
        <w:tc>
          <w:tcPr>
            <w:tcW w:w="1080" w:type="dxa"/>
            <w:vAlign w:val="center"/>
          </w:tcPr>
          <w:p w14:paraId="0143126E" w14:textId="77777777" w:rsidR="00B50935" w:rsidRPr="007B62AA" w:rsidRDefault="00B50935" w:rsidP="00427764">
            <w:pPr>
              <w:spacing w:before="60" w:after="60"/>
              <w:jc w:val="right"/>
              <w:rPr>
                <w:noProof/>
                <w:sz w:val="20"/>
              </w:rPr>
            </w:pPr>
            <w:r w:rsidRPr="007B62AA">
              <w:rPr>
                <w:color w:val="000000"/>
                <w:sz w:val="20"/>
              </w:rPr>
              <w:t>0</w:t>
            </w:r>
          </w:p>
        </w:tc>
        <w:tc>
          <w:tcPr>
            <w:tcW w:w="1080" w:type="dxa"/>
            <w:vAlign w:val="center"/>
          </w:tcPr>
          <w:p w14:paraId="0526A4C3" w14:textId="77777777" w:rsidR="00B50935" w:rsidRPr="007B62AA" w:rsidRDefault="00B50935" w:rsidP="00427764">
            <w:pPr>
              <w:spacing w:before="60" w:after="60"/>
              <w:jc w:val="right"/>
              <w:rPr>
                <w:noProof/>
                <w:sz w:val="20"/>
              </w:rPr>
            </w:pPr>
            <w:r w:rsidRPr="007B62AA">
              <w:rPr>
                <w:color w:val="000000"/>
                <w:sz w:val="20"/>
              </w:rPr>
              <w:t>0</w:t>
            </w:r>
          </w:p>
        </w:tc>
        <w:tc>
          <w:tcPr>
            <w:tcW w:w="1080" w:type="dxa"/>
            <w:vAlign w:val="center"/>
          </w:tcPr>
          <w:p w14:paraId="368B730E" w14:textId="77777777" w:rsidR="00B50935" w:rsidRPr="007B62AA" w:rsidRDefault="00B50935" w:rsidP="00427764">
            <w:pPr>
              <w:spacing w:before="60" w:after="60"/>
              <w:jc w:val="right"/>
              <w:rPr>
                <w:noProof/>
                <w:sz w:val="20"/>
              </w:rPr>
            </w:pPr>
            <w:r w:rsidRPr="007B62AA">
              <w:rPr>
                <w:color w:val="000000"/>
                <w:sz w:val="20"/>
              </w:rPr>
              <w:t>0</w:t>
            </w:r>
          </w:p>
        </w:tc>
        <w:tc>
          <w:tcPr>
            <w:tcW w:w="1080" w:type="dxa"/>
            <w:vAlign w:val="center"/>
          </w:tcPr>
          <w:p w14:paraId="1EC9B77D" w14:textId="77777777" w:rsidR="00B50935" w:rsidRPr="007B62AA" w:rsidRDefault="00B50935" w:rsidP="00427764">
            <w:pPr>
              <w:spacing w:before="60" w:after="60"/>
              <w:jc w:val="right"/>
              <w:rPr>
                <w:noProof/>
                <w:sz w:val="20"/>
              </w:rPr>
            </w:pPr>
            <w:r w:rsidRPr="007B62AA">
              <w:rPr>
                <w:color w:val="000000"/>
                <w:sz w:val="20"/>
              </w:rPr>
              <w:t>0</w:t>
            </w:r>
          </w:p>
        </w:tc>
        <w:tc>
          <w:tcPr>
            <w:tcW w:w="1080" w:type="dxa"/>
            <w:vAlign w:val="center"/>
          </w:tcPr>
          <w:p w14:paraId="3B90F101" w14:textId="77777777" w:rsidR="00B50935" w:rsidRPr="007B62AA" w:rsidRDefault="00B50935" w:rsidP="00427764">
            <w:pPr>
              <w:spacing w:before="60" w:after="60"/>
              <w:jc w:val="right"/>
              <w:rPr>
                <w:noProof/>
                <w:sz w:val="20"/>
              </w:rPr>
            </w:pPr>
            <w:r w:rsidRPr="007B62AA">
              <w:rPr>
                <w:sz w:val="20"/>
              </w:rPr>
              <w:t>0</w:t>
            </w:r>
          </w:p>
        </w:tc>
        <w:tc>
          <w:tcPr>
            <w:tcW w:w="1080" w:type="dxa"/>
            <w:vAlign w:val="center"/>
          </w:tcPr>
          <w:p w14:paraId="427A8EDA" w14:textId="77777777" w:rsidR="00B50935" w:rsidRPr="007B62AA" w:rsidRDefault="00B50935" w:rsidP="00427764">
            <w:pPr>
              <w:spacing w:before="60" w:after="60"/>
              <w:jc w:val="right"/>
              <w:rPr>
                <w:noProof/>
                <w:sz w:val="20"/>
              </w:rPr>
            </w:pPr>
            <w:r w:rsidRPr="007B62AA">
              <w:rPr>
                <w:sz w:val="20"/>
              </w:rPr>
              <w:t>0</w:t>
            </w:r>
          </w:p>
        </w:tc>
        <w:tc>
          <w:tcPr>
            <w:tcW w:w="1080" w:type="dxa"/>
            <w:vAlign w:val="center"/>
          </w:tcPr>
          <w:p w14:paraId="72C712B7" w14:textId="77777777" w:rsidR="00B50935" w:rsidRPr="007B62AA" w:rsidRDefault="00B50935" w:rsidP="00427764">
            <w:pPr>
              <w:spacing w:before="60" w:after="60"/>
              <w:jc w:val="right"/>
              <w:rPr>
                <w:b/>
                <w:noProof/>
                <w:sz w:val="20"/>
              </w:rPr>
            </w:pPr>
            <w:r w:rsidRPr="007B62AA">
              <w:rPr>
                <w:b/>
                <w:sz w:val="20"/>
              </w:rPr>
              <w:t>0</w:t>
            </w:r>
          </w:p>
        </w:tc>
        <w:tc>
          <w:tcPr>
            <w:tcW w:w="1080" w:type="dxa"/>
            <w:vAlign w:val="center"/>
          </w:tcPr>
          <w:p w14:paraId="5A25E84C" w14:textId="77777777" w:rsidR="00B50935" w:rsidRPr="007B62AA" w:rsidRDefault="00B50935" w:rsidP="00427764">
            <w:pPr>
              <w:spacing w:before="60" w:after="60"/>
              <w:jc w:val="right"/>
              <w:rPr>
                <w:b/>
                <w:noProof/>
                <w:sz w:val="20"/>
              </w:rPr>
            </w:pPr>
            <w:r w:rsidRPr="007B62AA">
              <w:rPr>
                <w:color w:val="000000"/>
                <w:sz w:val="20"/>
              </w:rPr>
              <w:t>0</w:t>
            </w:r>
          </w:p>
        </w:tc>
      </w:tr>
    </w:tbl>
    <w:p w14:paraId="6786E423" w14:textId="77777777" w:rsidR="00B50935" w:rsidRPr="007B62AA" w:rsidRDefault="00B50935" w:rsidP="00B50935">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7B62AA" w14:paraId="2E7BCC34" w14:textId="77777777" w:rsidTr="0042776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3CEB0821" w14:textId="77777777" w:rsidR="00B50935" w:rsidRPr="007B62AA" w:rsidRDefault="00B50935" w:rsidP="00427764">
            <w:pPr>
              <w:spacing w:before="60" w:after="60"/>
              <w:jc w:val="center"/>
              <w:rPr>
                <w:noProof/>
                <w:sz w:val="20"/>
              </w:rPr>
            </w:pPr>
            <w:r w:rsidRPr="007B62AA">
              <w:rPr>
                <w:b/>
                <w:sz w:val="20"/>
              </w:rPr>
              <w:t>SPOLU</w:t>
            </w:r>
          </w:p>
        </w:tc>
        <w:tc>
          <w:tcPr>
            <w:tcW w:w="1080" w:type="dxa"/>
            <w:tcBorders>
              <w:top w:val="single" w:sz="12" w:space="0" w:color="auto"/>
              <w:left w:val="single" w:sz="2" w:space="0" w:color="auto"/>
              <w:bottom w:val="single" w:sz="12" w:space="0" w:color="auto"/>
              <w:right w:val="single" w:sz="2" w:space="0" w:color="auto"/>
            </w:tcBorders>
            <w:vAlign w:val="center"/>
          </w:tcPr>
          <w:p w14:paraId="1FA3A5AB" w14:textId="77777777" w:rsidR="00B50935" w:rsidRPr="007B62AA" w:rsidRDefault="00B50935" w:rsidP="00427764">
            <w:pPr>
              <w:spacing w:before="60" w:after="60"/>
              <w:jc w:val="right"/>
              <w:rPr>
                <w:b/>
                <w:noProof/>
                <w:sz w:val="20"/>
              </w:rPr>
            </w:pPr>
            <w:r w:rsidRPr="007B62AA">
              <w:rPr>
                <w:b/>
                <w:color w:val="000000"/>
                <w:sz w:val="20"/>
              </w:rPr>
              <w:t>31</w:t>
            </w:r>
          </w:p>
        </w:tc>
        <w:tc>
          <w:tcPr>
            <w:tcW w:w="1080" w:type="dxa"/>
            <w:tcBorders>
              <w:top w:val="single" w:sz="12" w:space="0" w:color="auto"/>
              <w:left w:val="single" w:sz="2" w:space="0" w:color="auto"/>
              <w:bottom w:val="single" w:sz="12" w:space="0" w:color="auto"/>
              <w:right w:val="single" w:sz="2" w:space="0" w:color="auto"/>
            </w:tcBorders>
            <w:vAlign w:val="center"/>
          </w:tcPr>
          <w:p w14:paraId="64175621" w14:textId="77777777" w:rsidR="00B50935" w:rsidRPr="007B62AA" w:rsidRDefault="00B50935" w:rsidP="00427764">
            <w:pPr>
              <w:spacing w:before="60" w:after="60"/>
              <w:jc w:val="right"/>
              <w:rPr>
                <w:b/>
                <w:noProof/>
                <w:sz w:val="20"/>
              </w:rPr>
            </w:pPr>
            <w:r w:rsidRPr="007B62AA">
              <w:rPr>
                <w:b/>
                <w:color w:val="000000"/>
                <w:sz w:val="20"/>
              </w:rPr>
              <w:t>55</w:t>
            </w:r>
          </w:p>
        </w:tc>
        <w:tc>
          <w:tcPr>
            <w:tcW w:w="1080" w:type="dxa"/>
            <w:tcBorders>
              <w:top w:val="single" w:sz="12" w:space="0" w:color="auto"/>
              <w:left w:val="single" w:sz="2" w:space="0" w:color="auto"/>
              <w:bottom w:val="single" w:sz="12" w:space="0" w:color="auto"/>
              <w:right w:val="single" w:sz="2" w:space="0" w:color="auto"/>
            </w:tcBorders>
            <w:vAlign w:val="center"/>
          </w:tcPr>
          <w:p w14:paraId="6E5014FD" w14:textId="77777777" w:rsidR="00B50935" w:rsidRPr="007B62AA" w:rsidRDefault="00B50935" w:rsidP="00427764">
            <w:pPr>
              <w:spacing w:before="60" w:after="60"/>
              <w:jc w:val="right"/>
              <w:rPr>
                <w:b/>
                <w:noProof/>
                <w:sz w:val="20"/>
              </w:rPr>
            </w:pPr>
            <w:r w:rsidRPr="007B62AA">
              <w:rPr>
                <w:b/>
                <w:color w:val="000000"/>
                <w:sz w:val="20"/>
              </w:rPr>
              <w:t>68</w:t>
            </w:r>
          </w:p>
        </w:tc>
        <w:tc>
          <w:tcPr>
            <w:tcW w:w="1080" w:type="dxa"/>
            <w:tcBorders>
              <w:top w:val="single" w:sz="12" w:space="0" w:color="auto"/>
              <w:left w:val="single" w:sz="2" w:space="0" w:color="auto"/>
              <w:bottom w:val="single" w:sz="12" w:space="0" w:color="auto"/>
              <w:right w:val="single" w:sz="2" w:space="0" w:color="auto"/>
            </w:tcBorders>
            <w:vAlign w:val="center"/>
          </w:tcPr>
          <w:p w14:paraId="1142286C" w14:textId="77777777" w:rsidR="00B50935" w:rsidRPr="007B62AA" w:rsidRDefault="00B50935" w:rsidP="00427764">
            <w:pPr>
              <w:spacing w:before="60" w:after="60"/>
              <w:jc w:val="right"/>
              <w:rPr>
                <w:b/>
                <w:noProof/>
                <w:sz w:val="20"/>
              </w:rPr>
            </w:pPr>
            <w:r w:rsidRPr="007B62AA">
              <w:rPr>
                <w:b/>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14:paraId="32156A1D" w14:textId="77777777" w:rsidR="00B50935" w:rsidRPr="007B62AA" w:rsidRDefault="00B50935" w:rsidP="00427764">
            <w:pPr>
              <w:spacing w:before="60" w:after="60"/>
              <w:jc w:val="right"/>
              <w:rPr>
                <w:b/>
                <w:noProof/>
                <w:sz w:val="20"/>
              </w:rPr>
            </w:pPr>
            <w:r w:rsidRPr="007B62AA">
              <w:rPr>
                <w:b/>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14:paraId="7A949AD2" w14:textId="77777777" w:rsidR="00B50935" w:rsidRPr="007B62AA" w:rsidRDefault="00B50935" w:rsidP="00427764">
            <w:pPr>
              <w:spacing w:before="60" w:after="60"/>
              <w:jc w:val="right"/>
              <w:rPr>
                <w:b/>
                <w:noProof/>
                <w:sz w:val="20"/>
              </w:rPr>
            </w:pPr>
            <w:r w:rsidRPr="007B62AA">
              <w:rPr>
                <w:b/>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14:paraId="320464A6" w14:textId="77777777" w:rsidR="00B50935" w:rsidRPr="007B62AA" w:rsidRDefault="00B50935" w:rsidP="00427764">
            <w:pPr>
              <w:spacing w:before="60" w:after="60"/>
              <w:jc w:val="right"/>
              <w:rPr>
                <w:b/>
                <w:noProof/>
                <w:sz w:val="20"/>
              </w:rPr>
            </w:pPr>
            <w:r w:rsidRPr="007B62AA">
              <w:rPr>
                <w:b/>
                <w:sz w:val="20"/>
              </w:rPr>
              <w:t>73</w:t>
            </w:r>
          </w:p>
        </w:tc>
        <w:tc>
          <w:tcPr>
            <w:tcW w:w="1080" w:type="dxa"/>
            <w:tcBorders>
              <w:top w:val="single" w:sz="12" w:space="0" w:color="auto"/>
              <w:left w:val="single" w:sz="2" w:space="0" w:color="auto"/>
              <w:bottom w:val="single" w:sz="12" w:space="0" w:color="auto"/>
              <w:right w:val="single" w:sz="12" w:space="0" w:color="auto"/>
            </w:tcBorders>
            <w:vAlign w:val="center"/>
          </w:tcPr>
          <w:p w14:paraId="6D95FF9B" w14:textId="77777777" w:rsidR="00B50935" w:rsidRPr="007B62AA" w:rsidRDefault="00B50935" w:rsidP="00427764">
            <w:pPr>
              <w:spacing w:before="60" w:after="60"/>
              <w:jc w:val="right"/>
              <w:rPr>
                <w:b/>
                <w:noProof/>
                <w:sz w:val="20"/>
              </w:rPr>
            </w:pPr>
            <w:r w:rsidRPr="007B62AA">
              <w:rPr>
                <w:b/>
                <w:sz w:val="20"/>
              </w:rPr>
              <w:t>73</w:t>
            </w:r>
          </w:p>
        </w:tc>
      </w:tr>
    </w:tbl>
    <w:p w14:paraId="5E55BA22" w14:textId="77777777" w:rsidR="00B50935" w:rsidRPr="007B62AA" w:rsidRDefault="00B50935" w:rsidP="00B50935">
      <w:pPr>
        <w:rPr>
          <w:noProof/>
          <w:u w:val="single"/>
        </w:rPr>
      </w:pPr>
    </w:p>
    <w:p w14:paraId="19D2A2FD" w14:textId="77777777" w:rsidR="00B50935" w:rsidRPr="007B62AA" w:rsidRDefault="00B50935" w:rsidP="00B50935">
      <w:pPr>
        <w:rPr>
          <w:noProof/>
        </w:rPr>
      </w:pPr>
      <w:r w:rsidRPr="007B62AA">
        <w:rPr>
          <w:u w:val="single"/>
        </w:rPr>
        <w:t xml:space="preserve">Uveďte predpokladaný dátum prijatia do zamestnania a sumu náležite upravte (ak k prijatiu do zamestnania dôjde v júli, zohľadní sa iba 50 % priemerných nákladov) a pripojte bližšie vysvetlenie. </w:t>
      </w:r>
    </w:p>
    <w:p w14:paraId="40C38852" w14:textId="77777777" w:rsidR="00B50935" w:rsidRPr="007B62AA" w:rsidRDefault="00B50935" w:rsidP="00B50935">
      <w:pPr>
        <w:rPr>
          <w:noProof/>
        </w:rPr>
        <w:sectPr w:rsidR="00B50935" w:rsidRPr="007B62AA" w:rsidSect="00CA0925">
          <w:headerReference w:type="default" r:id="rId20"/>
          <w:footerReference w:type="default" r:id="rId21"/>
          <w:headerReference w:type="first" r:id="rId22"/>
          <w:footerReference w:type="first" r:id="rId23"/>
          <w:pgSz w:w="11907" w:h="16839"/>
          <w:pgMar w:top="1134" w:right="1417" w:bottom="1134" w:left="1417" w:header="709" w:footer="709" w:gutter="0"/>
          <w:cols w:space="720"/>
          <w:docGrid w:linePitch="326"/>
        </w:sectPr>
      </w:pPr>
    </w:p>
    <w:p w14:paraId="28518569" w14:textId="77777777" w:rsidR="00B50935" w:rsidRPr="007B62AA" w:rsidRDefault="00B50935" w:rsidP="00B50935">
      <w:pPr>
        <w:pStyle w:val="Heading4"/>
        <w:rPr>
          <w:bCs w:val="0"/>
          <w:noProof/>
          <w:szCs w:val="24"/>
        </w:rPr>
      </w:pPr>
      <w:r w:rsidRPr="007B62AA">
        <w:t>Odhadované potreby ľudských zdrojov pre príslušné GR</w:t>
      </w:r>
    </w:p>
    <w:p w14:paraId="5A77DBE5" w14:textId="77777777" w:rsidR="00B50935" w:rsidRPr="007B62AA" w:rsidRDefault="00B50935" w:rsidP="006F7C3E">
      <w:pPr>
        <w:pStyle w:val="ListDash1"/>
        <w:rPr>
          <w:noProof/>
        </w:rPr>
      </w:pPr>
      <w:r w:rsidRPr="007B62AA">
        <w:t>X</w:t>
      </w:r>
      <w:r w:rsidRPr="007B62AA">
        <w:tab/>
        <w:t xml:space="preserve">Návrh/iniciatíva si nevyžaduje použitie ľudských zdrojov. </w:t>
      </w:r>
    </w:p>
    <w:p w14:paraId="433BB65C" w14:textId="77777777" w:rsidR="00B50935" w:rsidRPr="007B62AA" w:rsidRDefault="00B50935" w:rsidP="006F7C3E">
      <w:pPr>
        <w:pStyle w:val="ListDash1"/>
        <w:rPr>
          <w:noProof/>
        </w:rPr>
      </w:pPr>
      <w:r w:rsidRPr="007B62AA">
        <w:sym w:font="Wingdings" w:char="F0A8"/>
      </w:r>
      <w:r w:rsidRPr="007B62AA">
        <w:tab/>
        <w:t>Návrh/iniciatíva si vyžaduje použitie ľudských zdrojov, ako je uvedené v nasledujúcej tabuľke:</w:t>
      </w:r>
    </w:p>
    <w:p w14:paraId="64CFBCEA" w14:textId="77777777" w:rsidR="00B50935" w:rsidRPr="007B62AA" w:rsidRDefault="00B50935" w:rsidP="00B50935">
      <w:pPr>
        <w:spacing w:after="60"/>
        <w:jc w:val="right"/>
        <w:rPr>
          <w:i/>
          <w:noProof/>
          <w:sz w:val="20"/>
        </w:rPr>
      </w:pPr>
      <w:r w:rsidRPr="007B62AA">
        <w:rPr>
          <w:i/>
          <w:sz w:val="20"/>
        </w:rPr>
        <w:t>odhady sa zaokrúhľujú na celé čísla (alebo najviac na jedno desatinné miesto)</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59"/>
        <w:gridCol w:w="775"/>
        <w:gridCol w:w="739"/>
        <w:gridCol w:w="815"/>
        <w:gridCol w:w="998"/>
        <w:gridCol w:w="851"/>
        <w:gridCol w:w="14"/>
        <w:gridCol w:w="835"/>
        <w:gridCol w:w="30"/>
        <w:gridCol w:w="865"/>
        <w:gridCol w:w="12"/>
      </w:tblGrid>
      <w:tr w:rsidR="00B50935" w:rsidRPr="007B62AA" w14:paraId="4DA426D1" w14:textId="77777777" w:rsidTr="00427764">
        <w:trPr>
          <w:gridAfter w:val="1"/>
          <w:wAfter w:w="6" w:type="pct"/>
          <w:trHeight w:val="289"/>
          <w:jc w:val="center"/>
        </w:trPr>
        <w:tc>
          <w:tcPr>
            <w:tcW w:w="2044" w:type="pct"/>
            <w:gridSpan w:val="2"/>
            <w:shd w:val="clear" w:color="auto" w:fill="auto"/>
          </w:tcPr>
          <w:p w14:paraId="108F4084" w14:textId="77777777" w:rsidR="00B50935" w:rsidRPr="007B62AA" w:rsidRDefault="00B50935" w:rsidP="00427764">
            <w:pPr>
              <w:pStyle w:val="Text1"/>
              <w:spacing w:before="40" w:after="40"/>
              <w:ind w:left="0"/>
              <w:jc w:val="center"/>
              <w:rPr>
                <w:i/>
                <w:noProof/>
                <w:sz w:val="20"/>
              </w:rPr>
            </w:pPr>
          </w:p>
        </w:tc>
        <w:tc>
          <w:tcPr>
            <w:tcW w:w="386" w:type="pct"/>
            <w:shd w:val="clear" w:color="auto" w:fill="auto"/>
            <w:vAlign w:val="center"/>
          </w:tcPr>
          <w:p w14:paraId="62AAC3D2" w14:textId="77777777" w:rsidR="00B50935" w:rsidRPr="007B62AA" w:rsidRDefault="00B50935" w:rsidP="00427764">
            <w:pPr>
              <w:spacing w:before="20" w:after="20"/>
              <w:jc w:val="center"/>
              <w:rPr>
                <w:noProof/>
                <w:sz w:val="20"/>
              </w:rPr>
            </w:pPr>
            <w:r w:rsidRPr="007B62AA">
              <w:rPr>
                <w:sz w:val="20"/>
              </w:rPr>
              <w:t>Rok</w:t>
            </w:r>
            <w:r w:rsidRPr="007B62AA">
              <w:t xml:space="preserve"> </w:t>
            </w:r>
            <w:r w:rsidRPr="007B62AA">
              <w:br/>
            </w:r>
            <w:r w:rsidRPr="007B62AA">
              <w:rPr>
                <w:b/>
                <w:sz w:val="20"/>
              </w:rPr>
              <w:t>2021</w:t>
            </w:r>
          </w:p>
        </w:tc>
        <w:tc>
          <w:tcPr>
            <w:tcW w:w="368" w:type="pct"/>
            <w:shd w:val="clear" w:color="auto" w:fill="auto"/>
            <w:vAlign w:val="center"/>
          </w:tcPr>
          <w:p w14:paraId="4C272E26" w14:textId="77777777" w:rsidR="00B50935" w:rsidRPr="007B62AA" w:rsidRDefault="00B50935" w:rsidP="00427764">
            <w:pPr>
              <w:spacing w:before="20" w:after="20"/>
              <w:jc w:val="center"/>
              <w:rPr>
                <w:noProof/>
                <w:sz w:val="20"/>
              </w:rPr>
            </w:pPr>
            <w:r w:rsidRPr="007B62AA">
              <w:rPr>
                <w:sz w:val="20"/>
              </w:rPr>
              <w:t>Rok</w:t>
            </w:r>
            <w:r w:rsidRPr="007B62AA">
              <w:t xml:space="preserve"> </w:t>
            </w:r>
            <w:r w:rsidRPr="007B62AA">
              <w:br/>
            </w:r>
            <w:r w:rsidRPr="007B62AA">
              <w:rPr>
                <w:b/>
                <w:sz w:val="20"/>
              </w:rPr>
              <w:t>2022</w:t>
            </w:r>
          </w:p>
        </w:tc>
        <w:tc>
          <w:tcPr>
            <w:tcW w:w="406" w:type="pct"/>
            <w:shd w:val="clear" w:color="auto" w:fill="auto"/>
            <w:vAlign w:val="center"/>
          </w:tcPr>
          <w:p w14:paraId="16224000" w14:textId="77777777" w:rsidR="00B50935" w:rsidRPr="007B62AA" w:rsidRDefault="00B50935" w:rsidP="00427764">
            <w:pPr>
              <w:spacing w:before="20" w:after="20"/>
              <w:jc w:val="center"/>
              <w:rPr>
                <w:noProof/>
                <w:sz w:val="20"/>
              </w:rPr>
            </w:pPr>
            <w:r w:rsidRPr="007B62AA">
              <w:rPr>
                <w:sz w:val="20"/>
              </w:rPr>
              <w:t>Rok</w:t>
            </w:r>
            <w:r w:rsidRPr="007B62AA">
              <w:t xml:space="preserve"> </w:t>
            </w:r>
            <w:r w:rsidRPr="007B62AA">
              <w:br/>
            </w:r>
            <w:r w:rsidRPr="007B62AA">
              <w:rPr>
                <w:b/>
                <w:sz w:val="20"/>
              </w:rPr>
              <w:t>2023</w:t>
            </w:r>
          </w:p>
        </w:tc>
        <w:tc>
          <w:tcPr>
            <w:tcW w:w="497" w:type="pct"/>
            <w:shd w:val="clear" w:color="auto" w:fill="auto"/>
            <w:vAlign w:val="center"/>
          </w:tcPr>
          <w:p w14:paraId="3AFDEB76" w14:textId="77777777" w:rsidR="00B50935" w:rsidRPr="007B62AA" w:rsidRDefault="00B50935" w:rsidP="00427764">
            <w:pPr>
              <w:spacing w:before="20" w:after="20"/>
              <w:jc w:val="center"/>
              <w:rPr>
                <w:noProof/>
                <w:sz w:val="20"/>
              </w:rPr>
            </w:pPr>
            <w:r w:rsidRPr="007B62AA">
              <w:rPr>
                <w:sz w:val="20"/>
              </w:rPr>
              <w:t>Rok</w:t>
            </w:r>
            <w:r w:rsidRPr="007B62AA">
              <w:t xml:space="preserve"> </w:t>
            </w:r>
            <w:r w:rsidRPr="007B62AA">
              <w:br/>
            </w:r>
            <w:r w:rsidRPr="007B62AA">
              <w:rPr>
                <w:b/>
                <w:sz w:val="20"/>
              </w:rPr>
              <w:t>2024</w:t>
            </w:r>
          </w:p>
        </w:tc>
        <w:tc>
          <w:tcPr>
            <w:tcW w:w="431" w:type="pct"/>
            <w:gridSpan w:val="2"/>
            <w:shd w:val="clear" w:color="auto" w:fill="auto"/>
            <w:vAlign w:val="center"/>
          </w:tcPr>
          <w:p w14:paraId="3A3ECED5" w14:textId="77777777" w:rsidR="00B50935" w:rsidRPr="007B62AA" w:rsidRDefault="00B50935" w:rsidP="00427764">
            <w:pPr>
              <w:tabs>
                <w:tab w:val="left" w:pos="685"/>
              </w:tabs>
              <w:jc w:val="center"/>
              <w:rPr>
                <w:b/>
                <w:noProof/>
                <w:sz w:val="20"/>
              </w:rPr>
            </w:pPr>
            <w:r w:rsidRPr="007B62AA">
              <w:rPr>
                <w:sz w:val="20"/>
              </w:rPr>
              <w:t>Rok</w:t>
            </w:r>
            <w:r w:rsidRPr="007B62AA">
              <w:t xml:space="preserve"> </w:t>
            </w:r>
            <w:r w:rsidRPr="007B62AA">
              <w:br/>
            </w:r>
            <w:r w:rsidRPr="007B62AA">
              <w:rPr>
                <w:b/>
                <w:sz w:val="20"/>
              </w:rPr>
              <w:t>2025</w:t>
            </w:r>
          </w:p>
        </w:tc>
        <w:tc>
          <w:tcPr>
            <w:tcW w:w="431" w:type="pct"/>
            <w:gridSpan w:val="2"/>
            <w:shd w:val="clear" w:color="auto" w:fill="auto"/>
            <w:vAlign w:val="center"/>
          </w:tcPr>
          <w:p w14:paraId="1691875D" w14:textId="77777777" w:rsidR="00B50935" w:rsidRPr="007B62AA" w:rsidRDefault="00B50935" w:rsidP="00427764">
            <w:pPr>
              <w:tabs>
                <w:tab w:val="left" w:pos="685"/>
              </w:tabs>
              <w:jc w:val="center"/>
              <w:rPr>
                <w:b/>
                <w:noProof/>
                <w:sz w:val="20"/>
              </w:rPr>
            </w:pPr>
            <w:r w:rsidRPr="007B62AA">
              <w:rPr>
                <w:sz w:val="20"/>
              </w:rPr>
              <w:t>Rok</w:t>
            </w:r>
            <w:r w:rsidRPr="007B62AA">
              <w:t xml:space="preserve"> </w:t>
            </w:r>
            <w:r w:rsidRPr="007B62AA">
              <w:br/>
            </w:r>
            <w:r w:rsidRPr="007B62AA">
              <w:rPr>
                <w:b/>
                <w:sz w:val="20"/>
              </w:rPr>
              <w:t>2026</w:t>
            </w:r>
          </w:p>
        </w:tc>
        <w:tc>
          <w:tcPr>
            <w:tcW w:w="431" w:type="pct"/>
            <w:shd w:val="clear" w:color="auto" w:fill="auto"/>
            <w:vAlign w:val="center"/>
          </w:tcPr>
          <w:p w14:paraId="6802C749" w14:textId="5A286CDC" w:rsidR="00B50935" w:rsidRPr="007B62AA" w:rsidRDefault="00B50935" w:rsidP="00427764">
            <w:pPr>
              <w:tabs>
                <w:tab w:val="left" w:pos="685"/>
              </w:tabs>
              <w:jc w:val="center"/>
              <w:rPr>
                <w:b/>
                <w:noProof/>
                <w:sz w:val="20"/>
              </w:rPr>
            </w:pPr>
            <w:r w:rsidRPr="007B62AA">
              <w:rPr>
                <w:sz w:val="20"/>
              </w:rPr>
              <w:t>Rok</w:t>
            </w:r>
            <w:r w:rsidRPr="007B62AA">
              <w:t xml:space="preserve"> </w:t>
            </w:r>
            <w:r w:rsidRPr="007B62AA">
              <w:br/>
            </w:r>
            <w:r w:rsidRPr="007B62AA">
              <w:rPr>
                <w:b/>
                <w:sz w:val="20"/>
              </w:rPr>
              <w:t>2027</w:t>
            </w:r>
            <w:r w:rsidRPr="007B62AA">
              <w:rPr>
                <w:sz w:val="20"/>
              </w:rPr>
              <w:t xml:space="preserve"> </w:t>
            </w:r>
            <w:r w:rsidR="007D1A43">
              <w:rPr>
                <w:sz w:val="20"/>
              </w:rPr>
              <w:br/>
            </w:r>
            <w:r w:rsidRPr="007B62AA">
              <w:rPr>
                <w:sz w:val="20"/>
              </w:rPr>
              <w:t>a nasl.</w:t>
            </w:r>
          </w:p>
        </w:tc>
      </w:tr>
      <w:tr w:rsidR="00B50935" w:rsidRPr="007B62AA" w14:paraId="12EC88DF" w14:textId="77777777" w:rsidTr="00427764">
        <w:trPr>
          <w:trHeight w:val="289"/>
          <w:jc w:val="center"/>
        </w:trPr>
        <w:tc>
          <w:tcPr>
            <w:tcW w:w="2044" w:type="pct"/>
            <w:gridSpan w:val="2"/>
            <w:shd w:val="clear" w:color="auto" w:fill="auto"/>
            <w:vAlign w:val="center"/>
          </w:tcPr>
          <w:p w14:paraId="2D71FDF6" w14:textId="77777777" w:rsidR="00B50935" w:rsidRPr="007B62AA" w:rsidRDefault="00B50935" w:rsidP="00F36FFA">
            <w:pPr>
              <w:pStyle w:val="Text1"/>
              <w:numPr>
                <w:ilvl w:val="0"/>
                <w:numId w:val="17"/>
              </w:numPr>
              <w:tabs>
                <w:tab w:val="left" w:pos="208"/>
              </w:tabs>
              <w:spacing w:beforeLines="20" w:before="48" w:afterLines="20" w:after="48"/>
              <w:ind w:left="208" w:hanging="120"/>
              <w:jc w:val="left"/>
              <w:rPr>
                <w:b/>
                <w:noProof/>
                <w:sz w:val="20"/>
              </w:rPr>
            </w:pPr>
            <w:r w:rsidRPr="007B62AA">
              <w:rPr>
                <w:b/>
                <w:sz w:val="20"/>
              </w:rPr>
              <w:t>Plán pracovných miest (úradníci a dočasní zamestnanci)</w:t>
            </w:r>
          </w:p>
        </w:tc>
        <w:tc>
          <w:tcPr>
            <w:tcW w:w="386" w:type="pct"/>
            <w:shd w:val="clear" w:color="auto" w:fill="auto"/>
            <w:vAlign w:val="center"/>
          </w:tcPr>
          <w:p w14:paraId="09289EA3" w14:textId="77777777" w:rsidR="00B50935" w:rsidRPr="007B62AA" w:rsidRDefault="00B50935" w:rsidP="00427764">
            <w:pPr>
              <w:spacing w:beforeLines="20" w:before="48" w:afterLines="20" w:after="48"/>
              <w:jc w:val="center"/>
              <w:rPr>
                <w:noProof/>
                <w:sz w:val="20"/>
              </w:rPr>
            </w:pPr>
          </w:p>
        </w:tc>
        <w:tc>
          <w:tcPr>
            <w:tcW w:w="368" w:type="pct"/>
            <w:shd w:val="clear" w:color="auto" w:fill="auto"/>
            <w:vAlign w:val="center"/>
          </w:tcPr>
          <w:p w14:paraId="765A85A3" w14:textId="77777777" w:rsidR="00B50935" w:rsidRPr="007B62AA" w:rsidRDefault="00B50935" w:rsidP="00427764">
            <w:pPr>
              <w:spacing w:beforeLines="20" w:before="48" w:afterLines="20" w:after="48"/>
              <w:jc w:val="center"/>
              <w:rPr>
                <w:noProof/>
                <w:sz w:val="20"/>
              </w:rPr>
            </w:pPr>
          </w:p>
        </w:tc>
        <w:tc>
          <w:tcPr>
            <w:tcW w:w="406" w:type="pct"/>
            <w:shd w:val="clear" w:color="auto" w:fill="auto"/>
            <w:vAlign w:val="center"/>
          </w:tcPr>
          <w:p w14:paraId="09C5C7C9" w14:textId="77777777" w:rsidR="00B50935" w:rsidRPr="007B62AA" w:rsidRDefault="00B50935" w:rsidP="00427764">
            <w:pPr>
              <w:spacing w:beforeLines="20" w:before="48" w:afterLines="20" w:after="48"/>
              <w:jc w:val="center"/>
              <w:rPr>
                <w:noProof/>
                <w:sz w:val="20"/>
              </w:rPr>
            </w:pPr>
          </w:p>
        </w:tc>
        <w:tc>
          <w:tcPr>
            <w:tcW w:w="497" w:type="pct"/>
            <w:shd w:val="clear" w:color="auto" w:fill="auto"/>
            <w:vAlign w:val="center"/>
          </w:tcPr>
          <w:p w14:paraId="038E3062" w14:textId="77777777" w:rsidR="00B50935" w:rsidRPr="007B62AA" w:rsidRDefault="00B50935" w:rsidP="00427764">
            <w:pPr>
              <w:spacing w:beforeLines="20" w:before="48" w:afterLines="20" w:after="48"/>
              <w:jc w:val="center"/>
              <w:rPr>
                <w:noProof/>
                <w:sz w:val="20"/>
              </w:rPr>
            </w:pPr>
          </w:p>
        </w:tc>
        <w:tc>
          <w:tcPr>
            <w:tcW w:w="424" w:type="pct"/>
            <w:shd w:val="clear" w:color="auto" w:fill="auto"/>
            <w:vAlign w:val="center"/>
          </w:tcPr>
          <w:p w14:paraId="00E2C239" w14:textId="77777777" w:rsidR="00B50935" w:rsidRPr="007B62AA" w:rsidRDefault="00B50935" w:rsidP="00427764">
            <w:pPr>
              <w:spacing w:beforeLines="20" w:before="48" w:afterLines="20" w:after="48"/>
              <w:jc w:val="center"/>
              <w:rPr>
                <w:noProof/>
                <w:sz w:val="20"/>
              </w:rPr>
            </w:pPr>
          </w:p>
        </w:tc>
        <w:tc>
          <w:tcPr>
            <w:tcW w:w="423" w:type="pct"/>
            <w:gridSpan w:val="2"/>
            <w:shd w:val="clear" w:color="auto" w:fill="auto"/>
            <w:vAlign w:val="center"/>
          </w:tcPr>
          <w:p w14:paraId="1641B50A" w14:textId="77777777" w:rsidR="00B50935" w:rsidRPr="007B62AA" w:rsidRDefault="00B50935" w:rsidP="00427764">
            <w:pPr>
              <w:spacing w:beforeLines="20" w:before="48" w:afterLines="20" w:after="48"/>
              <w:jc w:val="center"/>
              <w:rPr>
                <w:noProof/>
                <w:sz w:val="20"/>
              </w:rPr>
            </w:pPr>
          </w:p>
        </w:tc>
        <w:tc>
          <w:tcPr>
            <w:tcW w:w="452" w:type="pct"/>
            <w:gridSpan w:val="3"/>
            <w:shd w:val="clear" w:color="auto" w:fill="auto"/>
            <w:vAlign w:val="center"/>
          </w:tcPr>
          <w:p w14:paraId="71CAFA2D" w14:textId="77777777" w:rsidR="00B50935" w:rsidRPr="007B62AA" w:rsidRDefault="00B50935" w:rsidP="00427764">
            <w:pPr>
              <w:spacing w:beforeLines="20" w:before="48" w:afterLines="20" w:after="48"/>
              <w:jc w:val="center"/>
              <w:rPr>
                <w:noProof/>
                <w:sz w:val="20"/>
              </w:rPr>
            </w:pPr>
          </w:p>
        </w:tc>
      </w:tr>
      <w:tr w:rsidR="00B50935" w:rsidRPr="007B62AA" w14:paraId="7299EBB1" w14:textId="77777777" w:rsidTr="00427764">
        <w:trPr>
          <w:trHeight w:val="289"/>
          <w:jc w:val="center"/>
        </w:trPr>
        <w:tc>
          <w:tcPr>
            <w:tcW w:w="2044" w:type="pct"/>
            <w:gridSpan w:val="2"/>
            <w:shd w:val="clear" w:color="auto" w:fill="auto"/>
            <w:vAlign w:val="center"/>
          </w:tcPr>
          <w:p w14:paraId="174BA044" w14:textId="77777777" w:rsidR="00B50935" w:rsidRPr="007B62AA" w:rsidRDefault="00B50935" w:rsidP="00427764">
            <w:pPr>
              <w:pStyle w:val="Text1"/>
              <w:spacing w:beforeLines="20" w:before="48" w:afterLines="20" w:after="48"/>
              <w:ind w:left="984"/>
              <w:jc w:val="left"/>
              <w:rPr>
                <w:b/>
                <w:noProof/>
                <w:sz w:val="20"/>
              </w:rPr>
            </w:pPr>
            <w:r w:rsidRPr="007B62AA">
              <w:rPr>
                <w:sz w:val="20"/>
              </w:rPr>
              <w:t>XX 01 01 01 (ústredie a zastúpenia Komisie)</w:t>
            </w:r>
          </w:p>
        </w:tc>
        <w:tc>
          <w:tcPr>
            <w:tcW w:w="386" w:type="pct"/>
            <w:shd w:val="clear" w:color="auto" w:fill="auto"/>
            <w:vAlign w:val="center"/>
          </w:tcPr>
          <w:p w14:paraId="4B500E98" w14:textId="77777777" w:rsidR="00B50935" w:rsidRPr="007B62AA" w:rsidRDefault="00B50935" w:rsidP="00427764">
            <w:pPr>
              <w:spacing w:beforeLines="20" w:before="48" w:afterLines="20" w:after="48"/>
              <w:jc w:val="center"/>
              <w:rPr>
                <w:noProof/>
                <w:sz w:val="20"/>
              </w:rPr>
            </w:pPr>
          </w:p>
        </w:tc>
        <w:tc>
          <w:tcPr>
            <w:tcW w:w="368" w:type="pct"/>
            <w:shd w:val="clear" w:color="auto" w:fill="auto"/>
            <w:vAlign w:val="center"/>
          </w:tcPr>
          <w:p w14:paraId="594CB868" w14:textId="77777777" w:rsidR="00B50935" w:rsidRPr="007B62AA" w:rsidRDefault="00B50935" w:rsidP="00427764">
            <w:pPr>
              <w:spacing w:beforeLines="20" w:before="48" w:afterLines="20" w:after="48"/>
              <w:jc w:val="center"/>
              <w:rPr>
                <w:noProof/>
                <w:sz w:val="20"/>
              </w:rPr>
            </w:pPr>
          </w:p>
        </w:tc>
        <w:tc>
          <w:tcPr>
            <w:tcW w:w="406" w:type="pct"/>
            <w:shd w:val="clear" w:color="auto" w:fill="auto"/>
            <w:vAlign w:val="center"/>
          </w:tcPr>
          <w:p w14:paraId="6F4B49CA" w14:textId="77777777" w:rsidR="00B50935" w:rsidRPr="007B62AA" w:rsidRDefault="00B50935" w:rsidP="00427764">
            <w:pPr>
              <w:spacing w:beforeLines="20" w:before="48" w:afterLines="20" w:after="48"/>
              <w:jc w:val="center"/>
              <w:rPr>
                <w:noProof/>
                <w:sz w:val="20"/>
              </w:rPr>
            </w:pPr>
          </w:p>
        </w:tc>
        <w:tc>
          <w:tcPr>
            <w:tcW w:w="497" w:type="pct"/>
            <w:shd w:val="clear" w:color="auto" w:fill="auto"/>
            <w:vAlign w:val="center"/>
          </w:tcPr>
          <w:p w14:paraId="365ACCAF" w14:textId="77777777" w:rsidR="00B50935" w:rsidRPr="007B62AA" w:rsidRDefault="00B50935" w:rsidP="00427764">
            <w:pPr>
              <w:spacing w:beforeLines="20" w:before="48" w:afterLines="20" w:after="48"/>
              <w:jc w:val="center"/>
              <w:rPr>
                <w:noProof/>
                <w:sz w:val="20"/>
              </w:rPr>
            </w:pPr>
          </w:p>
        </w:tc>
        <w:tc>
          <w:tcPr>
            <w:tcW w:w="424" w:type="pct"/>
            <w:shd w:val="clear" w:color="auto" w:fill="auto"/>
            <w:vAlign w:val="center"/>
          </w:tcPr>
          <w:p w14:paraId="546B2A9E" w14:textId="77777777" w:rsidR="00B50935" w:rsidRPr="007B62AA" w:rsidRDefault="00B50935" w:rsidP="00427764">
            <w:pPr>
              <w:spacing w:beforeLines="20" w:before="48" w:afterLines="20" w:after="48"/>
              <w:jc w:val="center"/>
              <w:rPr>
                <w:noProof/>
                <w:sz w:val="20"/>
              </w:rPr>
            </w:pPr>
          </w:p>
        </w:tc>
        <w:tc>
          <w:tcPr>
            <w:tcW w:w="423" w:type="pct"/>
            <w:gridSpan w:val="2"/>
            <w:shd w:val="clear" w:color="auto" w:fill="auto"/>
            <w:vAlign w:val="center"/>
          </w:tcPr>
          <w:p w14:paraId="2E4ECF75" w14:textId="77777777" w:rsidR="00B50935" w:rsidRPr="007B62AA" w:rsidRDefault="00B50935" w:rsidP="00427764">
            <w:pPr>
              <w:spacing w:beforeLines="20" w:before="48" w:afterLines="20" w:after="48"/>
              <w:jc w:val="center"/>
              <w:rPr>
                <w:noProof/>
                <w:sz w:val="20"/>
              </w:rPr>
            </w:pPr>
          </w:p>
        </w:tc>
        <w:tc>
          <w:tcPr>
            <w:tcW w:w="452" w:type="pct"/>
            <w:gridSpan w:val="3"/>
            <w:shd w:val="clear" w:color="auto" w:fill="auto"/>
            <w:vAlign w:val="center"/>
          </w:tcPr>
          <w:p w14:paraId="2079901A" w14:textId="77777777" w:rsidR="00B50935" w:rsidRPr="007B62AA" w:rsidRDefault="00B50935" w:rsidP="00427764">
            <w:pPr>
              <w:spacing w:beforeLines="20" w:before="48" w:afterLines="20" w:after="48"/>
              <w:jc w:val="center"/>
              <w:rPr>
                <w:noProof/>
                <w:sz w:val="20"/>
              </w:rPr>
            </w:pPr>
          </w:p>
        </w:tc>
      </w:tr>
      <w:tr w:rsidR="00B50935" w:rsidRPr="007B62AA" w14:paraId="3E896A6D" w14:textId="77777777" w:rsidTr="00427764">
        <w:trPr>
          <w:trHeight w:val="289"/>
          <w:jc w:val="center"/>
        </w:trPr>
        <w:tc>
          <w:tcPr>
            <w:tcW w:w="2044" w:type="pct"/>
            <w:gridSpan w:val="2"/>
            <w:shd w:val="clear" w:color="auto" w:fill="auto"/>
            <w:vAlign w:val="center"/>
          </w:tcPr>
          <w:p w14:paraId="15F3D2A0" w14:textId="77777777" w:rsidR="00B50935" w:rsidRPr="007B62AA" w:rsidRDefault="00B50935" w:rsidP="00427764">
            <w:pPr>
              <w:pStyle w:val="Text1"/>
              <w:spacing w:beforeLines="20" w:before="48" w:afterLines="20" w:after="48"/>
              <w:ind w:left="984"/>
              <w:jc w:val="left"/>
              <w:rPr>
                <w:noProof/>
                <w:sz w:val="20"/>
              </w:rPr>
            </w:pPr>
            <w:r w:rsidRPr="007B62AA">
              <w:rPr>
                <w:sz w:val="20"/>
              </w:rPr>
              <w:t>XX 01 01 02 (delegácie)</w:t>
            </w:r>
          </w:p>
        </w:tc>
        <w:tc>
          <w:tcPr>
            <w:tcW w:w="386" w:type="pct"/>
            <w:shd w:val="clear" w:color="auto" w:fill="auto"/>
            <w:vAlign w:val="center"/>
          </w:tcPr>
          <w:p w14:paraId="45E3F833" w14:textId="77777777" w:rsidR="00B50935" w:rsidRPr="007B62AA" w:rsidRDefault="00B50935" w:rsidP="00427764">
            <w:pPr>
              <w:spacing w:beforeLines="20" w:before="48" w:afterLines="20" w:after="48"/>
              <w:jc w:val="center"/>
              <w:rPr>
                <w:noProof/>
                <w:sz w:val="20"/>
              </w:rPr>
            </w:pPr>
          </w:p>
        </w:tc>
        <w:tc>
          <w:tcPr>
            <w:tcW w:w="368" w:type="pct"/>
            <w:shd w:val="clear" w:color="auto" w:fill="auto"/>
            <w:vAlign w:val="center"/>
          </w:tcPr>
          <w:p w14:paraId="55B59F95" w14:textId="77777777" w:rsidR="00B50935" w:rsidRPr="007B62AA" w:rsidRDefault="00B50935" w:rsidP="00427764">
            <w:pPr>
              <w:spacing w:beforeLines="20" w:before="48" w:afterLines="20" w:after="48"/>
              <w:jc w:val="center"/>
              <w:rPr>
                <w:noProof/>
                <w:sz w:val="20"/>
              </w:rPr>
            </w:pPr>
          </w:p>
        </w:tc>
        <w:tc>
          <w:tcPr>
            <w:tcW w:w="406" w:type="pct"/>
            <w:shd w:val="clear" w:color="auto" w:fill="auto"/>
            <w:vAlign w:val="center"/>
          </w:tcPr>
          <w:p w14:paraId="33B7F5EA" w14:textId="77777777" w:rsidR="00B50935" w:rsidRPr="007B62AA" w:rsidRDefault="00B50935" w:rsidP="00427764">
            <w:pPr>
              <w:spacing w:beforeLines="20" w:before="48" w:afterLines="20" w:after="48"/>
              <w:jc w:val="center"/>
              <w:rPr>
                <w:noProof/>
                <w:sz w:val="20"/>
              </w:rPr>
            </w:pPr>
          </w:p>
        </w:tc>
        <w:tc>
          <w:tcPr>
            <w:tcW w:w="497" w:type="pct"/>
            <w:shd w:val="clear" w:color="auto" w:fill="auto"/>
            <w:vAlign w:val="center"/>
          </w:tcPr>
          <w:p w14:paraId="3361E33B" w14:textId="77777777" w:rsidR="00B50935" w:rsidRPr="007B62AA" w:rsidRDefault="00B50935" w:rsidP="00427764">
            <w:pPr>
              <w:spacing w:beforeLines="20" w:before="48" w:afterLines="20" w:after="48"/>
              <w:jc w:val="center"/>
              <w:rPr>
                <w:noProof/>
                <w:sz w:val="20"/>
              </w:rPr>
            </w:pPr>
          </w:p>
        </w:tc>
        <w:tc>
          <w:tcPr>
            <w:tcW w:w="424" w:type="pct"/>
            <w:shd w:val="clear" w:color="auto" w:fill="auto"/>
            <w:vAlign w:val="center"/>
          </w:tcPr>
          <w:p w14:paraId="4D572460" w14:textId="77777777" w:rsidR="00B50935" w:rsidRPr="007B62AA" w:rsidRDefault="00B50935" w:rsidP="00427764">
            <w:pPr>
              <w:spacing w:beforeLines="20" w:before="48" w:afterLines="20" w:after="48"/>
              <w:jc w:val="center"/>
              <w:rPr>
                <w:noProof/>
                <w:sz w:val="20"/>
              </w:rPr>
            </w:pPr>
          </w:p>
        </w:tc>
        <w:tc>
          <w:tcPr>
            <w:tcW w:w="423" w:type="pct"/>
            <w:gridSpan w:val="2"/>
            <w:shd w:val="clear" w:color="auto" w:fill="auto"/>
            <w:vAlign w:val="center"/>
          </w:tcPr>
          <w:p w14:paraId="231B5DD4" w14:textId="77777777" w:rsidR="00B50935" w:rsidRPr="007B62AA" w:rsidRDefault="00B50935" w:rsidP="00427764">
            <w:pPr>
              <w:spacing w:beforeLines="20" w:before="48" w:afterLines="20" w:after="48"/>
              <w:jc w:val="center"/>
              <w:rPr>
                <w:noProof/>
                <w:sz w:val="20"/>
              </w:rPr>
            </w:pPr>
          </w:p>
        </w:tc>
        <w:tc>
          <w:tcPr>
            <w:tcW w:w="452" w:type="pct"/>
            <w:gridSpan w:val="3"/>
            <w:shd w:val="clear" w:color="auto" w:fill="auto"/>
            <w:vAlign w:val="center"/>
          </w:tcPr>
          <w:p w14:paraId="6BEB5785" w14:textId="77777777" w:rsidR="00B50935" w:rsidRPr="007B62AA" w:rsidRDefault="00B50935" w:rsidP="00427764">
            <w:pPr>
              <w:spacing w:beforeLines="20" w:before="48" w:afterLines="20" w:after="48"/>
              <w:jc w:val="center"/>
              <w:rPr>
                <w:noProof/>
                <w:sz w:val="20"/>
              </w:rPr>
            </w:pPr>
          </w:p>
        </w:tc>
      </w:tr>
      <w:tr w:rsidR="00B50935" w:rsidRPr="007B62AA" w14:paraId="6916D931" w14:textId="77777777" w:rsidTr="00427764">
        <w:trPr>
          <w:trHeight w:val="953"/>
          <w:jc w:val="center"/>
        </w:trPr>
        <w:tc>
          <w:tcPr>
            <w:tcW w:w="2044" w:type="pct"/>
            <w:gridSpan w:val="2"/>
            <w:shd w:val="clear" w:color="auto" w:fill="auto"/>
            <w:vAlign w:val="center"/>
          </w:tcPr>
          <w:p w14:paraId="38C49AA9" w14:textId="77777777" w:rsidR="00B50935" w:rsidRPr="007B62AA" w:rsidRDefault="00B50935" w:rsidP="00427764">
            <w:pPr>
              <w:pStyle w:val="Text1"/>
              <w:spacing w:beforeLines="20" w:before="48" w:afterLines="20" w:after="48"/>
              <w:ind w:left="984"/>
              <w:jc w:val="left"/>
              <w:rPr>
                <w:noProof/>
                <w:sz w:val="20"/>
              </w:rPr>
            </w:pPr>
            <w:r w:rsidRPr="007B62AA">
              <w:rPr>
                <w:sz w:val="20"/>
              </w:rPr>
              <w:t>XX 01 05 01 (nepriamy výskum)</w:t>
            </w:r>
          </w:p>
        </w:tc>
        <w:tc>
          <w:tcPr>
            <w:tcW w:w="386" w:type="pct"/>
            <w:shd w:val="clear" w:color="auto" w:fill="auto"/>
            <w:vAlign w:val="center"/>
          </w:tcPr>
          <w:p w14:paraId="696E0EAC" w14:textId="77777777" w:rsidR="00B50935" w:rsidRPr="007B62AA" w:rsidRDefault="00B50935" w:rsidP="00427764">
            <w:pPr>
              <w:spacing w:beforeLines="20" w:before="48" w:afterLines="20" w:after="48"/>
              <w:jc w:val="center"/>
              <w:rPr>
                <w:noProof/>
                <w:sz w:val="20"/>
              </w:rPr>
            </w:pPr>
          </w:p>
        </w:tc>
        <w:tc>
          <w:tcPr>
            <w:tcW w:w="368" w:type="pct"/>
            <w:shd w:val="clear" w:color="auto" w:fill="auto"/>
            <w:vAlign w:val="center"/>
          </w:tcPr>
          <w:p w14:paraId="3E35CF0D" w14:textId="77777777" w:rsidR="00B50935" w:rsidRPr="007B62AA" w:rsidRDefault="00B50935" w:rsidP="00427764">
            <w:pPr>
              <w:spacing w:beforeLines="20" w:before="48" w:afterLines="20" w:after="48"/>
              <w:jc w:val="center"/>
              <w:rPr>
                <w:noProof/>
                <w:sz w:val="20"/>
              </w:rPr>
            </w:pPr>
          </w:p>
        </w:tc>
        <w:tc>
          <w:tcPr>
            <w:tcW w:w="406" w:type="pct"/>
            <w:shd w:val="clear" w:color="auto" w:fill="auto"/>
            <w:vAlign w:val="center"/>
          </w:tcPr>
          <w:p w14:paraId="3154F526" w14:textId="77777777" w:rsidR="00B50935" w:rsidRPr="007B62AA" w:rsidRDefault="00B50935" w:rsidP="00427764">
            <w:pPr>
              <w:spacing w:beforeLines="20" w:before="48" w:afterLines="20" w:after="48"/>
              <w:jc w:val="center"/>
              <w:rPr>
                <w:noProof/>
                <w:sz w:val="20"/>
              </w:rPr>
            </w:pPr>
          </w:p>
        </w:tc>
        <w:tc>
          <w:tcPr>
            <w:tcW w:w="497" w:type="pct"/>
            <w:shd w:val="clear" w:color="auto" w:fill="auto"/>
            <w:vAlign w:val="center"/>
          </w:tcPr>
          <w:p w14:paraId="234D7AF6" w14:textId="77777777" w:rsidR="00B50935" w:rsidRPr="007B62AA" w:rsidRDefault="00B50935" w:rsidP="00427764">
            <w:pPr>
              <w:spacing w:beforeLines="20" w:before="48" w:afterLines="20" w:after="48"/>
              <w:jc w:val="center"/>
              <w:rPr>
                <w:noProof/>
                <w:sz w:val="20"/>
              </w:rPr>
            </w:pPr>
          </w:p>
        </w:tc>
        <w:tc>
          <w:tcPr>
            <w:tcW w:w="424" w:type="pct"/>
            <w:shd w:val="clear" w:color="auto" w:fill="auto"/>
            <w:vAlign w:val="center"/>
          </w:tcPr>
          <w:p w14:paraId="6E730622" w14:textId="77777777" w:rsidR="00B50935" w:rsidRPr="007B62AA" w:rsidRDefault="00B50935" w:rsidP="00427764">
            <w:pPr>
              <w:spacing w:beforeLines="20" w:before="48" w:afterLines="20" w:after="48"/>
              <w:jc w:val="center"/>
              <w:rPr>
                <w:noProof/>
                <w:sz w:val="20"/>
              </w:rPr>
            </w:pPr>
          </w:p>
        </w:tc>
        <w:tc>
          <w:tcPr>
            <w:tcW w:w="423" w:type="pct"/>
            <w:gridSpan w:val="2"/>
            <w:shd w:val="clear" w:color="auto" w:fill="auto"/>
            <w:vAlign w:val="center"/>
          </w:tcPr>
          <w:p w14:paraId="4DBF2D3A" w14:textId="77777777" w:rsidR="00B50935" w:rsidRPr="007B62AA" w:rsidRDefault="00B50935" w:rsidP="00427764">
            <w:pPr>
              <w:spacing w:beforeLines="20" w:before="48" w:afterLines="20" w:after="48"/>
              <w:jc w:val="center"/>
              <w:rPr>
                <w:noProof/>
                <w:sz w:val="20"/>
              </w:rPr>
            </w:pPr>
          </w:p>
        </w:tc>
        <w:tc>
          <w:tcPr>
            <w:tcW w:w="452" w:type="pct"/>
            <w:gridSpan w:val="3"/>
            <w:shd w:val="clear" w:color="auto" w:fill="auto"/>
            <w:vAlign w:val="center"/>
          </w:tcPr>
          <w:p w14:paraId="3A36F30C" w14:textId="77777777" w:rsidR="00B50935" w:rsidRPr="007B62AA" w:rsidRDefault="00B50935" w:rsidP="00427764">
            <w:pPr>
              <w:spacing w:beforeLines="20" w:before="48" w:afterLines="20" w:after="48"/>
              <w:jc w:val="center"/>
              <w:rPr>
                <w:noProof/>
                <w:sz w:val="20"/>
              </w:rPr>
            </w:pPr>
          </w:p>
        </w:tc>
      </w:tr>
      <w:tr w:rsidR="00B50935" w:rsidRPr="007B62AA" w14:paraId="27592BA5" w14:textId="77777777" w:rsidTr="00427764">
        <w:trPr>
          <w:trHeight w:val="289"/>
          <w:jc w:val="center"/>
        </w:trPr>
        <w:tc>
          <w:tcPr>
            <w:tcW w:w="2044" w:type="pct"/>
            <w:gridSpan w:val="2"/>
            <w:shd w:val="clear" w:color="auto" w:fill="auto"/>
            <w:vAlign w:val="center"/>
          </w:tcPr>
          <w:p w14:paraId="2C9711BB" w14:textId="77777777" w:rsidR="00B50935" w:rsidRPr="007B62AA" w:rsidRDefault="00B50935" w:rsidP="00427764">
            <w:pPr>
              <w:pStyle w:val="Text1"/>
              <w:spacing w:beforeLines="20" w:before="48" w:afterLines="20" w:after="48"/>
              <w:ind w:left="984"/>
              <w:jc w:val="left"/>
              <w:rPr>
                <w:noProof/>
                <w:sz w:val="20"/>
              </w:rPr>
            </w:pPr>
            <w:r w:rsidRPr="007B62AA">
              <w:rPr>
                <w:sz w:val="20"/>
              </w:rPr>
              <w:t>10 01 05 01 (priamy výskum)</w:t>
            </w:r>
          </w:p>
        </w:tc>
        <w:tc>
          <w:tcPr>
            <w:tcW w:w="386" w:type="pct"/>
            <w:shd w:val="clear" w:color="auto" w:fill="auto"/>
            <w:vAlign w:val="center"/>
          </w:tcPr>
          <w:p w14:paraId="3A90001C" w14:textId="77777777" w:rsidR="00B50935" w:rsidRPr="007B62AA" w:rsidRDefault="00B50935" w:rsidP="00427764">
            <w:pPr>
              <w:spacing w:beforeLines="20" w:before="48" w:afterLines="20" w:after="48"/>
              <w:jc w:val="center"/>
              <w:rPr>
                <w:noProof/>
                <w:sz w:val="20"/>
              </w:rPr>
            </w:pPr>
          </w:p>
        </w:tc>
        <w:tc>
          <w:tcPr>
            <w:tcW w:w="368" w:type="pct"/>
            <w:shd w:val="clear" w:color="auto" w:fill="auto"/>
            <w:vAlign w:val="center"/>
          </w:tcPr>
          <w:p w14:paraId="41610F75" w14:textId="77777777" w:rsidR="00B50935" w:rsidRPr="007B62AA" w:rsidRDefault="00B50935" w:rsidP="00427764">
            <w:pPr>
              <w:spacing w:beforeLines="20" w:before="48" w:afterLines="20" w:after="48"/>
              <w:jc w:val="center"/>
              <w:rPr>
                <w:noProof/>
                <w:sz w:val="20"/>
              </w:rPr>
            </w:pPr>
          </w:p>
        </w:tc>
        <w:tc>
          <w:tcPr>
            <w:tcW w:w="406" w:type="pct"/>
            <w:shd w:val="clear" w:color="auto" w:fill="auto"/>
            <w:vAlign w:val="center"/>
          </w:tcPr>
          <w:p w14:paraId="439ADAD0" w14:textId="77777777" w:rsidR="00B50935" w:rsidRPr="007B62AA" w:rsidRDefault="00B50935" w:rsidP="00427764">
            <w:pPr>
              <w:spacing w:beforeLines="20" w:before="48" w:afterLines="20" w:after="48"/>
              <w:jc w:val="center"/>
              <w:rPr>
                <w:noProof/>
                <w:sz w:val="20"/>
              </w:rPr>
            </w:pPr>
          </w:p>
        </w:tc>
        <w:tc>
          <w:tcPr>
            <w:tcW w:w="497" w:type="pct"/>
            <w:shd w:val="clear" w:color="auto" w:fill="auto"/>
            <w:vAlign w:val="center"/>
          </w:tcPr>
          <w:p w14:paraId="26C93934" w14:textId="77777777" w:rsidR="00B50935" w:rsidRPr="007B62AA" w:rsidRDefault="00B50935" w:rsidP="00427764">
            <w:pPr>
              <w:spacing w:beforeLines="20" w:before="48" w:afterLines="20" w:after="48"/>
              <w:jc w:val="center"/>
              <w:rPr>
                <w:noProof/>
                <w:sz w:val="20"/>
              </w:rPr>
            </w:pPr>
          </w:p>
        </w:tc>
        <w:tc>
          <w:tcPr>
            <w:tcW w:w="424" w:type="pct"/>
            <w:shd w:val="clear" w:color="auto" w:fill="auto"/>
            <w:vAlign w:val="center"/>
          </w:tcPr>
          <w:p w14:paraId="10A438FD" w14:textId="77777777" w:rsidR="00B50935" w:rsidRPr="007B62AA" w:rsidRDefault="00B50935" w:rsidP="00427764">
            <w:pPr>
              <w:spacing w:beforeLines="20" w:before="48" w:afterLines="20" w:after="48"/>
              <w:jc w:val="center"/>
              <w:rPr>
                <w:noProof/>
                <w:sz w:val="20"/>
              </w:rPr>
            </w:pPr>
          </w:p>
        </w:tc>
        <w:tc>
          <w:tcPr>
            <w:tcW w:w="423" w:type="pct"/>
            <w:gridSpan w:val="2"/>
            <w:shd w:val="clear" w:color="auto" w:fill="auto"/>
            <w:vAlign w:val="center"/>
          </w:tcPr>
          <w:p w14:paraId="072B0520" w14:textId="77777777" w:rsidR="00B50935" w:rsidRPr="007B62AA" w:rsidRDefault="00B50935" w:rsidP="00427764">
            <w:pPr>
              <w:spacing w:beforeLines="20" w:before="48" w:afterLines="20" w:after="48"/>
              <w:jc w:val="center"/>
              <w:rPr>
                <w:noProof/>
                <w:sz w:val="20"/>
              </w:rPr>
            </w:pPr>
          </w:p>
        </w:tc>
        <w:tc>
          <w:tcPr>
            <w:tcW w:w="452" w:type="pct"/>
            <w:gridSpan w:val="3"/>
            <w:shd w:val="clear" w:color="auto" w:fill="auto"/>
            <w:vAlign w:val="center"/>
          </w:tcPr>
          <w:p w14:paraId="18704D7B" w14:textId="77777777" w:rsidR="00B50935" w:rsidRPr="007B62AA" w:rsidRDefault="00B50935" w:rsidP="00427764">
            <w:pPr>
              <w:spacing w:beforeLines="20" w:before="48" w:afterLines="20" w:after="48"/>
              <w:jc w:val="center"/>
              <w:rPr>
                <w:noProof/>
                <w:sz w:val="20"/>
              </w:rPr>
            </w:pPr>
          </w:p>
        </w:tc>
      </w:tr>
      <w:tr w:rsidR="00B50935" w:rsidRPr="007B62AA" w14:paraId="4827A849" w14:textId="77777777" w:rsidTr="00427764">
        <w:trPr>
          <w:trHeight w:val="289"/>
          <w:jc w:val="center"/>
        </w:trPr>
        <w:tc>
          <w:tcPr>
            <w:tcW w:w="2044" w:type="pct"/>
            <w:gridSpan w:val="2"/>
            <w:shd w:val="clear" w:color="auto" w:fill="auto"/>
            <w:vAlign w:val="center"/>
          </w:tcPr>
          <w:p w14:paraId="22EC291E" w14:textId="77777777" w:rsidR="00B50935" w:rsidRPr="007B62AA" w:rsidRDefault="00B50935" w:rsidP="00427764">
            <w:pPr>
              <w:pStyle w:val="Text1"/>
              <w:spacing w:beforeLines="20" w:before="48" w:afterLines="20" w:after="48"/>
              <w:ind w:left="984"/>
              <w:jc w:val="left"/>
              <w:rPr>
                <w:noProof/>
                <w:sz w:val="20"/>
              </w:rPr>
            </w:pPr>
          </w:p>
        </w:tc>
        <w:tc>
          <w:tcPr>
            <w:tcW w:w="386" w:type="pct"/>
            <w:shd w:val="clear" w:color="auto" w:fill="auto"/>
            <w:vAlign w:val="center"/>
          </w:tcPr>
          <w:p w14:paraId="58F22503" w14:textId="77777777" w:rsidR="00B50935" w:rsidRPr="007B62AA" w:rsidRDefault="00B50935" w:rsidP="00427764">
            <w:pPr>
              <w:spacing w:beforeLines="20" w:before="48" w:afterLines="20" w:after="48"/>
              <w:jc w:val="center"/>
              <w:rPr>
                <w:noProof/>
                <w:sz w:val="20"/>
              </w:rPr>
            </w:pPr>
          </w:p>
        </w:tc>
        <w:tc>
          <w:tcPr>
            <w:tcW w:w="368" w:type="pct"/>
            <w:shd w:val="clear" w:color="auto" w:fill="auto"/>
            <w:vAlign w:val="center"/>
          </w:tcPr>
          <w:p w14:paraId="5C82B802" w14:textId="77777777" w:rsidR="00B50935" w:rsidRPr="007B62AA" w:rsidRDefault="00B50935" w:rsidP="00427764">
            <w:pPr>
              <w:spacing w:beforeLines="20" w:before="48" w:afterLines="20" w:after="48"/>
              <w:jc w:val="center"/>
              <w:rPr>
                <w:noProof/>
                <w:sz w:val="20"/>
              </w:rPr>
            </w:pPr>
          </w:p>
        </w:tc>
        <w:tc>
          <w:tcPr>
            <w:tcW w:w="406" w:type="pct"/>
            <w:shd w:val="clear" w:color="auto" w:fill="auto"/>
            <w:vAlign w:val="center"/>
          </w:tcPr>
          <w:p w14:paraId="1DDA0F5A" w14:textId="77777777" w:rsidR="00B50935" w:rsidRPr="007B62AA" w:rsidRDefault="00B50935" w:rsidP="00427764">
            <w:pPr>
              <w:spacing w:beforeLines="20" w:before="48" w:afterLines="20" w:after="48"/>
              <w:jc w:val="center"/>
              <w:rPr>
                <w:noProof/>
                <w:sz w:val="20"/>
              </w:rPr>
            </w:pPr>
          </w:p>
        </w:tc>
        <w:tc>
          <w:tcPr>
            <w:tcW w:w="497" w:type="pct"/>
            <w:shd w:val="clear" w:color="auto" w:fill="auto"/>
            <w:vAlign w:val="center"/>
          </w:tcPr>
          <w:p w14:paraId="518BB561" w14:textId="77777777" w:rsidR="00B50935" w:rsidRPr="007B62AA" w:rsidRDefault="00B50935" w:rsidP="00427764">
            <w:pPr>
              <w:spacing w:beforeLines="20" w:before="48" w:afterLines="20" w:after="48"/>
              <w:jc w:val="center"/>
              <w:rPr>
                <w:noProof/>
                <w:sz w:val="20"/>
              </w:rPr>
            </w:pPr>
          </w:p>
        </w:tc>
        <w:tc>
          <w:tcPr>
            <w:tcW w:w="424" w:type="pct"/>
            <w:shd w:val="clear" w:color="auto" w:fill="auto"/>
            <w:vAlign w:val="center"/>
          </w:tcPr>
          <w:p w14:paraId="77BA213A" w14:textId="77777777" w:rsidR="00B50935" w:rsidRPr="007B62AA" w:rsidRDefault="00B50935" w:rsidP="00427764">
            <w:pPr>
              <w:spacing w:beforeLines="20" w:before="48" w:afterLines="20" w:after="48"/>
              <w:jc w:val="center"/>
              <w:rPr>
                <w:noProof/>
                <w:sz w:val="20"/>
              </w:rPr>
            </w:pPr>
          </w:p>
        </w:tc>
        <w:tc>
          <w:tcPr>
            <w:tcW w:w="423" w:type="pct"/>
            <w:gridSpan w:val="2"/>
            <w:shd w:val="clear" w:color="auto" w:fill="auto"/>
            <w:vAlign w:val="center"/>
          </w:tcPr>
          <w:p w14:paraId="3A99A9DA" w14:textId="77777777" w:rsidR="00B50935" w:rsidRPr="007B62AA" w:rsidRDefault="00B50935" w:rsidP="00427764">
            <w:pPr>
              <w:spacing w:beforeLines="20" w:before="48" w:afterLines="20" w:after="48"/>
              <w:jc w:val="center"/>
              <w:rPr>
                <w:noProof/>
                <w:sz w:val="20"/>
              </w:rPr>
            </w:pPr>
          </w:p>
        </w:tc>
        <w:tc>
          <w:tcPr>
            <w:tcW w:w="452" w:type="pct"/>
            <w:gridSpan w:val="3"/>
            <w:shd w:val="clear" w:color="auto" w:fill="auto"/>
            <w:vAlign w:val="center"/>
          </w:tcPr>
          <w:p w14:paraId="3415ECBC" w14:textId="77777777" w:rsidR="00B50935" w:rsidRPr="007B62AA" w:rsidRDefault="00B50935" w:rsidP="00427764">
            <w:pPr>
              <w:spacing w:beforeLines="20" w:before="48" w:afterLines="20" w:after="48"/>
              <w:jc w:val="center"/>
              <w:rPr>
                <w:noProof/>
                <w:sz w:val="20"/>
              </w:rPr>
            </w:pPr>
          </w:p>
        </w:tc>
      </w:tr>
      <w:tr w:rsidR="00B50935" w:rsidRPr="007B62AA" w14:paraId="6E5757BF" w14:textId="77777777" w:rsidTr="00427764">
        <w:trPr>
          <w:trHeight w:val="289"/>
          <w:jc w:val="center"/>
        </w:trPr>
        <w:tc>
          <w:tcPr>
            <w:tcW w:w="2044" w:type="pct"/>
            <w:gridSpan w:val="2"/>
            <w:shd w:val="clear" w:color="auto" w:fill="auto"/>
            <w:vAlign w:val="center"/>
          </w:tcPr>
          <w:p w14:paraId="346FD701" w14:textId="77777777" w:rsidR="00B50935" w:rsidRPr="007B62AA" w:rsidRDefault="00B50935" w:rsidP="00427764">
            <w:pPr>
              <w:pStyle w:val="Text1"/>
              <w:spacing w:beforeLines="20" w:before="48" w:afterLines="20" w:after="48"/>
              <w:ind w:left="208" w:hanging="120"/>
              <w:jc w:val="left"/>
              <w:rPr>
                <w:noProof/>
                <w:sz w:val="20"/>
              </w:rPr>
            </w:pPr>
            <w:r w:rsidRPr="007B62AA">
              <w:rPr>
                <w:b/>
                <w:sz w:val="20"/>
              </w:rPr>
              <w:sym w:font="Wingdings" w:char="F09F"/>
            </w:r>
            <w:r w:rsidRPr="007B62AA">
              <w:rPr>
                <w:b/>
                <w:sz w:val="20"/>
              </w:rPr>
              <w:t xml:space="preserve"> Externí zamestnanci (ekvivalent plného pracovného času)</w:t>
            </w:r>
            <w:r w:rsidRPr="007B62AA">
              <w:rPr>
                <w:rStyle w:val="FootnoteReference"/>
                <w:b/>
                <w:noProof/>
                <w:sz w:val="20"/>
              </w:rPr>
              <w:footnoteReference w:id="20"/>
            </w:r>
          </w:p>
        </w:tc>
        <w:tc>
          <w:tcPr>
            <w:tcW w:w="386" w:type="pct"/>
            <w:shd w:val="clear" w:color="auto" w:fill="auto"/>
            <w:vAlign w:val="center"/>
          </w:tcPr>
          <w:p w14:paraId="41981D13" w14:textId="77777777" w:rsidR="00B50935" w:rsidRPr="007B62AA" w:rsidRDefault="00B50935" w:rsidP="00427764">
            <w:pPr>
              <w:spacing w:beforeLines="20" w:before="48" w:afterLines="20" w:after="48"/>
              <w:jc w:val="center"/>
              <w:rPr>
                <w:noProof/>
                <w:sz w:val="20"/>
              </w:rPr>
            </w:pPr>
          </w:p>
        </w:tc>
        <w:tc>
          <w:tcPr>
            <w:tcW w:w="368" w:type="pct"/>
            <w:shd w:val="clear" w:color="auto" w:fill="auto"/>
            <w:vAlign w:val="center"/>
          </w:tcPr>
          <w:p w14:paraId="03A04855" w14:textId="77777777" w:rsidR="00B50935" w:rsidRPr="007B62AA" w:rsidRDefault="00B50935" w:rsidP="00427764">
            <w:pPr>
              <w:spacing w:beforeLines="20" w:before="48" w:afterLines="20" w:after="48"/>
              <w:jc w:val="center"/>
              <w:rPr>
                <w:noProof/>
                <w:sz w:val="20"/>
              </w:rPr>
            </w:pPr>
          </w:p>
        </w:tc>
        <w:tc>
          <w:tcPr>
            <w:tcW w:w="406" w:type="pct"/>
            <w:shd w:val="clear" w:color="auto" w:fill="auto"/>
            <w:vAlign w:val="center"/>
          </w:tcPr>
          <w:p w14:paraId="3703A3F8" w14:textId="77777777" w:rsidR="00B50935" w:rsidRPr="007B62AA" w:rsidRDefault="00B50935" w:rsidP="00427764">
            <w:pPr>
              <w:spacing w:beforeLines="20" w:before="48" w:afterLines="20" w:after="48"/>
              <w:jc w:val="center"/>
              <w:rPr>
                <w:noProof/>
                <w:sz w:val="20"/>
              </w:rPr>
            </w:pPr>
          </w:p>
        </w:tc>
        <w:tc>
          <w:tcPr>
            <w:tcW w:w="497" w:type="pct"/>
            <w:shd w:val="clear" w:color="auto" w:fill="auto"/>
            <w:vAlign w:val="center"/>
          </w:tcPr>
          <w:p w14:paraId="21B638B0" w14:textId="77777777" w:rsidR="00B50935" w:rsidRPr="007B62AA" w:rsidRDefault="00B50935" w:rsidP="00427764">
            <w:pPr>
              <w:spacing w:beforeLines="20" w:before="48" w:afterLines="20" w:after="48"/>
              <w:jc w:val="center"/>
              <w:rPr>
                <w:noProof/>
                <w:sz w:val="20"/>
              </w:rPr>
            </w:pPr>
          </w:p>
        </w:tc>
        <w:tc>
          <w:tcPr>
            <w:tcW w:w="424" w:type="pct"/>
            <w:shd w:val="clear" w:color="auto" w:fill="auto"/>
            <w:vAlign w:val="center"/>
          </w:tcPr>
          <w:p w14:paraId="66A97860" w14:textId="77777777" w:rsidR="00B50935" w:rsidRPr="007B62AA" w:rsidRDefault="00B50935" w:rsidP="00427764">
            <w:pPr>
              <w:spacing w:beforeLines="20" w:before="48" w:afterLines="20" w:after="48"/>
              <w:jc w:val="center"/>
              <w:rPr>
                <w:noProof/>
                <w:sz w:val="20"/>
              </w:rPr>
            </w:pPr>
          </w:p>
        </w:tc>
        <w:tc>
          <w:tcPr>
            <w:tcW w:w="423" w:type="pct"/>
            <w:gridSpan w:val="2"/>
            <w:shd w:val="clear" w:color="auto" w:fill="auto"/>
            <w:vAlign w:val="center"/>
          </w:tcPr>
          <w:p w14:paraId="0E7BDCCF" w14:textId="77777777" w:rsidR="00B50935" w:rsidRPr="007B62AA" w:rsidRDefault="00B50935" w:rsidP="00427764">
            <w:pPr>
              <w:spacing w:beforeLines="20" w:before="48" w:afterLines="20" w:after="48"/>
              <w:jc w:val="center"/>
              <w:rPr>
                <w:noProof/>
                <w:sz w:val="20"/>
              </w:rPr>
            </w:pPr>
          </w:p>
        </w:tc>
        <w:tc>
          <w:tcPr>
            <w:tcW w:w="452" w:type="pct"/>
            <w:gridSpan w:val="3"/>
            <w:shd w:val="clear" w:color="auto" w:fill="auto"/>
            <w:vAlign w:val="center"/>
          </w:tcPr>
          <w:p w14:paraId="40D2B42F" w14:textId="77777777" w:rsidR="00B50935" w:rsidRPr="007B62AA" w:rsidRDefault="00B50935" w:rsidP="00427764">
            <w:pPr>
              <w:spacing w:beforeLines="20" w:before="48" w:afterLines="20" w:after="48"/>
              <w:jc w:val="center"/>
              <w:rPr>
                <w:noProof/>
                <w:sz w:val="20"/>
              </w:rPr>
            </w:pPr>
          </w:p>
        </w:tc>
      </w:tr>
      <w:tr w:rsidR="00B50935" w:rsidRPr="007B62AA" w14:paraId="09960512" w14:textId="77777777" w:rsidTr="00427764">
        <w:trPr>
          <w:trHeight w:val="289"/>
          <w:jc w:val="center"/>
        </w:trPr>
        <w:tc>
          <w:tcPr>
            <w:tcW w:w="2044" w:type="pct"/>
            <w:gridSpan w:val="2"/>
            <w:shd w:val="clear" w:color="auto" w:fill="auto"/>
            <w:vAlign w:val="center"/>
          </w:tcPr>
          <w:p w14:paraId="27CE3113" w14:textId="77777777" w:rsidR="00B50935" w:rsidRPr="007B62AA" w:rsidRDefault="00B50935" w:rsidP="00427764">
            <w:pPr>
              <w:pStyle w:val="Text1"/>
              <w:spacing w:beforeLines="20" w:before="48" w:afterLines="20" w:after="48"/>
              <w:ind w:left="986"/>
              <w:jc w:val="left"/>
              <w:rPr>
                <w:b/>
                <w:noProof/>
                <w:sz w:val="20"/>
              </w:rPr>
            </w:pPr>
            <w:r w:rsidRPr="007B62AA">
              <w:rPr>
                <w:sz w:val="20"/>
              </w:rPr>
              <w:t>XX 01 02 01 (ZZ, VNE, DAZ z celkového balíka prostriedkov)</w:t>
            </w:r>
          </w:p>
        </w:tc>
        <w:tc>
          <w:tcPr>
            <w:tcW w:w="386" w:type="pct"/>
            <w:shd w:val="clear" w:color="auto" w:fill="auto"/>
            <w:vAlign w:val="center"/>
          </w:tcPr>
          <w:p w14:paraId="2C3D74F4" w14:textId="77777777" w:rsidR="00B50935" w:rsidRPr="007B62AA" w:rsidRDefault="00B50935" w:rsidP="00427764">
            <w:pPr>
              <w:spacing w:beforeLines="20" w:before="48" w:afterLines="20" w:after="48"/>
              <w:jc w:val="center"/>
              <w:rPr>
                <w:noProof/>
                <w:sz w:val="20"/>
              </w:rPr>
            </w:pPr>
          </w:p>
        </w:tc>
        <w:tc>
          <w:tcPr>
            <w:tcW w:w="368" w:type="pct"/>
            <w:shd w:val="clear" w:color="auto" w:fill="auto"/>
            <w:vAlign w:val="center"/>
          </w:tcPr>
          <w:p w14:paraId="4CBC8051" w14:textId="77777777" w:rsidR="00B50935" w:rsidRPr="007B62AA" w:rsidRDefault="00B50935" w:rsidP="00427764">
            <w:pPr>
              <w:spacing w:beforeLines="20" w:before="48" w:afterLines="20" w:after="48"/>
              <w:jc w:val="center"/>
              <w:rPr>
                <w:noProof/>
                <w:sz w:val="20"/>
              </w:rPr>
            </w:pPr>
          </w:p>
        </w:tc>
        <w:tc>
          <w:tcPr>
            <w:tcW w:w="406" w:type="pct"/>
            <w:shd w:val="clear" w:color="auto" w:fill="auto"/>
            <w:vAlign w:val="center"/>
          </w:tcPr>
          <w:p w14:paraId="76938ECC" w14:textId="77777777" w:rsidR="00B50935" w:rsidRPr="007B62AA" w:rsidRDefault="00B50935" w:rsidP="00427764">
            <w:pPr>
              <w:spacing w:beforeLines="20" w:before="48" w:afterLines="20" w:after="48"/>
              <w:jc w:val="center"/>
              <w:rPr>
                <w:noProof/>
                <w:sz w:val="20"/>
              </w:rPr>
            </w:pPr>
          </w:p>
        </w:tc>
        <w:tc>
          <w:tcPr>
            <w:tcW w:w="497" w:type="pct"/>
            <w:shd w:val="clear" w:color="auto" w:fill="auto"/>
            <w:vAlign w:val="center"/>
          </w:tcPr>
          <w:p w14:paraId="15DA0D1E" w14:textId="77777777" w:rsidR="00B50935" w:rsidRPr="007B62AA" w:rsidRDefault="00B50935" w:rsidP="00427764">
            <w:pPr>
              <w:spacing w:beforeLines="20" w:before="48" w:afterLines="20" w:after="48"/>
              <w:jc w:val="center"/>
              <w:rPr>
                <w:noProof/>
                <w:sz w:val="20"/>
              </w:rPr>
            </w:pPr>
          </w:p>
        </w:tc>
        <w:tc>
          <w:tcPr>
            <w:tcW w:w="424" w:type="pct"/>
            <w:shd w:val="clear" w:color="auto" w:fill="auto"/>
            <w:vAlign w:val="center"/>
          </w:tcPr>
          <w:p w14:paraId="6935E5AD" w14:textId="77777777" w:rsidR="00B50935" w:rsidRPr="007B62AA" w:rsidRDefault="00B50935" w:rsidP="00427764">
            <w:pPr>
              <w:spacing w:beforeLines="20" w:before="48" w:afterLines="20" w:after="48"/>
              <w:jc w:val="center"/>
              <w:rPr>
                <w:noProof/>
                <w:sz w:val="20"/>
              </w:rPr>
            </w:pPr>
          </w:p>
        </w:tc>
        <w:tc>
          <w:tcPr>
            <w:tcW w:w="423" w:type="pct"/>
            <w:gridSpan w:val="2"/>
            <w:shd w:val="clear" w:color="auto" w:fill="auto"/>
            <w:vAlign w:val="center"/>
          </w:tcPr>
          <w:p w14:paraId="53B91D60" w14:textId="77777777" w:rsidR="00B50935" w:rsidRPr="007B62AA" w:rsidRDefault="00B50935" w:rsidP="00427764">
            <w:pPr>
              <w:spacing w:beforeLines="20" w:before="48" w:afterLines="20" w:after="48"/>
              <w:jc w:val="center"/>
              <w:rPr>
                <w:noProof/>
                <w:sz w:val="20"/>
              </w:rPr>
            </w:pPr>
          </w:p>
        </w:tc>
        <w:tc>
          <w:tcPr>
            <w:tcW w:w="452" w:type="pct"/>
            <w:gridSpan w:val="3"/>
            <w:shd w:val="clear" w:color="auto" w:fill="auto"/>
            <w:vAlign w:val="center"/>
          </w:tcPr>
          <w:p w14:paraId="7FA8CB8E" w14:textId="77777777" w:rsidR="00B50935" w:rsidRPr="007B62AA" w:rsidRDefault="00B50935" w:rsidP="00427764">
            <w:pPr>
              <w:spacing w:beforeLines="20" w:before="48" w:afterLines="20" w:after="48"/>
              <w:jc w:val="center"/>
              <w:rPr>
                <w:noProof/>
                <w:sz w:val="20"/>
              </w:rPr>
            </w:pPr>
          </w:p>
        </w:tc>
      </w:tr>
      <w:tr w:rsidR="00B50935" w:rsidRPr="007B62AA" w14:paraId="6C1A1B39" w14:textId="77777777" w:rsidTr="00427764">
        <w:trPr>
          <w:trHeight w:val="289"/>
          <w:jc w:val="center"/>
        </w:trPr>
        <w:tc>
          <w:tcPr>
            <w:tcW w:w="2044" w:type="pct"/>
            <w:gridSpan w:val="2"/>
            <w:shd w:val="clear" w:color="auto" w:fill="auto"/>
            <w:vAlign w:val="center"/>
          </w:tcPr>
          <w:p w14:paraId="5B4D2807" w14:textId="77777777" w:rsidR="00B50935" w:rsidRPr="007B62AA" w:rsidRDefault="00B50935" w:rsidP="00427764">
            <w:pPr>
              <w:pStyle w:val="Text1"/>
              <w:spacing w:beforeLines="20" w:before="48" w:afterLines="20" w:after="48"/>
              <w:ind w:left="986"/>
              <w:jc w:val="left"/>
              <w:rPr>
                <w:noProof/>
                <w:sz w:val="20"/>
              </w:rPr>
            </w:pPr>
            <w:r w:rsidRPr="007B62AA">
              <w:rPr>
                <w:sz w:val="20"/>
              </w:rPr>
              <w:t>XX 01 02 02 (ZZ, MZ, VNE, DAZ, PED v delegáciách)</w:t>
            </w:r>
          </w:p>
        </w:tc>
        <w:tc>
          <w:tcPr>
            <w:tcW w:w="386" w:type="pct"/>
            <w:shd w:val="clear" w:color="auto" w:fill="auto"/>
            <w:vAlign w:val="center"/>
          </w:tcPr>
          <w:p w14:paraId="3A057FFE" w14:textId="77777777" w:rsidR="00B50935" w:rsidRPr="007B62AA" w:rsidRDefault="00B50935" w:rsidP="00427764">
            <w:pPr>
              <w:spacing w:beforeLines="20" w:before="48" w:afterLines="20" w:after="48"/>
              <w:jc w:val="center"/>
              <w:rPr>
                <w:noProof/>
                <w:sz w:val="20"/>
              </w:rPr>
            </w:pPr>
          </w:p>
        </w:tc>
        <w:tc>
          <w:tcPr>
            <w:tcW w:w="368" w:type="pct"/>
            <w:shd w:val="clear" w:color="auto" w:fill="auto"/>
            <w:vAlign w:val="center"/>
          </w:tcPr>
          <w:p w14:paraId="000BF8E3" w14:textId="77777777" w:rsidR="00B50935" w:rsidRPr="007B62AA" w:rsidRDefault="00B50935" w:rsidP="00427764">
            <w:pPr>
              <w:spacing w:beforeLines="20" w:before="48" w:afterLines="20" w:after="48"/>
              <w:jc w:val="center"/>
              <w:rPr>
                <w:noProof/>
                <w:sz w:val="20"/>
              </w:rPr>
            </w:pPr>
          </w:p>
        </w:tc>
        <w:tc>
          <w:tcPr>
            <w:tcW w:w="406" w:type="pct"/>
            <w:shd w:val="clear" w:color="auto" w:fill="auto"/>
            <w:vAlign w:val="center"/>
          </w:tcPr>
          <w:p w14:paraId="6657C61F" w14:textId="77777777" w:rsidR="00B50935" w:rsidRPr="007B62AA" w:rsidRDefault="00B50935" w:rsidP="00427764">
            <w:pPr>
              <w:spacing w:beforeLines="20" w:before="48" w:afterLines="20" w:after="48"/>
              <w:jc w:val="center"/>
              <w:rPr>
                <w:noProof/>
                <w:sz w:val="20"/>
              </w:rPr>
            </w:pPr>
          </w:p>
        </w:tc>
        <w:tc>
          <w:tcPr>
            <w:tcW w:w="497" w:type="pct"/>
            <w:shd w:val="clear" w:color="auto" w:fill="auto"/>
            <w:vAlign w:val="center"/>
          </w:tcPr>
          <w:p w14:paraId="5058932A" w14:textId="77777777" w:rsidR="00B50935" w:rsidRPr="007B62AA" w:rsidRDefault="00B50935" w:rsidP="00427764">
            <w:pPr>
              <w:spacing w:beforeLines="20" w:before="48" w:afterLines="20" w:after="48"/>
              <w:jc w:val="center"/>
              <w:rPr>
                <w:noProof/>
                <w:sz w:val="20"/>
              </w:rPr>
            </w:pPr>
          </w:p>
        </w:tc>
        <w:tc>
          <w:tcPr>
            <w:tcW w:w="424" w:type="pct"/>
            <w:shd w:val="clear" w:color="auto" w:fill="auto"/>
            <w:vAlign w:val="center"/>
          </w:tcPr>
          <w:p w14:paraId="71129C0E" w14:textId="77777777" w:rsidR="00B50935" w:rsidRPr="007B62AA" w:rsidRDefault="00B50935" w:rsidP="00427764">
            <w:pPr>
              <w:spacing w:beforeLines="20" w:before="48" w:afterLines="20" w:after="48"/>
              <w:jc w:val="center"/>
              <w:rPr>
                <w:noProof/>
                <w:sz w:val="20"/>
              </w:rPr>
            </w:pPr>
          </w:p>
        </w:tc>
        <w:tc>
          <w:tcPr>
            <w:tcW w:w="423" w:type="pct"/>
            <w:gridSpan w:val="2"/>
            <w:shd w:val="clear" w:color="auto" w:fill="auto"/>
            <w:vAlign w:val="center"/>
          </w:tcPr>
          <w:p w14:paraId="71F9B134" w14:textId="77777777" w:rsidR="00B50935" w:rsidRPr="007B62AA" w:rsidRDefault="00B50935" w:rsidP="00427764">
            <w:pPr>
              <w:spacing w:beforeLines="20" w:before="48" w:afterLines="20" w:after="48"/>
              <w:jc w:val="center"/>
              <w:rPr>
                <w:noProof/>
                <w:sz w:val="20"/>
              </w:rPr>
            </w:pPr>
          </w:p>
        </w:tc>
        <w:tc>
          <w:tcPr>
            <w:tcW w:w="452" w:type="pct"/>
            <w:gridSpan w:val="3"/>
            <w:shd w:val="clear" w:color="auto" w:fill="auto"/>
            <w:vAlign w:val="center"/>
          </w:tcPr>
          <w:p w14:paraId="13101C4B" w14:textId="77777777" w:rsidR="00B50935" w:rsidRPr="007B62AA" w:rsidRDefault="00B50935" w:rsidP="00427764">
            <w:pPr>
              <w:spacing w:beforeLines="20" w:before="48" w:afterLines="20" w:after="48"/>
              <w:jc w:val="center"/>
              <w:rPr>
                <w:noProof/>
                <w:sz w:val="20"/>
              </w:rPr>
            </w:pPr>
          </w:p>
        </w:tc>
      </w:tr>
      <w:tr w:rsidR="00B50935" w:rsidRPr="007B62AA" w14:paraId="2F59A8A0" w14:textId="77777777" w:rsidTr="00427764">
        <w:trPr>
          <w:trHeight w:val="289"/>
          <w:jc w:val="center"/>
        </w:trPr>
        <w:tc>
          <w:tcPr>
            <w:tcW w:w="1018" w:type="pct"/>
            <w:vMerge w:val="restart"/>
            <w:shd w:val="clear" w:color="auto" w:fill="auto"/>
            <w:vAlign w:val="center"/>
          </w:tcPr>
          <w:p w14:paraId="40933977" w14:textId="77777777" w:rsidR="00B50935" w:rsidRPr="007B62AA" w:rsidRDefault="00B50935" w:rsidP="00427764">
            <w:pPr>
              <w:pStyle w:val="Text1"/>
              <w:spacing w:beforeLines="20" w:before="48" w:afterLines="20" w:after="48"/>
              <w:ind w:left="986"/>
              <w:jc w:val="left"/>
              <w:rPr>
                <w:b/>
                <w:noProof/>
                <w:sz w:val="20"/>
              </w:rPr>
            </w:pPr>
            <w:r w:rsidRPr="007B62AA">
              <w:rPr>
                <w:b/>
                <w:sz w:val="20"/>
              </w:rPr>
              <w:t>XX</w:t>
            </w:r>
            <w:r w:rsidRPr="007B62AA">
              <w:rPr>
                <w:sz w:val="20"/>
              </w:rPr>
              <w:t xml:space="preserve"> 01 04 </w:t>
            </w:r>
            <w:r w:rsidRPr="007B62AA">
              <w:rPr>
                <w:b/>
                <w:i/>
                <w:sz w:val="20"/>
              </w:rPr>
              <w:t>yy</w:t>
            </w:r>
            <w:r w:rsidRPr="007B62AA">
              <w:rPr>
                <w:rStyle w:val="FootnoteReference"/>
                <w:b/>
                <w:i/>
                <w:noProof/>
                <w:sz w:val="20"/>
              </w:rPr>
              <w:footnoteReference w:id="21"/>
            </w:r>
          </w:p>
        </w:tc>
        <w:tc>
          <w:tcPr>
            <w:tcW w:w="1026" w:type="pct"/>
            <w:shd w:val="clear" w:color="auto" w:fill="auto"/>
            <w:vAlign w:val="center"/>
          </w:tcPr>
          <w:p w14:paraId="6B106976" w14:textId="77777777" w:rsidR="00B50935" w:rsidRPr="007B62AA" w:rsidRDefault="00B50935" w:rsidP="00427764">
            <w:pPr>
              <w:pStyle w:val="Text1"/>
              <w:spacing w:beforeLines="20" w:before="48" w:afterLines="20" w:after="48"/>
              <w:ind w:left="598"/>
              <w:jc w:val="left"/>
              <w:rPr>
                <w:b/>
                <w:noProof/>
                <w:sz w:val="20"/>
              </w:rPr>
            </w:pPr>
            <w:r w:rsidRPr="007B62AA">
              <w:rPr>
                <w:sz w:val="20"/>
              </w:rPr>
              <w:t>‒ ústredie</w:t>
            </w:r>
            <w:r w:rsidRPr="007B62AA">
              <w:rPr>
                <w:rStyle w:val="FootnoteReference"/>
                <w:noProof/>
                <w:sz w:val="20"/>
              </w:rPr>
              <w:footnoteReference w:id="22"/>
            </w:r>
            <w:r w:rsidRPr="007B62AA">
              <w:t xml:space="preserve"> </w:t>
            </w:r>
            <w:r w:rsidRPr="007B62AA">
              <w:br/>
            </w:r>
          </w:p>
        </w:tc>
        <w:tc>
          <w:tcPr>
            <w:tcW w:w="386" w:type="pct"/>
            <w:shd w:val="clear" w:color="auto" w:fill="auto"/>
            <w:vAlign w:val="center"/>
          </w:tcPr>
          <w:p w14:paraId="6FAACEE6" w14:textId="77777777" w:rsidR="00B50935" w:rsidRPr="007B62AA" w:rsidRDefault="00B50935" w:rsidP="00427764">
            <w:pPr>
              <w:pStyle w:val="Text1"/>
              <w:spacing w:beforeLines="20" w:before="48" w:afterLines="20" w:after="48"/>
              <w:rPr>
                <w:noProof/>
                <w:sz w:val="20"/>
              </w:rPr>
            </w:pPr>
          </w:p>
        </w:tc>
        <w:tc>
          <w:tcPr>
            <w:tcW w:w="368" w:type="pct"/>
            <w:shd w:val="clear" w:color="auto" w:fill="auto"/>
            <w:vAlign w:val="center"/>
          </w:tcPr>
          <w:p w14:paraId="06D0314A" w14:textId="77777777" w:rsidR="00B50935" w:rsidRPr="007B62AA" w:rsidRDefault="00B50935" w:rsidP="00427764">
            <w:pPr>
              <w:spacing w:beforeLines="20" w:before="48" w:afterLines="20" w:after="48"/>
              <w:jc w:val="center"/>
              <w:rPr>
                <w:noProof/>
                <w:sz w:val="20"/>
              </w:rPr>
            </w:pPr>
          </w:p>
        </w:tc>
        <w:tc>
          <w:tcPr>
            <w:tcW w:w="406" w:type="pct"/>
            <w:shd w:val="clear" w:color="auto" w:fill="auto"/>
            <w:vAlign w:val="center"/>
          </w:tcPr>
          <w:p w14:paraId="7BFF8E5D" w14:textId="77777777" w:rsidR="00B50935" w:rsidRPr="007B62AA" w:rsidRDefault="00B50935" w:rsidP="00427764">
            <w:pPr>
              <w:spacing w:beforeLines="20" w:before="48" w:afterLines="20" w:after="48"/>
              <w:jc w:val="center"/>
              <w:rPr>
                <w:noProof/>
                <w:sz w:val="20"/>
              </w:rPr>
            </w:pPr>
          </w:p>
        </w:tc>
        <w:tc>
          <w:tcPr>
            <w:tcW w:w="497" w:type="pct"/>
            <w:shd w:val="clear" w:color="auto" w:fill="auto"/>
            <w:vAlign w:val="center"/>
          </w:tcPr>
          <w:p w14:paraId="1605859E" w14:textId="77777777" w:rsidR="00B50935" w:rsidRPr="007B62AA" w:rsidRDefault="00B50935" w:rsidP="00427764">
            <w:pPr>
              <w:spacing w:beforeLines="20" w:before="48" w:afterLines="20" w:after="48"/>
              <w:jc w:val="center"/>
              <w:rPr>
                <w:noProof/>
                <w:sz w:val="20"/>
              </w:rPr>
            </w:pPr>
          </w:p>
        </w:tc>
        <w:tc>
          <w:tcPr>
            <w:tcW w:w="424" w:type="pct"/>
            <w:shd w:val="clear" w:color="auto" w:fill="auto"/>
            <w:vAlign w:val="center"/>
          </w:tcPr>
          <w:p w14:paraId="6CE3AD60" w14:textId="77777777" w:rsidR="00B50935" w:rsidRPr="007B62AA" w:rsidRDefault="00B50935" w:rsidP="00427764">
            <w:pPr>
              <w:spacing w:beforeLines="20" w:before="48" w:afterLines="20" w:after="48"/>
              <w:jc w:val="center"/>
              <w:rPr>
                <w:noProof/>
                <w:sz w:val="20"/>
              </w:rPr>
            </w:pPr>
          </w:p>
        </w:tc>
        <w:tc>
          <w:tcPr>
            <w:tcW w:w="423" w:type="pct"/>
            <w:gridSpan w:val="2"/>
            <w:shd w:val="clear" w:color="auto" w:fill="auto"/>
            <w:vAlign w:val="center"/>
          </w:tcPr>
          <w:p w14:paraId="757F37CE" w14:textId="77777777" w:rsidR="00B50935" w:rsidRPr="007B62AA" w:rsidRDefault="00B50935" w:rsidP="00427764">
            <w:pPr>
              <w:spacing w:beforeLines="20" w:before="48" w:afterLines="20" w:after="48"/>
              <w:jc w:val="center"/>
              <w:rPr>
                <w:noProof/>
                <w:sz w:val="20"/>
              </w:rPr>
            </w:pPr>
          </w:p>
        </w:tc>
        <w:tc>
          <w:tcPr>
            <w:tcW w:w="452" w:type="pct"/>
            <w:gridSpan w:val="3"/>
            <w:shd w:val="clear" w:color="auto" w:fill="auto"/>
            <w:vAlign w:val="center"/>
          </w:tcPr>
          <w:p w14:paraId="2C8CC476" w14:textId="77777777" w:rsidR="00B50935" w:rsidRPr="007B62AA" w:rsidRDefault="00B50935" w:rsidP="00427764">
            <w:pPr>
              <w:spacing w:beforeLines="20" w:before="48" w:afterLines="20" w:after="48"/>
              <w:jc w:val="center"/>
              <w:rPr>
                <w:noProof/>
                <w:sz w:val="20"/>
              </w:rPr>
            </w:pPr>
          </w:p>
        </w:tc>
      </w:tr>
      <w:tr w:rsidR="00B50935" w:rsidRPr="007B62AA" w14:paraId="23AE956A" w14:textId="77777777" w:rsidTr="00427764">
        <w:trPr>
          <w:trHeight w:val="289"/>
          <w:jc w:val="center"/>
        </w:trPr>
        <w:tc>
          <w:tcPr>
            <w:tcW w:w="1018" w:type="pct"/>
            <w:vMerge/>
            <w:shd w:val="clear" w:color="auto" w:fill="auto"/>
            <w:vAlign w:val="center"/>
          </w:tcPr>
          <w:p w14:paraId="1DA6E016" w14:textId="77777777" w:rsidR="00B50935" w:rsidRPr="007B62AA" w:rsidRDefault="00B50935" w:rsidP="00427764">
            <w:pPr>
              <w:rPr>
                <w:b/>
                <w:noProof/>
                <w:sz w:val="20"/>
              </w:rPr>
            </w:pPr>
          </w:p>
        </w:tc>
        <w:tc>
          <w:tcPr>
            <w:tcW w:w="1026" w:type="pct"/>
            <w:shd w:val="clear" w:color="auto" w:fill="auto"/>
            <w:vAlign w:val="center"/>
          </w:tcPr>
          <w:p w14:paraId="25EF7D4B" w14:textId="77777777" w:rsidR="00B50935" w:rsidRPr="007B62AA" w:rsidRDefault="00B50935" w:rsidP="00427764">
            <w:pPr>
              <w:pStyle w:val="Text1"/>
              <w:spacing w:beforeLines="20" w:before="48" w:afterLines="20" w:after="48"/>
              <w:ind w:left="598"/>
              <w:jc w:val="left"/>
              <w:rPr>
                <w:b/>
                <w:noProof/>
                <w:sz w:val="20"/>
              </w:rPr>
            </w:pPr>
            <w:r w:rsidRPr="007B62AA">
              <w:rPr>
                <w:sz w:val="20"/>
              </w:rPr>
              <w:t xml:space="preserve">– delegácie </w:t>
            </w:r>
          </w:p>
        </w:tc>
        <w:tc>
          <w:tcPr>
            <w:tcW w:w="386" w:type="pct"/>
            <w:shd w:val="clear" w:color="auto" w:fill="auto"/>
            <w:vAlign w:val="center"/>
          </w:tcPr>
          <w:p w14:paraId="6FA65CCB" w14:textId="77777777" w:rsidR="00B50935" w:rsidRPr="007B62AA" w:rsidRDefault="00B50935" w:rsidP="00427764">
            <w:pPr>
              <w:pStyle w:val="Text1"/>
              <w:spacing w:beforeLines="20" w:before="48" w:afterLines="20" w:after="48"/>
              <w:rPr>
                <w:noProof/>
                <w:sz w:val="20"/>
              </w:rPr>
            </w:pPr>
          </w:p>
        </w:tc>
        <w:tc>
          <w:tcPr>
            <w:tcW w:w="368" w:type="pct"/>
            <w:shd w:val="clear" w:color="auto" w:fill="auto"/>
            <w:vAlign w:val="center"/>
          </w:tcPr>
          <w:p w14:paraId="5C42BA93" w14:textId="77777777" w:rsidR="00B50935" w:rsidRPr="007B62AA" w:rsidRDefault="00B50935" w:rsidP="00427764">
            <w:pPr>
              <w:spacing w:beforeLines="20" w:before="48" w:afterLines="20" w:after="48"/>
              <w:jc w:val="center"/>
              <w:rPr>
                <w:noProof/>
                <w:sz w:val="20"/>
              </w:rPr>
            </w:pPr>
          </w:p>
        </w:tc>
        <w:tc>
          <w:tcPr>
            <w:tcW w:w="406" w:type="pct"/>
            <w:shd w:val="clear" w:color="auto" w:fill="auto"/>
            <w:vAlign w:val="center"/>
          </w:tcPr>
          <w:p w14:paraId="06FC89B9" w14:textId="77777777" w:rsidR="00B50935" w:rsidRPr="007B62AA" w:rsidRDefault="00B50935" w:rsidP="00427764">
            <w:pPr>
              <w:spacing w:beforeLines="20" w:before="48" w:afterLines="20" w:after="48"/>
              <w:jc w:val="center"/>
              <w:rPr>
                <w:noProof/>
                <w:sz w:val="20"/>
              </w:rPr>
            </w:pPr>
          </w:p>
        </w:tc>
        <w:tc>
          <w:tcPr>
            <w:tcW w:w="497" w:type="pct"/>
            <w:shd w:val="clear" w:color="auto" w:fill="auto"/>
            <w:vAlign w:val="center"/>
          </w:tcPr>
          <w:p w14:paraId="213C3C66" w14:textId="77777777" w:rsidR="00B50935" w:rsidRPr="007B62AA" w:rsidRDefault="00B50935" w:rsidP="00427764">
            <w:pPr>
              <w:spacing w:beforeLines="20" w:before="48" w:afterLines="20" w:after="48"/>
              <w:jc w:val="center"/>
              <w:rPr>
                <w:noProof/>
                <w:sz w:val="20"/>
              </w:rPr>
            </w:pPr>
          </w:p>
        </w:tc>
        <w:tc>
          <w:tcPr>
            <w:tcW w:w="424" w:type="pct"/>
            <w:shd w:val="clear" w:color="auto" w:fill="auto"/>
            <w:vAlign w:val="center"/>
          </w:tcPr>
          <w:p w14:paraId="1EE5E5C1" w14:textId="77777777" w:rsidR="00B50935" w:rsidRPr="007B62AA" w:rsidRDefault="00B50935" w:rsidP="00427764">
            <w:pPr>
              <w:spacing w:beforeLines="20" w:before="48" w:afterLines="20" w:after="48"/>
              <w:jc w:val="center"/>
              <w:rPr>
                <w:noProof/>
                <w:sz w:val="20"/>
              </w:rPr>
            </w:pPr>
          </w:p>
        </w:tc>
        <w:tc>
          <w:tcPr>
            <w:tcW w:w="423" w:type="pct"/>
            <w:gridSpan w:val="2"/>
            <w:shd w:val="clear" w:color="auto" w:fill="auto"/>
            <w:vAlign w:val="center"/>
          </w:tcPr>
          <w:p w14:paraId="74ABE8A3" w14:textId="77777777" w:rsidR="00B50935" w:rsidRPr="007B62AA" w:rsidRDefault="00B50935" w:rsidP="00427764">
            <w:pPr>
              <w:spacing w:beforeLines="20" w:before="48" w:afterLines="20" w:after="48"/>
              <w:jc w:val="center"/>
              <w:rPr>
                <w:noProof/>
                <w:sz w:val="20"/>
              </w:rPr>
            </w:pPr>
          </w:p>
        </w:tc>
        <w:tc>
          <w:tcPr>
            <w:tcW w:w="452" w:type="pct"/>
            <w:gridSpan w:val="3"/>
            <w:shd w:val="clear" w:color="auto" w:fill="auto"/>
            <w:vAlign w:val="center"/>
          </w:tcPr>
          <w:p w14:paraId="0208B905" w14:textId="77777777" w:rsidR="00B50935" w:rsidRPr="007B62AA" w:rsidRDefault="00B50935" w:rsidP="00427764">
            <w:pPr>
              <w:spacing w:beforeLines="20" w:before="48" w:afterLines="20" w:after="48"/>
              <w:jc w:val="center"/>
              <w:rPr>
                <w:noProof/>
                <w:sz w:val="20"/>
              </w:rPr>
            </w:pPr>
          </w:p>
        </w:tc>
      </w:tr>
      <w:tr w:rsidR="00B50935" w:rsidRPr="007B62AA" w14:paraId="3CC91FD4" w14:textId="77777777" w:rsidTr="00427764">
        <w:trPr>
          <w:trHeight w:val="289"/>
          <w:jc w:val="center"/>
        </w:trPr>
        <w:tc>
          <w:tcPr>
            <w:tcW w:w="2044" w:type="pct"/>
            <w:gridSpan w:val="2"/>
            <w:shd w:val="clear" w:color="auto" w:fill="auto"/>
            <w:vAlign w:val="center"/>
          </w:tcPr>
          <w:p w14:paraId="7BA6B782" w14:textId="77777777" w:rsidR="00B50935" w:rsidRPr="007B62AA" w:rsidRDefault="00B50935" w:rsidP="00427764">
            <w:pPr>
              <w:pStyle w:val="Text1"/>
              <w:spacing w:beforeLines="20" w:before="48" w:afterLines="20" w:after="48"/>
              <w:ind w:left="986"/>
              <w:jc w:val="left"/>
              <w:rPr>
                <w:noProof/>
                <w:sz w:val="20"/>
              </w:rPr>
            </w:pPr>
            <w:r w:rsidRPr="007B62AA">
              <w:rPr>
                <w:b/>
                <w:sz w:val="20"/>
              </w:rPr>
              <w:t>XX</w:t>
            </w:r>
            <w:r w:rsidRPr="007B62AA">
              <w:rPr>
                <w:sz w:val="20"/>
              </w:rPr>
              <w:t xml:space="preserve"> 01 05 02 (ZZ, VNE, DAZ – nepriamy výskum)</w:t>
            </w:r>
          </w:p>
        </w:tc>
        <w:tc>
          <w:tcPr>
            <w:tcW w:w="386" w:type="pct"/>
            <w:shd w:val="clear" w:color="auto" w:fill="auto"/>
            <w:vAlign w:val="center"/>
          </w:tcPr>
          <w:p w14:paraId="45DAE951" w14:textId="77777777" w:rsidR="00B50935" w:rsidRPr="007B62AA" w:rsidRDefault="00B50935" w:rsidP="00427764">
            <w:pPr>
              <w:spacing w:beforeLines="20" w:before="48" w:afterLines="20" w:after="48"/>
              <w:jc w:val="center"/>
              <w:rPr>
                <w:noProof/>
                <w:sz w:val="20"/>
              </w:rPr>
            </w:pPr>
          </w:p>
        </w:tc>
        <w:tc>
          <w:tcPr>
            <w:tcW w:w="368" w:type="pct"/>
            <w:shd w:val="clear" w:color="auto" w:fill="auto"/>
            <w:vAlign w:val="center"/>
          </w:tcPr>
          <w:p w14:paraId="7A35A243" w14:textId="77777777" w:rsidR="00B50935" w:rsidRPr="007B62AA" w:rsidRDefault="00B50935" w:rsidP="00427764">
            <w:pPr>
              <w:spacing w:beforeLines="20" w:before="48" w:afterLines="20" w:after="48"/>
              <w:jc w:val="center"/>
              <w:rPr>
                <w:noProof/>
                <w:sz w:val="20"/>
              </w:rPr>
            </w:pPr>
          </w:p>
        </w:tc>
        <w:tc>
          <w:tcPr>
            <w:tcW w:w="406" w:type="pct"/>
            <w:shd w:val="clear" w:color="auto" w:fill="auto"/>
            <w:vAlign w:val="center"/>
          </w:tcPr>
          <w:p w14:paraId="769EDC5F" w14:textId="77777777" w:rsidR="00B50935" w:rsidRPr="007B62AA" w:rsidRDefault="00B50935" w:rsidP="00427764">
            <w:pPr>
              <w:spacing w:beforeLines="20" w:before="48" w:afterLines="20" w:after="48"/>
              <w:jc w:val="center"/>
              <w:rPr>
                <w:noProof/>
                <w:sz w:val="20"/>
              </w:rPr>
            </w:pPr>
          </w:p>
        </w:tc>
        <w:tc>
          <w:tcPr>
            <w:tcW w:w="497" w:type="pct"/>
            <w:shd w:val="clear" w:color="auto" w:fill="auto"/>
            <w:vAlign w:val="center"/>
          </w:tcPr>
          <w:p w14:paraId="4779286A" w14:textId="77777777" w:rsidR="00B50935" w:rsidRPr="007B62AA" w:rsidRDefault="00B50935" w:rsidP="00427764">
            <w:pPr>
              <w:spacing w:beforeLines="20" w:before="48" w:afterLines="20" w:after="48"/>
              <w:jc w:val="center"/>
              <w:rPr>
                <w:noProof/>
                <w:sz w:val="20"/>
              </w:rPr>
            </w:pPr>
          </w:p>
        </w:tc>
        <w:tc>
          <w:tcPr>
            <w:tcW w:w="424" w:type="pct"/>
            <w:shd w:val="clear" w:color="auto" w:fill="auto"/>
            <w:vAlign w:val="center"/>
          </w:tcPr>
          <w:p w14:paraId="0E1046BF" w14:textId="77777777" w:rsidR="00B50935" w:rsidRPr="007B62AA" w:rsidRDefault="00B50935" w:rsidP="00427764">
            <w:pPr>
              <w:spacing w:beforeLines="20" w:before="48" w:afterLines="20" w:after="48"/>
              <w:jc w:val="center"/>
              <w:rPr>
                <w:noProof/>
                <w:sz w:val="20"/>
              </w:rPr>
            </w:pPr>
          </w:p>
        </w:tc>
        <w:tc>
          <w:tcPr>
            <w:tcW w:w="423" w:type="pct"/>
            <w:gridSpan w:val="2"/>
            <w:shd w:val="clear" w:color="auto" w:fill="auto"/>
            <w:vAlign w:val="center"/>
          </w:tcPr>
          <w:p w14:paraId="2176D7DE" w14:textId="77777777" w:rsidR="00B50935" w:rsidRPr="007B62AA" w:rsidRDefault="00B50935" w:rsidP="00427764">
            <w:pPr>
              <w:spacing w:beforeLines="20" w:before="48" w:afterLines="20" w:after="48"/>
              <w:jc w:val="center"/>
              <w:rPr>
                <w:noProof/>
                <w:sz w:val="20"/>
              </w:rPr>
            </w:pPr>
          </w:p>
        </w:tc>
        <w:tc>
          <w:tcPr>
            <w:tcW w:w="452" w:type="pct"/>
            <w:gridSpan w:val="3"/>
            <w:shd w:val="clear" w:color="auto" w:fill="auto"/>
            <w:vAlign w:val="center"/>
          </w:tcPr>
          <w:p w14:paraId="67442840" w14:textId="77777777" w:rsidR="00B50935" w:rsidRPr="007B62AA" w:rsidRDefault="00B50935" w:rsidP="00427764">
            <w:pPr>
              <w:spacing w:beforeLines="20" w:before="48" w:afterLines="20" w:after="48"/>
              <w:jc w:val="center"/>
              <w:rPr>
                <w:noProof/>
                <w:sz w:val="20"/>
              </w:rPr>
            </w:pPr>
          </w:p>
        </w:tc>
      </w:tr>
      <w:tr w:rsidR="00B50935" w:rsidRPr="007B62AA" w14:paraId="07ACD19B" w14:textId="77777777" w:rsidTr="00427764">
        <w:trPr>
          <w:trHeight w:val="289"/>
          <w:jc w:val="center"/>
        </w:trPr>
        <w:tc>
          <w:tcPr>
            <w:tcW w:w="2044" w:type="pct"/>
            <w:gridSpan w:val="2"/>
            <w:shd w:val="clear" w:color="auto" w:fill="auto"/>
            <w:vAlign w:val="center"/>
          </w:tcPr>
          <w:p w14:paraId="0AD6D62B" w14:textId="77777777" w:rsidR="00B50935" w:rsidRPr="007B62AA" w:rsidRDefault="00B50935" w:rsidP="00427764">
            <w:pPr>
              <w:pStyle w:val="Text1"/>
              <w:spacing w:beforeLines="20" w:before="48" w:afterLines="20" w:after="48"/>
              <w:ind w:left="986"/>
              <w:jc w:val="left"/>
              <w:rPr>
                <w:noProof/>
                <w:sz w:val="20"/>
              </w:rPr>
            </w:pPr>
            <w:r w:rsidRPr="007B62AA">
              <w:rPr>
                <w:sz w:val="20"/>
              </w:rPr>
              <w:t>10 01 05 02 (ZZ, VNE, DAZ – priamy výskum)</w:t>
            </w:r>
          </w:p>
        </w:tc>
        <w:tc>
          <w:tcPr>
            <w:tcW w:w="386" w:type="pct"/>
            <w:shd w:val="clear" w:color="auto" w:fill="auto"/>
            <w:vAlign w:val="center"/>
          </w:tcPr>
          <w:p w14:paraId="6EE2F467" w14:textId="77777777" w:rsidR="00B50935" w:rsidRPr="007B62AA" w:rsidRDefault="00B50935" w:rsidP="00427764">
            <w:pPr>
              <w:spacing w:beforeLines="20" w:before="48" w:afterLines="20" w:after="48"/>
              <w:jc w:val="center"/>
              <w:rPr>
                <w:noProof/>
                <w:sz w:val="20"/>
              </w:rPr>
            </w:pPr>
          </w:p>
        </w:tc>
        <w:tc>
          <w:tcPr>
            <w:tcW w:w="368" w:type="pct"/>
            <w:shd w:val="clear" w:color="auto" w:fill="auto"/>
            <w:vAlign w:val="center"/>
          </w:tcPr>
          <w:p w14:paraId="13C709E2" w14:textId="77777777" w:rsidR="00B50935" w:rsidRPr="007B62AA" w:rsidRDefault="00B50935" w:rsidP="00427764">
            <w:pPr>
              <w:spacing w:beforeLines="20" w:before="48" w:afterLines="20" w:after="48"/>
              <w:jc w:val="center"/>
              <w:rPr>
                <w:noProof/>
                <w:sz w:val="20"/>
              </w:rPr>
            </w:pPr>
          </w:p>
        </w:tc>
        <w:tc>
          <w:tcPr>
            <w:tcW w:w="406" w:type="pct"/>
            <w:shd w:val="clear" w:color="auto" w:fill="auto"/>
            <w:vAlign w:val="center"/>
          </w:tcPr>
          <w:p w14:paraId="55D2DD52" w14:textId="77777777" w:rsidR="00B50935" w:rsidRPr="007B62AA" w:rsidRDefault="00B50935" w:rsidP="00427764">
            <w:pPr>
              <w:spacing w:beforeLines="20" w:before="48" w:afterLines="20" w:after="48"/>
              <w:jc w:val="center"/>
              <w:rPr>
                <w:noProof/>
                <w:sz w:val="20"/>
              </w:rPr>
            </w:pPr>
          </w:p>
        </w:tc>
        <w:tc>
          <w:tcPr>
            <w:tcW w:w="497" w:type="pct"/>
            <w:shd w:val="clear" w:color="auto" w:fill="auto"/>
            <w:vAlign w:val="center"/>
          </w:tcPr>
          <w:p w14:paraId="158171CD" w14:textId="77777777" w:rsidR="00B50935" w:rsidRPr="007B62AA" w:rsidRDefault="00B50935" w:rsidP="00427764">
            <w:pPr>
              <w:spacing w:beforeLines="20" w:before="48" w:afterLines="20" w:after="48"/>
              <w:jc w:val="center"/>
              <w:rPr>
                <w:noProof/>
                <w:sz w:val="20"/>
              </w:rPr>
            </w:pPr>
          </w:p>
        </w:tc>
        <w:tc>
          <w:tcPr>
            <w:tcW w:w="424" w:type="pct"/>
            <w:shd w:val="clear" w:color="auto" w:fill="auto"/>
            <w:vAlign w:val="center"/>
          </w:tcPr>
          <w:p w14:paraId="21F7853D" w14:textId="77777777" w:rsidR="00B50935" w:rsidRPr="007B62AA" w:rsidRDefault="00B50935" w:rsidP="00427764">
            <w:pPr>
              <w:spacing w:beforeLines="20" w:before="48" w:afterLines="20" w:after="48"/>
              <w:jc w:val="center"/>
              <w:rPr>
                <w:noProof/>
                <w:sz w:val="20"/>
              </w:rPr>
            </w:pPr>
          </w:p>
        </w:tc>
        <w:tc>
          <w:tcPr>
            <w:tcW w:w="423" w:type="pct"/>
            <w:gridSpan w:val="2"/>
            <w:shd w:val="clear" w:color="auto" w:fill="auto"/>
            <w:vAlign w:val="center"/>
          </w:tcPr>
          <w:p w14:paraId="2FBF3EBE" w14:textId="77777777" w:rsidR="00B50935" w:rsidRPr="007B62AA" w:rsidRDefault="00B50935" w:rsidP="00427764">
            <w:pPr>
              <w:spacing w:beforeLines="20" w:before="48" w:afterLines="20" w:after="48"/>
              <w:jc w:val="center"/>
              <w:rPr>
                <w:noProof/>
                <w:sz w:val="20"/>
              </w:rPr>
            </w:pPr>
          </w:p>
        </w:tc>
        <w:tc>
          <w:tcPr>
            <w:tcW w:w="452" w:type="pct"/>
            <w:gridSpan w:val="3"/>
            <w:shd w:val="clear" w:color="auto" w:fill="auto"/>
            <w:vAlign w:val="center"/>
          </w:tcPr>
          <w:p w14:paraId="56D6C0BC" w14:textId="77777777" w:rsidR="00B50935" w:rsidRPr="007B62AA" w:rsidRDefault="00B50935" w:rsidP="00427764">
            <w:pPr>
              <w:spacing w:beforeLines="20" w:before="48" w:afterLines="20" w:after="48"/>
              <w:jc w:val="center"/>
              <w:rPr>
                <w:noProof/>
                <w:sz w:val="20"/>
              </w:rPr>
            </w:pPr>
          </w:p>
        </w:tc>
      </w:tr>
      <w:tr w:rsidR="00B50935" w:rsidRPr="007B62AA" w14:paraId="5D8A60B4" w14:textId="77777777" w:rsidTr="00427764">
        <w:trPr>
          <w:trHeight w:val="289"/>
          <w:jc w:val="center"/>
        </w:trPr>
        <w:tc>
          <w:tcPr>
            <w:tcW w:w="2044" w:type="pct"/>
            <w:gridSpan w:val="2"/>
            <w:tcBorders>
              <w:bottom w:val="double" w:sz="4" w:space="0" w:color="auto"/>
            </w:tcBorders>
            <w:shd w:val="clear" w:color="auto" w:fill="auto"/>
            <w:vAlign w:val="center"/>
          </w:tcPr>
          <w:p w14:paraId="0BF1CA9A" w14:textId="77777777" w:rsidR="00B50935" w:rsidRPr="007B62AA" w:rsidRDefault="00B50935" w:rsidP="00427764">
            <w:pPr>
              <w:pStyle w:val="Text1"/>
              <w:spacing w:beforeLines="20" w:before="48" w:afterLines="20" w:after="48"/>
              <w:ind w:left="984"/>
              <w:jc w:val="left"/>
              <w:rPr>
                <w:noProof/>
                <w:sz w:val="20"/>
              </w:rPr>
            </w:pPr>
            <w:r w:rsidRPr="007B62AA">
              <w:rPr>
                <w:sz w:val="20"/>
              </w:rPr>
              <w:t>Iné rozpočtové riadky (uveďte)</w:t>
            </w:r>
          </w:p>
        </w:tc>
        <w:tc>
          <w:tcPr>
            <w:tcW w:w="386" w:type="pct"/>
            <w:tcBorders>
              <w:bottom w:val="double" w:sz="4" w:space="0" w:color="auto"/>
            </w:tcBorders>
            <w:shd w:val="clear" w:color="auto" w:fill="auto"/>
            <w:vAlign w:val="center"/>
          </w:tcPr>
          <w:p w14:paraId="55F63EA0" w14:textId="77777777" w:rsidR="00B50935" w:rsidRPr="007B62AA" w:rsidRDefault="00B50935" w:rsidP="00427764">
            <w:pPr>
              <w:spacing w:beforeLines="20" w:before="48" w:afterLines="20" w:after="48"/>
              <w:jc w:val="center"/>
              <w:rPr>
                <w:noProof/>
                <w:sz w:val="20"/>
              </w:rPr>
            </w:pPr>
          </w:p>
        </w:tc>
        <w:tc>
          <w:tcPr>
            <w:tcW w:w="368" w:type="pct"/>
            <w:tcBorders>
              <w:bottom w:val="double" w:sz="4" w:space="0" w:color="auto"/>
            </w:tcBorders>
            <w:shd w:val="clear" w:color="auto" w:fill="auto"/>
            <w:vAlign w:val="center"/>
          </w:tcPr>
          <w:p w14:paraId="62CD614E" w14:textId="77777777" w:rsidR="00B50935" w:rsidRPr="007B62AA" w:rsidRDefault="00B50935" w:rsidP="00427764">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14:paraId="7C1ADDBA" w14:textId="77777777" w:rsidR="00B50935" w:rsidRPr="007B62AA" w:rsidRDefault="00B50935" w:rsidP="00427764">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14:paraId="2DB91418" w14:textId="77777777" w:rsidR="00B50935" w:rsidRPr="007B62AA" w:rsidRDefault="00B50935" w:rsidP="00427764">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14:paraId="3044A95F" w14:textId="77777777" w:rsidR="00B50935" w:rsidRPr="007B62AA" w:rsidRDefault="00B50935" w:rsidP="00427764">
            <w:pPr>
              <w:spacing w:beforeLines="20" w:before="48" w:afterLines="20" w:after="48"/>
              <w:jc w:val="center"/>
              <w:rPr>
                <w:noProof/>
                <w:sz w:val="20"/>
              </w:rPr>
            </w:pPr>
          </w:p>
        </w:tc>
        <w:tc>
          <w:tcPr>
            <w:tcW w:w="423" w:type="pct"/>
            <w:gridSpan w:val="2"/>
            <w:tcBorders>
              <w:bottom w:val="double" w:sz="4" w:space="0" w:color="auto"/>
            </w:tcBorders>
            <w:shd w:val="clear" w:color="auto" w:fill="auto"/>
            <w:vAlign w:val="center"/>
          </w:tcPr>
          <w:p w14:paraId="55227462" w14:textId="77777777" w:rsidR="00B50935" w:rsidRPr="007B62AA" w:rsidRDefault="00B50935" w:rsidP="00427764">
            <w:pPr>
              <w:spacing w:beforeLines="20" w:before="48" w:afterLines="20" w:after="48"/>
              <w:jc w:val="center"/>
              <w:rPr>
                <w:noProof/>
                <w:sz w:val="20"/>
              </w:rPr>
            </w:pPr>
          </w:p>
        </w:tc>
        <w:tc>
          <w:tcPr>
            <w:tcW w:w="452" w:type="pct"/>
            <w:gridSpan w:val="3"/>
            <w:tcBorders>
              <w:bottom w:val="double" w:sz="4" w:space="0" w:color="auto"/>
            </w:tcBorders>
            <w:shd w:val="clear" w:color="auto" w:fill="auto"/>
            <w:vAlign w:val="center"/>
          </w:tcPr>
          <w:p w14:paraId="25D7A965" w14:textId="77777777" w:rsidR="00B50935" w:rsidRPr="007B62AA" w:rsidRDefault="00B50935" w:rsidP="00427764">
            <w:pPr>
              <w:spacing w:beforeLines="20" w:before="48" w:afterLines="20" w:after="48"/>
              <w:jc w:val="center"/>
              <w:rPr>
                <w:noProof/>
                <w:sz w:val="20"/>
              </w:rPr>
            </w:pPr>
          </w:p>
        </w:tc>
      </w:tr>
      <w:tr w:rsidR="00B50935" w:rsidRPr="007B62AA" w14:paraId="1901CABA" w14:textId="77777777" w:rsidTr="00427764">
        <w:trPr>
          <w:trHeight w:val="289"/>
          <w:jc w:val="center"/>
        </w:trPr>
        <w:tc>
          <w:tcPr>
            <w:tcW w:w="2044" w:type="pct"/>
            <w:gridSpan w:val="2"/>
            <w:tcBorders>
              <w:top w:val="double" w:sz="4" w:space="0" w:color="auto"/>
            </w:tcBorders>
            <w:shd w:val="clear" w:color="auto" w:fill="auto"/>
            <w:vAlign w:val="center"/>
          </w:tcPr>
          <w:p w14:paraId="20ACD181" w14:textId="77777777" w:rsidR="00B50935" w:rsidRPr="007B62AA" w:rsidRDefault="00B50935" w:rsidP="00427764">
            <w:pPr>
              <w:pStyle w:val="Text1"/>
              <w:spacing w:beforeLines="20" w:before="48" w:afterLines="20" w:after="48"/>
              <w:ind w:left="986"/>
              <w:jc w:val="left"/>
              <w:rPr>
                <w:noProof/>
                <w:sz w:val="20"/>
              </w:rPr>
            </w:pPr>
            <w:r w:rsidRPr="007B62AA">
              <w:rPr>
                <w:b/>
                <w:sz w:val="20"/>
              </w:rPr>
              <w:t>SPOLU</w:t>
            </w:r>
          </w:p>
        </w:tc>
        <w:tc>
          <w:tcPr>
            <w:tcW w:w="386" w:type="pct"/>
            <w:tcBorders>
              <w:top w:val="double" w:sz="4" w:space="0" w:color="auto"/>
            </w:tcBorders>
            <w:shd w:val="clear" w:color="auto" w:fill="auto"/>
            <w:vAlign w:val="center"/>
          </w:tcPr>
          <w:p w14:paraId="20EDFBDC" w14:textId="77777777" w:rsidR="00B50935" w:rsidRPr="007B62AA" w:rsidRDefault="00B50935" w:rsidP="00427764">
            <w:pPr>
              <w:spacing w:beforeLines="20" w:before="48" w:afterLines="20" w:after="48"/>
              <w:jc w:val="center"/>
              <w:rPr>
                <w:b/>
                <w:noProof/>
                <w:sz w:val="20"/>
              </w:rPr>
            </w:pPr>
          </w:p>
        </w:tc>
        <w:tc>
          <w:tcPr>
            <w:tcW w:w="368" w:type="pct"/>
            <w:tcBorders>
              <w:top w:val="double" w:sz="4" w:space="0" w:color="auto"/>
            </w:tcBorders>
            <w:shd w:val="clear" w:color="auto" w:fill="auto"/>
            <w:vAlign w:val="center"/>
          </w:tcPr>
          <w:p w14:paraId="64E3F106" w14:textId="77777777" w:rsidR="00B50935" w:rsidRPr="007B62AA" w:rsidRDefault="00B50935" w:rsidP="00427764">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14:paraId="17A265AC" w14:textId="77777777" w:rsidR="00B50935" w:rsidRPr="007B62AA" w:rsidRDefault="00B50935" w:rsidP="00427764">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14:paraId="4C233FF1" w14:textId="77777777" w:rsidR="00B50935" w:rsidRPr="007B62AA" w:rsidRDefault="00B50935" w:rsidP="00427764">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14:paraId="7F58CCD3" w14:textId="77777777" w:rsidR="00B50935" w:rsidRPr="007B62AA" w:rsidRDefault="00B50935" w:rsidP="00427764">
            <w:pPr>
              <w:spacing w:beforeLines="20" w:before="48" w:afterLines="20" w:after="48"/>
              <w:jc w:val="center"/>
              <w:rPr>
                <w:b/>
                <w:noProof/>
                <w:sz w:val="20"/>
              </w:rPr>
            </w:pPr>
          </w:p>
        </w:tc>
        <w:tc>
          <w:tcPr>
            <w:tcW w:w="423" w:type="pct"/>
            <w:gridSpan w:val="2"/>
            <w:tcBorders>
              <w:top w:val="double" w:sz="4" w:space="0" w:color="auto"/>
            </w:tcBorders>
            <w:shd w:val="clear" w:color="auto" w:fill="auto"/>
            <w:vAlign w:val="center"/>
          </w:tcPr>
          <w:p w14:paraId="0CB6B769" w14:textId="77777777" w:rsidR="00B50935" w:rsidRPr="007B62AA" w:rsidRDefault="00B50935" w:rsidP="00427764">
            <w:pPr>
              <w:spacing w:beforeLines="20" w:before="48" w:afterLines="20" w:after="48"/>
              <w:jc w:val="center"/>
              <w:rPr>
                <w:b/>
                <w:noProof/>
                <w:sz w:val="20"/>
              </w:rPr>
            </w:pPr>
          </w:p>
        </w:tc>
        <w:tc>
          <w:tcPr>
            <w:tcW w:w="452" w:type="pct"/>
            <w:gridSpan w:val="3"/>
            <w:tcBorders>
              <w:top w:val="double" w:sz="4" w:space="0" w:color="auto"/>
            </w:tcBorders>
            <w:shd w:val="clear" w:color="auto" w:fill="auto"/>
            <w:vAlign w:val="center"/>
          </w:tcPr>
          <w:p w14:paraId="58A6FB41" w14:textId="77777777" w:rsidR="00B50935" w:rsidRPr="007B62AA" w:rsidRDefault="00B50935" w:rsidP="00427764">
            <w:pPr>
              <w:spacing w:beforeLines="20" w:before="48" w:afterLines="20" w:after="48"/>
              <w:jc w:val="center"/>
              <w:rPr>
                <w:b/>
                <w:noProof/>
                <w:sz w:val="20"/>
              </w:rPr>
            </w:pPr>
          </w:p>
        </w:tc>
      </w:tr>
    </w:tbl>
    <w:p w14:paraId="74CAFA70" w14:textId="77777777" w:rsidR="00B50935" w:rsidRPr="007B62AA" w:rsidRDefault="00B50935" w:rsidP="00B50935">
      <w:pPr>
        <w:pStyle w:val="Text1"/>
        <w:spacing w:before="60" w:after="60"/>
        <w:ind w:left="851"/>
        <w:rPr>
          <w:noProof/>
        </w:rPr>
      </w:pPr>
      <w:r w:rsidRPr="007B62AA">
        <w:rPr>
          <w:b/>
        </w:rPr>
        <w:t>XX</w:t>
      </w:r>
      <w:r w:rsidRPr="007B62AA">
        <w:t xml:space="preserve"> predstavuje príslušnú oblasť politiky alebo rozpočtovú hlavu.</w:t>
      </w:r>
    </w:p>
    <w:p w14:paraId="29F695B9" w14:textId="77777777" w:rsidR="00B50935" w:rsidRPr="007B62AA" w:rsidRDefault="00B50935" w:rsidP="00B50935">
      <w:pPr>
        <w:pStyle w:val="Text1"/>
        <w:rPr>
          <w:noProof/>
          <w:sz w:val="22"/>
        </w:rPr>
      </w:pPr>
      <w:r w:rsidRPr="007B62AA">
        <w:rPr>
          <w:sz w:val="22"/>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14:paraId="73DA9792" w14:textId="77777777" w:rsidR="00B50935" w:rsidRPr="007B62AA" w:rsidRDefault="00B50935" w:rsidP="00B50935">
      <w:pPr>
        <w:rPr>
          <w:noProof/>
          <w:sz w:val="20"/>
        </w:rPr>
      </w:pPr>
      <w:r w:rsidRPr="007B62AA">
        <w:rPr>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B50935" w:rsidRPr="007B62AA" w14:paraId="06BED287" w14:textId="77777777" w:rsidTr="00427764">
        <w:tc>
          <w:tcPr>
            <w:tcW w:w="3240" w:type="dxa"/>
          </w:tcPr>
          <w:p w14:paraId="23F5B32D" w14:textId="77777777" w:rsidR="00B50935" w:rsidRPr="007B62AA" w:rsidRDefault="00B50935" w:rsidP="00427764">
            <w:pPr>
              <w:rPr>
                <w:noProof/>
                <w:sz w:val="20"/>
              </w:rPr>
            </w:pPr>
            <w:r w:rsidRPr="007B62AA">
              <w:rPr>
                <w:sz w:val="20"/>
              </w:rPr>
              <w:t>Úradníci a dočasní zamestnanci</w:t>
            </w:r>
          </w:p>
        </w:tc>
        <w:tc>
          <w:tcPr>
            <w:tcW w:w="7200" w:type="dxa"/>
          </w:tcPr>
          <w:p w14:paraId="23E797FF" w14:textId="77777777" w:rsidR="00B50935" w:rsidRPr="007B62AA" w:rsidRDefault="00B50935" w:rsidP="00427764">
            <w:pPr>
              <w:rPr>
                <w:noProof/>
                <w:sz w:val="20"/>
              </w:rPr>
            </w:pPr>
          </w:p>
        </w:tc>
      </w:tr>
      <w:tr w:rsidR="00B50935" w:rsidRPr="007B62AA" w14:paraId="2328D177" w14:textId="77777777" w:rsidTr="00427764">
        <w:tc>
          <w:tcPr>
            <w:tcW w:w="3240" w:type="dxa"/>
          </w:tcPr>
          <w:p w14:paraId="619F440E" w14:textId="77777777" w:rsidR="00B50935" w:rsidRPr="007B62AA" w:rsidRDefault="00B50935" w:rsidP="00427764">
            <w:pPr>
              <w:spacing w:before="60" w:after="60"/>
              <w:rPr>
                <w:noProof/>
                <w:sz w:val="20"/>
              </w:rPr>
            </w:pPr>
            <w:r w:rsidRPr="007B62AA">
              <w:rPr>
                <w:sz w:val="20"/>
              </w:rPr>
              <w:t>Externí zamestnanci</w:t>
            </w:r>
          </w:p>
        </w:tc>
        <w:tc>
          <w:tcPr>
            <w:tcW w:w="7200" w:type="dxa"/>
          </w:tcPr>
          <w:p w14:paraId="3602C413" w14:textId="77777777" w:rsidR="00B50935" w:rsidRPr="007B62AA" w:rsidRDefault="00B50935" w:rsidP="00427764">
            <w:pPr>
              <w:rPr>
                <w:noProof/>
                <w:sz w:val="20"/>
              </w:rPr>
            </w:pPr>
          </w:p>
        </w:tc>
      </w:tr>
    </w:tbl>
    <w:p w14:paraId="6FF87D6C" w14:textId="77777777" w:rsidR="00B50935" w:rsidRPr="007B62AA" w:rsidRDefault="00B50935" w:rsidP="00B50935">
      <w:pPr>
        <w:rPr>
          <w:noProof/>
        </w:rPr>
      </w:pPr>
    </w:p>
    <w:p w14:paraId="2AF0851B" w14:textId="77777777" w:rsidR="00B50935" w:rsidRPr="007B62AA" w:rsidRDefault="00B50935" w:rsidP="00B50935">
      <w:pPr>
        <w:rPr>
          <w:noProof/>
        </w:rPr>
      </w:pPr>
      <w:r w:rsidRPr="007B62AA">
        <w:t xml:space="preserve">Opis výpočtu nákladov na ekvivalent plného pracovného času by mal byť uvedený v oddiele 3 prílohy V. </w:t>
      </w:r>
    </w:p>
    <w:p w14:paraId="682F33CC" w14:textId="77777777" w:rsidR="00B50935" w:rsidRPr="007B62AA" w:rsidRDefault="00B50935" w:rsidP="00B50935">
      <w:pPr>
        <w:rPr>
          <w:noProof/>
        </w:rPr>
        <w:sectPr w:rsidR="00B50935" w:rsidRPr="007B62AA" w:rsidSect="00CA0925">
          <w:pgSz w:w="11907" w:h="16839"/>
          <w:pgMar w:top="1134" w:right="1417" w:bottom="1134" w:left="1417" w:header="709" w:footer="709" w:gutter="0"/>
          <w:cols w:space="720"/>
          <w:docGrid w:linePitch="326"/>
        </w:sectPr>
      </w:pPr>
    </w:p>
    <w:p w14:paraId="75E314E3" w14:textId="77777777" w:rsidR="00B50935" w:rsidRPr="007B62AA" w:rsidRDefault="00B50935" w:rsidP="00B50935">
      <w:pPr>
        <w:pStyle w:val="Heading3"/>
        <w:rPr>
          <w:bCs w:val="0"/>
          <w:noProof/>
          <w:szCs w:val="24"/>
        </w:rPr>
      </w:pPr>
      <w:bookmarkStart w:id="76" w:name="_Toc514938689"/>
      <w:bookmarkStart w:id="77" w:name="_Toc58230753"/>
      <w:r w:rsidRPr="007B62AA">
        <w:t>Súlad s platným viacročným finančným rámcom</w:t>
      </w:r>
      <w:bookmarkEnd w:id="76"/>
      <w:bookmarkEnd w:id="77"/>
      <w:r w:rsidRPr="007B62AA">
        <w:t xml:space="preserve"> </w:t>
      </w:r>
    </w:p>
    <w:p w14:paraId="23A54B5E" w14:textId="77777777" w:rsidR="00B50935" w:rsidRPr="007B62AA" w:rsidRDefault="00B50935" w:rsidP="006F7C3E">
      <w:pPr>
        <w:pStyle w:val="ListDash1"/>
        <w:rPr>
          <w:noProof/>
        </w:rPr>
      </w:pPr>
      <w:r w:rsidRPr="007B62AA">
        <w:sym w:font="Wingdings" w:char="F0A8"/>
      </w:r>
      <w:r w:rsidRPr="007B62AA">
        <w:tab/>
        <w:t>Návrh/iniciatíva je v súlade s platným viacročným finančným rámcom.</w:t>
      </w:r>
    </w:p>
    <w:p w14:paraId="17491537" w14:textId="4B3D3FF7" w:rsidR="00B50935" w:rsidRPr="007B62AA" w:rsidRDefault="00B50935" w:rsidP="006F7C3E">
      <w:pPr>
        <w:pStyle w:val="ListDash1"/>
        <w:rPr>
          <w:noProof/>
        </w:rPr>
      </w:pPr>
      <w:r w:rsidRPr="007B62AA">
        <w:t>X Návrh/iniciatíva si vyžaduje zmenu v plánovaní príslušného okruhu vo viacročnom finančnom rámci.</w:t>
      </w:r>
    </w:p>
    <w:p w14:paraId="69BF9E11"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rPr>
          <w:noProof/>
          <w:sz w:val="20"/>
        </w:rPr>
      </w:pPr>
      <w:r w:rsidRPr="007B62AA">
        <w:rPr>
          <w:sz w:val="20"/>
        </w:rPr>
        <w:t>Vysvetlite požadovanú zmenu v plánovaní a uveďte príslušné rozpočtové riadky a zodpovedajúce sumy.</w:t>
      </w:r>
    </w:p>
    <w:p w14:paraId="771FF021"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rPr>
          <w:noProof/>
        </w:rPr>
      </w:pPr>
      <w:r w:rsidRPr="007B62AA">
        <w:t>Navrhovaný dodatočný rozpočet pre ECDC sa môže financovať znížením rozpočtu EU4Health v budúcich rokoch.</w:t>
      </w:r>
    </w:p>
    <w:p w14:paraId="1F4C08CB" w14:textId="77777777" w:rsidR="00B50935" w:rsidRPr="007B62AA" w:rsidRDefault="00B50935" w:rsidP="006F7C3E">
      <w:pPr>
        <w:pStyle w:val="ListDash1"/>
        <w:rPr>
          <w:noProof/>
        </w:rPr>
      </w:pPr>
      <w:r w:rsidRPr="007B62AA">
        <w:sym w:font="Wingdings" w:char="F0A8"/>
      </w:r>
      <w:r w:rsidRPr="007B62AA">
        <w:tab/>
        <w:t>Návrh/iniciatíva si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77777777" w:rsidR="00B50935" w:rsidRPr="007B62AA" w:rsidRDefault="00B50935" w:rsidP="00B50935">
      <w:pPr>
        <w:pStyle w:val="Text1"/>
        <w:pBdr>
          <w:top w:val="single" w:sz="4" w:space="1" w:color="auto"/>
          <w:left w:val="single" w:sz="4" w:space="4" w:color="auto"/>
          <w:bottom w:val="single" w:sz="4" w:space="1" w:color="auto"/>
          <w:right w:val="single" w:sz="4" w:space="4" w:color="auto"/>
        </w:pBdr>
        <w:rPr>
          <w:noProof/>
          <w:sz w:val="20"/>
        </w:rPr>
      </w:pPr>
      <w:r w:rsidRPr="007B62AA">
        <w:rPr>
          <w:sz w:val="20"/>
        </w:rPr>
        <w:t>Vysvetlite potrebu a uveďte príslušné okruhy, rozpočtové riadky a zodpovedajúce sumy.</w:t>
      </w:r>
    </w:p>
    <w:p w14:paraId="0E2A596A" w14:textId="6E15A944" w:rsidR="00B50935" w:rsidRPr="007B62AA" w:rsidRDefault="00B50935" w:rsidP="00B50935">
      <w:pPr>
        <w:pStyle w:val="Text1"/>
        <w:pBdr>
          <w:top w:val="single" w:sz="4" w:space="1" w:color="auto"/>
          <w:left w:val="single" w:sz="4" w:space="4" w:color="auto"/>
          <w:bottom w:val="single" w:sz="4" w:space="1" w:color="auto"/>
          <w:right w:val="single" w:sz="4" w:space="4" w:color="auto"/>
        </w:pBdr>
        <w:rPr>
          <w:noProof/>
          <w:sz w:val="20"/>
        </w:rPr>
      </w:pPr>
    </w:p>
    <w:p w14:paraId="09B4F9D3" w14:textId="77777777" w:rsidR="00B50935" w:rsidRPr="007B62AA" w:rsidRDefault="00B50935" w:rsidP="00B50935">
      <w:pPr>
        <w:pStyle w:val="Heading3"/>
        <w:rPr>
          <w:bCs w:val="0"/>
          <w:noProof/>
          <w:szCs w:val="24"/>
        </w:rPr>
      </w:pPr>
      <w:bookmarkStart w:id="78" w:name="_Toc514938690"/>
      <w:bookmarkStart w:id="79" w:name="_Toc58230754"/>
      <w:r w:rsidRPr="007B62AA">
        <w:t>Príspevky od tretích strán</w:t>
      </w:r>
      <w:bookmarkEnd w:id="78"/>
      <w:bookmarkEnd w:id="79"/>
      <w:r w:rsidRPr="007B62AA">
        <w:t xml:space="preserve"> </w:t>
      </w:r>
    </w:p>
    <w:p w14:paraId="7EE0BD9C" w14:textId="77777777" w:rsidR="00B50935" w:rsidRPr="007B62AA" w:rsidRDefault="00B50935" w:rsidP="006F7C3E">
      <w:pPr>
        <w:pStyle w:val="ListDash1"/>
        <w:rPr>
          <w:noProof/>
        </w:rPr>
      </w:pPr>
      <w:r w:rsidRPr="007B62AA">
        <w:t xml:space="preserve">Návrh/iniciatíva nezahŕňa spolufinancovanie tretími stranami. </w:t>
      </w:r>
    </w:p>
    <w:p w14:paraId="0ED6FF16" w14:textId="77777777" w:rsidR="00B50935" w:rsidRPr="007B62AA" w:rsidRDefault="00B50935" w:rsidP="006F7C3E">
      <w:pPr>
        <w:pStyle w:val="ListDash1"/>
        <w:rPr>
          <w:noProof/>
        </w:rPr>
      </w:pPr>
      <w:r w:rsidRPr="007B62AA">
        <w:t>Návrh/iniciatíva zahŕňa spolufinancovanie tretími stranami, ako je odhadnuté v nasledujúcej tabuľke:</w:t>
      </w:r>
    </w:p>
    <w:p w14:paraId="6904BABE" w14:textId="77777777" w:rsidR="00B50935" w:rsidRPr="007B62AA" w:rsidRDefault="00B50935" w:rsidP="00B50935">
      <w:pPr>
        <w:jc w:val="right"/>
        <w:rPr>
          <w:noProof/>
          <w:sz w:val="20"/>
        </w:rPr>
      </w:pPr>
      <w:r w:rsidRPr="007B62AA">
        <w:rPr>
          <w:sz w:val="20"/>
        </w:rPr>
        <w:t>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B50935" w:rsidRPr="007B62AA" w14:paraId="071941AD" w14:textId="77777777" w:rsidTr="00427764">
        <w:trPr>
          <w:cantSplit/>
        </w:trPr>
        <w:tc>
          <w:tcPr>
            <w:tcW w:w="2340" w:type="dxa"/>
          </w:tcPr>
          <w:p w14:paraId="757CFD5C" w14:textId="77777777" w:rsidR="00B50935" w:rsidRPr="007B62AA" w:rsidRDefault="00B50935" w:rsidP="00427764">
            <w:pPr>
              <w:spacing w:before="60" w:after="60"/>
              <w:rPr>
                <w:noProof/>
                <w:sz w:val="20"/>
              </w:rPr>
            </w:pPr>
          </w:p>
        </w:tc>
        <w:tc>
          <w:tcPr>
            <w:tcW w:w="964" w:type="dxa"/>
            <w:vAlign w:val="center"/>
          </w:tcPr>
          <w:p w14:paraId="5710B9AB" w14:textId="77777777" w:rsidR="00B50935" w:rsidRPr="007B62AA" w:rsidRDefault="00B50935" w:rsidP="00427764">
            <w:pPr>
              <w:jc w:val="center"/>
              <w:rPr>
                <w:noProof/>
                <w:sz w:val="20"/>
              </w:rPr>
            </w:pPr>
            <w:r w:rsidRPr="007B62AA">
              <w:rPr>
                <w:sz w:val="20"/>
              </w:rPr>
              <w:t>Rok</w:t>
            </w:r>
            <w:r w:rsidRPr="007B62AA">
              <w:t xml:space="preserve"> </w:t>
            </w:r>
            <w:r w:rsidRPr="007B62AA">
              <w:br/>
            </w:r>
            <w:r w:rsidRPr="007B62AA">
              <w:rPr>
                <w:b/>
                <w:sz w:val="20"/>
              </w:rPr>
              <w:t>2021</w:t>
            </w:r>
          </w:p>
        </w:tc>
        <w:tc>
          <w:tcPr>
            <w:tcW w:w="964" w:type="dxa"/>
            <w:vAlign w:val="center"/>
          </w:tcPr>
          <w:p w14:paraId="37AFA9B7" w14:textId="77777777" w:rsidR="00B50935" w:rsidRPr="007B62AA" w:rsidRDefault="00B50935" w:rsidP="00427764">
            <w:pPr>
              <w:jc w:val="center"/>
              <w:rPr>
                <w:noProof/>
                <w:sz w:val="20"/>
              </w:rPr>
            </w:pPr>
            <w:r w:rsidRPr="007B62AA">
              <w:rPr>
                <w:sz w:val="20"/>
              </w:rPr>
              <w:t>Rok</w:t>
            </w:r>
            <w:r w:rsidRPr="007B62AA">
              <w:t xml:space="preserve"> </w:t>
            </w:r>
            <w:r w:rsidRPr="007B62AA">
              <w:br/>
            </w:r>
            <w:r w:rsidRPr="007B62AA">
              <w:rPr>
                <w:b/>
                <w:sz w:val="20"/>
              </w:rPr>
              <w:t>2022</w:t>
            </w:r>
          </w:p>
        </w:tc>
        <w:tc>
          <w:tcPr>
            <w:tcW w:w="964" w:type="dxa"/>
            <w:vAlign w:val="center"/>
          </w:tcPr>
          <w:p w14:paraId="690EAE17" w14:textId="77777777" w:rsidR="00B50935" w:rsidRPr="007B62AA" w:rsidRDefault="00B50935" w:rsidP="00427764">
            <w:pPr>
              <w:jc w:val="center"/>
              <w:rPr>
                <w:noProof/>
                <w:sz w:val="20"/>
              </w:rPr>
            </w:pPr>
            <w:r w:rsidRPr="007B62AA">
              <w:rPr>
                <w:sz w:val="20"/>
              </w:rPr>
              <w:t>Rok</w:t>
            </w:r>
            <w:r w:rsidRPr="007B62AA">
              <w:t xml:space="preserve"> </w:t>
            </w:r>
            <w:r w:rsidRPr="007B62AA">
              <w:br/>
            </w:r>
            <w:r w:rsidRPr="007B62AA">
              <w:rPr>
                <w:b/>
                <w:sz w:val="20"/>
              </w:rPr>
              <w:t>2023</w:t>
            </w:r>
          </w:p>
        </w:tc>
        <w:tc>
          <w:tcPr>
            <w:tcW w:w="964" w:type="dxa"/>
            <w:vAlign w:val="center"/>
          </w:tcPr>
          <w:p w14:paraId="733995AC" w14:textId="77777777" w:rsidR="00B50935" w:rsidRPr="007B62AA" w:rsidRDefault="00B50935" w:rsidP="00427764">
            <w:pPr>
              <w:jc w:val="center"/>
              <w:rPr>
                <w:noProof/>
                <w:sz w:val="20"/>
              </w:rPr>
            </w:pPr>
            <w:r w:rsidRPr="007B62AA">
              <w:rPr>
                <w:sz w:val="20"/>
              </w:rPr>
              <w:t>Rok</w:t>
            </w:r>
            <w:r w:rsidRPr="007B62AA">
              <w:t xml:space="preserve"> </w:t>
            </w:r>
            <w:r w:rsidRPr="007B62AA">
              <w:br/>
            </w:r>
            <w:r w:rsidRPr="007B62AA">
              <w:rPr>
                <w:b/>
                <w:sz w:val="20"/>
              </w:rPr>
              <w:t>2024</w:t>
            </w:r>
          </w:p>
        </w:tc>
        <w:tc>
          <w:tcPr>
            <w:tcW w:w="964" w:type="dxa"/>
            <w:vAlign w:val="center"/>
          </w:tcPr>
          <w:p w14:paraId="032FE837" w14:textId="77777777" w:rsidR="00B50935" w:rsidRPr="007B62AA" w:rsidRDefault="00B50935" w:rsidP="00427764">
            <w:pPr>
              <w:jc w:val="center"/>
              <w:rPr>
                <w:b/>
                <w:noProof/>
                <w:sz w:val="20"/>
              </w:rPr>
            </w:pPr>
            <w:r w:rsidRPr="007B62AA">
              <w:rPr>
                <w:sz w:val="20"/>
              </w:rPr>
              <w:t>Rok</w:t>
            </w:r>
            <w:r w:rsidRPr="007B62AA">
              <w:t xml:space="preserve"> </w:t>
            </w:r>
            <w:r w:rsidRPr="007B62AA">
              <w:br/>
            </w:r>
            <w:r w:rsidRPr="007B62AA">
              <w:rPr>
                <w:b/>
                <w:sz w:val="20"/>
              </w:rPr>
              <w:t>2025</w:t>
            </w:r>
          </w:p>
        </w:tc>
        <w:tc>
          <w:tcPr>
            <w:tcW w:w="964" w:type="dxa"/>
            <w:vAlign w:val="center"/>
          </w:tcPr>
          <w:p w14:paraId="5FEC3BDA" w14:textId="77777777" w:rsidR="00B50935" w:rsidRPr="007B62AA" w:rsidRDefault="00B50935" w:rsidP="00427764">
            <w:pPr>
              <w:jc w:val="center"/>
              <w:rPr>
                <w:b/>
                <w:noProof/>
                <w:sz w:val="20"/>
              </w:rPr>
            </w:pPr>
            <w:r w:rsidRPr="007B62AA">
              <w:rPr>
                <w:sz w:val="20"/>
              </w:rPr>
              <w:t>Rok</w:t>
            </w:r>
            <w:r w:rsidRPr="007B62AA">
              <w:t xml:space="preserve"> </w:t>
            </w:r>
            <w:r w:rsidRPr="007B62AA">
              <w:br/>
            </w:r>
            <w:r w:rsidRPr="007B62AA">
              <w:rPr>
                <w:b/>
                <w:sz w:val="20"/>
              </w:rPr>
              <w:t>2026</w:t>
            </w:r>
          </w:p>
        </w:tc>
        <w:tc>
          <w:tcPr>
            <w:tcW w:w="964" w:type="dxa"/>
            <w:vAlign w:val="center"/>
          </w:tcPr>
          <w:p w14:paraId="04C10B0B" w14:textId="0E3AD56D" w:rsidR="00B50935" w:rsidRPr="007B62AA" w:rsidRDefault="00B50935" w:rsidP="00427764">
            <w:pPr>
              <w:jc w:val="center"/>
              <w:rPr>
                <w:b/>
                <w:noProof/>
                <w:sz w:val="20"/>
              </w:rPr>
            </w:pPr>
            <w:r w:rsidRPr="007B62AA">
              <w:rPr>
                <w:sz w:val="20"/>
              </w:rPr>
              <w:t>Rok</w:t>
            </w:r>
            <w:r w:rsidRPr="007B62AA">
              <w:t xml:space="preserve"> </w:t>
            </w:r>
            <w:r w:rsidRPr="007B62AA">
              <w:br/>
            </w:r>
            <w:r w:rsidRPr="007B62AA">
              <w:rPr>
                <w:b/>
                <w:sz w:val="20"/>
              </w:rPr>
              <w:t>2027</w:t>
            </w:r>
            <w:r w:rsidRPr="007B62AA">
              <w:rPr>
                <w:sz w:val="20"/>
              </w:rPr>
              <w:t xml:space="preserve"> </w:t>
            </w:r>
            <w:r w:rsidR="007B62AA">
              <w:rPr>
                <w:sz w:val="20"/>
              </w:rPr>
              <w:br/>
            </w:r>
            <w:r w:rsidRPr="007B62AA">
              <w:rPr>
                <w:sz w:val="20"/>
              </w:rPr>
              <w:t>a nasl.</w:t>
            </w:r>
          </w:p>
        </w:tc>
        <w:tc>
          <w:tcPr>
            <w:tcW w:w="1158" w:type="dxa"/>
            <w:vAlign w:val="center"/>
          </w:tcPr>
          <w:p w14:paraId="7CD15E3D" w14:textId="77777777" w:rsidR="00B50935" w:rsidRPr="007B62AA" w:rsidRDefault="00B50935" w:rsidP="00427764">
            <w:pPr>
              <w:spacing w:before="60" w:after="60"/>
              <w:jc w:val="center"/>
              <w:rPr>
                <w:noProof/>
                <w:sz w:val="20"/>
              </w:rPr>
            </w:pPr>
            <w:r w:rsidRPr="007B62AA">
              <w:rPr>
                <w:b/>
                <w:sz w:val="20"/>
              </w:rPr>
              <w:t>SPOLU</w:t>
            </w:r>
          </w:p>
        </w:tc>
      </w:tr>
      <w:tr w:rsidR="00B50935" w:rsidRPr="007B62AA" w14:paraId="6087E397" w14:textId="77777777" w:rsidTr="00427764">
        <w:trPr>
          <w:cantSplit/>
        </w:trPr>
        <w:tc>
          <w:tcPr>
            <w:tcW w:w="2340" w:type="dxa"/>
          </w:tcPr>
          <w:p w14:paraId="6EF93288" w14:textId="77777777" w:rsidR="00B50935" w:rsidRPr="007B62AA" w:rsidRDefault="00B50935" w:rsidP="00427764">
            <w:pPr>
              <w:rPr>
                <w:noProof/>
              </w:rPr>
            </w:pPr>
            <w:r w:rsidRPr="007B62AA">
              <w:rPr>
                <w:sz w:val="20"/>
              </w:rPr>
              <w:t>Uveďte spolufinancujúci subjekt</w:t>
            </w:r>
            <w:r w:rsidRPr="007B62AA">
              <w:rPr>
                <w:i/>
                <w:sz w:val="20"/>
              </w:rPr>
              <w:t xml:space="preserve"> </w:t>
            </w:r>
          </w:p>
        </w:tc>
        <w:tc>
          <w:tcPr>
            <w:tcW w:w="964" w:type="dxa"/>
            <w:vAlign w:val="center"/>
          </w:tcPr>
          <w:p w14:paraId="69147D72" w14:textId="77777777" w:rsidR="00B50935" w:rsidRPr="007B62AA" w:rsidRDefault="00B50935" w:rsidP="00427764">
            <w:pPr>
              <w:spacing w:before="60" w:after="60"/>
              <w:jc w:val="center"/>
              <w:rPr>
                <w:noProof/>
                <w:sz w:val="20"/>
              </w:rPr>
            </w:pPr>
            <w:r w:rsidRPr="007B62AA">
              <w:rPr>
                <w:sz w:val="20"/>
              </w:rPr>
              <w:t>p.m.</w:t>
            </w:r>
          </w:p>
        </w:tc>
        <w:tc>
          <w:tcPr>
            <w:tcW w:w="964" w:type="dxa"/>
            <w:vAlign w:val="center"/>
          </w:tcPr>
          <w:p w14:paraId="521D69EF" w14:textId="77777777" w:rsidR="00B50935" w:rsidRPr="007B62AA" w:rsidRDefault="00B50935" w:rsidP="00427764">
            <w:pPr>
              <w:spacing w:before="60" w:after="60"/>
              <w:jc w:val="center"/>
              <w:rPr>
                <w:noProof/>
                <w:sz w:val="20"/>
              </w:rPr>
            </w:pPr>
            <w:r w:rsidRPr="007B62AA">
              <w:rPr>
                <w:sz w:val="20"/>
              </w:rPr>
              <w:t>p.m.</w:t>
            </w:r>
          </w:p>
        </w:tc>
        <w:tc>
          <w:tcPr>
            <w:tcW w:w="964" w:type="dxa"/>
            <w:vAlign w:val="center"/>
          </w:tcPr>
          <w:p w14:paraId="4D75E8C4" w14:textId="77777777" w:rsidR="00B50935" w:rsidRPr="007B62AA" w:rsidRDefault="00B50935" w:rsidP="00427764">
            <w:pPr>
              <w:spacing w:before="60" w:after="60"/>
              <w:jc w:val="center"/>
              <w:rPr>
                <w:noProof/>
                <w:sz w:val="20"/>
              </w:rPr>
            </w:pPr>
            <w:r w:rsidRPr="007B62AA">
              <w:rPr>
                <w:sz w:val="20"/>
              </w:rPr>
              <w:t>p.m.</w:t>
            </w:r>
          </w:p>
        </w:tc>
        <w:tc>
          <w:tcPr>
            <w:tcW w:w="964" w:type="dxa"/>
            <w:vAlign w:val="center"/>
          </w:tcPr>
          <w:p w14:paraId="3F6F731B" w14:textId="77777777" w:rsidR="00B50935" w:rsidRPr="007B62AA" w:rsidRDefault="00B50935" w:rsidP="00427764">
            <w:pPr>
              <w:spacing w:before="60" w:after="60"/>
              <w:jc w:val="center"/>
              <w:rPr>
                <w:noProof/>
                <w:sz w:val="20"/>
              </w:rPr>
            </w:pPr>
            <w:r w:rsidRPr="007B62AA">
              <w:rPr>
                <w:sz w:val="20"/>
              </w:rPr>
              <w:t>p.m.</w:t>
            </w:r>
          </w:p>
        </w:tc>
        <w:tc>
          <w:tcPr>
            <w:tcW w:w="964" w:type="dxa"/>
            <w:vAlign w:val="center"/>
          </w:tcPr>
          <w:p w14:paraId="319FACB9" w14:textId="77777777" w:rsidR="00B50935" w:rsidRPr="007B62AA" w:rsidRDefault="00B50935" w:rsidP="00427764">
            <w:pPr>
              <w:spacing w:before="60" w:after="60"/>
              <w:jc w:val="center"/>
              <w:rPr>
                <w:noProof/>
                <w:sz w:val="20"/>
              </w:rPr>
            </w:pPr>
            <w:r w:rsidRPr="007B62AA">
              <w:rPr>
                <w:sz w:val="20"/>
              </w:rPr>
              <w:t>p.m.</w:t>
            </w:r>
          </w:p>
        </w:tc>
        <w:tc>
          <w:tcPr>
            <w:tcW w:w="964" w:type="dxa"/>
            <w:vAlign w:val="center"/>
          </w:tcPr>
          <w:p w14:paraId="55B20DD9" w14:textId="77777777" w:rsidR="00B50935" w:rsidRPr="007B62AA" w:rsidRDefault="00B50935" w:rsidP="00427764">
            <w:pPr>
              <w:spacing w:before="60" w:after="60"/>
              <w:jc w:val="center"/>
              <w:rPr>
                <w:noProof/>
                <w:sz w:val="20"/>
              </w:rPr>
            </w:pPr>
            <w:r w:rsidRPr="007B62AA">
              <w:rPr>
                <w:sz w:val="20"/>
              </w:rPr>
              <w:t>p.m.</w:t>
            </w:r>
          </w:p>
        </w:tc>
        <w:tc>
          <w:tcPr>
            <w:tcW w:w="964" w:type="dxa"/>
            <w:vAlign w:val="center"/>
          </w:tcPr>
          <w:p w14:paraId="2ACA131A" w14:textId="77777777" w:rsidR="00B50935" w:rsidRPr="007B62AA" w:rsidRDefault="00B50935" w:rsidP="00427764">
            <w:pPr>
              <w:spacing w:before="60" w:after="60"/>
              <w:jc w:val="center"/>
              <w:rPr>
                <w:noProof/>
                <w:sz w:val="20"/>
              </w:rPr>
            </w:pPr>
            <w:r w:rsidRPr="007B62AA">
              <w:rPr>
                <w:sz w:val="20"/>
              </w:rPr>
              <w:t>p.m.</w:t>
            </w:r>
          </w:p>
        </w:tc>
        <w:tc>
          <w:tcPr>
            <w:tcW w:w="1158" w:type="dxa"/>
            <w:vAlign w:val="center"/>
          </w:tcPr>
          <w:p w14:paraId="254B9B0C" w14:textId="77777777" w:rsidR="00B50935" w:rsidRPr="007B62AA" w:rsidRDefault="00B50935" w:rsidP="00427764">
            <w:pPr>
              <w:spacing w:before="60" w:after="60"/>
              <w:jc w:val="center"/>
              <w:rPr>
                <w:noProof/>
                <w:sz w:val="20"/>
              </w:rPr>
            </w:pPr>
            <w:r w:rsidRPr="007B62AA">
              <w:rPr>
                <w:sz w:val="20"/>
              </w:rPr>
              <w:t>p.m.</w:t>
            </w:r>
          </w:p>
        </w:tc>
      </w:tr>
      <w:tr w:rsidR="00B50935" w:rsidRPr="007B62AA" w14:paraId="114B9150" w14:textId="77777777" w:rsidTr="00427764">
        <w:trPr>
          <w:cantSplit/>
        </w:trPr>
        <w:tc>
          <w:tcPr>
            <w:tcW w:w="2340" w:type="dxa"/>
          </w:tcPr>
          <w:p w14:paraId="5832F597" w14:textId="0209C2B7" w:rsidR="00B50935" w:rsidRPr="007B62AA" w:rsidRDefault="007B62AA" w:rsidP="00427764">
            <w:pPr>
              <w:spacing w:before="60" w:after="60"/>
              <w:rPr>
                <w:noProof/>
                <w:sz w:val="20"/>
              </w:rPr>
            </w:pPr>
            <w:r w:rsidRPr="007B62AA">
              <w:rPr>
                <w:sz w:val="20"/>
              </w:rPr>
              <w:t>Prostriedky zo </w:t>
            </w:r>
            <w:r w:rsidR="00B50935" w:rsidRPr="007B62AA">
              <w:rPr>
                <w:sz w:val="20"/>
              </w:rPr>
              <w:t xml:space="preserve">spolufinancovania SPOLU </w:t>
            </w:r>
          </w:p>
        </w:tc>
        <w:tc>
          <w:tcPr>
            <w:tcW w:w="964" w:type="dxa"/>
            <w:vAlign w:val="center"/>
          </w:tcPr>
          <w:p w14:paraId="3604849D" w14:textId="77777777" w:rsidR="00B50935" w:rsidRPr="007B62AA" w:rsidRDefault="00B50935" w:rsidP="00427764">
            <w:pPr>
              <w:spacing w:before="60" w:after="60"/>
              <w:jc w:val="center"/>
              <w:rPr>
                <w:noProof/>
                <w:sz w:val="20"/>
              </w:rPr>
            </w:pPr>
            <w:r w:rsidRPr="007B62AA">
              <w:rPr>
                <w:sz w:val="20"/>
              </w:rPr>
              <w:t>p.m.</w:t>
            </w:r>
          </w:p>
        </w:tc>
        <w:tc>
          <w:tcPr>
            <w:tcW w:w="964" w:type="dxa"/>
            <w:vAlign w:val="center"/>
          </w:tcPr>
          <w:p w14:paraId="66603DF2" w14:textId="77777777" w:rsidR="00B50935" w:rsidRPr="007B62AA" w:rsidRDefault="00B50935" w:rsidP="00427764">
            <w:pPr>
              <w:spacing w:before="60" w:after="60"/>
              <w:jc w:val="center"/>
              <w:rPr>
                <w:noProof/>
                <w:sz w:val="20"/>
              </w:rPr>
            </w:pPr>
            <w:r w:rsidRPr="007B62AA">
              <w:rPr>
                <w:sz w:val="20"/>
              </w:rPr>
              <w:t>p.m.</w:t>
            </w:r>
          </w:p>
        </w:tc>
        <w:tc>
          <w:tcPr>
            <w:tcW w:w="964" w:type="dxa"/>
            <w:vAlign w:val="center"/>
          </w:tcPr>
          <w:p w14:paraId="15354EA0" w14:textId="77777777" w:rsidR="00B50935" w:rsidRPr="007B62AA" w:rsidRDefault="00B50935" w:rsidP="00427764">
            <w:pPr>
              <w:spacing w:before="60" w:after="60"/>
              <w:jc w:val="center"/>
              <w:rPr>
                <w:noProof/>
                <w:sz w:val="20"/>
              </w:rPr>
            </w:pPr>
            <w:r w:rsidRPr="007B62AA">
              <w:rPr>
                <w:sz w:val="20"/>
              </w:rPr>
              <w:t>p.m.</w:t>
            </w:r>
          </w:p>
        </w:tc>
        <w:tc>
          <w:tcPr>
            <w:tcW w:w="964" w:type="dxa"/>
            <w:vAlign w:val="center"/>
          </w:tcPr>
          <w:p w14:paraId="3915FE35" w14:textId="77777777" w:rsidR="00B50935" w:rsidRPr="007B62AA" w:rsidRDefault="00B50935" w:rsidP="00427764">
            <w:pPr>
              <w:spacing w:before="60" w:after="60"/>
              <w:jc w:val="center"/>
              <w:rPr>
                <w:noProof/>
                <w:sz w:val="20"/>
              </w:rPr>
            </w:pPr>
            <w:r w:rsidRPr="007B62AA">
              <w:rPr>
                <w:sz w:val="20"/>
              </w:rPr>
              <w:t>p.m.</w:t>
            </w:r>
          </w:p>
        </w:tc>
        <w:tc>
          <w:tcPr>
            <w:tcW w:w="964" w:type="dxa"/>
            <w:vAlign w:val="center"/>
          </w:tcPr>
          <w:p w14:paraId="1BC605EE" w14:textId="77777777" w:rsidR="00B50935" w:rsidRPr="007B62AA" w:rsidRDefault="00B50935" w:rsidP="00427764">
            <w:pPr>
              <w:spacing w:before="60" w:after="60"/>
              <w:jc w:val="center"/>
              <w:rPr>
                <w:noProof/>
                <w:sz w:val="20"/>
              </w:rPr>
            </w:pPr>
            <w:r w:rsidRPr="007B62AA">
              <w:rPr>
                <w:sz w:val="20"/>
              </w:rPr>
              <w:t>p.m.</w:t>
            </w:r>
          </w:p>
        </w:tc>
        <w:tc>
          <w:tcPr>
            <w:tcW w:w="964" w:type="dxa"/>
            <w:vAlign w:val="center"/>
          </w:tcPr>
          <w:p w14:paraId="16DE4AAA" w14:textId="77777777" w:rsidR="00B50935" w:rsidRPr="007B62AA" w:rsidRDefault="00B50935" w:rsidP="00427764">
            <w:pPr>
              <w:spacing w:before="60" w:after="60"/>
              <w:jc w:val="center"/>
              <w:rPr>
                <w:noProof/>
                <w:sz w:val="20"/>
              </w:rPr>
            </w:pPr>
            <w:r w:rsidRPr="007B62AA">
              <w:rPr>
                <w:sz w:val="20"/>
              </w:rPr>
              <w:t>p.m.</w:t>
            </w:r>
          </w:p>
        </w:tc>
        <w:tc>
          <w:tcPr>
            <w:tcW w:w="964" w:type="dxa"/>
            <w:vAlign w:val="center"/>
          </w:tcPr>
          <w:p w14:paraId="68E30F02" w14:textId="77777777" w:rsidR="00B50935" w:rsidRPr="007B62AA" w:rsidRDefault="00B50935" w:rsidP="00427764">
            <w:pPr>
              <w:spacing w:before="60" w:after="60"/>
              <w:jc w:val="center"/>
              <w:rPr>
                <w:noProof/>
                <w:sz w:val="20"/>
              </w:rPr>
            </w:pPr>
            <w:r w:rsidRPr="007B62AA">
              <w:rPr>
                <w:sz w:val="20"/>
              </w:rPr>
              <w:t>p.m.</w:t>
            </w:r>
          </w:p>
        </w:tc>
        <w:tc>
          <w:tcPr>
            <w:tcW w:w="1158" w:type="dxa"/>
            <w:vAlign w:val="center"/>
          </w:tcPr>
          <w:p w14:paraId="69C3A2DB" w14:textId="77777777" w:rsidR="00B50935" w:rsidRPr="007B62AA" w:rsidRDefault="00B50935" w:rsidP="00427764">
            <w:pPr>
              <w:spacing w:before="60" w:after="60"/>
              <w:jc w:val="center"/>
              <w:rPr>
                <w:noProof/>
                <w:sz w:val="20"/>
              </w:rPr>
            </w:pPr>
            <w:r w:rsidRPr="007B62AA">
              <w:rPr>
                <w:sz w:val="20"/>
              </w:rPr>
              <w:t>p.m.</w:t>
            </w:r>
          </w:p>
        </w:tc>
      </w:tr>
    </w:tbl>
    <w:p w14:paraId="1B12772B" w14:textId="77777777" w:rsidR="00B50935" w:rsidRPr="007B62AA" w:rsidRDefault="00B50935" w:rsidP="00B50935">
      <w:pPr>
        <w:rPr>
          <w:noProof/>
        </w:rPr>
      </w:pPr>
      <w:r w:rsidRPr="007B62AA">
        <w:t xml:space="preserve"> </w:t>
      </w:r>
      <w:r w:rsidRPr="007B62AA">
        <w:br/>
      </w:r>
    </w:p>
    <w:p w14:paraId="2E725C94" w14:textId="77777777" w:rsidR="00B50935" w:rsidRPr="007B62AA" w:rsidRDefault="00B50935" w:rsidP="00B50935">
      <w:pPr>
        <w:pStyle w:val="Heading2"/>
        <w:rPr>
          <w:bCs w:val="0"/>
          <w:noProof/>
          <w:szCs w:val="24"/>
        </w:rPr>
      </w:pPr>
      <w:r w:rsidRPr="007B62AA">
        <w:br w:type="page"/>
      </w:r>
      <w:bookmarkStart w:id="80" w:name="_Toc514938691"/>
      <w:bookmarkStart w:id="81" w:name="_Toc58230755"/>
      <w:r w:rsidRPr="007B62AA">
        <w:t>Odhadovaný vplyv na príjmy</w:t>
      </w:r>
      <w:bookmarkEnd w:id="80"/>
      <w:bookmarkEnd w:id="81"/>
      <w:r w:rsidRPr="007B62AA">
        <w:t xml:space="preserve"> </w:t>
      </w:r>
    </w:p>
    <w:p w14:paraId="745656D4" w14:textId="77777777" w:rsidR="00B50935" w:rsidRPr="007B62AA" w:rsidRDefault="00B50935" w:rsidP="006F7C3E">
      <w:pPr>
        <w:pStyle w:val="ListDash1"/>
        <w:rPr>
          <w:noProof/>
        </w:rPr>
      </w:pPr>
      <w:r w:rsidRPr="007B62AA">
        <w:t>X</w:t>
      </w:r>
      <w:r w:rsidRPr="007B62AA">
        <w:tab/>
        <w:t>Návrh/iniciatíva nemá finančný vplyv na príjmy.</w:t>
      </w:r>
    </w:p>
    <w:p w14:paraId="2F4E04A5" w14:textId="77777777" w:rsidR="00B50935" w:rsidRPr="007B62AA" w:rsidRDefault="00B50935" w:rsidP="006F7C3E">
      <w:pPr>
        <w:pStyle w:val="ListDash1"/>
        <w:rPr>
          <w:noProof/>
        </w:rPr>
      </w:pPr>
      <w:r w:rsidRPr="007B62AA">
        <w:sym w:font="Wingdings" w:char="F0A8"/>
      </w:r>
      <w:r w:rsidRPr="007B62AA">
        <w:tab/>
        <w:t>Návrh/iniciatíva má finančný vplyv na príjmy, ako je uvedené v nasledujúcej tabuľke:</w:t>
      </w:r>
    </w:p>
    <w:p w14:paraId="5F14EAB5" w14:textId="77777777" w:rsidR="00B50935" w:rsidRPr="007B62AA" w:rsidRDefault="00B50935" w:rsidP="006F7C3E">
      <w:pPr>
        <w:pStyle w:val="ListNumberLevel3"/>
        <w:rPr>
          <w:noProof/>
        </w:rPr>
      </w:pPr>
      <w:r w:rsidRPr="007B62AA">
        <w:sym w:font="Wingdings" w:char="F0A8"/>
      </w:r>
      <w:r w:rsidRPr="007B62AA">
        <w:tab/>
        <w:t xml:space="preserve">vplyv na vlastné zdroje </w:t>
      </w:r>
    </w:p>
    <w:p w14:paraId="407D0782" w14:textId="77777777" w:rsidR="00B50935" w:rsidRPr="007B62AA" w:rsidRDefault="00B50935" w:rsidP="006F7C3E">
      <w:pPr>
        <w:pStyle w:val="ListNumberLevel3"/>
        <w:rPr>
          <w:noProof/>
        </w:rPr>
      </w:pPr>
      <w:r w:rsidRPr="007B62AA">
        <w:sym w:font="Wingdings" w:char="F0A8"/>
      </w:r>
      <w:r w:rsidRPr="007B62AA">
        <w:tab/>
        <w:t xml:space="preserve">vplyv na iné príjmy </w:t>
      </w:r>
    </w:p>
    <w:p w14:paraId="1795D355" w14:textId="2EEB27F8" w:rsidR="00B50935" w:rsidRPr="007B62AA" w:rsidRDefault="00B50935" w:rsidP="006F7C3E">
      <w:pPr>
        <w:pStyle w:val="ListNumberLevel3"/>
        <w:rPr>
          <w:noProof/>
        </w:rPr>
      </w:pPr>
      <w:r w:rsidRPr="007B62AA">
        <w:sym w:font="Wingdings" w:char="F0A8"/>
      </w:r>
      <w:r w:rsidRPr="007B62AA">
        <w:t xml:space="preserve"> </w:t>
      </w:r>
      <w:r w:rsidR="007D1A43">
        <w:tab/>
      </w:r>
      <w:r w:rsidRPr="007B62AA">
        <w:t xml:space="preserve">uveďte, či sú príjmy pripísané rozpočtovým riadkom výdavkov </w:t>
      </w:r>
    </w:p>
    <w:p w14:paraId="69D913D5" w14:textId="77777777" w:rsidR="00B50935" w:rsidRPr="007B62AA" w:rsidRDefault="00B50935" w:rsidP="00B50935">
      <w:pPr>
        <w:jc w:val="right"/>
        <w:rPr>
          <w:i/>
          <w:noProof/>
          <w:sz w:val="20"/>
        </w:rPr>
      </w:pPr>
      <w:r w:rsidRPr="007B62AA">
        <w:rPr>
          <w:sz w:val="20"/>
        </w:rPr>
        <w:t>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B50935" w:rsidRPr="007B62AA" w14:paraId="4C4E72A6" w14:textId="77777777" w:rsidTr="00427764">
        <w:trPr>
          <w:trHeight w:val="388"/>
        </w:trPr>
        <w:tc>
          <w:tcPr>
            <w:tcW w:w="2144" w:type="dxa"/>
            <w:vMerge w:val="restart"/>
            <w:vAlign w:val="center"/>
          </w:tcPr>
          <w:p w14:paraId="47DAB5CF" w14:textId="71D22BF9" w:rsidR="00B50935" w:rsidRPr="007B62AA" w:rsidRDefault="007B62AA" w:rsidP="00427764">
            <w:pPr>
              <w:spacing w:before="40" w:after="40"/>
              <w:rPr>
                <w:noProof/>
                <w:sz w:val="18"/>
              </w:rPr>
            </w:pPr>
            <w:r w:rsidRPr="007B62AA">
              <w:rPr>
                <w:sz w:val="18"/>
              </w:rPr>
              <w:t>Rozpočtový </w:t>
            </w:r>
            <w:r w:rsidR="00B50935" w:rsidRPr="007B62AA">
              <w:rPr>
                <w:sz w:val="18"/>
              </w:rPr>
              <w:t>riadok príjmov:</w:t>
            </w:r>
          </w:p>
        </w:tc>
        <w:tc>
          <w:tcPr>
            <w:tcW w:w="1276" w:type="dxa"/>
            <w:vMerge w:val="restart"/>
            <w:vAlign w:val="center"/>
          </w:tcPr>
          <w:p w14:paraId="2C7DA177" w14:textId="46397A26" w:rsidR="00B50935" w:rsidRPr="007B62AA" w:rsidRDefault="00B50935" w:rsidP="007B62AA">
            <w:pPr>
              <w:ind w:right="-94"/>
              <w:jc w:val="center"/>
              <w:rPr>
                <w:noProof/>
                <w:sz w:val="18"/>
              </w:rPr>
            </w:pPr>
            <w:r w:rsidRPr="007B62AA">
              <w:rPr>
                <w:sz w:val="18"/>
              </w:rPr>
              <w:t>Rozpočtové prostriedky k dispozícii v </w:t>
            </w:r>
            <w:r w:rsidR="007B62AA" w:rsidRPr="007B62AA">
              <w:rPr>
                <w:sz w:val="18"/>
              </w:rPr>
              <w:br/>
            </w:r>
            <w:r w:rsidRPr="007B62AA">
              <w:rPr>
                <w:sz w:val="18"/>
              </w:rPr>
              <w:t>prebiehajúcom rozpočtovom roku</w:t>
            </w:r>
          </w:p>
        </w:tc>
        <w:tc>
          <w:tcPr>
            <w:tcW w:w="7200" w:type="dxa"/>
            <w:gridSpan w:val="7"/>
            <w:vAlign w:val="center"/>
          </w:tcPr>
          <w:p w14:paraId="6AA80ED8" w14:textId="77777777" w:rsidR="00B50935" w:rsidRPr="007B62AA" w:rsidRDefault="00B50935" w:rsidP="00427764">
            <w:pPr>
              <w:jc w:val="center"/>
              <w:rPr>
                <w:noProof/>
                <w:sz w:val="18"/>
              </w:rPr>
            </w:pPr>
            <w:r w:rsidRPr="007B62AA">
              <w:rPr>
                <w:sz w:val="18"/>
              </w:rPr>
              <w:t>Vplyv návrhu/iniciatívy</w:t>
            </w:r>
            <w:r w:rsidRPr="007B62AA">
              <w:rPr>
                <w:rStyle w:val="FootnoteReference"/>
                <w:noProof/>
                <w:sz w:val="18"/>
              </w:rPr>
              <w:footnoteReference w:id="24"/>
            </w:r>
          </w:p>
        </w:tc>
      </w:tr>
      <w:tr w:rsidR="00B50935" w:rsidRPr="007B62AA" w14:paraId="12E06321" w14:textId="77777777" w:rsidTr="00427764">
        <w:trPr>
          <w:trHeight w:val="388"/>
        </w:trPr>
        <w:tc>
          <w:tcPr>
            <w:tcW w:w="2144" w:type="dxa"/>
            <w:vMerge/>
            <w:vAlign w:val="center"/>
          </w:tcPr>
          <w:p w14:paraId="78911FA5" w14:textId="77777777" w:rsidR="00B50935" w:rsidRPr="007B62AA" w:rsidRDefault="00B50935" w:rsidP="00427764">
            <w:pPr>
              <w:rPr>
                <w:noProof/>
                <w:sz w:val="18"/>
              </w:rPr>
            </w:pPr>
          </w:p>
        </w:tc>
        <w:tc>
          <w:tcPr>
            <w:tcW w:w="1276" w:type="dxa"/>
            <w:vMerge/>
            <w:vAlign w:val="center"/>
          </w:tcPr>
          <w:p w14:paraId="7277F8DF" w14:textId="77777777" w:rsidR="00B50935" w:rsidRPr="007B62AA" w:rsidRDefault="00B50935" w:rsidP="00427764">
            <w:pPr>
              <w:rPr>
                <w:noProof/>
                <w:sz w:val="18"/>
              </w:rPr>
            </w:pPr>
          </w:p>
        </w:tc>
        <w:tc>
          <w:tcPr>
            <w:tcW w:w="1080" w:type="dxa"/>
            <w:vAlign w:val="center"/>
          </w:tcPr>
          <w:p w14:paraId="7F936DA2" w14:textId="77777777" w:rsidR="00B50935" w:rsidRPr="007B62AA" w:rsidRDefault="00B50935" w:rsidP="00427764">
            <w:pPr>
              <w:jc w:val="center"/>
              <w:rPr>
                <w:noProof/>
                <w:sz w:val="18"/>
              </w:rPr>
            </w:pPr>
            <w:r w:rsidRPr="007B62AA">
              <w:rPr>
                <w:sz w:val="20"/>
              </w:rPr>
              <w:t>Rok</w:t>
            </w:r>
            <w:r w:rsidRPr="007B62AA">
              <w:t xml:space="preserve"> </w:t>
            </w:r>
            <w:r w:rsidRPr="007B62AA">
              <w:br/>
            </w:r>
            <w:r w:rsidRPr="007B62AA">
              <w:rPr>
                <w:b/>
                <w:sz w:val="20"/>
              </w:rPr>
              <w:t>2021</w:t>
            </w:r>
          </w:p>
        </w:tc>
        <w:tc>
          <w:tcPr>
            <w:tcW w:w="900" w:type="dxa"/>
            <w:vAlign w:val="center"/>
          </w:tcPr>
          <w:p w14:paraId="55E1CBF9" w14:textId="77777777" w:rsidR="00B50935" w:rsidRPr="007B62AA" w:rsidRDefault="00B50935" w:rsidP="00427764">
            <w:pPr>
              <w:jc w:val="center"/>
              <w:rPr>
                <w:noProof/>
                <w:sz w:val="18"/>
              </w:rPr>
            </w:pPr>
            <w:r w:rsidRPr="007B62AA">
              <w:rPr>
                <w:sz w:val="20"/>
              </w:rPr>
              <w:t>Rok</w:t>
            </w:r>
            <w:r w:rsidRPr="007B62AA">
              <w:t xml:space="preserve"> </w:t>
            </w:r>
            <w:r w:rsidRPr="007B62AA">
              <w:br/>
            </w:r>
            <w:r w:rsidRPr="007B62AA">
              <w:rPr>
                <w:b/>
                <w:sz w:val="20"/>
              </w:rPr>
              <w:t>2022</w:t>
            </w:r>
          </w:p>
        </w:tc>
        <w:tc>
          <w:tcPr>
            <w:tcW w:w="900" w:type="dxa"/>
            <w:vAlign w:val="center"/>
          </w:tcPr>
          <w:p w14:paraId="525AED7E" w14:textId="77777777" w:rsidR="00B50935" w:rsidRPr="007B62AA" w:rsidRDefault="00B50935" w:rsidP="00427764">
            <w:pPr>
              <w:jc w:val="center"/>
              <w:rPr>
                <w:noProof/>
                <w:sz w:val="18"/>
              </w:rPr>
            </w:pPr>
            <w:r w:rsidRPr="007B62AA">
              <w:rPr>
                <w:sz w:val="20"/>
              </w:rPr>
              <w:t>Rok</w:t>
            </w:r>
            <w:r w:rsidRPr="007B62AA">
              <w:t xml:space="preserve"> </w:t>
            </w:r>
            <w:r w:rsidRPr="007B62AA">
              <w:br/>
            </w:r>
            <w:r w:rsidRPr="007B62AA">
              <w:rPr>
                <w:b/>
                <w:sz w:val="20"/>
              </w:rPr>
              <w:t>2023</w:t>
            </w:r>
          </w:p>
        </w:tc>
        <w:tc>
          <w:tcPr>
            <w:tcW w:w="1080" w:type="dxa"/>
            <w:vAlign w:val="center"/>
          </w:tcPr>
          <w:p w14:paraId="0555D30B" w14:textId="77777777" w:rsidR="00B50935" w:rsidRPr="007B62AA" w:rsidRDefault="00B50935" w:rsidP="00427764">
            <w:pPr>
              <w:jc w:val="center"/>
              <w:rPr>
                <w:noProof/>
                <w:sz w:val="18"/>
              </w:rPr>
            </w:pPr>
            <w:r w:rsidRPr="007B62AA">
              <w:rPr>
                <w:sz w:val="20"/>
              </w:rPr>
              <w:t>Rok</w:t>
            </w:r>
            <w:r w:rsidRPr="007B62AA">
              <w:t xml:space="preserve"> </w:t>
            </w:r>
            <w:r w:rsidRPr="007B62AA">
              <w:br/>
            </w:r>
            <w:r w:rsidRPr="007B62AA">
              <w:rPr>
                <w:b/>
                <w:sz w:val="20"/>
              </w:rPr>
              <w:t>2024</w:t>
            </w:r>
          </w:p>
        </w:tc>
        <w:tc>
          <w:tcPr>
            <w:tcW w:w="1080" w:type="dxa"/>
            <w:vAlign w:val="center"/>
          </w:tcPr>
          <w:p w14:paraId="488DFF6C" w14:textId="77777777" w:rsidR="00B50935" w:rsidRPr="007B62AA" w:rsidRDefault="00B50935" w:rsidP="00427764">
            <w:pPr>
              <w:jc w:val="center"/>
              <w:rPr>
                <w:b/>
                <w:noProof/>
                <w:sz w:val="18"/>
              </w:rPr>
            </w:pPr>
            <w:r w:rsidRPr="007B62AA">
              <w:rPr>
                <w:sz w:val="20"/>
              </w:rPr>
              <w:t>Rok</w:t>
            </w:r>
            <w:r w:rsidRPr="007B62AA">
              <w:t xml:space="preserve"> </w:t>
            </w:r>
            <w:r w:rsidRPr="007B62AA">
              <w:br/>
            </w:r>
            <w:r w:rsidRPr="007B62AA">
              <w:rPr>
                <w:b/>
                <w:sz w:val="20"/>
              </w:rPr>
              <w:t>2025</w:t>
            </w:r>
          </w:p>
        </w:tc>
        <w:tc>
          <w:tcPr>
            <w:tcW w:w="1080" w:type="dxa"/>
            <w:vAlign w:val="center"/>
          </w:tcPr>
          <w:p w14:paraId="0A8CB571" w14:textId="77777777" w:rsidR="00B50935" w:rsidRPr="007B62AA" w:rsidRDefault="00B50935" w:rsidP="00427764">
            <w:pPr>
              <w:jc w:val="center"/>
              <w:rPr>
                <w:b/>
                <w:noProof/>
                <w:sz w:val="18"/>
              </w:rPr>
            </w:pPr>
            <w:r w:rsidRPr="007B62AA">
              <w:rPr>
                <w:sz w:val="20"/>
              </w:rPr>
              <w:t>Rok</w:t>
            </w:r>
            <w:r w:rsidRPr="007B62AA">
              <w:t xml:space="preserve"> </w:t>
            </w:r>
            <w:r w:rsidRPr="007B62AA">
              <w:br/>
            </w:r>
            <w:r w:rsidRPr="007B62AA">
              <w:rPr>
                <w:b/>
                <w:sz w:val="20"/>
              </w:rPr>
              <w:t>2026</w:t>
            </w:r>
          </w:p>
        </w:tc>
        <w:tc>
          <w:tcPr>
            <w:tcW w:w="1080" w:type="dxa"/>
            <w:vAlign w:val="center"/>
          </w:tcPr>
          <w:p w14:paraId="53197668" w14:textId="7E537882" w:rsidR="00B50935" w:rsidRPr="007B62AA" w:rsidRDefault="00B50935" w:rsidP="00427764">
            <w:pPr>
              <w:jc w:val="center"/>
              <w:rPr>
                <w:b/>
                <w:noProof/>
                <w:sz w:val="18"/>
              </w:rPr>
            </w:pPr>
            <w:r w:rsidRPr="007B62AA">
              <w:rPr>
                <w:sz w:val="20"/>
              </w:rPr>
              <w:t>Rok</w:t>
            </w:r>
            <w:r w:rsidRPr="007B62AA">
              <w:t xml:space="preserve"> </w:t>
            </w:r>
            <w:r w:rsidRPr="007B62AA">
              <w:br/>
            </w:r>
            <w:r w:rsidRPr="007B62AA">
              <w:rPr>
                <w:b/>
                <w:sz w:val="20"/>
              </w:rPr>
              <w:t>2027</w:t>
            </w:r>
            <w:r w:rsidRPr="007B62AA">
              <w:rPr>
                <w:sz w:val="20"/>
              </w:rPr>
              <w:t xml:space="preserve"> </w:t>
            </w:r>
            <w:r w:rsidR="007B62AA" w:rsidRPr="007B62AA">
              <w:rPr>
                <w:sz w:val="20"/>
              </w:rPr>
              <w:br/>
            </w:r>
            <w:r w:rsidRPr="007B62AA">
              <w:rPr>
                <w:sz w:val="20"/>
              </w:rPr>
              <w:t>a nasl.</w:t>
            </w:r>
          </w:p>
        </w:tc>
      </w:tr>
      <w:tr w:rsidR="00B50935" w:rsidRPr="007B62AA" w14:paraId="3649D6D1" w14:textId="77777777" w:rsidTr="00427764">
        <w:trPr>
          <w:trHeight w:val="388"/>
        </w:trPr>
        <w:tc>
          <w:tcPr>
            <w:tcW w:w="2144" w:type="dxa"/>
            <w:vAlign w:val="center"/>
          </w:tcPr>
          <w:p w14:paraId="45479951" w14:textId="77777777" w:rsidR="00B50935" w:rsidRPr="007B62AA" w:rsidRDefault="00B50935" w:rsidP="00427764">
            <w:pPr>
              <w:spacing w:before="40" w:after="40"/>
              <w:rPr>
                <w:noProof/>
                <w:sz w:val="18"/>
              </w:rPr>
            </w:pPr>
            <w:r w:rsidRPr="007B62AA">
              <w:rPr>
                <w:sz w:val="18"/>
              </w:rPr>
              <w:t>Článok ………….</w:t>
            </w:r>
          </w:p>
        </w:tc>
        <w:tc>
          <w:tcPr>
            <w:tcW w:w="1276" w:type="dxa"/>
          </w:tcPr>
          <w:p w14:paraId="66D19855" w14:textId="77777777" w:rsidR="00B50935" w:rsidRPr="007B62AA" w:rsidRDefault="00B50935" w:rsidP="00427764">
            <w:pPr>
              <w:spacing w:beforeLines="40" w:before="96" w:afterLines="40" w:after="96"/>
              <w:jc w:val="center"/>
              <w:rPr>
                <w:i/>
                <w:noProof/>
                <w:sz w:val="18"/>
              </w:rPr>
            </w:pPr>
          </w:p>
        </w:tc>
        <w:tc>
          <w:tcPr>
            <w:tcW w:w="1080" w:type="dxa"/>
          </w:tcPr>
          <w:p w14:paraId="11CDE1E7" w14:textId="77777777" w:rsidR="00B50935" w:rsidRPr="007B62AA" w:rsidRDefault="00B50935" w:rsidP="00427764">
            <w:pPr>
              <w:spacing w:beforeLines="40" w:before="96" w:afterLines="40" w:after="96"/>
              <w:jc w:val="center"/>
              <w:rPr>
                <w:noProof/>
                <w:sz w:val="18"/>
              </w:rPr>
            </w:pPr>
          </w:p>
        </w:tc>
        <w:tc>
          <w:tcPr>
            <w:tcW w:w="900" w:type="dxa"/>
          </w:tcPr>
          <w:p w14:paraId="22601969" w14:textId="77777777" w:rsidR="00B50935" w:rsidRPr="007B62AA" w:rsidRDefault="00B50935" w:rsidP="00427764">
            <w:pPr>
              <w:spacing w:beforeLines="40" w:before="96" w:afterLines="40" w:after="96"/>
              <w:jc w:val="center"/>
              <w:rPr>
                <w:noProof/>
                <w:sz w:val="18"/>
              </w:rPr>
            </w:pPr>
          </w:p>
        </w:tc>
        <w:tc>
          <w:tcPr>
            <w:tcW w:w="900" w:type="dxa"/>
          </w:tcPr>
          <w:p w14:paraId="5BBB975A" w14:textId="77777777" w:rsidR="00B50935" w:rsidRPr="007B62AA" w:rsidRDefault="00B50935" w:rsidP="00427764">
            <w:pPr>
              <w:spacing w:beforeLines="40" w:before="96" w:afterLines="40" w:after="96"/>
              <w:jc w:val="center"/>
              <w:rPr>
                <w:noProof/>
                <w:sz w:val="18"/>
              </w:rPr>
            </w:pPr>
          </w:p>
        </w:tc>
        <w:tc>
          <w:tcPr>
            <w:tcW w:w="1080" w:type="dxa"/>
          </w:tcPr>
          <w:p w14:paraId="46AA391A" w14:textId="77777777" w:rsidR="00B50935" w:rsidRPr="007B62AA" w:rsidRDefault="00B50935" w:rsidP="00427764">
            <w:pPr>
              <w:spacing w:beforeLines="40" w:before="96" w:afterLines="40" w:after="96"/>
              <w:jc w:val="center"/>
              <w:rPr>
                <w:noProof/>
                <w:sz w:val="18"/>
              </w:rPr>
            </w:pPr>
          </w:p>
        </w:tc>
        <w:tc>
          <w:tcPr>
            <w:tcW w:w="1080" w:type="dxa"/>
          </w:tcPr>
          <w:p w14:paraId="0B5D7962" w14:textId="77777777" w:rsidR="00B50935" w:rsidRPr="007B62AA" w:rsidRDefault="00B50935" w:rsidP="00427764">
            <w:pPr>
              <w:spacing w:beforeLines="40" w:before="96" w:afterLines="40" w:after="96"/>
              <w:jc w:val="center"/>
              <w:rPr>
                <w:noProof/>
                <w:sz w:val="18"/>
              </w:rPr>
            </w:pPr>
          </w:p>
        </w:tc>
        <w:tc>
          <w:tcPr>
            <w:tcW w:w="1080" w:type="dxa"/>
          </w:tcPr>
          <w:p w14:paraId="1C065D66" w14:textId="77777777" w:rsidR="00B50935" w:rsidRPr="007B62AA" w:rsidRDefault="00B50935" w:rsidP="00427764">
            <w:pPr>
              <w:spacing w:beforeLines="40" w:before="96" w:afterLines="40" w:after="96"/>
              <w:jc w:val="center"/>
              <w:rPr>
                <w:noProof/>
                <w:sz w:val="18"/>
              </w:rPr>
            </w:pPr>
          </w:p>
        </w:tc>
        <w:tc>
          <w:tcPr>
            <w:tcW w:w="1080" w:type="dxa"/>
          </w:tcPr>
          <w:p w14:paraId="3B39DFC2" w14:textId="77777777" w:rsidR="00B50935" w:rsidRPr="007B62AA" w:rsidRDefault="00B50935" w:rsidP="00427764">
            <w:pPr>
              <w:spacing w:beforeLines="40" w:before="96" w:afterLines="40" w:after="96"/>
              <w:jc w:val="center"/>
              <w:rPr>
                <w:noProof/>
                <w:sz w:val="18"/>
              </w:rPr>
            </w:pPr>
          </w:p>
        </w:tc>
      </w:tr>
    </w:tbl>
    <w:p w14:paraId="49C2D263" w14:textId="77777777" w:rsidR="00B50935" w:rsidRPr="007B62AA" w:rsidRDefault="00B50935" w:rsidP="00B50935">
      <w:pPr>
        <w:pStyle w:val="Text1"/>
        <w:rPr>
          <w:sz w:val="20"/>
        </w:rPr>
      </w:pPr>
      <w:r w:rsidRPr="007B62AA">
        <w:rPr>
          <w:sz w:val="20"/>
        </w:rPr>
        <w:t>V prípade rôznych pripísaných príjmov uveďte príslušné rozpočtové riadky výdavkov.</w:t>
      </w:r>
    </w:p>
    <w:p w14:paraId="520DFE39" w14:textId="3F511C7E" w:rsidR="00B50935" w:rsidRPr="007B62AA" w:rsidRDefault="00B50935" w:rsidP="00B50935">
      <w:pPr>
        <w:pStyle w:val="Text1"/>
        <w:pBdr>
          <w:top w:val="single" w:sz="4" w:space="1" w:color="auto"/>
          <w:left w:val="single" w:sz="4" w:space="4" w:color="auto"/>
          <w:bottom w:val="single" w:sz="4" w:space="1" w:color="auto"/>
          <w:right w:val="single" w:sz="4" w:space="4" w:color="auto"/>
        </w:pBdr>
        <w:rPr>
          <w:noProof/>
        </w:rPr>
      </w:pPr>
    </w:p>
    <w:p w14:paraId="7DDEBDE0" w14:textId="77777777" w:rsidR="00B50935" w:rsidRPr="007B62AA" w:rsidRDefault="00B50935" w:rsidP="00B50935">
      <w:pPr>
        <w:pStyle w:val="Text1"/>
        <w:rPr>
          <w:sz w:val="20"/>
        </w:rPr>
      </w:pPr>
      <w:r w:rsidRPr="007B62AA">
        <w:rPr>
          <w:sz w:val="20"/>
        </w:rPr>
        <w:t>Uveďte spôsob výpočtu vplyvu na príjmy.</w:t>
      </w:r>
    </w:p>
    <w:p w14:paraId="65272D2A" w14:textId="17017939" w:rsidR="00B50935" w:rsidRPr="007B62AA" w:rsidRDefault="00B50935" w:rsidP="00B50935">
      <w:pPr>
        <w:pStyle w:val="Text1"/>
        <w:pBdr>
          <w:top w:val="single" w:sz="4" w:space="1" w:color="auto"/>
          <w:left w:val="single" w:sz="4" w:space="4" w:color="auto"/>
          <w:bottom w:val="single" w:sz="4" w:space="1" w:color="auto"/>
          <w:right w:val="single" w:sz="4" w:space="4" w:color="auto"/>
        </w:pBdr>
        <w:rPr>
          <w:noProof/>
        </w:rPr>
      </w:pPr>
    </w:p>
    <w:p w14:paraId="2AFC8897" w14:textId="0A2F94BC" w:rsidR="00B50935" w:rsidRPr="007B62AA" w:rsidRDefault="00B50935" w:rsidP="00B50935"/>
    <w:sectPr w:rsidR="00B50935" w:rsidRPr="007B62AA" w:rsidSect="00CA0925">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9B6E2" w14:textId="77777777" w:rsidR="00331BC1" w:rsidRDefault="00331BC1" w:rsidP="00B50935">
      <w:pPr>
        <w:spacing w:before="0" w:after="0"/>
      </w:pPr>
      <w:r>
        <w:separator/>
      </w:r>
    </w:p>
  </w:endnote>
  <w:endnote w:type="continuationSeparator" w:id="0">
    <w:p w14:paraId="680B706F" w14:textId="77777777" w:rsidR="00331BC1" w:rsidRDefault="00331BC1" w:rsidP="00B50935">
      <w:pPr>
        <w:spacing w:before="0" w:after="0"/>
      </w:pPr>
      <w:r>
        <w:continuationSeparator/>
      </w:r>
    </w:p>
  </w:endnote>
  <w:endnote w:type="continuationNotice" w:id="1">
    <w:p w14:paraId="0A5A3C39" w14:textId="77777777" w:rsidR="00331BC1" w:rsidRDefault="00331B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24C0" w14:textId="5668678E" w:rsidR="00331BC1" w:rsidRPr="00CA0925" w:rsidRDefault="00CA0925" w:rsidP="00CA0925">
    <w:pPr>
      <w:pStyle w:val="Footer"/>
      <w:rPr>
        <w:rFonts w:ascii="Arial" w:hAnsi="Arial" w:cs="Arial"/>
        <w:b/>
        <w:sz w:val="48"/>
      </w:rPr>
    </w:pPr>
    <w:r w:rsidRPr="00CA0925">
      <w:rPr>
        <w:rFonts w:ascii="Arial" w:hAnsi="Arial" w:cs="Arial"/>
        <w:b/>
        <w:sz w:val="48"/>
      </w:rPr>
      <w:t>SK</w:t>
    </w:r>
    <w:r w:rsidRPr="00CA0925">
      <w:rPr>
        <w:rFonts w:ascii="Arial" w:hAnsi="Arial" w:cs="Arial"/>
        <w:b/>
        <w:sz w:val="48"/>
      </w:rPr>
      <w:tab/>
    </w:r>
    <w:r w:rsidRPr="00CA0925">
      <w:rPr>
        <w:rFonts w:ascii="Arial" w:hAnsi="Arial" w:cs="Arial"/>
        <w:b/>
        <w:sz w:val="48"/>
      </w:rPr>
      <w:tab/>
    </w:r>
    <w:r w:rsidRPr="00CA0925">
      <w:tab/>
    </w:r>
    <w:r w:rsidRPr="00CA0925">
      <w:rPr>
        <w:rFonts w:ascii="Arial" w:hAnsi="Arial" w:cs="Arial"/>
        <w:b/>
        <w:sz w:val="48"/>
      </w:rPr>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38E5" w14:textId="095E78D9" w:rsidR="00331BC1" w:rsidRPr="00CA0925" w:rsidRDefault="00CA0925" w:rsidP="00CA0925">
    <w:pPr>
      <w:pStyle w:val="Footer"/>
      <w:rPr>
        <w:rFonts w:ascii="Arial" w:hAnsi="Arial" w:cs="Arial"/>
        <w:b/>
        <w:sz w:val="48"/>
      </w:rPr>
    </w:pPr>
    <w:r w:rsidRPr="00CA0925">
      <w:rPr>
        <w:rFonts w:ascii="Arial" w:hAnsi="Arial" w:cs="Arial"/>
        <w:b/>
        <w:sz w:val="48"/>
      </w:rPr>
      <w:t>SK</w:t>
    </w:r>
    <w:r w:rsidRPr="00CA0925">
      <w:rPr>
        <w:rFonts w:ascii="Arial" w:hAnsi="Arial" w:cs="Arial"/>
        <w:b/>
        <w:sz w:val="48"/>
      </w:rPr>
      <w:tab/>
    </w:r>
    <w:r>
      <w:fldChar w:fldCharType="begin"/>
    </w:r>
    <w:r>
      <w:instrText xml:space="preserve"> PAGE  \* MERGEFORMAT </w:instrText>
    </w:r>
    <w:r>
      <w:fldChar w:fldCharType="separate"/>
    </w:r>
    <w:r w:rsidR="003701E7">
      <w:rPr>
        <w:noProof/>
      </w:rPr>
      <w:t>1</w:t>
    </w:r>
    <w:r>
      <w:fldChar w:fldCharType="end"/>
    </w:r>
    <w:r>
      <w:tab/>
    </w:r>
    <w:r w:rsidRPr="00CA0925">
      <w:tab/>
    </w:r>
    <w:r w:rsidRPr="00CA0925">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FA91" w14:textId="77777777" w:rsidR="00CA0925" w:rsidRPr="00CA0925" w:rsidRDefault="00CA0925" w:rsidP="00CA09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0AE7" w14:textId="02F49BDA" w:rsidR="00CA0925" w:rsidRPr="00CA0925" w:rsidRDefault="00CA0925" w:rsidP="00CA0925">
    <w:pPr>
      <w:pStyle w:val="FooterLandscape"/>
      <w:rPr>
        <w:rFonts w:ascii="Arial" w:hAnsi="Arial" w:cs="Arial"/>
        <w:b/>
        <w:sz w:val="48"/>
      </w:rPr>
    </w:pPr>
    <w:r w:rsidRPr="00CA0925">
      <w:rPr>
        <w:rFonts w:ascii="Arial" w:hAnsi="Arial" w:cs="Arial"/>
        <w:b/>
        <w:sz w:val="48"/>
      </w:rPr>
      <w:t>SK</w:t>
    </w:r>
    <w:r w:rsidRPr="00CA0925">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rsidRPr="00CA0925">
      <w:tab/>
    </w:r>
    <w:r w:rsidRPr="00CA0925">
      <w:rPr>
        <w:rFonts w:ascii="Arial" w:hAnsi="Arial" w:cs="Arial"/>
        <w:b/>
        <w:sz w:val="48"/>
      </w:rPr>
      <w:t>SK</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A188" w14:textId="77777777" w:rsidR="00CA0925" w:rsidRPr="00CA0925" w:rsidRDefault="00CA0925" w:rsidP="00CA0925">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196E2" w14:textId="636A03EC" w:rsidR="00CA0925" w:rsidRPr="00CA0925" w:rsidRDefault="00CA0925" w:rsidP="00CA0925">
    <w:pPr>
      <w:pStyle w:val="FooterLandscape"/>
      <w:rPr>
        <w:rFonts w:ascii="Arial" w:hAnsi="Arial" w:cs="Arial"/>
        <w:b/>
        <w:sz w:val="48"/>
      </w:rPr>
    </w:pPr>
    <w:r w:rsidRPr="00CA0925">
      <w:rPr>
        <w:rFonts w:ascii="Arial" w:hAnsi="Arial" w:cs="Arial"/>
        <w:b/>
        <w:sz w:val="48"/>
      </w:rPr>
      <w:t>SK</w:t>
    </w:r>
    <w:r w:rsidRPr="00CA0925">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rsidRPr="00CA0925">
      <w:tab/>
    </w:r>
    <w:r w:rsidRPr="00CA0925">
      <w:rPr>
        <w:rFonts w:ascii="Arial" w:hAnsi="Arial" w:cs="Arial"/>
        <w:b/>
        <w:sz w:val="48"/>
      </w:rPr>
      <w:t>SK</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9027" w14:textId="77777777" w:rsidR="00CA0925" w:rsidRPr="00CA0925" w:rsidRDefault="00CA0925" w:rsidP="00CA0925">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7B5B" w14:textId="7D630631" w:rsidR="00331BC1" w:rsidRPr="00CA0925" w:rsidRDefault="00CA0925" w:rsidP="00CA0925">
    <w:pPr>
      <w:pStyle w:val="Footer"/>
      <w:rPr>
        <w:rFonts w:ascii="Arial" w:hAnsi="Arial" w:cs="Arial"/>
        <w:b/>
        <w:sz w:val="48"/>
      </w:rPr>
    </w:pPr>
    <w:r w:rsidRPr="00CA0925">
      <w:rPr>
        <w:rFonts w:ascii="Arial" w:hAnsi="Arial" w:cs="Arial"/>
        <w:b/>
        <w:sz w:val="48"/>
      </w:rPr>
      <w:t>SK</w:t>
    </w:r>
    <w:r w:rsidRPr="00CA0925">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rsidRPr="00CA0925">
      <w:tab/>
    </w:r>
    <w:r w:rsidRPr="00CA0925">
      <w:rPr>
        <w:rFonts w:ascii="Arial" w:hAnsi="Arial" w:cs="Arial"/>
        <w:b/>
        <w:sz w:val="48"/>
      </w:rPr>
      <w:t>SK</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32E8" w14:textId="77777777" w:rsidR="00CA0925" w:rsidRPr="00CA0925" w:rsidRDefault="00CA0925" w:rsidP="00CA0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334C6" w14:textId="77777777" w:rsidR="00331BC1" w:rsidRDefault="00331BC1" w:rsidP="00B50935">
      <w:pPr>
        <w:spacing w:before="0" w:after="0"/>
      </w:pPr>
      <w:r>
        <w:separator/>
      </w:r>
    </w:p>
  </w:footnote>
  <w:footnote w:type="continuationSeparator" w:id="0">
    <w:p w14:paraId="5D869320" w14:textId="77777777" w:rsidR="00331BC1" w:rsidRDefault="00331BC1" w:rsidP="00B50935">
      <w:pPr>
        <w:spacing w:before="0" w:after="0"/>
      </w:pPr>
      <w:r>
        <w:continuationSeparator/>
      </w:r>
    </w:p>
  </w:footnote>
  <w:footnote w:type="continuationNotice" w:id="1">
    <w:p w14:paraId="09EA6CB8" w14:textId="77777777" w:rsidR="00331BC1" w:rsidRDefault="00331BC1">
      <w:pPr>
        <w:spacing w:before="0" w:after="0"/>
      </w:pPr>
    </w:p>
  </w:footnote>
  <w:footnote w:id="2">
    <w:p w14:paraId="77D8EC69" w14:textId="77777777" w:rsidR="00331BC1" w:rsidRPr="00390107" w:rsidRDefault="00331BC1" w:rsidP="00B50935">
      <w:pPr>
        <w:pStyle w:val="FootnoteText"/>
      </w:pPr>
      <w:r>
        <w:rPr>
          <w:rStyle w:val="FootnoteReference"/>
        </w:rPr>
        <w:footnoteRef/>
      </w:r>
      <w:r>
        <w:tab/>
        <w:t>Ú. v. EÚ L 142, 30.4.2004, s. 1.</w:t>
      </w:r>
    </w:p>
  </w:footnote>
  <w:footnote w:id="3">
    <w:p w14:paraId="57F279D8" w14:textId="77777777" w:rsidR="00331BC1" w:rsidRPr="00390107" w:rsidRDefault="00331BC1" w:rsidP="00B50935">
      <w:pPr>
        <w:pStyle w:val="FootnoteText"/>
      </w:pPr>
      <w:r>
        <w:rPr>
          <w:rStyle w:val="FootnoteReference"/>
        </w:rPr>
        <w:footnoteRef/>
      </w:r>
      <w:r>
        <w:tab/>
        <w:t>Ú. v. EÚ L 293, 5.11.2013, s. 1.</w:t>
      </w:r>
    </w:p>
  </w:footnote>
  <w:footnote w:id="4">
    <w:p w14:paraId="0C393D7F" w14:textId="77777777" w:rsidR="00331BC1" w:rsidRPr="00390107" w:rsidRDefault="00331BC1" w:rsidP="00B50935">
      <w:pPr>
        <w:pStyle w:val="FootnoteText"/>
      </w:pPr>
      <w:r>
        <w:rPr>
          <w:rStyle w:val="FootnoteReference"/>
        </w:rPr>
        <w:footnoteRef/>
      </w:r>
      <w:r>
        <w:tab/>
        <w:t>https://europa.eu/european-union/sites/europaeu/files/docs/body/joint_statement_and_common_approach_2012_sk.pdf.</w:t>
      </w:r>
    </w:p>
  </w:footnote>
  <w:footnote w:id="5">
    <w:p w14:paraId="0AF8E571" w14:textId="77777777" w:rsidR="00331BC1" w:rsidRPr="00390107" w:rsidRDefault="00331BC1" w:rsidP="00B50935">
      <w:pPr>
        <w:pStyle w:val="FootnoteText"/>
      </w:pPr>
      <w:r>
        <w:rPr>
          <w:rStyle w:val="FootnoteReference"/>
        </w:rPr>
        <w:footnoteRef/>
      </w:r>
      <w:r>
        <w:tab/>
      </w:r>
      <w:hyperlink r:id="rId1" w:history="1">
        <w:r>
          <w:rPr>
            <w:rStyle w:val="Hyperlink"/>
            <w:color w:val="000000"/>
          </w:rPr>
          <w:t>https://www.ecdc.europa.eu/en/publications-data/third-external-evaluation-ecdc-2013-2017</w:t>
        </w:r>
      </w:hyperlink>
      <w:r>
        <w:t>.</w:t>
      </w:r>
    </w:p>
  </w:footnote>
  <w:footnote w:id="6">
    <w:p w14:paraId="0986CB4A" w14:textId="77777777" w:rsidR="00331BC1" w:rsidRPr="00390107" w:rsidRDefault="00331BC1" w:rsidP="00B50935">
      <w:pPr>
        <w:pStyle w:val="FootnoteText"/>
      </w:pPr>
      <w:r>
        <w:rPr>
          <w:rStyle w:val="FootnoteReference"/>
        </w:rPr>
        <w:footnoteRef/>
      </w:r>
      <w:r>
        <w:tab/>
      </w:r>
      <w:hyperlink r:id="rId2" w:history="1">
        <w:r>
          <w:rPr>
            <w:rStyle w:val="Hyperlink"/>
            <w:color w:val="000000"/>
          </w:rPr>
          <w:t>https://www.eca.europa.eu/sk/Pages/DocItem.aspx?did=40126</w:t>
        </w:r>
      </w:hyperlink>
      <w:r>
        <w:t>.</w:t>
      </w:r>
    </w:p>
  </w:footnote>
  <w:footnote w:id="7">
    <w:p w14:paraId="133181F2" w14:textId="77777777" w:rsidR="00331BC1" w:rsidRPr="00390107" w:rsidRDefault="00331BC1" w:rsidP="00B50935">
      <w:pPr>
        <w:pStyle w:val="FootnoteText"/>
      </w:pPr>
      <w:r>
        <w:rPr>
          <w:rStyle w:val="FootnoteReference"/>
        </w:rPr>
        <w:footnoteRef/>
      </w:r>
      <w:r>
        <w:tab/>
      </w:r>
      <w:hyperlink r:id="rId3" w:history="1">
        <w:r>
          <w:rPr>
            <w:rStyle w:val="Hyperlink"/>
          </w:rPr>
          <w:t>Spoločné vyhlásenie a spoločný prístup (Parlament, Rada a Komisia)</w:t>
        </w:r>
      </w:hyperlink>
      <w:r>
        <w:t>, 2012; https://europa.eu/european-union/sites/europaeu/files/docs/body/joint_statement_and_common_approach_2012_sk.pdf.</w:t>
      </w:r>
    </w:p>
  </w:footnote>
  <w:footnote w:id="8">
    <w:p w14:paraId="6D52CCE5" w14:textId="5FC72622" w:rsidR="00331BC1" w:rsidRPr="00390107" w:rsidRDefault="00331BC1" w:rsidP="00B50935">
      <w:pPr>
        <w:pStyle w:val="FootnoteText"/>
      </w:pPr>
      <w:r>
        <w:rPr>
          <w:rStyle w:val="FootnoteReference"/>
        </w:rPr>
        <w:footnoteRef/>
      </w:r>
      <w:r>
        <w:tab/>
        <w:t>Ú. v. EÚ C …, …, s. ….</w:t>
      </w:r>
    </w:p>
  </w:footnote>
  <w:footnote w:id="9">
    <w:p w14:paraId="1C8B5EEF" w14:textId="7F9EF1C1" w:rsidR="00331BC1" w:rsidRPr="00390107" w:rsidRDefault="00331BC1" w:rsidP="00B50935">
      <w:pPr>
        <w:pStyle w:val="FootnoteText"/>
      </w:pPr>
      <w:r>
        <w:rPr>
          <w:rStyle w:val="FootnoteReference"/>
        </w:rPr>
        <w:footnoteRef/>
      </w:r>
      <w:r>
        <w:tab/>
        <w:t>Ú. v. EÚ C …, …, s. ….</w:t>
      </w:r>
    </w:p>
  </w:footnote>
  <w:footnote w:id="10">
    <w:p w14:paraId="29C5C67A" w14:textId="77777777" w:rsidR="00331BC1" w:rsidRPr="00390107" w:rsidRDefault="00331BC1" w:rsidP="00B50935">
      <w:pPr>
        <w:pStyle w:val="FootnoteText"/>
      </w:pPr>
      <w:r>
        <w:rPr>
          <w:rStyle w:val="FootnoteReference"/>
        </w:rPr>
        <w:footnoteRef/>
      </w:r>
      <w:r>
        <w:tab/>
        <w:t>Nariadenie Európskeho parlamentu a Rady (ES) č. 851/2004 z 21. apríla 2004, ktorým sa zriaďuje Európske centrum pre prevenciu a kontrolu chorôb (Ú. v. EÚ L 142, 30.4.2004, s. 1).</w:t>
      </w:r>
    </w:p>
  </w:footnote>
  <w:footnote w:id="11">
    <w:p w14:paraId="235BED05" w14:textId="77777777" w:rsidR="00331BC1" w:rsidRPr="00390107" w:rsidRDefault="00331BC1" w:rsidP="00B50935">
      <w:pPr>
        <w:pStyle w:val="FootnoteText"/>
      </w:pPr>
      <w:r>
        <w:rPr>
          <w:rStyle w:val="FootnoteReference"/>
        </w:rPr>
        <w:footnoteRef/>
      </w:r>
      <w:r>
        <w:tab/>
        <w:t>Nariadenie Európskeho parlamentu a Rady (EÚ) XXXX/XXXX z DÁTUM o závažných cezhraničných ohrozeniach zdravia, ktorým sa zrušuje rozhodnutie č. 1082/2013/EÚ [Ú. v. EÚ: vložte celý názov a odkaz na uverejnenie nariadenia o závažných cezhraničných ohrozeniach zdravia (SCBTH).]</w:t>
      </w:r>
    </w:p>
  </w:footnote>
  <w:footnote w:id="12">
    <w:p w14:paraId="18A0A339" w14:textId="77777777" w:rsidR="00331BC1" w:rsidRPr="00390107" w:rsidRDefault="00331BC1" w:rsidP="00B50935">
      <w:pPr>
        <w:pStyle w:val="FootnoteText"/>
      </w:pPr>
      <w:r>
        <w:rPr>
          <w:rStyle w:val="FootnoteReference"/>
        </w:rPr>
        <w:footnoteRef/>
      </w:r>
      <w:r>
        <w:tab/>
        <w:t>Rozhodnutie Európskeho parlamentu a Rady č. 1313/2013/EÚ zo 17. decembra 2013 o mechanizme Únie v oblasti civilnej ochrany (Ú. v. EÚ L 347, 20.12.2013, s. 924).</w:t>
      </w:r>
    </w:p>
  </w:footnote>
  <w:footnote w:id="13">
    <w:p w14:paraId="40326731" w14:textId="5F162273" w:rsidR="00331BC1" w:rsidRDefault="00331BC1" w:rsidP="009A453B">
      <w:pPr>
        <w:pStyle w:val="FootnoteText"/>
      </w:pPr>
      <w:r>
        <w:rPr>
          <w:rStyle w:val="FootnoteReference"/>
        </w:rPr>
        <w:footnoteRef/>
      </w:r>
      <w:r>
        <w:tab/>
      </w:r>
      <w:r>
        <w:rPr>
          <w:highlight w:val="yellow"/>
        </w:rPr>
        <w:t>Nariadenie Európskeho parlamentu a Rady (EÚ) č. 233/2014 z 11. marca 2014, ktorým sa ustanovuje nástroj financovania rozvojovej spolupráce na obdobie 2014 – 2020 (Ú. v. EÚ L 77, 15.3.2014, s. 44).</w:t>
      </w:r>
    </w:p>
  </w:footnote>
  <w:footnote w:id="14">
    <w:p w14:paraId="76FA73D7" w14:textId="77777777" w:rsidR="00331BC1" w:rsidRPr="00390107" w:rsidRDefault="00331BC1" w:rsidP="00B50935">
      <w:pPr>
        <w:pStyle w:val="FootnoteText"/>
      </w:pPr>
      <w:r>
        <w:rPr>
          <w:rStyle w:val="FootnoteReference"/>
        </w:rPr>
        <w:footnoteRef/>
      </w:r>
      <w:r>
        <w:tab/>
        <w:t>Podľa článku 58 ods. 2 písm. a) alebo b) nariadenia o rozpočtových pravidlách.</w:t>
      </w:r>
    </w:p>
  </w:footnote>
  <w:footnote w:id="15">
    <w:p w14:paraId="013AE3D0" w14:textId="77777777" w:rsidR="00331BC1" w:rsidRPr="00390107" w:rsidRDefault="00331BC1" w:rsidP="00B50935">
      <w:pPr>
        <w:pStyle w:val="FootnoteText"/>
      </w:pPr>
      <w:r>
        <w:rPr>
          <w:rStyle w:val="FootnoteReference"/>
        </w:rPr>
        <w:footnoteRef/>
      </w:r>
      <w:r>
        <w:tab/>
        <w:t xml:space="preserve">Vysvetlenie spôsobov riadenia a odkazy na nariadenie o rozpočtových pravidlách sú k dispozícii na webovej stránke BudgWeb: </w:t>
      </w:r>
      <w:hyperlink r:id="rId4" w:history="1">
        <w:r>
          <w:rPr>
            <w:rStyle w:val="Hyperlink"/>
          </w:rPr>
          <w:t>https://myintracomm.ec.europa.eu/budgweb/EN/man/budgmanag/Pages/budgmanag.aspx</w:t>
        </w:r>
      </w:hyperlink>
      <w:r>
        <w:t>.</w:t>
      </w:r>
    </w:p>
  </w:footnote>
  <w:footnote w:id="16">
    <w:p w14:paraId="4B425AD5" w14:textId="77777777" w:rsidR="00331BC1" w:rsidRPr="00390107" w:rsidRDefault="00331BC1" w:rsidP="00B50935">
      <w:pPr>
        <w:pStyle w:val="FootnoteText"/>
      </w:pPr>
      <w:r>
        <w:rPr>
          <w:rStyle w:val="FootnoteReference"/>
        </w:rPr>
        <w:footnoteRef/>
      </w:r>
      <w:r>
        <w:tab/>
        <w:t>DRP = diferencované rozpočtové prostriedky/NRP = nediferencované rozpočtové prostriedky.</w:t>
      </w:r>
    </w:p>
  </w:footnote>
  <w:footnote w:id="17">
    <w:p w14:paraId="4BA38707" w14:textId="77777777" w:rsidR="00331BC1" w:rsidRPr="00390107" w:rsidRDefault="00331BC1" w:rsidP="00B50935">
      <w:pPr>
        <w:pStyle w:val="FootnoteText"/>
      </w:pPr>
      <w:r>
        <w:rPr>
          <w:rStyle w:val="FootnoteReference"/>
        </w:rPr>
        <w:footnoteRef/>
      </w:r>
      <w:r>
        <w:tab/>
        <w:t xml:space="preserve">EZVO: Európske združenie voľného obchodu. </w:t>
      </w:r>
    </w:p>
  </w:footnote>
  <w:footnote w:id="18">
    <w:p w14:paraId="5B800131" w14:textId="77777777" w:rsidR="00331BC1" w:rsidRPr="00390107" w:rsidRDefault="00331BC1" w:rsidP="00B50935">
      <w:pPr>
        <w:pStyle w:val="FootnoteText"/>
      </w:pPr>
      <w:r>
        <w:rPr>
          <w:rStyle w:val="FootnoteReference"/>
        </w:rPr>
        <w:footnoteRef/>
      </w:r>
      <w:r>
        <w:tab/>
        <w:t>Kandidátske krajiny a prípadne potenciálne kandidátske krajiny zo západného Balkánu.</w:t>
      </w:r>
    </w:p>
  </w:footnote>
  <w:footnote w:id="19">
    <w:p w14:paraId="58BA92FC" w14:textId="77777777" w:rsidR="00331BC1" w:rsidRPr="00390107" w:rsidRDefault="00331BC1" w:rsidP="00B50935">
      <w:pPr>
        <w:pStyle w:val="FootnoteText"/>
      </w:pPr>
      <w:r>
        <w:rPr>
          <w:rStyle w:val="FootnoteReference"/>
        </w:rPr>
        <w:footnoteRef/>
      </w:r>
      <w:r>
        <w:tab/>
        <w:t>Výstupy sú produkty, ktoré sa majú dodať, a služby, ktoré sa majú poskytnúť (napr. počet financovaných výmen študentov, vybudované cesty v km atď.).</w:t>
      </w:r>
    </w:p>
  </w:footnote>
  <w:footnote w:id="20">
    <w:p w14:paraId="08A5B3C1" w14:textId="77777777" w:rsidR="00331BC1" w:rsidRPr="00390107" w:rsidRDefault="00331BC1" w:rsidP="00B50935">
      <w:pPr>
        <w:pStyle w:val="FootnoteText"/>
      </w:pPr>
      <w:r>
        <w:rPr>
          <w:rStyle w:val="FootnoteReference"/>
        </w:rPr>
        <w:footnoteRef/>
      </w:r>
      <w:r>
        <w:tab/>
        <w:t xml:space="preserve">ZZ = zmluvný zamestnanec; MZ = miestny zamestnanec; VNE = vyslaný národný expert; DAZ = dočasný agentúrny zamestnanec; PED = pomocný expert v delegácii. </w:t>
      </w:r>
    </w:p>
  </w:footnote>
  <w:footnote w:id="21">
    <w:p w14:paraId="57ED9D4C" w14:textId="77777777" w:rsidR="00331BC1" w:rsidRPr="00390107" w:rsidRDefault="00331BC1" w:rsidP="00B50935">
      <w:pPr>
        <w:pStyle w:val="FootnoteText"/>
      </w:pPr>
      <w:r>
        <w:rPr>
          <w:rStyle w:val="FootnoteReference"/>
        </w:rPr>
        <w:footnoteRef/>
      </w:r>
      <w:r>
        <w:tab/>
        <w:t>Čiastkový strop pre externých zamestnancov financovaných z operačných rozpočtových prostriedkov (pôvodné rozpočtové riadky „BA“).</w:t>
      </w:r>
    </w:p>
  </w:footnote>
  <w:footnote w:id="22">
    <w:p w14:paraId="51B85090" w14:textId="77777777" w:rsidR="00331BC1" w:rsidRPr="00390107" w:rsidRDefault="00331BC1" w:rsidP="00B50935">
      <w:pPr>
        <w:pStyle w:val="FootnoteText"/>
      </w:pPr>
      <w:r>
        <w:rPr>
          <w:rStyle w:val="FootnoteReference"/>
        </w:rPr>
        <w:footnoteRef/>
      </w:r>
      <w:r>
        <w:tab/>
        <w:t>Najmä pre štrukturálne fondy, Európsky poľnohospodársky fond pre rozvoj vidieka (EPFRV) a Európsky fond pre rybné hospodárstvo (EFRH).</w:t>
      </w:r>
    </w:p>
  </w:footnote>
  <w:footnote w:id="23">
    <w:p w14:paraId="26F789FE" w14:textId="77777777" w:rsidR="00331BC1" w:rsidRPr="00390107" w:rsidRDefault="00331BC1" w:rsidP="00B50935">
      <w:pPr>
        <w:pStyle w:val="FootnoteText"/>
      </w:pPr>
      <w:r>
        <w:rPr>
          <w:rStyle w:val="FootnoteReference"/>
        </w:rPr>
        <w:footnoteRef/>
      </w:r>
      <w:r>
        <w:tab/>
        <w:t>Pozri články 11 a 17 nariadenia Rady (EÚ, Euratom) č. 1311/2013, ktorým sa ustanovuje viacročný finančný rámec na roky 2014 – 2020.</w:t>
      </w:r>
    </w:p>
  </w:footnote>
  <w:footnote w:id="24">
    <w:p w14:paraId="01759B69" w14:textId="77777777" w:rsidR="00331BC1" w:rsidRPr="00390107" w:rsidRDefault="00331BC1" w:rsidP="00B50935">
      <w:pPr>
        <w:pStyle w:val="FootnoteText"/>
      </w:pPr>
      <w:r>
        <w:rPr>
          <w:rStyle w:val="FootnoteReference"/>
        </w:rPr>
        <w:footnoteRef/>
      </w:r>
      <w:r>
        <w:tab/>
        <w:t>Pokiaľ ide o tradičné vlastné zdroje (clá, odvody z produkcie cukru), uvedené sumy musia predstavovať čisté sumy, t. j. hrubé sumy po odčítaní 20 % na náklady na výber.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C7BD" w14:textId="77777777" w:rsidR="00CA0925" w:rsidRPr="00CA0925" w:rsidRDefault="00CA0925" w:rsidP="00CA0925">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8149" w14:textId="77777777" w:rsidR="00CA0925" w:rsidRPr="00CA0925" w:rsidRDefault="00CA0925" w:rsidP="00CA0925">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3FD9" w14:textId="77777777" w:rsidR="00CA0925" w:rsidRPr="00CA0925" w:rsidRDefault="00CA0925" w:rsidP="00CA0925">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D469" w14:textId="77777777" w:rsidR="00CA0925" w:rsidRPr="00CA0925" w:rsidRDefault="00CA0925" w:rsidP="00CA0925">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F218" w14:textId="77777777" w:rsidR="00331BC1" w:rsidRPr="007D1A43" w:rsidRDefault="00331BC1" w:rsidP="00CA09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B74F6" w14:textId="77777777" w:rsidR="00CA0925" w:rsidRPr="00CA0925" w:rsidRDefault="00CA0925" w:rsidP="00CA0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15:restartNumberingAfterBreak="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6"/>
  </w:num>
  <w:num w:numId="7">
    <w:abstractNumId w:val="22"/>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9"/>
    <w:lvlOverride w:ilvl="0">
      <w:startOverride w:val="1"/>
    </w:lvlOverride>
  </w:num>
  <w:num w:numId="19">
    <w:abstractNumId w:val="11"/>
    <w:lvlOverride w:ilvl="0">
      <w:startOverride w:val="1"/>
    </w:lvlOverride>
  </w:num>
  <w:num w:numId="20">
    <w:abstractNumId w:val="21"/>
  </w:num>
  <w:num w:numId="21">
    <w:abstractNumId w:val="11"/>
  </w:num>
  <w:num w:numId="22">
    <w:abstractNumId w:val="25"/>
  </w:num>
  <w:num w:numId="23">
    <w:abstractNumId w:val="6"/>
  </w:num>
  <w:num w:numId="24">
    <w:abstractNumId w:val="12"/>
  </w:num>
  <w:num w:numId="25">
    <w:abstractNumId w:val="4"/>
  </w:num>
  <w:num w:numId="26">
    <w:abstractNumId w:val="24"/>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9"/>
  </w:num>
  <w:num w:numId="34">
    <w:abstractNumId w:val="11"/>
  </w:num>
  <w:num w:numId="35">
    <w:abstractNumId w:val="21"/>
  </w:num>
  <w:num w:numId="36">
    <w:abstractNumId w:val="11"/>
  </w:num>
  <w:num w:numId="37">
    <w:abstractNumId w:val="25"/>
  </w:num>
  <w:num w:numId="38">
    <w:abstractNumId w:val="6"/>
  </w:num>
  <w:num w:numId="39">
    <w:abstractNumId w:val="12"/>
  </w:num>
  <w:num w:numId="40">
    <w:abstractNumId w:val="4"/>
  </w:num>
  <w:num w:numId="41">
    <w:abstractNumId w:val="24"/>
  </w:num>
  <w:num w:numId="42">
    <w:abstractNumId w:val="3"/>
  </w:num>
  <w:num w:numId="43">
    <w:abstractNumId w:val="13"/>
  </w:num>
  <w:num w:numId="44">
    <w:abstractNumId w:val="19"/>
  </w:num>
  <w:num w:numId="45">
    <w:abstractNumId w:val="20"/>
  </w:num>
  <w:num w:numId="46">
    <w:abstractNumId w:val="5"/>
  </w:num>
  <w:num w:numId="47">
    <w:abstractNumId w:val="17"/>
  </w:num>
  <w:num w:numId="48">
    <w:abstractNumId w:val="29"/>
  </w:num>
  <w:num w:numId="49">
    <w:abstractNumId w:val="11"/>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FR" w:vendorID="64" w:dllVersion="6" w:nlCheck="1" w:checkStyle="1"/>
  <w:activeWritingStyle w:appName="MSWord" w:lang="fr-BE" w:vendorID="64" w:dllVersion="6" w:nlCheck="1" w:checkStyle="0"/>
  <w:activeWritingStyle w:appName="MSWord" w:lang="fr-BE" w:vendorID="64" w:dllVersion="4096"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nl-NL" w:vendorID="64" w:dllVersion="131078" w:nlCheck="1" w:checkStyle="0"/>
  <w:activeWritingStyle w:appName="MSWord" w:lang="de-AT" w:vendorID="64" w:dllVersion="131078" w:nlCheck="1" w:checkStyle="0"/>
  <w:attachedTemplate r:id="rId1"/>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7 10:55:1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79A1219-6FA2-4AED-8B92-2EDF11F14CFD"/>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320"/>
    <w:docVar w:name="LW_REF.II.NEW.CP_YEAR" w:val="2020"/>
    <w:docVar w:name="LW_REF.INST.NEW" w:val="COM"/>
    <w:docVar w:name="LW_REF.INST.NEW_ADOPTED" w:val="&lt;EMPTY&gt;"/>
    <w:docVar w:name="LW_REF.INST.NEW_TEXT" w:val="(2020) 7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zmene nariadenia (ES) \u269?. 851/2004, ktorým sa zria\u271?uje Európske centrum pre prevenciu a kontrolu chorôb"/>
    <w:docVar w:name="LW_TYPE.DOC.CP" w:val="NARIADENIE EURÓPSKEHO PARLAMENTU A RADY"/>
  </w:docVars>
  <w:rsids>
    <w:rsidRoot w:val="00B50935"/>
    <w:rsid w:val="00025545"/>
    <w:rsid w:val="00026C64"/>
    <w:rsid w:val="00057558"/>
    <w:rsid w:val="000656F3"/>
    <w:rsid w:val="0007436D"/>
    <w:rsid w:val="0008563D"/>
    <w:rsid w:val="000A1FB8"/>
    <w:rsid w:val="000A7517"/>
    <w:rsid w:val="000D116A"/>
    <w:rsid w:val="000D79F2"/>
    <w:rsid w:val="000E198E"/>
    <w:rsid w:val="000E7A81"/>
    <w:rsid w:val="000F2C00"/>
    <w:rsid w:val="000F71CF"/>
    <w:rsid w:val="00117BF8"/>
    <w:rsid w:val="00147253"/>
    <w:rsid w:val="00150902"/>
    <w:rsid w:val="0015454E"/>
    <w:rsid w:val="00191442"/>
    <w:rsid w:val="001C2816"/>
    <w:rsid w:val="001F2710"/>
    <w:rsid w:val="002028AF"/>
    <w:rsid w:val="00267EB3"/>
    <w:rsid w:val="0028239F"/>
    <w:rsid w:val="00294CDA"/>
    <w:rsid w:val="002B330F"/>
    <w:rsid w:val="002C02D0"/>
    <w:rsid w:val="002D7B37"/>
    <w:rsid w:val="00300289"/>
    <w:rsid w:val="00302AEB"/>
    <w:rsid w:val="0030678C"/>
    <w:rsid w:val="00310294"/>
    <w:rsid w:val="00331BC1"/>
    <w:rsid w:val="00361EDB"/>
    <w:rsid w:val="0036744A"/>
    <w:rsid w:val="003701E7"/>
    <w:rsid w:val="00380BE7"/>
    <w:rsid w:val="003952F8"/>
    <w:rsid w:val="003C6257"/>
    <w:rsid w:val="00427764"/>
    <w:rsid w:val="00447609"/>
    <w:rsid w:val="00461817"/>
    <w:rsid w:val="00473217"/>
    <w:rsid w:val="00473ACE"/>
    <w:rsid w:val="00473C84"/>
    <w:rsid w:val="004B4318"/>
    <w:rsid w:val="004B4CD4"/>
    <w:rsid w:val="004B7344"/>
    <w:rsid w:val="00505A29"/>
    <w:rsid w:val="00512176"/>
    <w:rsid w:val="005258FC"/>
    <w:rsid w:val="0054225A"/>
    <w:rsid w:val="0054226D"/>
    <w:rsid w:val="00556598"/>
    <w:rsid w:val="00587B87"/>
    <w:rsid w:val="00594D37"/>
    <w:rsid w:val="005B4A89"/>
    <w:rsid w:val="005B53A8"/>
    <w:rsid w:val="005F1577"/>
    <w:rsid w:val="00605A6F"/>
    <w:rsid w:val="00611CE8"/>
    <w:rsid w:val="0061321B"/>
    <w:rsid w:val="0062409B"/>
    <w:rsid w:val="00624A15"/>
    <w:rsid w:val="00627B80"/>
    <w:rsid w:val="006550D3"/>
    <w:rsid w:val="00657469"/>
    <w:rsid w:val="0066240A"/>
    <w:rsid w:val="006A0673"/>
    <w:rsid w:val="006C37E7"/>
    <w:rsid w:val="006D5D7C"/>
    <w:rsid w:val="006F7C3E"/>
    <w:rsid w:val="0070128F"/>
    <w:rsid w:val="00723226"/>
    <w:rsid w:val="0078723B"/>
    <w:rsid w:val="007B2C96"/>
    <w:rsid w:val="007B62AA"/>
    <w:rsid w:val="007C06F6"/>
    <w:rsid w:val="007D1A43"/>
    <w:rsid w:val="007D5C00"/>
    <w:rsid w:val="007E3B74"/>
    <w:rsid w:val="008130A8"/>
    <w:rsid w:val="00822782"/>
    <w:rsid w:val="008776C2"/>
    <w:rsid w:val="008E6BDB"/>
    <w:rsid w:val="008F5451"/>
    <w:rsid w:val="00900134"/>
    <w:rsid w:val="00944A8F"/>
    <w:rsid w:val="009650D7"/>
    <w:rsid w:val="00986B33"/>
    <w:rsid w:val="00987AD5"/>
    <w:rsid w:val="009A453B"/>
    <w:rsid w:val="009B7138"/>
    <w:rsid w:val="009E1CF5"/>
    <w:rsid w:val="009F3E64"/>
    <w:rsid w:val="00A25088"/>
    <w:rsid w:val="00A364DC"/>
    <w:rsid w:val="00AB724E"/>
    <w:rsid w:val="00AC00F2"/>
    <w:rsid w:val="00AD1316"/>
    <w:rsid w:val="00AE0A33"/>
    <w:rsid w:val="00B11613"/>
    <w:rsid w:val="00B50935"/>
    <w:rsid w:val="00B57F9A"/>
    <w:rsid w:val="00B6520F"/>
    <w:rsid w:val="00B967EC"/>
    <w:rsid w:val="00BC00D6"/>
    <w:rsid w:val="00BE246D"/>
    <w:rsid w:val="00BF17AA"/>
    <w:rsid w:val="00C10CC0"/>
    <w:rsid w:val="00C177C7"/>
    <w:rsid w:val="00C24556"/>
    <w:rsid w:val="00C4070D"/>
    <w:rsid w:val="00C4584B"/>
    <w:rsid w:val="00C74CC6"/>
    <w:rsid w:val="00C823D2"/>
    <w:rsid w:val="00C836C1"/>
    <w:rsid w:val="00C861CA"/>
    <w:rsid w:val="00C94B07"/>
    <w:rsid w:val="00CA0925"/>
    <w:rsid w:val="00CB6BDB"/>
    <w:rsid w:val="00CC1FA9"/>
    <w:rsid w:val="00D84066"/>
    <w:rsid w:val="00DB2CE6"/>
    <w:rsid w:val="00DC6917"/>
    <w:rsid w:val="00DE5800"/>
    <w:rsid w:val="00E215F2"/>
    <w:rsid w:val="00E2254D"/>
    <w:rsid w:val="00E642AF"/>
    <w:rsid w:val="00E711A9"/>
    <w:rsid w:val="00E75B5C"/>
    <w:rsid w:val="00EB09BE"/>
    <w:rsid w:val="00EB2BB2"/>
    <w:rsid w:val="00EC158B"/>
    <w:rsid w:val="00EE1AA6"/>
    <w:rsid w:val="00F20062"/>
    <w:rsid w:val="00F20C2A"/>
    <w:rsid w:val="00F233D0"/>
    <w:rsid w:val="00F36FFA"/>
    <w:rsid w:val="00F90E68"/>
    <w:rsid w:val="00FA14F0"/>
    <w:rsid w:val="00FA5BFB"/>
    <w:rsid w:val="00FD346F"/>
    <w:rsid w:val="00FE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BC8F558"/>
  <w15:docId w15:val="{4236B511-994E-4CC5-8DD9-0999A799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rsid w:val="009B7138"/>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4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rsid w:val="00B50935"/>
    <w:pPr>
      <w:numPr>
        <w:numId w:val="2"/>
      </w:numPr>
    </w:pPr>
    <w:rPr>
      <w:rFonts w:eastAsia="Times New Roman"/>
      <w:lang w:eastAsia="de-DE"/>
    </w:rPr>
  </w:style>
  <w:style w:type="paragraph" w:styleId="ListNumber">
    <w:name w:val="List Number"/>
    <w:basedOn w:val="Normal"/>
    <w:rsid w:val="00B50935"/>
    <w:pPr>
      <w:numPr>
        <w:numId w:val="6"/>
      </w:numPr>
    </w:pPr>
    <w:rPr>
      <w:rFonts w:eastAsia="Times New Roman"/>
      <w:lang w:eastAsia="de-DE"/>
    </w:rPr>
  </w:style>
  <w:style w:type="paragraph" w:customStyle="1" w:styleId="ListBullet1">
    <w:name w:val="List Bullet 1"/>
    <w:basedOn w:val="Normal"/>
    <w:rsid w:val="00B50935"/>
    <w:pPr>
      <w:numPr>
        <w:numId w:val="1"/>
      </w:numPr>
    </w:pPr>
    <w:rPr>
      <w:rFonts w:eastAsia="Times New Roman"/>
      <w:lang w:eastAsia="de-DE"/>
    </w:rPr>
  </w:style>
  <w:style w:type="paragraph" w:customStyle="1" w:styleId="ListDash">
    <w:name w:val="List Dash"/>
    <w:basedOn w:val="Normal"/>
    <w:rsid w:val="00B50935"/>
    <w:pPr>
      <w:numPr>
        <w:numId w:val="3"/>
      </w:numPr>
    </w:pPr>
    <w:rPr>
      <w:rFonts w:eastAsia="Times New Roman"/>
      <w:lang w:eastAsia="de-DE"/>
    </w:rPr>
  </w:style>
  <w:style w:type="paragraph" w:customStyle="1" w:styleId="ListDash1">
    <w:name w:val="List Dash 1"/>
    <w:basedOn w:val="Normal"/>
    <w:rsid w:val="00B50935"/>
    <w:pPr>
      <w:numPr>
        <w:numId w:val="4"/>
      </w:numPr>
    </w:pPr>
    <w:rPr>
      <w:rFonts w:eastAsia="Times New Roman"/>
      <w:lang w:eastAsia="de-DE"/>
    </w:rPr>
  </w:style>
  <w:style w:type="paragraph" w:customStyle="1" w:styleId="ListDash2">
    <w:name w:val="List Dash 2"/>
    <w:basedOn w:val="Normal"/>
    <w:rsid w:val="00B50935"/>
    <w:pPr>
      <w:numPr>
        <w:numId w:val="5"/>
      </w:numPr>
    </w:pPr>
    <w:rPr>
      <w:rFonts w:eastAsia="Times New Roman"/>
      <w:lang w:eastAsia="de-DE"/>
    </w:rPr>
  </w:style>
  <w:style w:type="paragraph" w:customStyle="1" w:styleId="ListNumberLevel2">
    <w:name w:val="List Number (Level 2)"/>
    <w:basedOn w:val="Normal"/>
    <w:rsid w:val="00B50935"/>
    <w:pPr>
      <w:numPr>
        <w:ilvl w:val="1"/>
        <w:numId w:val="6"/>
      </w:numPr>
    </w:pPr>
    <w:rPr>
      <w:rFonts w:eastAsia="Times New Roman"/>
      <w:lang w:eastAsia="de-DE"/>
    </w:rPr>
  </w:style>
  <w:style w:type="paragraph" w:customStyle="1" w:styleId="ListNumberLevel3">
    <w:name w:val="List Number (Level 3)"/>
    <w:basedOn w:val="Normal"/>
    <w:rsid w:val="00B50935"/>
    <w:pPr>
      <w:numPr>
        <w:ilvl w:val="2"/>
        <w:numId w:val="6"/>
      </w:numPr>
    </w:pPr>
    <w:rPr>
      <w:rFonts w:eastAsia="Times New Roman"/>
      <w:lang w:eastAsia="de-DE"/>
    </w:rPr>
  </w:style>
  <w:style w:type="paragraph" w:customStyle="1" w:styleId="ListNumberLevel4">
    <w:name w:val="List Number (Level 4)"/>
    <w:basedOn w:val="Normal"/>
    <w:rsid w:val="00B50935"/>
    <w:pPr>
      <w:numPr>
        <w:ilvl w:val="3"/>
        <w:numId w:val="6"/>
      </w:numPr>
    </w:pPr>
    <w:rPr>
      <w:rFonts w:eastAsia="Times New Roman"/>
      <w:lang w:eastAsia="de-DE"/>
    </w:rPr>
  </w:style>
  <w:style w:type="table" w:styleId="TableGrid">
    <w:name w:val="Table Grid"/>
    <w:basedOn w:val="TableNormal"/>
    <w:uiPriority w:val="59"/>
    <w:rsid w:val="00B50935"/>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50935"/>
    <w:rPr>
      <w:color w:val="0000FF"/>
      <w:u w:val="single"/>
    </w:rPr>
  </w:style>
  <w:style w:type="paragraph" w:styleId="ListBullet">
    <w:name w:val="List Bullet"/>
    <w:basedOn w:val="Normal"/>
    <w:rsid w:val="00B50935"/>
    <w:pPr>
      <w:numPr>
        <w:numId w:val="7"/>
      </w:numPr>
    </w:pPr>
    <w:rPr>
      <w:rFonts w:eastAsia="Times New Roman"/>
      <w:lang w:eastAsia="en-GB"/>
    </w:rPr>
  </w:style>
  <w:style w:type="paragraph" w:styleId="ListBullet2">
    <w:name w:val="List Bullet 2"/>
    <w:basedOn w:val="Normal"/>
    <w:rsid w:val="00B50935"/>
    <w:pPr>
      <w:numPr>
        <w:numId w:val="8"/>
      </w:numPr>
    </w:pPr>
    <w:rPr>
      <w:rFonts w:eastAsia="Times New Roman"/>
      <w:lang w:eastAsia="en-GB"/>
    </w:rPr>
  </w:style>
  <w:style w:type="paragraph" w:styleId="ListBullet3">
    <w:name w:val="List Bullet 3"/>
    <w:basedOn w:val="Normal"/>
    <w:rsid w:val="00B50935"/>
    <w:pPr>
      <w:numPr>
        <w:numId w:val="9"/>
      </w:numPr>
    </w:pPr>
    <w:rPr>
      <w:rFonts w:eastAsia="Times New Roman"/>
      <w:lang w:eastAsia="en-GB"/>
    </w:rPr>
  </w:style>
  <w:style w:type="paragraph" w:styleId="ListNumber2">
    <w:name w:val="List Number 2"/>
    <w:basedOn w:val="Normal"/>
    <w:rsid w:val="00B50935"/>
    <w:pPr>
      <w:numPr>
        <w:numId w:val="13"/>
      </w:numPr>
    </w:pPr>
    <w:rPr>
      <w:rFonts w:eastAsia="Times New Roman"/>
      <w:lang w:eastAsia="en-GB"/>
    </w:rPr>
  </w:style>
  <w:style w:type="paragraph" w:styleId="ListNumber3">
    <w:name w:val="List Number 3"/>
    <w:basedOn w:val="Normal"/>
    <w:rsid w:val="00B50935"/>
    <w:pPr>
      <w:numPr>
        <w:numId w:val="14"/>
      </w:numPr>
    </w:pPr>
    <w:rPr>
      <w:rFonts w:eastAsia="Times New Roman"/>
      <w:lang w:eastAsia="en-GB"/>
    </w:rPr>
  </w:style>
  <w:style w:type="paragraph" w:styleId="ListNumber4">
    <w:name w:val="List Number 4"/>
    <w:basedOn w:val="Normal"/>
    <w:rsid w:val="00B50935"/>
    <w:pPr>
      <w:numPr>
        <w:numId w:val="15"/>
      </w:numPr>
    </w:pPr>
    <w:rPr>
      <w:rFonts w:eastAsia="Times New Roman"/>
      <w:lang w:eastAsia="en-GB"/>
    </w:rPr>
  </w:style>
  <w:style w:type="paragraph" w:customStyle="1" w:styleId="ListDash3">
    <w:name w:val="List Dash 3"/>
    <w:basedOn w:val="Normal"/>
    <w:rsid w:val="00B50935"/>
    <w:pPr>
      <w:numPr>
        <w:numId w:val="10"/>
      </w:numPr>
    </w:pPr>
    <w:rPr>
      <w:rFonts w:eastAsia="Times New Roman"/>
      <w:lang w:eastAsia="en-GB"/>
    </w:rPr>
  </w:style>
  <w:style w:type="paragraph" w:customStyle="1" w:styleId="ListDash4">
    <w:name w:val="List Dash 4"/>
    <w:basedOn w:val="Normal"/>
    <w:rsid w:val="00B50935"/>
    <w:pPr>
      <w:numPr>
        <w:numId w:val="11"/>
      </w:numPr>
    </w:pPr>
    <w:rPr>
      <w:rFonts w:eastAsia="Times New Roman"/>
      <w:lang w:eastAsia="en-GB"/>
    </w:rPr>
  </w:style>
  <w:style w:type="paragraph" w:customStyle="1" w:styleId="ListNumber1">
    <w:name w:val="List Number 1"/>
    <w:basedOn w:val="Text1"/>
    <w:rsid w:val="00B50935"/>
    <w:pPr>
      <w:numPr>
        <w:numId w:val="12"/>
      </w:numPr>
    </w:pPr>
    <w:rPr>
      <w:rFonts w:eastAsia="Times New Roman"/>
      <w:lang w:eastAsia="en-GB"/>
    </w:rPr>
  </w:style>
  <w:style w:type="paragraph" w:customStyle="1" w:styleId="ListNumber1Level2">
    <w:name w:val="List Number 1 (Level 2)"/>
    <w:basedOn w:val="Text1"/>
    <w:rsid w:val="00B50935"/>
    <w:pPr>
      <w:numPr>
        <w:ilvl w:val="1"/>
        <w:numId w:val="12"/>
      </w:numPr>
    </w:pPr>
    <w:rPr>
      <w:rFonts w:eastAsia="Times New Roman"/>
      <w:lang w:eastAsia="en-GB"/>
    </w:rPr>
  </w:style>
  <w:style w:type="paragraph" w:customStyle="1" w:styleId="ListNumber2Level2">
    <w:name w:val="List Number 2 (Level 2)"/>
    <w:basedOn w:val="Text2"/>
    <w:rsid w:val="00B50935"/>
    <w:pPr>
      <w:numPr>
        <w:ilvl w:val="1"/>
        <w:numId w:val="13"/>
      </w:numPr>
    </w:pPr>
    <w:rPr>
      <w:rFonts w:eastAsia="Times New Roman"/>
      <w:lang w:eastAsia="en-GB"/>
    </w:rPr>
  </w:style>
  <w:style w:type="paragraph" w:customStyle="1" w:styleId="ListNumber3Level2">
    <w:name w:val="List Number 3 (Level 2)"/>
    <w:basedOn w:val="Text3"/>
    <w:rsid w:val="00B50935"/>
    <w:pPr>
      <w:numPr>
        <w:ilvl w:val="1"/>
        <w:numId w:val="14"/>
      </w:numPr>
    </w:pPr>
    <w:rPr>
      <w:rFonts w:eastAsia="Times New Roman"/>
      <w:lang w:eastAsia="en-GB"/>
    </w:rPr>
  </w:style>
  <w:style w:type="paragraph" w:customStyle="1" w:styleId="ListNumber4Level2">
    <w:name w:val="List Number 4 (Level 2)"/>
    <w:basedOn w:val="Text4"/>
    <w:rsid w:val="00B50935"/>
    <w:pPr>
      <w:numPr>
        <w:ilvl w:val="1"/>
        <w:numId w:val="15"/>
      </w:numPr>
    </w:pPr>
    <w:rPr>
      <w:rFonts w:eastAsia="Times New Roman"/>
      <w:lang w:eastAsia="en-GB"/>
    </w:rPr>
  </w:style>
  <w:style w:type="paragraph" w:customStyle="1" w:styleId="ListNumber1Level3">
    <w:name w:val="List Number 1 (Level 3)"/>
    <w:basedOn w:val="Text1"/>
    <w:rsid w:val="00B50935"/>
    <w:pPr>
      <w:numPr>
        <w:ilvl w:val="2"/>
        <w:numId w:val="12"/>
      </w:numPr>
    </w:pPr>
    <w:rPr>
      <w:rFonts w:eastAsia="Times New Roman"/>
      <w:lang w:eastAsia="en-GB"/>
    </w:rPr>
  </w:style>
  <w:style w:type="paragraph" w:customStyle="1" w:styleId="ListNumber2Level3">
    <w:name w:val="List Number 2 (Level 3)"/>
    <w:basedOn w:val="Text2"/>
    <w:rsid w:val="00B50935"/>
    <w:pPr>
      <w:numPr>
        <w:ilvl w:val="2"/>
        <w:numId w:val="13"/>
      </w:numPr>
    </w:pPr>
    <w:rPr>
      <w:rFonts w:eastAsia="Times New Roman"/>
      <w:lang w:eastAsia="en-GB"/>
    </w:rPr>
  </w:style>
  <w:style w:type="paragraph" w:customStyle="1" w:styleId="ListNumber3Level3">
    <w:name w:val="List Number 3 (Level 3)"/>
    <w:basedOn w:val="Text3"/>
    <w:rsid w:val="00B50935"/>
    <w:pPr>
      <w:numPr>
        <w:ilvl w:val="2"/>
        <w:numId w:val="14"/>
      </w:numPr>
    </w:pPr>
    <w:rPr>
      <w:rFonts w:eastAsia="Times New Roman"/>
      <w:lang w:eastAsia="en-GB"/>
    </w:rPr>
  </w:style>
  <w:style w:type="paragraph" w:customStyle="1" w:styleId="ListNumber4Level3">
    <w:name w:val="List Number 4 (Level 3)"/>
    <w:basedOn w:val="Text4"/>
    <w:rsid w:val="00B50935"/>
    <w:pPr>
      <w:numPr>
        <w:ilvl w:val="2"/>
        <w:numId w:val="15"/>
      </w:numPr>
    </w:pPr>
    <w:rPr>
      <w:rFonts w:eastAsia="Times New Roman"/>
      <w:lang w:eastAsia="en-GB"/>
    </w:rPr>
  </w:style>
  <w:style w:type="paragraph" w:customStyle="1" w:styleId="ListNumber1Level4">
    <w:name w:val="List Number 1 (Level 4)"/>
    <w:basedOn w:val="Text1"/>
    <w:rsid w:val="00B50935"/>
    <w:pPr>
      <w:numPr>
        <w:ilvl w:val="3"/>
        <w:numId w:val="12"/>
      </w:numPr>
    </w:pPr>
    <w:rPr>
      <w:rFonts w:eastAsia="Times New Roman"/>
      <w:lang w:eastAsia="en-GB"/>
    </w:rPr>
  </w:style>
  <w:style w:type="paragraph" w:customStyle="1" w:styleId="ListNumber2Level4">
    <w:name w:val="List Number 2 (Level 4)"/>
    <w:basedOn w:val="Text2"/>
    <w:rsid w:val="00B50935"/>
    <w:pPr>
      <w:numPr>
        <w:ilvl w:val="3"/>
        <w:numId w:val="13"/>
      </w:numPr>
    </w:pPr>
    <w:rPr>
      <w:rFonts w:eastAsia="Times New Roman"/>
      <w:lang w:eastAsia="en-GB"/>
    </w:rPr>
  </w:style>
  <w:style w:type="paragraph" w:customStyle="1" w:styleId="ListNumber3Level4">
    <w:name w:val="List Number 3 (Level 4)"/>
    <w:basedOn w:val="Text3"/>
    <w:rsid w:val="00B50935"/>
    <w:pPr>
      <w:numPr>
        <w:ilvl w:val="3"/>
        <w:numId w:val="14"/>
      </w:numPr>
    </w:pPr>
    <w:rPr>
      <w:rFonts w:eastAsia="Times New Roman"/>
      <w:lang w:eastAsia="en-GB"/>
    </w:rPr>
  </w:style>
  <w:style w:type="paragraph" w:customStyle="1" w:styleId="ListNumber4Level4">
    <w:name w:val="List Number 4 (Level 4)"/>
    <w:basedOn w:val="Text4"/>
    <w:rsid w:val="00B50935"/>
    <w:pPr>
      <w:numPr>
        <w:ilvl w:val="3"/>
        <w:numId w:val="15"/>
      </w:numPr>
    </w:pPr>
    <w:rPr>
      <w:rFonts w:eastAsia="Times New Roman"/>
      <w:lang w:eastAsia="en-GB"/>
    </w:rPr>
  </w:style>
  <w:style w:type="paragraph" w:customStyle="1" w:styleId="Annexetitreacte">
    <w:name w:val="Annexe titre (acte)"/>
    <w:basedOn w:val="Normal"/>
    <w:next w:val="Normal"/>
    <w:rsid w:val="00B50935"/>
    <w:pPr>
      <w:jc w:val="center"/>
    </w:pPr>
    <w:rPr>
      <w:rFonts w:eastAsia="Times New Roman"/>
      <w:b/>
      <w:u w:val="single"/>
      <w:lang w:eastAsia="en-GB"/>
    </w:rPr>
  </w:style>
  <w:style w:type="paragraph" w:customStyle="1" w:styleId="Annexetitreexposglobal">
    <w:name w:val="Annexe titre (exposé global)"/>
    <w:basedOn w:val="Normal"/>
    <w:next w:val="Normal"/>
    <w:rsid w:val="00B50935"/>
    <w:pPr>
      <w:jc w:val="center"/>
    </w:pPr>
    <w:rPr>
      <w:rFonts w:eastAsia="Times New Roman"/>
      <w:b/>
      <w:u w:val="single"/>
      <w:lang w:eastAsia="en-GB"/>
    </w:rPr>
  </w:style>
  <w:style w:type="paragraph" w:customStyle="1" w:styleId="Annexetitrefichefinacte">
    <w:name w:val="Annexe titre (fiche fin. acte)"/>
    <w:basedOn w:val="Normal"/>
    <w:next w:val="Normal"/>
    <w:rsid w:val="00B50935"/>
    <w:pPr>
      <w:jc w:val="center"/>
    </w:pPr>
    <w:rPr>
      <w:rFonts w:eastAsia="Times New Roman"/>
      <w:b/>
      <w:u w:val="single"/>
      <w:lang w:eastAsia="en-GB"/>
    </w:rPr>
  </w:style>
  <w:style w:type="paragraph" w:customStyle="1" w:styleId="Annexetitrefichefinglobale">
    <w:name w:val="Annexe titre (fiche fin. globale)"/>
    <w:basedOn w:val="Normal"/>
    <w:next w:val="Normal"/>
    <w:rsid w:val="00B50935"/>
    <w:pPr>
      <w:jc w:val="center"/>
    </w:pPr>
    <w:rPr>
      <w:rFonts w:eastAsia="Times New Roman"/>
      <w:b/>
      <w:u w:val="single"/>
      <w:lang w:eastAsia="en-GB"/>
    </w:rPr>
  </w:style>
  <w:style w:type="paragraph" w:customStyle="1" w:styleId="Annexetitreglobale">
    <w:name w:val="Annexe titre (globale)"/>
    <w:basedOn w:val="Normal"/>
    <w:next w:val="Normal"/>
    <w:rsid w:val="00B50935"/>
    <w:pPr>
      <w:jc w:val="center"/>
    </w:pPr>
    <w:rPr>
      <w:rFonts w:eastAsia="Times New Roman"/>
      <w:b/>
      <w:u w:val="single"/>
      <w:lang w:eastAsia="en-GB"/>
    </w:rPr>
  </w:style>
  <w:style w:type="paragraph" w:customStyle="1" w:styleId="Exposdesmotifstitreglobal">
    <w:name w:val="Exposé des motifs titre (global)"/>
    <w:basedOn w:val="Normal"/>
    <w:next w:val="Normal"/>
    <w:rsid w:val="00B50935"/>
    <w:pPr>
      <w:jc w:val="center"/>
    </w:pPr>
    <w:rPr>
      <w:rFonts w:eastAsia="Times New Roman"/>
      <w:b/>
      <w:u w:val="single"/>
      <w:lang w:eastAsia="en-GB"/>
    </w:rPr>
  </w:style>
  <w:style w:type="paragraph" w:customStyle="1" w:styleId="Langueoriginale">
    <w:name w:val="Langue originale"/>
    <w:basedOn w:val="Normal"/>
    <w:rsid w:val="00B50935"/>
    <w:pPr>
      <w:spacing w:before="360"/>
      <w:jc w:val="center"/>
    </w:pPr>
    <w:rPr>
      <w:rFonts w:eastAsia="Times New Roman"/>
      <w:caps/>
      <w:lang w:eastAsia="en-GB"/>
    </w:rPr>
  </w:style>
  <w:style w:type="paragraph" w:customStyle="1" w:styleId="Phrasefinale">
    <w:name w:val="Phrase finale"/>
    <w:basedOn w:val="Normal"/>
    <w:next w:val="Normal"/>
    <w:rsid w:val="00B50935"/>
    <w:pPr>
      <w:spacing w:before="360" w:after="0"/>
      <w:jc w:val="center"/>
    </w:pPr>
    <w:rPr>
      <w:rFonts w:eastAsia="Times New Roman"/>
      <w:lang w:eastAsia="en-GB"/>
    </w:rPr>
  </w:style>
  <w:style w:type="paragraph" w:customStyle="1" w:styleId="Prliminairetitre">
    <w:name w:val="Préliminaire titre"/>
    <w:basedOn w:val="Normal"/>
    <w:next w:val="Normal"/>
    <w:rsid w:val="00B50935"/>
    <w:pPr>
      <w:spacing w:before="360" w:after="360"/>
      <w:jc w:val="center"/>
    </w:pPr>
    <w:rPr>
      <w:rFonts w:eastAsia="Times New Roman"/>
      <w:b/>
      <w:lang w:eastAsia="en-GB"/>
    </w:rPr>
  </w:style>
  <w:style w:type="paragraph" w:customStyle="1" w:styleId="Prliminairetype">
    <w:name w:val="Préliminaire type"/>
    <w:basedOn w:val="Normal"/>
    <w:next w:val="Normal"/>
    <w:rsid w:val="00B50935"/>
    <w:pPr>
      <w:spacing w:before="360" w:after="0"/>
      <w:jc w:val="center"/>
    </w:pPr>
    <w:rPr>
      <w:rFonts w:eastAsia="Times New Roman"/>
      <w:b/>
      <w:lang w:eastAsia="en-GB"/>
    </w:rPr>
  </w:style>
  <w:style w:type="paragraph" w:customStyle="1" w:styleId="Rfrenceinstitutionelle">
    <w:name w:val="Référence institutionelle"/>
    <w:basedOn w:val="Normal"/>
    <w:next w:val="Statut"/>
    <w:rsid w:val="00B50935"/>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rsid w:val="00B50935"/>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rsid w:val="00B50935"/>
    <w:pPr>
      <w:spacing w:before="0" w:after="0"/>
      <w:ind w:left="5103"/>
      <w:jc w:val="left"/>
    </w:pPr>
    <w:rPr>
      <w:rFonts w:eastAsia="Times New Roman"/>
      <w:lang w:eastAsia="en-GB"/>
    </w:rPr>
  </w:style>
  <w:style w:type="paragraph" w:customStyle="1" w:styleId="Sous-titreobjetprliminaire">
    <w:name w:val="Sous-titre objet (préliminaire)"/>
    <w:basedOn w:val="Normal"/>
    <w:rsid w:val="00B50935"/>
    <w:pPr>
      <w:spacing w:before="0" w:after="0"/>
      <w:jc w:val="center"/>
    </w:pPr>
    <w:rPr>
      <w:rFonts w:eastAsia="Times New Roman"/>
      <w:b/>
      <w:lang w:eastAsia="en-GB"/>
    </w:rPr>
  </w:style>
  <w:style w:type="paragraph" w:customStyle="1" w:styleId="Statutprliminaire">
    <w:name w:val="Statut (préliminaire)"/>
    <w:basedOn w:val="Normal"/>
    <w:next w:val="Normal"/>
    <w:rsid w:val="00B50935"/>
    <w:pPr>
      <w:spacing w:before="360" w:after="0"/>
      <w:jc w:val="center"/>
    </w:pPr>
    <w:rPr>
      <w:rFonts w:eastAsia="Times New Roman"/>
      <w:lang w:eastAsia="en-GB"/>
    </w:rPr>
  </w:style>
  <w:style w:type="paragraph" w:customStyle="1" w:styleId="Titreobjetprliminaire">
    <w:name w:val="Titre objet (préliminaire)"/>
    <w:basedOn w:val="Normal"/>
    <w:next w:val="Normal"/>
    <w:rsid w:val="00B50935"/>
    <w:pPr>
      <w:spacing w:before="360" w:after="360"/>
      <w:jc w:val="center"/>
    </w:pPr>
    <w:rPr>
      <w:rFonts w:eastAsia="Times New Roman"/>
      <w:b/>
      <w:lang w:eastAsia="en-GB"/>
    </w:rPr>
  </w:style>
  <w:style w:type="paragraph" w:customStyle="1" w:styleId="Typedudocumentprliminaire">
    <w:name w:val="Type du document (préliminaire)"/>
    <w:basedOn w:val="Normal"/>
    <w:next w:val="Normal"/>
    <w:rsid w:val="00B50935"/>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rsid w:val="00B50935"/>
    <w:pPr>
      <w:jc w:val="center"/>
    </w:pPr>
    <w:rPr>
      <w:rFonts w:eastAsia="Times New Roman"/>
      <w:b/>
      <w:u w:val="single"/>
      <w:lang w:eastAsia="en-GB"/>
    </w:rPr>
  </w:style>
  <w:style w:type="paragraph" w:customStyle="1" w:styleId="Fichefinancirestandardtitreacte">
    <w:name w:val="Fiche financière (standard) titre (acte)"/>
    <w:basedOn w:val="Normal"/>
    <w:next w:val="Normal"/>
    <w:rsid w:val="00B50935"/>
    <w:pPr>
      <w:jc w:val="center"/>
    </w:pPr>
    <w:rPr>
      <w:rFonts w:eastAsia="Times New Roman"/>
      <w:b/>
      <w:u w:val="single"/>
      <w:lang w:eastAsia="en-GB"/>
    </w:rPr>
  </w:style>
  <w:style w:type="paragraph" w:customStyle="1" w:styleId="Fichefinanciretravailtitre">
    <w:name w:val="Fiche financière (travail) titre"/>
    <w:basedOn w:val="Normal"/>
    <w:next w:val="Normal"/>
    <w:rsid w:val="00B50935"/>
    <w:pPr>
      <w:jc w:val="center"/>
    </w:pPr>
    <w:rPr>
      <w:rFonts w:eastAsia="Times New Roman"/>
      <w:b/>
      <w:u w:val="single"/>
      <w:lang w:eastAsia="en-GB"/>
    </w:rPr>
  </w:style>
  <w:style w:type="paragraph" w:customStyle="1" w:styleId="Fichefinanciretravailtitreacte">
    <w:name w:val="Fiche financière (travail) titre (acte)"/>
    <w:basedOn w:val="Normal"/>
    <w:next w:val="Normal"/>
    <w:rsid w:val="00B50935"/>
    <w:pPr>
      <w:jc w:val="center"/>
    </w:pPr>
    <w:rPr>
      <w:rFonts w:eastAsia="Times New Roman"/>
      <w:b/>
      <w:u w:val="single"/>
      <w:lang w:eastAsia="en-GB"/>
    </w:rPr>
  </w:style>
  <w:style w:type="paragraph" w:customStyle="1" w:styleId="Fichefinancireattributiontitre">
    <w:name w:val="Fiche financière (attribution) titre"/>
    <w:basedOn w:val="Normal"/>
    <w:next w:val="Normal"/>
    <w:rsid w:val="00B50935"/>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rsid w:val="00B50935"/>
    <w:pPr>
      <w:jc w:val="center"/>
    </w:pPr>
    <w:rPr>
      <w:rFonts w:eastAsia="Times New Roman"/>
      <w:b/>
      <w:u w:val="single"/>
      <w:lang w:eastAsia="en-GB"/>
    </w:rPr>
  </w:style>
  <w:style w:type="character" w:styleId="CommentReference">
    <w:name w:val="annotation reference"/>
    <w:rsid w:val="00B50935"/>
    <w:rPr>
      <w:rFonts w:cs="Times New Roman"/>
      <w:sz w:val="16"/>
      <w:szCs w:val="16"/>
    </w:rPr>
  </w:style>
  <w:style w:type="paragraph" w:styleId="CommentText">
    <w:name w:val="annotation text"/>
    <w:basedOn w:val="Normal"/>
    <w:link w:val="CommentTextChar"/>
    <w:rsid w:val="00B50935"/>
    <w:rPr>
      <w:rFonts w:eastAsia="Times New Roman"/>
      <w:sz w:val="20"/>
      <w:szCs w:val="20"/>
      <w:lang w:eastAsia="en-GB"/>
    </w:rPr>
  </w:style>
  <w:style w:type="character" w:customStyle="1" w:styleId="CommentTextChar">
    <w:name w:val="Comment Text Char"/>
    <w:basedOn w:val="DefaultParagraphFont"/>
    <w:link w:val="CommentText"/>
    <w:rsid w:val="00B50935"/>
    <w:rPr>
      <w:rFonts w:ascii="Times New Roman" w:eastAsia="Times New Roman" w:hAnsi="Times New Roman" w:cs="Times New Roman"/>
      <w:sz w:val="20"/>
      <w:szCs w:val="20"/>
      <w:lang w:val="sk-SK" w:eastAsia="en-GB"/>
    </w:rPr>
  </w:style>
  <w:style w:type="paragraph" w:styleId="CommentSubject">
    <w:name w:val="annotation subject"/>
    <w:basedOn w:val="CommentText"/>
    <w:next w:val="CommentText"/>
    <w:link w:val="CommentSubjectChar"/>
    <w:rsid w:val="00B50935"/>
    <w:rPr>
      <w:b/>
      <w:bCs/>
    </w:rPr>
  </w:style>
  <w:style w:type="character" w:customStyle="1" w:styleId="CommentSubjectChar">
    <w:name w:val="Comment Subject Char"/>
    <w:basedOn w:val="CommentTextChar"/>
    <w:link w:val="CommentSubject"/>
    <w:rsid w:val="00B50935"/>
    <w:rPr>
      <w:rFonts w:ascii="Times New Roman" w:eastAsia="Times New Roman" w:hAnsi="Times New Roman" w:cs="Times New Roman"/>
      <w:b/>
      <w:bCs/>
      <w:sz w:val="20"/>
      <w:szCs w:val="20"/>
      <w:lang w:val="sk-SK" w:eastAsia="en-GB"/>
    </w:rPr>
  </w:style>
  <w:style w:type="paragraph" w:styleId="BalloonText">
    <w:name w:val="Balloon Text"/>
    <w:basedOn w:val="Normal"/>
    <w:link w:val="BalloonTextChar"/>
    <w:rsid w:val="00B50935"/>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B50935"/>
    <w:rPr>
      <w:rFonts w:ascii="Tahoma" w:eastAsia="Times New Roman" w:hAnsi="Tahoma" w:cs="Tahoma"/>
      <w:sz w:val="16"/>
      <w:szCs w:val="16"/>
      <w:lang w:val="sk-SK" w:eastAsia="en-GB"/>
    </w:rPr>
  </w:style>
  <w:style w:type="paragraph" w:styleId="Caption">
    <w:name w:val="caption"/>
    <w:basedOn w:val="Normal"/>
    <w:next w:val="Normal"/>
    <w:qFormat/>
    <w:rsid w:val="00B50935"/>
    <w:rPr>
      <w:rFonts w:eastAsia="Times New Roman"/>
      <w:b/>
      <w:bCs/>
      <w:sz w:val="20"/>
      <w:szCs w:val="20"/>
      <w:lang w:eastAsia="en-GB"/>
    </w:rPr>
  </w:style>
  <w:style w:type="paragraph" w:styleId="TableofFigures">
    <w:name w:val="table of figures"/>
    <w:basedOn w:val="Normal"/>
    <w:next w:val="Normal"/>
    <w:rsid w:val="00B50935"/>
    <w:rPr>
      <w:rFonts w:eastAsia="Times New Roman"/>
      <w:lang w:eastAsia="en-GB"/>
    </w:rPr>
  </w:style>
  <w:style w:type="character" w:styleId="PageNumber">
    <w:name w:val="page number"/>
    <w:rsid w:val="00B50935"/>
  </w:style>
  <w:style w:type="character" w:customStyle="1" w:styleId="tw4winMark">
    <w:name w:val="tw4winMark"/>
    <w:rsid w:val="00B50935"/>
    <w:rPr>
      <w:vanish/>
      <w:color w:val="800080"/>
      <w:vertAlign w:val="subscript"/>
    </w:rPr>
  </w:style>
  <w:style w:type="character" w:styleId="FollowedHyperlink">
    <w:name w:val="FollowedHyperlink"/>
    <w:rsid w:val="00B50935"/>
    <w:rPr>
      <w:color w:val="800080"/>
      <w:u w:val="single"/>
    </w:rPr>
  </w:style>
  <w:style w:type="paragraph" w:customStyle="1" w:styleId="Sous-titreobjet">
    <w:name w:val="Sous-titre objet"/>
    <w:basedOn w:val="Normal"/>
    <w:rsid w:val="00B50935"/>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B50935"/>
  </w:style>
  <w:style w:type="paragraph" w:styleId="Revision">
    <w:name w:val="Revision"/>
    <w:hidden/>
    <w:uiPriority w:val="99"/>
    <w:semiHidden/>
    <w:rsid w:val="00B50935"/>
    <w:pPr>
      <w:spacing w:after="0" w:line="240" w:lineRule="auto"/>
    </w:pPr>
    <w:rPr>
      <w:rFonts w:ascii="Times New Roman" w:hAnsi="Times New Roman" w:cs="Times New Roman"/>
      <w:sz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rsid w:val="00B50935"/>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locked/>
    <w:rsid w:val="00B50935"/>
    <w:rPr>
      <w:lang w:val="sk-SK"/>
    </w:rPr>
  </w:style>
  <w:style w:type="paragraph" w:customStyle="1" w:styleId="FooterCoverPage">
    <w:name w:val="Footer Cover Page"/>
    <w:basedOn w:val="Normal"/>
    <w:link w:val="FooterCoverPageChar"/>
    <w:rsid w:val="00B50935"/>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sid w:val="00B50935"/>
    <w:rPr>
      <w:rFonts w:ascii="Times New Roman" w:hAnsi="Times New Roman" w:cs="Times New Roman"/>
      <w:b/>
      <w:sz w:val="28"/>
      <w:lang w:val="sk-SK"/>
    </w:rPr>
  </w:style>
  <w:style w:type="character" w:customStyle="1" w:styleId="FooterCoverPageChar">
    <w:name w:val="Footer Cover Page Char"/>
    <w:basedOn w:val="TOCHeadingChar"/>
    <w:link w:val="FooterCoverPage"/>
    <w:rsid w:val="00B50935"/>
    <w:rPr>
      <w:rFonts w:ascii="Times New Roman" w:hAnsi="Times New Roman" w:cs="Times New Roman"/>
      <w:b w:val="0"/>
      <w:sz w:val="24"/>
      <w:lang w:val="sk-SK"/>
    </w:rPr>
  </w:style>
  <w:style w:type="paragraph" w:customStyle="1" w:styleId="HeaderCoverPage">
    <w:name w:val="Header Cover Page"/>
    <w:basedOn w:val="Normal"/>
    <w:link w:val="HeaderCoverPageChar"/>
    <w:rsid w:val="00B50935"/>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sid w:val="00B50935"/>
    <w:rPr>
      <w:rFonts w:ascii="Times New Roman" w:hAnsi="Times New Roman" w:cs="Times New Roman"/>
      <w:b w:val="0"/>
      <w:sz w:val="24"/>
      <w:lang w:val="sk-SK" w:eastAsia="en-GB"/>
    </w:rPr>
  </w:style>
  <w:style w:type="paragraph" w:styleId="NormalWeb">
    <w:name w:val="Normal (Web)"/>
    <w:basedOn w:val="Normal"/>
    <w:uiPriority w:val="99"/>
    <w:semiHidden/>
    <w:unhideWhenUsed/>
    <w:rsid w:val="00B50935"/>
    <w:pPr>
      <w:spacing w:before="100" w:beforeAutospacing="1" w:after="100" w:afterAutospacing="1"/>
      <w:jc w:val="left"/>
    </w:pPr>
    <w:rPr>
      <w:rFonts w:eastAsia="Times New Roman"/>
      <w:szCs w:val="24"/>
    </w:rPr>
  </w:style>
  <w:style w:type="character" w:styleId="Emphasis">
    <w:name w:val="Emphasis"/>
    <w:basedOn w:val="DefaultParagraphFont"/>
    <w:uiPriority w:val="20"/>
    <w:qFormat/>
    <w:rsid w:val="00B50935"/>
    <w:rPr>
      <w:i/>
      <w:iCs/>
    </w:rPr>
  </w:style>
  <w:style w:type="character" w:customStyle="1" w:styleId="acopre">
    <w:name w:val="acopre"/>
    <w:basedOn w:val="DefaultParagraphFont"/>
    <w:rsid w:val="00B50935"/>
  </w:style>
  <w:style w:type="character" w:customStyle="1" w:styleId="highlight">
    <w:name w:val="highlight"/>
    <w:basedOn w:val="DefaultParagraphFont"/>
    <w:rsid w:val="00B50935"/>
  </w:style>
  <w:style w:type="paragraph" w:customStyle="1" w:styleId="Normal1">
    <w:name w:val="Normal1"/>
    <w:basedOn w:val="Normal"/>
    <w:rsid w:val="00B50935"/>
    <w:pPr>
      <w:spacing w:before="100" w:beforeAutospacing="1" w:after="100" w:afterAutospacing="1"/>
      <w:jc w:val="left"/>
    </w:pPr>
    <w:rPr>
      <w:rFonts w:eastAsia="Times New Roman"/>
      <w:szCs w:val="24"/>
    </w:rPr>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35"/>
      </w:numPr>
    </w:pPr>
  </w:style>
  <w:style w:type="paragraph" w:customStyle="1" w:styleId="Tiret1">
    <w:name w:val="Tiret 1"/>
    <w:basedOn w:val="Point1"/>
    <w:rsid w:val="009B7138"/>
    <w:pPr>
      <w:numPr>
        <w:numId w:val="36"/>
      </w:numPr>
    </w:pPr>
  </w:style>
  <w:style w:type="paragraph" w:customStyle="1" w:styleId="Tiret2">
    <w:name w:val="Tiret 2"/>
    <w:basedOn w:val="Point2"/>
    <w:rsid w:val="009B7138"/>
    <w:pPr>
      <w:numPr>
        <w:numId w:val="37"/>
      </w:numPr>
    </w:pPr>
  </w:style>
  <w:style w:type="paragraph" w:customStyle="1" w:styleId="Tiret3">
    <w:name w:val="Tiret 3"/>
    <w:basedOn w:val="Point3"/>
    <w:rsid w:val="009B7138"/>
    <w:pPr>
      <w:numPr>
        <w:numId w:val="38"/>
      </w:numPr>
    </w:pPr>
  </w:style>
  <w:style w:type="paragraph" w:customStyle="1" w:styleId="Tiret4">
    <w:name w:val="Tiret 4"/>
    <w:basedOn w:val="Point4"/>
    <w:rsid w:val="009B7138"/>
    <w:pPr>
      <w:numPr>
        <w:numId w:val="39"/>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40"/>
      </w:numPr>
    </w:pPr>
  </w:style>
  <w:style w:type="paragraph" w:customStyle="1" w:styleId="NumPar2">
    <w:name w:val="NumPar 2"/>
    <w:basedOn w:val="Normal"/>
    <w:next w:val="Text1"/>
    <w:rsid w:val="009B7138"/>
    <w:pPr>
      <w:numPr>
        <w:ilvl w:val="1"/>
        <w:numId w:val="40"/>
      </w:numPr>
    </w:pPr>
  </w:style>
  <w:style w:type="paragraph" w:customStyle="1" w:styleId="NumPar3">
    <w:name w:val="NumPar 3"/>
    <w:basedOn w:val="Normal"/>
    <w:next w:val="Text1"/>
    <w:rsid w:val="009B7138"/>
    <w:pPr>
      <w:numPr>
        <w:ilvl w:val="2"/>
        <w:numId w:val="40"/>
      </w:numPr>
    </w:pPr>
  </w:style>
  <w:style w:type="paragraph" w:customStyle="1" w:styleId="NumPar4">
    <w:name w:val="NumPar 4"/>
    <w:basedOn w:val="Normal"/>
    <w:next w:val="Text1"/>
    <w:rsid w:val="009B7138"/>
    <w:pPr>
      <w:numPr>
        <w:ilvl w:val="3"/>
        <w:numId w:val="40"/>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42"/>
      </w:numPr>
    </w:pPr>
  </w:style>
  <w:style w:type="paragraph" w:customStyle="1" w:styleId="Point1number">
    <w:name w:val="Point 1 (number)"/>
    <w:basedOn w:val="Normal"/>
    <w:rsid w:val="009B7138"/>
    <w:pPr>
      <w:numPr>
        <w:ilvl w:val="2"/>
        <w:numId w:val="42"/>
      </w:numPr>
    </w:pPr>
  </w:style>
  <w:style w:type="paragraph" w:customStyle="1" w:styleId="Point2number">
    <w:name w:val="Point 2 (number)"/>
    <w:basedOn w:val="Normal"/>
    <w:rsid w:val="009B7138"/>
    <w:pPr>
      <w:numPr>
        <w:ilvl w:val="4"/>
        <w:numId w:val="42"/>
      </w:numPr>
    </w:pPr>
  </w:style>
  <w:style w:type="paragraph" w:customStyle="1" w:styleId="Point3number">
    <w:name w:val="Point 3 (number)"/>
    <w:basedOn w:val="Normal"/>
    <w:rsid w:val="009B7138"/>
    <w:pPr>
      <w:numPr>
        <w:ilvl w:val="6"/>
        <w:numId w:val="42"/>
      </w:numPr>
    </w:pPr>
  </w:style>
  <w:style w:type="paragraph" w:customStyle="1" w:styleId="Point0letter">
    <w:name w:val="Point 0 (letter)"/>
    <w:basedOn w:val="Normal"/>
    <w:rsid w:val="009B7138"/>
    <w:pPr>
      <w:numPr>
        <w:ilvl w:val="1"/>
        <w:numId w:val="42"/>
      </w:numPr>
    </w:pPr>
  </w:style>
  <w:style w:type="paragraph" w:customStyle="1" w:styleId="Point1letter">
    <w:name w:val="Point 1 (letter)"/>
    <w:basedOn w:val="Normal"/>
    <w:rsid w:val="009B7138"/>
    <w:pPr>
      <w:numPr>
        <w:ilvl w:val="3"/>
        <w:numId w:val="42"/>
      </w:numPr>
    </w:pPr>
  </w:style>
  <w:style w:type="paragraph" w:customStyle="1" w:styleId="Point2letter">
    <w:name w:val="Point 2 (letter)"/>
    <w:basedOn w:val="Normal"/>
    <w:rsid w:val="009B7138"/>
    <w:pPr>
      <w:numPr>
        <w:ilvl w:val="5"/>
        <w:numId w:val="42"/>
      </w:numPr>
    </w:pPr>
  </w:style>
  <w:style w:type="paragraph" w:customStyle="1" w:styleId="Point3letter">
    <w:name w:val="Point 3 (letter)"/>
    <w:basedOn w:val="Normal"/>
    <w:rsid w:val="009B7138"/>
    <w:pPr>
      <w:numPr>
        <w:ilvl w:val="7"/>
        <w:numId w:val="42"/>
      </w:numPr>
    </w:pPr>
  </w:style>
  <w:style w:type="paragraph" w:customStyle="1" w:styleId="Point4letter">
    <w:name w:val="Point 4 (letter)"/>
    <w:basedOn w:val="Normal"/>
    <w:rsid w:val="009B7138"/>
    <w:pPr>
      <w:numPr>
        <w:ilvl w:val="8"/>
        <w:numId w:val="42"/>
      </w:numPr>
    </w:pPr>
  </w:style>
  <w:style w:type="paragraph" w:customStyle="1" w:styleId="Bullet0">
    <w:name w:val="Bullet 0"/>
    <w:basedOn w:val="Normal"/>
    <w:rsid w:val="009B7138"/>
    <w:pPr>
      <w:numPr>
        <w:numId w:val="43"/>
      </w:numPr>
    </w:pPr>
  </w:style>
  <w:style w:type="paragraph" w:customStyle="1" w:styleId="Bullet1">
    <w:name w:val="Bullet 1"/>
    <w:basedOn w:val="Normal"/>
    <w:rsid w:val="009B7138"/>
    <w:pPr>
      <w:numPr>
        <w:numId w:val="44"/>
      </w:numPr>
    </w:pPr>
  </w:style>
  <w:style w:type="paragraph" w:customStyle="1" w:styleId="Bullet2">
    <w:name w:val="Bullet 2"/>
    <w:basedOn w:val="Normal"/>
    <w:rsid w:val="009B7138"/>
    <w:pPr>
      <w:numPr>
        <w:numId w:val="45"/>
      </w:numPr>
    </w:pPr>
  </w:style>
  <w:style w:type="paragraph" w:customStyle="1" w:styleId="Bullet3">
    <w:name w:val="Bullet 3"/>
    <w:basedOn w:val="Normal"/>
    <w:rsid w:val="009B7138"/>
    <w:pPr>
      <w:numPr>
        <w:numId w:val="46"/>
      </w:numPr>
    </w:pPr>
  </w:style>
  <w:style w:type="paragraph" w:customStyle="1" w:styleId="Bullet4">
    <w:name w:val="Bullet 4"/>
    <w:basedOn w:val="Normal"/>
    <w:rsid w:val="009B7138"/>
    <w:pPr>
      <w:numPr>
        <w:numId w:val="47"/>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48"/>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sites/europaeu/files/docs/body/joint_statement_and_common_approach_2012_sk.pdf" TargetMode="External"/><Relationship Id="rId2" Type="http://schemas.openxmlformats.org/officeDocument/2006/relationships/hyperlink" Target="https://www.eca.europa.eu/sk/Pages/DocItem.aspx?did=40126" TargetMode="External"/><Relationship Id="rId1" Type="http://schemas.openxmlformats.org/officeDocument/2006/relationships/hyperlink" Target="https://www.ecdc.europa.eu/en/publications-data/third-external-evaluation-ecdc-2013-2017" TargetMode="External"/><Relationship Id="rId4"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FD81-26FA-4EAF-9688-A975C8C9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2</Pages>
  <Words>13584</Words>
  <Characters>83394</Characters>
  <Application>Microsoft Office Word</Application>
  <DocSecurity>0</DocSecurity>
  <Lines>2635</Lines>
  <Paragraphs>1126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JAMRICHOVA Martina (SANTE)</dc:creator>
  <cp:keywords/>
  <dc:description/>
  <cp:lastModifiedBy>DURICOVA Maria (DGT)</cp:lastModifiedBy>
  <cp:revision>3</cp:revision>
  <dcterms:created xsi:type="dcterms:W3CDTF">2020-12-07T09:54:00Z</dcterms:created>
  <dcterms:modified xsi:type="dcterms:W3CDTF">2020-12-07T09:55:00Z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