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4770" w14:textId="2AD83D91" w:rsidR="00B50935" w:rsidRPr="00927CFF" w:rsidRDefault="00B222E5" w:rsidP="00927CFF">
      <w:pPr>
        <w:pStyle w:val="Pagedecouverture"/>
      </w:pPr>
      <w:bookmarkStart w:id="0" w:name="_GoBack"/>
      <w:bookmarkEnd w:id="0"/>
      <w:r>
        <w:pict w14:anchorId="51C18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4C92ADF-8918-4D7D-B591-FE042E7247AD" style="width:450.4pt;height:352.45pt">
            <v:imagedata r:id="rId7" o:title=""/>
          </v:shape>
        </w:pict>
      </w:r>
    </w:p>
    <w:p w14:paraId="2E6D602E" w14:textId="77777777" w:rsidR="00B50935" w:rsidRPr="00927CFF" w:rsidRDefault="00B50935" w:rsidP="00B50935">
      <w:pPr>
        <w:sectPr w:rsidR="00B50935" w:rsidRPr="00927CFF" w:rsidSect="00BE6028">
          <w:footerReference w:type="default" r:id="rId8"/>
          <w:pgSz w:w="11907" w:h="16839"/>
          <w:pgMar w:top="1134" w:right="1417" w:bottom="1134" w:left="1417" w:header="709" w:footer="709" w:gutter="0"/>
          <w:pgNumType w:start="0"/>
          <w:cols w:space="720"/>
          <w:docGrid w:linePitch="360"/>
        </w:sectPr>
      </w:pPr>
    </w:p>
    <w:p w14:paraId="350F817B" w14:textId="77777777" w:rsidR="00B50935" w:rsidRPr="00927CFF" w:rsidRDefault="00B50935" w:rsidP="00427764">
      <w:pPr>
        <w:pStyle w:val="Exposdesmotifstitre"/>
      </w:pPr>
      <w:r w:rsidRPr="00927CFF">
        <w:lastRenderedPageBreak/>
        <w:t>BEGRUNDELSE</w:t>
      </w:r>
    </w:p>
    <w:p w14:paraId="2EE70B13" w14:textId="77777777" w:rsidR="00B50935" w:rsidRPr="00927CFF" w:rsidRDefault="00B50935" w:rsidP="00B50935">
      <w:pPr>
        <w:pStyle w:val="ManualHeading1"/>
      </w:pPr>
      <w:bookmarkStart w:id="1" w:name="_Toc57735179"/>
      <w:r w:rsidRPr="00927CFF">
        <w:t>1.</w:t>
      </w:r>
      <w:r w:rsidRPr="00927CFF">
        <w:tab/>
        <w:t>BAGGRUND FOR FORSLAGET</w:t>
      </w:r>
      <w:bookmarkEnd w:id="1"/>
    </w:p>
    <w:p w14:paraId="70A0A500" w14:textId="77777777" w:rsidR="00B50935" w:rsidRPr="00927CFF" w:rsidRDefault="00B50935" w:rsidP="00B50935">
      <w:pPr>
        <w:pStyle w:val="ManualHeading2"/>
        <w:rPr>
          <w:rFonts w:eastAsia="Arial Unicode MS"/>
        </w:rPr>
      </w:pPr>
      <w:bookmarkStart w:id="2" w:name="_Toc57735180"/>
      <w:r w:rsidRPr="00927CFF">
        <w:rPr>
          <w:color w:val="000000"/>
          <w:u w:color="000000"/>
          <w:bdr w:val="nil"/>
        </w:rPr>
        <w:t>•</w:t>
      </w:r>
      <w:r w:rsidRPr="00927CFF">
        <w:tab/>
        <w:t>Forslagets begrundelse og formål</w:t>
      </w:r>
      <w:bookmarkEnd w:id="2"/>
    </w:p>
    <w:p w14:paraId="5DE6EDAE" w14:textId="77777777" w:rsidR="00B50935" w:rsidRPr="00927CFF" w:rsidRDefault="00B50935" w:rsidP="00B50935">
      <w:pPr>
        <w:pStyle w:val="Text1"/>
      </w:pPr>
      <w:r w:rsidRPr="00927CFF">
        <w:t>Som et af elementerne i EU's sundhedspolitik styrker dette forslag mandatet for Det Europæiske Center for Forebyggelse af og Kontrol med Sygdomme ("centret"), der beskæftiger sig med overvågning, beredskab, tidlig varsling og reaktion under en styrket EU-ramme for sundhedssikkerhed. Covid-19-pandemien har afsløret mangler i Unionens mekanismer til håndtering af sundhedstrusler, hvilket viser behovet for en mere struktureret tilgang på EU-plan, som også bygger på den europæiske værdi solidaritet, til fremtidige sundhedskriser. Dette bør omfatte en styrket rolle for centret. Det bør også følge One Health-tilgangen, sammen med andre relevante EU-agenturer, med hensyn til spørgsmålet under hensyntagen til samspillet mellem mennesker, dyr og miljøet.</w:t>
      </w:r>
    </w:p>
    <w:p w14:paraId="7F390FA3" w14:textId="77777777" w:rsidR="00B50935" w:rsidRPr="00927CFF" w:rsidRDefault="00B50935" w:rsidP="00B50935">
      <w:pPr>
        <w:pStyle w:val="Text1"/>
        <w:rPr>
          <w:rFonts w:eastAsia="Times New Roman"/>
          <w:szCs w:val="20"/>
        </w:rPr>
      </w:pPr>
      <w:r w:rsidRPr="00927CFF">
        <w:t>Centrets mandat, der blev fastlagt ved Europa-Parlamentets og Rådets forordning (EF) nr. 851/2004</w:t>
      </w:r>
      <w:r w:rsidRPr="00927CFF">
        <w:rPr>
          <w:rStyle w:val="FootnoteReference"/>
          <w:rFonts w:eastAsia="Times New Roman"/>
          <w:szCs w:val="20"/>
        </w:rPr>
        <w:footnoteReference w:id="2"/>
      </w:r>
      <w:r w:rsidRPr="00927CFF">
        <w:t>, blev vedtaget før mekanismerne og strukturerne under EU's nuværende rammer for sundhedssikkerhed i henhold til afgørelse nr. 1082/2013/EU om alvorlige grænseoverskridende sundhedstrusler</w:t>
      </w:r>
      <w:r w:rsidRPr="00927CFF">
        <w:rPr>
          <w:rStyle w:val="FootnoteReference"/>
          <w:rFonts w:eastAsia="Times New Roman"/>
          <w:szCs w:val="20"/>
        </w:rPr>
        <w:footnoteReference w:id="3"/>
      </w:r>
      <w:r w:rsidRPr="00927CFF">
        <w:t>.</w:t>
      </w:r>
    </w:p>
    <w:p w14:paraId="4B19E1D7" w14:textId="77777777" w:rsidR="00B50935" w:rsidRPr="00927CFF" w:rsidRDefault="00B50935" w:rsidP="00B50935">
      <w:pPr>
        <w:pStyle w:val="Text1"/>
        <w:rPr>
          <w:rFonts w:eastAsia="Times New Roman"/>
          <w:szCs w:val="20"/>
        </w:rPr>
      </w:pPr>
      <w:r w:rsidRPr="00927CFF">
        <w:t>Som følge af gennemgangen af denne ramme er det nødvendigt at ændre forordningen om oprettelse af centret for at sikre overensstemmelse med andre EU-instrumenter og med forslaget om en ændringsforordning om alvorlige grænseoverskridende sundhedstrusler. Gennemgangen vil også sikre, at centret fuldt ud overholder den "fælles tilgang" for decentrale agenturer som fastsat i den "fælles erklæring fra Europa-Parlamentet, Rådet for Den Europæiske Union og Europa-Kommissionen om decentraliserede agenturer"</w:t>
      </w:r>
      <w:r w:rsidRPr="00927CFF">
        <w:rPr>
          <w:rStyle w:val="FootnoteReference"/>
          <w:rFonts w:eastAsia="Times New Roman"/>
          <w:szCs w:val="20"/>
        </w:rPr>
        <w:footnoteReference w:id="4"/>
      </w:r>
      <w:r w:rsidRPr="00927CFF">
        <w:t>.</w:t>
      </w:r>
    </w:p>
    <w:p w14:paraId="3AF9D83C" w14:textId="77777777" w:rsidR="00B50935" w:rsidRPr="00927CFF" w:rsidRDefault="00B50935" w:rsidP="00B50935">
      <w:pPr>
        <w:pStyle w:val="ManualHeading2"/>
        <w:rPr>
          <w:rFonts w:eastAsia="Arial Unicode MS"/>
          <w:color w:val="000000"/>
          <w:u w:color="000000"/>
          <w:bdr w:val="nil"/>
        </w:rPr>
      </w:pPr>
      <w:bookmarkStart w:id="3" w:name="_Toc57735181"/>
      <w:r w:rsidRPr="00927CFF">
        <w:rPr>
          <w:color w:val="000000"/>
          <w:u w:color="000000"/>
          <w:bdr w:val="nil"/>
        </w:rPr>
        <w:t>•</w:t>
      </w:r>
      <w:r w:rsidRPr="00927CFF">
        <w:tab/>
        <w:t>Sammenhæng med eksisterende EU-foranstaltninger på dette område</w:t>
      </w:r>
      <w:bookmarkEnd w:id="3"/>
    </w:p>
    <w:p w14:paraId="1DE95B8D" w14:textId="77777777" w:rsidR="00B50935" w:rsidRPr="00927CFF" w:rsidRDefault="00B50935" w:rsidP="00B50935">
      <w:pPr>
        <w:pStyle w:val="Text1"/>
      </w:pPr>
      <w:r w:rsidRPr="00927CFF">
        <w:t xml:space="preserve">Forslaget er en del af en pakke af foranstaltninger, der er tæt forbundne, og udgør en del af Unionens samlede sundhedsindsats over for covid-19-pandemien samt en forbedret ramme for krisestyring. </w:t>
      </w:r>
    </w:p>
    <w:p w14:paraId="1C69FD54" w14:textId="77777777" w:rsidR="00B50935" w:rsidRPr="00927CFF" w:rsidRDefault="00B50935" w:rsidP="00B50935">
      <w:pPr>
        <w:pStyle w:val="Text1"/>
      </w:pPr>
      <w:r w:rsidRPr="00927CFF">
        <w:t xml:space="preserve">De foreslåede ændringer vil derfor være i overensstemmelse med den "fælles tilgang" for decentraliserede organer fra 2012. </w:t>
      </w:r>
    </w:p>
    <w:p w14:paraId="29282F79" w14:textId="77777777" w:rsidR="00B50935" w:rsidRPr="00927CFF" w:rsidRDefault="00B50935" w:rsidP="00B50935">
      <w:pPr>
        <w:pStyle w:val="ManualHeading2"/>
        <w:rPr>
          <w:rFonts w:eastAsia="Arial Unicode MS"/>
        </w:rPr>
      </w:pPr>
      <w:bookmarkStart w:id="4" w:name="_Toc57735182"/>
      <w:r w:rsidRPr="00927CFF">
        <w:rPr>
          <w:color w:val="000000"/>
          <w:u w:color="000000"/>
          <w:bdr w:val="nil"/>
        </w:rPr>
        <w:t>•</w:t>
      </w:r>
      <w:r w:rsidRPr="00927CFF">
        <w:tab/>
        <w:t>Sammenhæng med Unionens politik på andre områder</w:t>
      </w:r>
      <w:bookmarkEnd w:id="4"/>
    </w:p>
    <w:p w14:paraId="05B1F207" w14:textId="77777777" w:rsidR="00B50935" w:rsidRPr="00927CFF" w:rsidRDefault="00B50935" w:rsidP="00B50935">
      <w:pPr>
        <w:pStyle w:val="Text1"/>
      </w:pPr>
      <w:r w:rsidRPr="00927CFF">
        <w:t xml:space="preserve">Dette forslag er i overensstemmelse med Unionens overordnede mål, herunder en stærkere sundhedsunion, et velfungerende indre marked, komplementaritet med EU-civilbeskyttelsesmekanismen, bæredygtige og modstandsdygtige sundhedssystemer og en ambitiøs forsknings- og innovationsdagsorden. Det vil desuden tilvejebringe et nyttigt input til og synergier med EU's dagsorden for et digitalt indre marked og det fremtidige europæiske sundhedsdataområde ved at fremme innovation og forskning, lette udvekslingen af oplysninger (herunder realtidsdata) og støtte udviklingen af en IT-infrastruktur på EU-niveau til epidemiologisk overvågning og monitorering. </w:t>
      </w:r>
    </w:p>
    <w:p w14:paraId="169EAB72" w14:textId="77777777" w:rsidR="00B50935" w:rsidRPr="00927CFF" w:rsidRDefault="00B50935" w:rsidP="00B50935">
      <w:pPr>
        <w:pStyle w:val="ManualHeading1"/>
      </w:pPr>
      <w:bookmarkStart w:id="5" w:name="_Toc57735183"/>
      <w:r w:rsidRPr="00927CFF">
        <w:lastRenderedPageBreak/>
        <w:t>2.</w:t>
      </w:r>
      <w:r w:rsidRPr="00927CFF">
        <w:tab/>
        <w:t>RETSGRUNDLAG, NÆRHEDSPRINCIPPET OG PROPORTIONALITETSPRINCIPPET</w:t>
      </w:r>
      <w:bookmarkEnd w:id="5"/>
    </w:p>
    <w:p w14:paraId="6023F108" w14:textId="77777777" w:rsidR="00B50935" w:rsidRPr="00927CFF" w:rsidRDefault="00B50935" w:rsidP="00B50935">
      <w:pPr>
        <w:pStyle w:val="ManualHeading2"/>
        <w:rPr>
          <w:rFonts w:eastAsia="Arial Unicode MS"/>
          <w:u w:color="000000"/>
          <w:bdr w:val="nil"/>
        </w:rPr>
      </w:pPr>
      <w:bookmarkStart w:id="6" w:name="_Toc57735184"/>
      <w:r w:rsidRPr="00927CFF">
        <w:rPr>
          <w:u w:color="000000"/>
          <w:bdr w:val="nil"/>
        </w:rPr>
        <w:t>•</w:t>
      </w:r>
      <w:r w:rsidRPr="00927CFF">
        <w:tab/>
      </w:r>
      <w:r w:rsidRPr="00927CFF">
        <w:rPr>
          <w:u w:color="000000"/>
          <w:bdr w:val="nil"/>
        </w:rPr>
        <w:t>Retsgrundlag</w:t>
      </w:r>
      <w:bookmarkEnd w:id="6"/>
    </w:p>
    <w:p w14:paraId="5DE297B9" w14:textId="77777777" w:rsidR="00B50935" w:rsidRPr="00927CFF" w:rsidRDefault="00B50935" w:rsidP="00B50935">
      <w:pPr>
        <w:pStyle w:val="Text1"/>
      </w:pPr>
      <w:r w:rsidRPr="00927CFF">
        <w:t>Retsgrundlaget for den foreslåede forordning er artikel 168, stk. 5, i traktaten om Den Europæiske Unions funktionsmåde (TEUF). Denne tilgang er baseret på de specifikke mål med forslaget, nemlig at vedtage foranstaltninger til at beskytte og forbedre menneskers sundhed og navnlig bekæmpe alvorlige grænseoverskridende sundhedstrusler, især gennem monitorering og tidlig varsling.</w:t>
      </w:r>
    </w:p>
    <w:p w14:paraId="58E3698D" w14:textId="77777777" w:rsidR="00B50935" w:rsidRPr="00927CFF" w:rsidRDefault="00B50935" w:rsidP="00025545">
      <w:pPr>
        <w:pStyle w:val="ManualHeading2"/>
        <w:rPr>
          <w:rFonts w:eastAsia="Arial Unicode MS"/>
          <w:u w:color="000000"/>
          <w:bdr w:val="nil"/>
        </w:rPr>
      </w:pPr>
      <w:bookmarkStart w:id="7" w:name="_Toc57735185"/>
      <w:r w:rsidRPr="00927CFF">
        <w:rPr>
          <w:u w:color="000000"/>
          <w:bdr w:val="nil"/>
        </w:rPr>
        <w:t>•</w:t>
      </w:r>
      <w:r w:rsidRPr="00927CFF">
        <w:tab/>
      </w:r>
      <w:r w:rsidRPr="00927CFF">
        <w:rPr>
          <w:u w:color="000000"/>
          <w:bdr w:val="nil"/>
        </w:rPr>
        <w:t>Nærhedsprincippet (for områder, der ikke er omfattet af enekompetence)</w:t>
      </w:r>
      <w:bookmarkEnd w:id="7"/>
      <w:r w:rsidRPr="00927CFF">
        <w:rPr>
          <w:u w:color="000000"/>
          <w:bdr w:val="nil"/>
        </w:rPr>
        <w:t xml:space="preserve"> </w:t>
      </w:r>
    </w:p>
    <w:p w14:paraId="27551BCB" w14:textId="77777777" w:rsidR="00B50935" w:rsidRPr="00927CFF" w:rsidRDefault="00B50935" w:rsidP="00B50935">
      <w:pPr>
        <w:pStyle w:val="Text1"/>
      </w:pPr>
      <w:r w:rsidRPr="00927CFF">
        <w:t>Medlemsstaterne er selv ansvarlige for at håndtere krisesituationer på folkesundhedsområdet på nationalt plan, men det er ikke muligt for et enkelt land egenhændigt at håndtere en grænseoverskridende folkesundhedskrise. I henhold til artikel 2, stk. 5, i TEUF har Unionen beføjelse til at gennemføre tiltag for at støtte, koordinere eller supplere medlemsstaternes indsats, uden at denne beføjelse dog træder i stedet for medlemsstaternes beføjelser på dette område.</w:t>
      </w:r>
    </w:p>
    <w:p w14:paraId="0717FEDC" w14:textId="0D1AEDA6" w:rsidR="00B50935" w:rsidRPr="00927CFF" w:rsidRDefault="00B50935" w:rsidP="00B50935">
      <w:pPr>
        <w:pStyle w:val="Text1"/>
      </w:pPr>
      <w:r w:rsidRPr="00927CFF">
        <w:t>Alvorlige grænseoverskridende sundhedstrusler har i sagens natur tværnationale virkninger. I et globaliseret samfund bevæger personer og varer sig i stort omfang på tværs af grænserne, og sygdomme og kontaminerede produkter kan dermed let og hurtigt cirkulere fra den ene ende af kloden til den anden. Det er derfor nødvendigt, at folkesundhedsmæssige foranstaltninger på nationalt plan er i overensstemmelse med hinanden og koordineres, for at sådanne trusler ikke spredes yderligere, og konsekvenserne af dem minimeres.</w:t>
      </w:r>
    </w:p>
    <w:p w14:paraId="3E98F5AB" w14:textId="77777777" w:rsidR="00B50935" w:rsidRPr="00927CFF" w:rsidRDefault="00B50935" w:rsidP="00B50935">
      <w:pPr>
        <w:pStyle w:val="Text1"/>
      </w:pPr>
      <w:r w:rsidRPr="00927CFF">
        <w:t>Folkesundhedsmæssige krisesituationer af en størrelsesorden som covid-19-pandemien har konsekvenser for alle medlemsstater. Forslaget bygger på erfaringerne fra covid-19-krisen, og det foreslås, at de eksisterende strukturer og mekanismer styrkes med henblik på bedre beskyttelse, forebyggelse, beredskab og indsats mod alle sundhedsfarer i hele EU.</w:t>
      </w:r>
    </w:p>
    <w:p w14:paraId="0D15805C" w14:textId="77777777" w:rsidR="00B50935" w:rsidRPr="00927CFF" w:rsidRDefault="00B50935" w:rsidP="00B50935">
      <w:pPr>
        <w:pStyle w:val="Text1"/>
      </w:pPr>
      <w:r w:rsidRPr="00927CFF">
        <w:t>Målene for denne forordning kan på grund af den grænseoverskridende dimension af de beskrevne trusler ikke i tilstrækkelig grad opfyldes af medlemsstaterne alene og kan derfor bedre nås på EU-plan; Unionen kan derfor vedtage foranstaltninger i overensstemmelse med nærhedsprincippet, jf. artikel 5, stk. 3, i traktaten om Den Europæiske Union (TEU).</w:t>
      </w:r>
    </w:p>
    <w:p w14:paraId="0CE9F7BB" w14:textId="77777777" w:rsidR="00B50935" w:rsidRPr="00927CFF" w:rsidRDefault="00B50935" w:rsidP="00B50935">
      <w:pPr>
        <w:pStyle w:val="ManualHeading2"/>
        <w:rPr>
          <w:rFonts w:eastAsia="Arial Unicode MS"/>
          <w:u w:color="000000"/>
          <w:bdr w:val="nil"/>
        </w:rPr>
      </w:pPr>
      <w:bookmarkStart w:id="8" w:name="_Toc57735186"/>
      <w:r w:rsidRPr="00927CFF">
        <w:rPr>
          <w:u w:color="000000"/>
          <w:bdr w:val="nil"/>
        </w:rPr>
        <w:t>•</w:t>
      </w:r>
      <w:r w:rsidRPr="00927CFF">
        <w:tab/>
      </w:r>
      <w:r w:rsidRPr="00927CFF">
        <w:rPr>
          <w:u w:color="000000"/>
          <w:bdr w:val="nil"/>
        </w:rPr>
        <w:t>Proportionalitetsprincippet</w:t>
      </w:r>
      <w:bookmarkEnd w:id="8"/>
    </w:p>
    <w:p w14:paraId="06D17E27" w14:textId="77777777" w:rsidR="00B50935" w:rsidRPr="00927CFF" w:rsidRDefault="00B50935" w:rsidP="00B50935">
      <w:pPr>
        <w:pStyle w:val="Text1"/>
        <w:rPr>
          <w:rFonts w:eastAsia="Arial Unicode MS"/>
        </w:rPr>
      </w:pPr>
      <w:r w:rsidRPr="00927CFF">
        <w:t>Forslaget er en forholdsmæssigt afpasset og nødvendig reaktion på de problemer, der er beskrevet i afdeling 1. I overensstemmelse med proportionalitetsprincippet, jf. artikel 5, stk. 4, i TEU, går denne forordning ikke videre, end hvad der er nødvendigt for at nå disse mål.</w:t>
      </w:r>
    </w:p>
    <w:p w14:paraId="2DE16101" w14:textId="77777777" w:rsidR="00B50935" w:rsidRPr="00927CFF" w:rsidRDefault="00B50935" w:rsidP="00B50935">
      <w:pPr>
        <w:pStyle w:val="ManualHeading2"/>
        <w:rPr>
          <w:rFonts w:eastAsia="Arial Unicode MS"/>
          <w:u w:color="000000"/>
          <w:bdr w:val="nil"/>
        </w:rPr>
      </w:pPr>
      <w:bookmarkStart w:id="9" w:name="_Toc57735187"/>
      <w:r w:rsidRPr="00927CFF">
        <w:rPr>
          <w:u w:color="000000"/>
          <w:bdr w:val="nil"/>
        </w:rPr>
        <w:t>•</w:t>
      </w:r>
      <w:r w:rsidRPr="00927CFF">
        <w:tab/>
      </w:r>
      <w:r w:rsidRPr="00927CFF">
        <w:rPr>
          <w:u w:color="000000"/>
          <w:bdr w:val="nil"/>
        </w:rPr>
        <w:t>Valg af retsakt</w:t>
      </w:r>
      <w:bookmarkEnd w:id="9"/>
    </w:p>
    <w:p w14:paraId="3A533E1A" w14:textId="526BD0BD" w:rsidR="00B50935" w:rsidRPr="00927CFF" w:rsidRDefault="00B50935" w:rsidP="00B50935">
      <w:pPr>
        <w:pStyle w:val="Text1"/>
        <w:rPr>
          <w:rFonts w:eastAsia="Arial Unicode MS"/>
        </w:rPr>
      </w:pPr>
      <w:r w:rsidRPr="00927CFF">
        <w:t xml:space="preserve">Forslaget har form af en ændring af en eksisterende forordning. Denne type instrument anses for at være den bedste løsning, da det er et nøgleelement i forslaget at etablere veltilpassede procedurer og strukturer for fælles arbejde på EU-plan med fokus på at give centret yderligere opgaver. Foranstaltningerne kræver ikke gennemførelse af nationale foranstaltninger og kan anvendes direkte. </w:t>
      </w:r>
    </w:p>
    <w:p w14:paraId="26824403" w14:textId="77777777" w:rsidR="00B50935" w:rsidRPr="00927CFF" w:rsidRDefault="00B50935" w:rsidP="00B50935">
      <w:pPr>
        <w:pStyle w:val="ManualHeading1"/>
      </w:pPr>
      <w:bookmarkStart w:id="10" w:name="_Toc57735188"/>
      <w:r w:rsidRPr="00927CFF">
        <w:lastRenderedPageBreak/>
        <w:t>3.</w:t>
      </w:r>
      <w:r w:rsidRPr="00927CFF">
        <w:tab/>
        <w:t>RESULTATER AF EFTERFØLGENDE EVALUERINGER, HØRINGER AF INTERESSEREDE PARTER OG KONSEKVENSANALYSER</w:t>
      </w:r>
      <w:bookmarkEnd w:id="10"/>
    </w:p>
    <w:p w14:paraId="6E77F563" w14:textId="77777777" w:rsidR="00B50935" w:rsidRPr="00927CFF" w:rsidRDefault="00B50935" w:rsidP="00B50935">
      <w:pPr>
        <w:pStyle w:val="ManualHeading2"/>
        <w:rPr>
          <w:rFonts w:eastAsia="Arial Unicode MS"/>
          <w:u w:color="000000"/>
          <w:bdr w:val="nil"/>
        </w:rPr>
      </w:pPr>
      <w:bookmarkStart w:id="11" w:name="_Toc57735189"/>
      <w:r w:rsidRPr="00927CFF">
        <w:rPr>
          <w:u w:color="000000"/>
          <w:bdr w:val="nil"/>
        </w:rPr>
        <w:t>•</w:t>
      </w:r>
      <w:r w:rsidRPr="00927CFF">
        <w:tab/>
      </w:r>
      <w:r w:rsidRPr="00927CFF">
        <w:rPr>
          <w:u w:color="000000"/>
          <w:bdr w:val="nil"/>
        </w:rPr>
        <w:t>Efterfølgende evalueringer/kvalitetskontrol af gældende lovgivning</w:t>
      </w:r>
      <w:bookmarkEnd w:id="11"/>
    </w:p>
    <w:p w14:paraId="0B0DD00D" w14:textId="77777777" w:rsidR="00B50935" w:rsidRPr="00927CFF" w:rsidRDefault="00B50935" w:rsidP="00B50935">
      <w:pPr>
        <w:pStyle w:val="Text1"/>
        <w:rPr>
          <w:rFonts w:eastAsia="Arial Unicode MS"/>
        </w:rPr>
      </w:pPr>
      <w:r w:rsidRPr="00927CFF">
        <w:t>Som del af en pakke af hasteforanstaltninger baseret på erfaringerne fra covid-19 vil initiativet blive understøttet af resultaterne af den nylige evaluering af, hvordan centret fungerer</w:t>
      </w:r>
      <w:r w:rsidRPr="00927CFF">
        <w:rPr>
          <w:rStyle w:val="FootnoteReference"/>
          <w:szCs w:val="24"/>
        </w:rPr>
        <w:footnoteReference w:id="5"/>
      </w:r>
      <w:r w:rsidRPr="00927CFF">
        <w:t>, en vurdering af de indsamlede data og ved drøftelser med offentlige og private interessenter i løbet af covid-19-pandemien vedrørende konstaterede problemer og mulige midler til at løse dem. Der tages også behørigt hensyn til konklusionerne i Revisionsrettens beretning om EU's ramme for sundhedssikkerhed</w:t>
      </w:r>
      <w:r w:rsidRPr="00927CFF">
        <w:rPr>
          <w:rStyle w:val="FootnoteReference"/>
          <w:szCs w:val="24"/>
        </w:rPr>
        <w:footnoteReference w:id="6"/>
      </w:r>
      <w:r w:rsidRPr="00927CFF">
        <w:t>. Disse oplysninger er sammenfattet i Kommissionens meddelelse, der ledsager hele pakken. Med initiativet foreslås det at udvide den gældende lovgivnings anvendelsesområde, og det vil derfor ikke være baseret på en efterfølgende evaluering, eftersom den gældende ramme ikke adresserede de identificerede behov.</w:t>
      </w:r>
    </w:p>
    <w:p w14:paraId="2BF34A95" w14:textId="77777777" w:rsidR="00B50935" w:rsidRPr="00927CFF" w:rsidRDefault="00B50935" w:rsidP="00B50935">
      <w:pPr>
        <w:pStyle w:val="Text1"/>
        <w:rPr>
          <w:rFonts w:eastAsia="Arial Unicode MS"/>
        </w:rPr>
      </w:pPr>
      <w:r w:rsidRPr="00927CFF">
        <w:t>Det foreslås, at Kommissionen senest i 2023 aflægger rapport om centrets aktiviteter, herunder en analyse af gennemførelsen af det ændrede mandat, samspillet med og sammenhængen mellem centrets aktiviteter og den foreslåede forordning om alvorlige grænseoverskridende sundhedstrusler, og senest i 2028 om eventuelle ændringer af centrets mandat. Dette vil også omfatte en analyse af centrets relevans i forhold til sundhedsprioriteter på internationalt plan, på EU-plan og nationalt plan samt forholdet mellem centrets output og medlemsstaternes kapaciteter. Rapporten ledsages af en uafhængig undersøgelse, der er bestilt af Kommissionen. Hvert femte år vil Kommissionen desuden evaluere centrets resultater i forhold til dets mål, mandat, opgaver, procedurer og placering i overensstemmelse med Kommissionens retningslinjer for bedre regulering.</w:t>
      </w:r>
    </w:p>
    <w:p w14:paraId="2F80F106" w14:textId="77777777" w:rsidR="00B50935" w:rsidRPr="00927CFF" w:rsidRDefault="00B50935" w:rsidP="00B50935">
      <w:pPr>
        <w:pStyle w:val="ManualHeading2"/>
        <w:rPr>
          <w:rFonts w:eastAsia="Arial Unicode MS"/>
          <w:u w:color="000000"/>
          <w:bdr w:val="nil"/>
        </w:rPr>
      </w:pPr>
      <w:bookmarkStart w:id="12" w:name="_Toc57735190"/>
      <w:r w:rsidRPr="00927CFF">
        <w:rPr>
          <w:u w:color="000000"/>
          <w:bdr w:val="nil"/>
        </w:rPr>
        <w:t>•</w:t>
      </w:r>
      <w:r w:rsidRPr="00927CFF">
        <w:tab/>
      </w:r>
      <w:r w:rsidRPr="00927CFF">
        <w:rPr>
          <w:u w:color="000000"/>
          <w:bdr w:val="nil"/>
        </w:rPr>
        <w:t>Høringer af interesserede parter</w:t>
      </w:r>
      <w:bookmarkEnd w:id="12"/>
    </w:p>
    <w:p w14:paraId="00AB442E" w14:textId="77777777" w:rsidR="00B50935" w:rsidRPr="00927CFF" w:rsidRDefault="00B50935" w:rsidP="00B50935">
      <w:pPr>
        <w:pStyle w:val="Text1"/>
        <w:rPr>
          <w:rFonts w:eastAsia="Arial Unicode MS"/>
        </w:rPr>
      </w:pPr>
      <w:r w:rsidRPr="00927CFF">
        <w:t xml:space="preserve">På det uformelle møde i Rådet (sundhed) den 16. juli 2020 ledede det tyske formandskab for Rådet for Den Europæiske Union en drøftelse om en styrkelse af centret. Medlemsstaterne udtrykte støtte til et initiativ, der har til formål at gøre dette som led i EU's overordnede kriseberedskabs- og indsatsmekanisme på sundhedsområdet. Dette forudsætter en ændring af forordningen om oprettelse af centret. Den 29. oktober 2020 drøftede Rådets uformelle folkesundhedsgruppe endvidere et udkast til Rådets konklusioner om covid-19-erfaringer på sundhedsområdet. Der blev yderligere afholdt bilaterale møder på politisk og teknisk plan, og der blev afholdt et offentligt webinar den 29. oktober for at drøfte pakken. </w:t>
      </w:r>
    </w:p>
    <w:p w14:paraId="456359C0" w14:textId="77777777" w:rsidR="00B50935" w:rsidRPr="00927CFF" w:rsidRDefault="00B50935" w:rsidP="00B50935">
      <w:pPr>
        <w:pStyle w:val="ManualHeading2"/>
        <w:rPr>
          <w:rFonts w:eastAsia="Arial Unicode MS"/>
          <w:u w:color="000000"/>
          <w:bdr w:val="nil"/>
        </w:rPr>
      </w:pPr>
      <w:bookmarkStart w:id="13" w:name="_Toc57735191"/>
      <w:r w:rsidRPr="00927CFF">
        <w:rPr>
          <w:u w:color="000000"/>
          <w:bdr w:val="nil"/>
        </w:rPr>
        <w:t>•</w:t>
      </w:r>
      <w:r w:rsidRPr="00927CFF">
        <w:tab/>
      </w:r>
      <w:r w:rsidRPr="00927CFF">
        <w:rPr>
          <w:u w:color="000000"/>
          <w:bdr w:val="nil"/>
        </w:rPr>
        <w:t>Konsekvensanalyse</w:t>
      </w:r>
      <w:bookmarkEnd w:id="13"/>
    </w:p>
    <w:p w14:paraId="0F76E7B5" w14:textId="3E0D2D60" w:rsidR="00B50935" w:rsidRPr="00927CFF" w:rsidRDefault="00B50935" w:rsidP="00B50935">
      <w:pPr>
        <w:pStyle w:val="Text1"/>
        <w:rPr>
          <w:rFonts w:eastAsia="Arial Unicode MS"/>
        </w:rPr>
      </w:pPr>
      <w:r w:rsidRPr="00927CFF">
        <w:rPr>
          <w:shd w:val="clear" w:color="auto" w:fill="FFFFFF"/>
        </w:rPr>
        <w:t>På grund af sagens hastende karakter ledsages dette forslag ikke af en formel konsekvensanalyse.</w:t>
      </w:r>
      <w:r w:rsidRPr="00927CFF">
        <w:t xml:space="preserve"> Ændringerne er i stedet hovedsagelig baseret på en vurdering af de data, der er indsamlet i de første måneder af pandemien, og udvekslingerne med offentlige og private interessenter om covid-19-spørgsmål og mulige måder at løse dem på og er baseret på resultaterne af en nylig evaluering.</w:t>
      </w:r>
      <w:r w:rsidRPr="00927CFF">
        <w:rPr>
          <w:shd w:val="clear" w:color="auto" w:fill="FFFFFF"/>
        </w:rPr>
        <w:t xml:space="preserve"> Disse oplysninger er sammenfattet i en meddelelse fra Kommissionen, der ledsager den samlede pakke, med fremlæggelse af eller henvisning til al dokumentation, der er til rådighed, da hverken en offentlig høring eller en konsekvensanalyse kunne gennemføres inden for den tidsramme, der er til rådighed før vedtagelsen af dette forslag. </w:t>
      </w:r>
    </w:p>
    <w:p w14:paraId="5FA3B83C" w14:textId="77777777" w:rsidR="00B50935" w:rsidRPr="00927CFF" w:rsidRDefault="00B50935" w:rsidP="00B50935">
      <w:pPr>
        <w:pStyle w:val="ManualHeading2"/>
        <w:rPr>
          <w:rFonts w:eastAsia="Arial Unicode MS"/>
          <w:u w:color="000000"/>
          <w:bdr w:val="nil"/>
        </w:rPr>
      </w:pPr>
      <w:bookmarkStart w:id="14" w:name="_Toc57735192"/>
      <w:r w:rsidRPr="00927CFF">
        <w:rPr>
          <w:u w:color="000000"/>
          <w:bdr w:val="nil"/>
        </w:rPr>
        <w:t>•</w:t>
      </w:r>
      <w:r w:rsidRPr="00927CFF">
        <w:tab/>
      </w:r>
      <w:r w:rsidRPr="00927CFF">
        <w:rPr>
          <w:u w:color="000000"/>
          <w:bdr w:val="nil"/>
        </w:rPr>
        <w:t>Grundlæggende rettigheder</w:t>
      </w:r>
      <w:bookmarkEnd w:id="14"/>
    </w:p>
    <w:p w14:paraId="26DFB974" w14:textId="77777777" w:rsidR="00B50935" w:rsidRPr="00927CFF" w:rsidRDefault="00B50935" w:rsidP="00B50935">
      <w:pPr>
        <w:pStyle w:val="Text1"/>
      </w:pPr>
      <w:r w:rsidRPr="00927CFF">
        <w:t xml:space="preserve">Forslaget bidrager til at opnå et højt niveau af kønssensitiv sundhedsbeskyttelse for mennesker samt til at opretholde de højeste standarder for beskyttelse af menneskerettigheder og borgerlige frihedsrettigheder — som fastsat i chartret om grundlæggende rettigheder og i den europæiske søjle for sociale rettigheder — under sundhedskrisen. Når personoplysninger behandles i henhold til denne forordning som foreslået, vil det ske i overensstemmelse med den relevante EU-lovgivning om databeskyttelse, navnlig forordning (EU) 2018/1725 og forordning (EU) 2016/679. </w:t>
      </w:r>
    </w:p>
    <w:p w14:paraId="6FDA60F1" w14:textId="77777777" w:rsidR="00B50935" w:rsidRPr="00927CFF" w:rsidRDefault="00B50935" w:rsidP="00B50935">
      <w:pPr>
        <w:pStyle w:val="ManualHeading1"/>
      </w:pPr>
      <w:bookmarkStart w:id="15" w:name="_Toc57735193"/>
      <w:r w:rsidRPr="00927CFF">
        <w:t>4.</w:t>
      </w:r>
      <w:r w:rsidRPr="00927CFF">
        <w:tab/>
        <w:t>VIRKNINGER FOR BUDGETTET</w:t>
      </w:r>
      <w:bookmarkEnd w:id="15"/>
    </w:p>
    <w:p w14:paraId="27C5FA88" w14:textId="77777777" w:rsidR="00B50935" w:rsidRPr="00927CFF" w:rsidRDefault="00B50935" w:rsidP="00B50935">
      <w:pPr>
        <w:pStyle w:val="Text1"/>
      </w:pPr>
      <w:r w:rsidRPr="00927CFF">
        <w:t xml:space="preserve">Gennemførelsen af dette forslag har ingen virkning for den indeværende flerårige finansielle ramme (2014-2020). </w:t>
      </w:r>
    </w:p>
    <w:p w14:paraId="71290C58" w14:textId="77777777" w:rsidR="00B50935" w:rsidRPr="00927CFF" w:rsidRDefault="00B50935" w:rsidP="00B50935">
      <w:pPr>
        <w:pStyle w:val="Text1"/>
      </w:pPr>
      <w:r w:rsidRPr="00927CFF">
        <w:t xml:space="preserve">Den finansielle virkning af dette forslag på Unionens budget vil indgå i den næste flerårige finansielle ramme (2021-2027). </w:t>
      </w:r>
    </w:p>
    <w:p w14:paraId="4ECB7D1C" w14:textId="77777777" w:rsidR="00B50935" w:rsidRPr="00927CFF" w:rsidRDefault="00B50935" w:rsidP="00B50935">
      <w:pPr>
        <w:pStyle w:val="Text1"/>
      </w:pPr>
      <w:r w:rsidRPr="00927CFF">
        <w:t>De budgetmæssige virkninger hænger hovedsagelig sammen med følgende mål:</w:t>
      </w:r>
    </w:p>
    <w:p w14:paraId="6F8B7FCC" w14:textId="7AF42DD9" w:rsidR="00B50935" w:rsidRPr="00927CFF" w:rsidRDefault="00B50935" w:rsidP="00B50935">
      <w:pPr>
        <w:pStyle w:val="Point1"/>
      </w:pPr>
      <w:r w:rsidRPr="00927CFF">
        <w:t>●</w:t>
      </w:r>
      <w:r w:rsidRPr="00927CFF">
        <w:tab/>
        <w:t>oprettelse af en ny platform til monitorering af vacciner, som Det Europæiske Lægemiddelagentur og centret i fællesskab er vært for</w:t>
      </w:r>
    </w:p>
    <w:p w14:paraId="55B2B323" w14:textId="77777777" w:rsidR="00B50935" w:rsidRPr="00927CFF" w:rsidRDefault="00B50935" w:rsidP="00B50935">
      <w:pPr>
        <w:pStyle w:val="Point1"/>
        <w:rPr>
          <w:rFonts w:eastAsia="Arial Unicode MS"/>
        </w:rPr>
      </w:pPr>
      <w:r w:rsidRPr="00927CFF">
        <w:t>●</w:t>
      </w:r>
      <w:r w:rsidRPr="00927CFF">
        <w:tab/>
        <w:t xml:space="preserve">beredskabs- og indsatsplanlægningsaktiviteter, herunder modellering, foregribelse, monitorering og vurdering </w:t>
      </w:r>
    </w:p>
    <w:p w14:paraId="438F33A2" w14:textId="77777777" w:rsidR="00B50935" w:rsidRPr="00927CFF" w:rsidRDefault="00B50935" w:rsidP="00B50935">
      <w:pPr>
        <w:pStyle w:val="Point1"/>
        <w:rPr>
          <w:rFonts w:eastAsia="Arial Unicode MS"/>
        </w:rPr>
      </w:pPr>
      <w:r w:rsidRPr="00927CFF">
        <w:t>●</w:t>
      </w:r>
      <w:r w:rsidRPr="00927CFF">
        <w:tab/>
        <w:t xml:space="preserve">nye netværk for EU-referencelaboratorier og for transfusion, transplantation og medicinsk assisteret reproduktion </w:t>
      </w:r>
    </w:p>
    <w:p w14:paraId="67BCB999" w14:textId="3FD10C24" w:rsidR="00B50935" w:rsidRPr="00927CFF" w:rsidRDefault="00B50935" w:rsidP="00B50935">
      <w:pPr>
        <w:pStyle w:val="Point1"/>
        <w:rPr>
          <w:rFonts w:eastAsia="Arial Unicode MS"/>
        </w:rPr>
      </w:pPr>
      <w:r w:rsidRPr="00927CFF">
        <w:t>●</w:t>
      </w:r>
      <w:r w:rsidRPr="00927CFF">
        <w:tab/>
        <w:t xml:space="preserve">styrkelse af overvågningssystemer og systemet for tidlig varsling og reaktion </w:t>
      </w:r>
    </w:p>
    <w:p w14:paraId="4E290410" w14:textId="77777777" w:rsidR="00B50935" w:rsidRPr="00927CFF" w:rsidRDefault="00B50935" w:rsidP="00B50935">
      <w:pPr>
        <w:pStyle w:val="Point1"/>
      </w:pPr>
      <w:r w:rsidRPr="00927CFF">
        <w:t>●</w:t>
      </w:r>
      <w:r w:rsidRPr="00927CFF">
        <w:tab/>
        <w:t>monitorering og vurdering af sundhedssystemernes kapacitet og identifikation af risikogrupper i befolkningen, der har behov for målrettede forebyggelses- og indsatsforanstaltninger</w:t>
      </w:r>
    </w:p>
    <w:p w14:paraId="168DBFB8" w14:textId="7FEEEA26" w:rsidR="00B50935" w:rsidRPr="00927CFF" w:rsidRDefault="00B50935" w:rsidP="00B50935">
      <w:pPr>
        <w:pStyle w:val="Point1"/>
        <w:rPr>
          <w:rFonts w:eastAsia="Arial Unicode MS"/>
        </w:rPr>
      </w:pPr>
      <w:r w:rsidRPr="00927CFF">
        <w:t>●</w:t>
      </w:r>
      <w:r w:rsidRPr="00927CFF">
        <w:tab/>
        <w:t>oprettelse af en "EU-sundhedstaskforce" for at bistå landene med at styrke beredskabet og hurtigt gribe ind over for en sundhedskrise</w:t>
      </w:r>
    </w:p>
    <w:p w14:paraId="5700AA84" w14:textId="0B999D88" w:rsidR="00B50935" w:rsidRPr="00927CFF" w:rsidRDefault="00B50935" w:rsidP="00B50935">
      <w:pPr>
        <w:pStyle w:val="Point1"/>
        <w:rPr>
          <w:rFonts w:eastAsia="Arial Unicode MS"/>
        </w:rPr>
      </w:pPr>
      <w:r w:rsidRPr="00927CFF">
        <w:t>●</w:t>
      </w:r>
      <w:r w:rsidRPr="00927CFF">
        <w:tab/>
        <w:t>forbedring af det internationale samarbejde og indsamling af regionale/nationale efterretninger.</w:t>
      </w:r>
    </w:p>
    <w:p w14:paraId="4F9A7E64" w14:textId="77777777" w:rsidR="00B50935" w:rsidRPr="00927CFF" w:rsidRDefault="00B50935" w:rsidP="00B50935">
      <w:pPr>
        <w:pStyle w:val="ManualHeading1"/>
      </w:pPr>
      <w:bookmarkStart w:id="16" w:name="_Toc57735194"/>
      <w:r w:rsidRPr="00927CFF">
        <w:t>5.</w:t>
      </w:r>
      <w:r w:rsidRPr="00927CFF">
        <w:tab/>
        <w:t>ANDRE FORHOLD</w:t>
      </w:r>
      <w:bookmarkEnd w:id="16"/>
    </w:p>
    <w:p w14:paraId="74EFA681" w14:textId="77777777" w:rsidR="00B50935" w:rsidRPr="00927CFF" w:rsidRDefault="00B50935" w:rsidP="00B50935">
      <w:pPr>
        <w:pStyle w:val="ManualHeading2"/>
        <w:rPr>
          <w:rFonts w:eastAsia="Arial Unicode MS"/>
          <w:u w:color="000000"/>
          <w:bdr w:val="nil"/>
        </w:rPr>
      </w:pPr>
      <w:bookmarkStart w:id="17" w:name="_Toc57735195"/>
      <w:r w:rsidRPr="00927CFF">
        <w:rPr>
          <w:u w:color="000000"/>
          <w:bdr w:val="nil"/>
        </w:rPr>
        <w:t>•</w:t>
      </w:r>
      <w:r w:rsidRPr="00927CFF">
        <w:tab/>
      </w:r>
      <w:r w:rsidRPr="00927CFF">
        <w:rPr>
          <w:u w:color="000000"/>
          <w:bdr w:val="nil"/>
        </w:rPr>
        <w:t>Nærmere redegørelse for de enkelte bestemmelser i forslaget</w:t>
      </w:r>
      <w:bookmarkEnd w:id="17"/>
    </w:p>
    <w:p w14:paraId="28D39D73" w14:textId="77777777" w:rsidR="00B50935" w:rsidRPr="00927CFF" w:rsidRDefault="00B50935" w:rsidP="00B50935">
      <w:pPr>
        <w:pStyle w:val="Text1"/>
      </w:pPr>
      <w:r w:rsidRPr="00927CFF">
        <w:t xml:space="preserve">Forslaget har til formål at styrke centrets kapacitet, at støtte beredskab, overvågning, risikovurdering og tidlig varsling og reaktion med hensyn til fremtidige grænseoverskridende sundhedstrusler. </w:t>
      </w:r>
    </w:p>
    <w:p w14:paraId="594BFE8C" w14:textId="77777777" w:rsidR="00B50935" w:rsidRPr="00927CFF" w:rsidRDefault="00B50935" w:rsidP="00B50935">
      <w:pPr>
        <w:pStyle w:val="Text1"/>
      </w:pPr>
      <w:r w:rsidRPr="00927CFF">
        <w:t>Hovedpunkter i forslaget:</w:t>
      </w:r>
    </w:p>
    <w:p w14:paraId="53711C6C" w14:textId="541C610D" w:rsidR="00B50935" w:rsidRPr="00927CFF" w:rsidRDefault="00B50935" w:rsidP="00B50935">
      <w:pPr>
        <w:pStyle w:val="Point1"/>
        <w:rPr>
          <w:rFonts w:eastAsia="Times New Roman"/>
          <w:szCs w:val="20"/>
        </w:rPr>
      </w:pPr>
      <w:r w:rsidRPr="00927CFF">
        <w:t>●</w:t>
      </w:r>
      <w:r w:rsidRPr="00927CFF">
        <w:tab/>
        <w:t xml:space="preserve">situationsbevidsthed: hurtig digitalisering af integrerede overvågningssystemer </w:t>
      </w:r>
    </w:p>
    <w:p w14:paraId="355C33BA" w14:textId="77777777" w:rsidR="00B50935" w:rsidRPr="00927CFF" w:rsidRDefault="00B50935" w:rsidP="00B50935">
      <w:pPr>
        <w:pStyle w:val="Point1"/>
        <w:rPr>
          <w:rFonts w:eastAsia="Times New Roman"/>
          <w:szCs w:val="20"/>
        </w:rPr>
      </w:pPr>
      <w:r w:rsidRPr="00927CFF">
        <w:t>●</w:t>
      </w:r>
      <w:r w:rsidRPr="00927CFF">
        <w:tab/>
        <w:t>bedre beredskab i medlemsstaterne: udvikling af forebyggelses- og indsatsplaner med hensyn til fremtidige epidemier og stærkere kapacitet til integreret hurtig indsats over for epidemier og udbrud</w:t>
      </w:r>
    </w:p>
    <w:p w14:paraId="2D392DE7" w14:textId="77777777" w:rsidR="00B50935" w:rsidRPr="00927CFF" w:rsidRDefault="00B50935" w:rsidP="00B50935">
      <w:pPr>
        <w:pStyle w:val="Point1"/>
        <w:rPr>
          <w:rFonts w:eastAsia="Times New Roman"/>
          <w:szCs w:val="20"/>
        </w:rPr>
      </w:pPr>
      <w:r w:rsidRPr="00927CFF">
        <w:t>●</w:t>
      </w:r>
      <w:r w:rsidRPr="00927CFF">
        <w:tab/>
        <w:t>styrkede foranstaltninger til bekæmpelse af epidemier og udbrud: forelæggelse af ikkebindende anbefalinger vedrørende risikostyring</w:t>
      </w:r>
    </w:p>
    <w:p w14:paraId="05A2CDC4" w14:textId="2D6946E5" w:rsidR="00B50935" w:rsidRPr="00927CFF" w:rsidRDefault="00B50935" w:rsidP="00B50935">
      <w:pPr>
        <w:pStyle w:val="Point1"/>
        <w:rPr>
          <w:rFonts w:eastAsia="Times New Roman"/>
          <w:szCs w:val="20"/>
        </w:rPr>
      </w:pPr>
      <w:r w:rsidRPr="00927CFF">
        <w:t>●</w:t>
      </w:r>
      <w:r w:rsidRPr="00927CFF">
        <w:tab/>
        <w:t>øget kapacitet til mobilisering og indsættelse af EU-sundhedstaskforcen, der skal yde bistand i forbindelse med indsatsen i EU-landene</w:t>
      </w:r>
    </w:p>
    <w:p w14:paraId="51BC7952" w14:textId="77777777" w:rsidR="00B50935" w:rsidRPr="00927CFF" w:rsidRDefault="00B50935" w:rsidP="00025545">
      <w:pPr>
        <w:pStyle w:val="Point1"/>
        <w:rPr>
          <w:rFonts w:eastAsia="Times New Roman"/>
          <w:szCs w:val="20"/>
        </w:rPr>
      </w:pPr>
      <w:r w:rsidRPr="00927CFF">
        <w:t>●</w:t>
      </w:r>
      <w:r w:rsidRPr="00927CFF">
        <w:tab/>
        <w:t>styrket kapacitet og opbygning af nøglekompetencer med henblik på at monitorere og vurdere sundhedssystemernes kapacitet til at diagnosticere, forebygge og behandle specifikke overførbare sygdomme samt patientsikkerheden</w:t>
      </w:r>
    </w:p>
    <w:p w14:paraId="46872391" w14:textId="77777777" w:rsidR="00B50935" w:rsidRPr="00927CFF" w:rsidRDefault="00B50935" w:rsidP="00B50935">
      <w:pPr>
        <w:pStyle w:val="Point1"/>
        <w:ind w:hanging="566"/>
        <w:rPr>
          <w:rFonts w:eastAsia="Times New Roman"/>
          <w:szCs w:val="20"/>
        </w:rPr>
      </w:pPr>
      <w:r w:rsidRPr="00927CFF">
        <w:t>●</w:t>
      </w:r>
      <w:r w:rsidRPr="00927CFF">
        <w:tab/>
        <w:t>styrket kapacitet og identifikation af risikogrupper i befolkningen, der har behov for målrettede forebyggelses- og indsatsforanstaltninger</w:t>
      </w:r>
    </w:p>
    <w:p w14:paraId="496C5747" w14:textId="77777777" w:rsidR="00B50935" w:rsidRPr="00927CFF" w:rsidRDefault="00B50935" w:rsidP="00B50935">
      <w:pPr>
        <w:pStyle w:val="Point1"/>
      </w:pPr>
      <w:r w:rsidRPr="00927CFF">
        <w:t>●</w:t>
      </w:r>
      <w:r w:rsidRPr="00927CFF">
        <w:tab/>
        <w:t>forbindelse mellem forskning og beredskab og indsats: kontakt med folkesundhedssektoren og forskningsmiljøer, bidrag til at fastlægge forskningsprioriteter i forbindelse med beredskab og indsats, sikring af integration af forskningsresultater i politikanbefalinger</w:t>
      </w:r>
    </w:p>
    <w:p w14:paraId="5C5D2452" w14:textId="77777777" w:rsidR="00B50935" w:rsidRPr="00927CFF" w:rsidRDefault="00B50935" w:rsidP="00B50935">
      <w:pPr>
        <w:pStyle w:val="Point1"/>
        <w:rPr>
          <w:rFonts w:eastAsia="Times New Roman"/>
          <w:szCs w:val="20"/>
        </w:rPr>
      </w:pPr>
      <w:r w:rsidRPr="00927CFF">
        <w:t>●</w:t>
      </w:r>
      <w:r w:rsidRPr="00927CFF">
        <w:tab/>
        <w:t>opbygning af nøglekompetencer for sundhedsbeskyttelse i medlemsstaterne: centret vil få til opgave at koordinere et nyt netværk af EU-referencelaboratorier for folkesundhed og et nyt netværk af nationale tjenester til støtte for transfusion, transplantation og medicinsk assisteret reproduktion</w:t>
      </w:r>
    </w:p>
    <w:p w14:paraId="7C473C58" w14:textId="77777777" w:rsidR="00B50935" w:rsidRPr="00927CFF" w:rsidRDefault="00B50935" w:rsidP="00B50935">
      <w:pPr>
        <w:pStyle w:val="Point1"/>
        <w:rPr>
          <w:rFonts w:eastAsia="Times New Roman"/>
          <w:szCs w:val="20"/>
        </w:rPr>
      </w:pPr>
      <w:r w:rsidRPr="00927CFF">
        <w:t>●</w:t>
      </w:r>
      <w:r w:rsidRPr="00927CFF">
        <w:tab/>
        <w:t>udvidet arbejde med forebyggelsen af overførbare sygdomme og særlige sundhedsproblematikker, f.eks. antimikrobiel resistens, vaccination og biosikkerhed</w:t>
      </w:r>
    </w:p>
    <w:p w14:paraId="53E30503" w14:textId="77777777" w:rsidR="00B50935" w:rsidRPr="00927CFF" w:rsidRDefault="00B50935" w:rsidP="00B50935">
      <w:pPr>
        <w:pStyle w:val="Point1"/>
        <w:rPr>
          <w:rFonts w:eastAsia="Times New Roman"/>
          <w:szCs w:val="20"/>
        </w:rPr>
      </w:pPr>
      <w:r w:rsidRPr="00927CFF">
        <w:t>●</w:t>
      </w:r>
      <w:r w:rsidRPr="00927CFF">
        <w:tab/>
        <w:t>øget bidrag til EU's internationale samarbejde og udvikling og EU's tilsagn om et globalt sundhedsberedskab.</w:t>
      </w:r>
    </w:p>
    <w:p w14:paraId="47442678" w14:textId="77777777" w:rsidR="00B50935" w:rsidRPr="00927CFF" w:rsidRDefault="00B50935" w:rsidP="00B50935">
      <w:pPr>
        <w:pStyle w:val="Text1"/>
        <w:rPr>
          <w:rFonts w:eastAsia="Times New Roman"/>
          <w:szCs w:val="20"/>
        </w:rPr>
      </w:pPr>
      <w:r w:rsidRPr="00927CFF">
        <w:t xml:space="preserve">Forslaget søger også at sikre et gnidningsløst samarbejde i sådanne krisesituationer mellem centret og EU's andre decentraliserede agenturer, navnlig med Det Europæiske Lægemiddelagentur. </w:t>
      </w:r>
    </w:p>
    <w:p w14:paraId="1C84B664" w14:textId="0BCDF641" w:rsidR="00B50935" w:rsidRPr="00927CFF" w:rsidRDefault="00B50935" w:rsidP="00B50935">
      <w:pPr>
        <w:pStyle w:val="Text1"/>
      </w:pPr>
      <w:r w:rsidRPr="00927CFF">
        <w:t>Dette forslag er i overensstemmelse med den fælles tilgang</w:t>
      </w:r>
      <w:r w:rsidRPr="00927CFF">
        <w:rPr>
          <w:rStyle w:val="FootnoteReference"/>
        </w:rPr>
        <w:footnoteReference w:id="7"/>
      </w:r>
      <w:r w:rsidRPr="00927CFF">
        <w:t xml:space="preserve"> for så vidt angår struktur og styring, dets aktiviteter, programmering og ansvarlighed.</w:t>
      </w:r>
    </w:p>
    <w:p w14:paraId="2A55EA47" w14:textId="77777777" w:rsidR="00B50935" w:rsidRPr="00927CFF" w:rsidRDefault="00B50935" w:rsidP="00B50935">
      <w:pPr>
        <w:sectPr w:rsidR="00B50935" w:rsidRPr="00927CFF" w:rsidSect="00BE6028">
          <w:footerReference w:type="default" r:id="rId9"/>
          <w:footerReference w:type="first" r:id="rId10"/>
          <w:pgSz w:w="11907" w:h="16839"/>
          <w:pgMar w:top="1134" w:right="1417" w:bottom="1134" w:left="1417" w:header="709" w:footer="709" w:gutter="0"/>
          <w:cols w:space="708"/>
          <w:docGrid w:linePitch="360"/>
        </w:sectPr>
      </w:pPr>
    </w:p>
    <w:p w14:paraId="6B802FA5" w14:textId="1B1A8A2D" w:rsidR="00E2254D" w:rsidRPr="00927CFF" w:rsidRDefault="00927CFF" w:rsidP="00927CFF">
      <w:pPr>
        <w:pStyle w:val="Rfrenceinterinstitutionnelle"/>
      </w:pPr>
      <w:r w:rsidRPr="00927CFF">
        <w:t>2020/0320 (COD)</w:t>
      </w:r>
    </w:p>
    <w:p w14:paraId="3D09785D" w14:textId="66761126" w:rsidR="00B50935" w:rsidRPr="00927CFF" w:rsidRDefault="00927CFF" w:rsidP="00927CFF">
      <w:pPr>
        <w:pStyle w:val="Statut"/>
      </w:pPr>
      <w:r w:rsidRPr="00927CFF">
        <w:t>Forslag til</w:t>
      </w:r>
    </w:p>
    <w:p w14:paraId="2F5B6812" w14:textId="090175A3" w:rsidR="00B50935" w:rsidRPr="00927CFF" w:rsidRDefault="00927CFF" w:rsidP="00927CFF">
      <w:pPr>
        <w:pStyle w:val="Typedudocument"/>
      </w:pPr>
      <w:r w:rsidRPr="00927CFF">
        <w:t>EUROPA-PARLAMENTETS OG RÅDETS FORORDNING</w:t>
      </w:r>
    </w:p>
    <w:p w14:paraId="60B43DAC" w14:textId="2D3D3535" w:rsidR="00B50935" w:rsidRPr="00927CFF" w:rsidRDefault="00927CFF" w:rsidP="00927CFF">
      <w:pPr>
        <w:pStyle w:val="Titreobjet"/>
      </w:pPr>
      <w:r w:rsidRPr="00927CFF">
        <w:t>om ændring af forordning (EF) nr. 851/2004 om oprettelse af et europæisk center for forebyggelse af og kontrol med sygdomme</w:t>
      </w:r>
    </w:p>
    <w:p w14:paraId="7DAEE618" w14:textId="77777777" w:rsidR="00B50935" w:rsidRPr="00927CFF" w:rsidRDefault="00B50935" w:rsidP="00B50935">
      <w:pPr>
        <w:pStyle w:val="Institutionquiagit"/>
      </w:pPr>
      <w:r w:rsidRPr="00927CFF">
        <w:t>EUROPA-PARLAMENTET OG RÅDET FOR DEN EUROPÆISKE UNION HAR —</w:t>
      </w:r>
    </w:p>
    <w:p w14:paraId="39BE152A" w14:textId="77777777" w:rsidR="00B50935" w:rsidRPr="00927CFF" w:rsidRDefault="00B50935" w:rsidP="00B50935">
      <w:r w:rsidRPr="00927CFF">
        <w:t>under henvisning til traktaten om Den Europæiske Unions funktionsmåde, særlig artikel 168, stk. 5,</w:t>
      </w:r>
    </w:p>
    <w:p w14:paraId="4C3EBC35" w14:textId="77777777" w:rsidR="00B50935" w:rsidRPr="00927CFF" w:rsidRDefault="00B50935" w:rsidP="00B50935">
      <w:r w:rsidRPr="00927CFF">
        <w:t>under henvisning til forslag fra Europa-Kommissionen,</w:t>
      </w:r>
    </w:p>
    <w:p w14:paraId="1DC70FD4" w14:textId="77777777" w:rsidR="00B50935" w:rsidRPr="00927CFF" w:rsidRDefault="00B50935" w:rsidP="00B50935">
      <w:r w:rsidRPr="00927CFF">
        <w:t>efter fremsendelse af udkast til lovgivningsmæssig retsakt til de nationale parlamenter,</w:t>
      </w:r>
    </w:p>
    <w:p w14:paraId="78B6F1EF" w14:textId="77777777" w:rsidR="00B50935" w:rsidRPr="00927CFF" w:rsidRDefault="00B50935" w:rsidP="00B50935">
      <w:r w:rsidRPr="00927CFF">
        <w:t>under henvisning til udtalelse fra Det Europæiske Økonomiske og Sociale Udvalg</w:t>
      </w:r>
      <w:r w:rsidRPr="00927CFF">
        <w:rPr>
          <w:rStyle w:val="FootnoteReference"/>
        </w:rPr>
        <w:footnoteReference w:id="8"/>
      </w:r>
      <w:r w:rsidRPr="00927CFF">
        <w:t xml:space="preserve">, </w:t>
      </w:r>
    </w:p>
    <w:p w14:paraId="1D6C4753" w14:textId="77777777" w:rsidR="00B50935" w:rsidRPr="00927CFF" w:rsidRDefault="00B50935" w:rsidP="00B50935">
      <w:r w:rsidRPr="00927CFF">
        <w:t>under henvisning til udtalelse fra Regionsudvalget</w:t>
      </w:r>
      <w:r w:rsidRPr="00927CFF">
        <w:rPr>
          <w:rStyle w:val="FootnoteReference"/>
        </w:rPr>
        <w:footnoteReference w:id="9"/>
      </w:r>
      <w:r w:rsidRPr="00927CFF">
        <w:t xml:space="preserve">, </w:t>
      </w:r>
    </w:p>
    <w:p w14:paraId="5DF90B66" w14:textId="77777777" w:rsidR="00B50935" w:rsidRPr="00927CFF" w:rsidRDefault="00B50935" w:rsidP="00B50935">
      <w:r w:rsidRPr="00927CFF">
        <w:t>efter den almindelige lovgivningsprocedure, og</w:t>
      </w:r>
    </w:p>
    <w:p w14:paraId="36373680" w14:textId="77777777" w:rsidR="00B50935" w:rsidRPr="00927CFF" w:rsidRDefault="00B50935" w:rsidP="00B50935">
      <w:r w:rsidRPr="00927CFF">
        <w:t>ud fra følgende betragtninger:</w:t>
      </w:r>
    </w:p>
    <w:p w14:paraId="7F329C4C" w14:textId="242EF895" w:rsidR="00B50935" w:rsidRPr="00927CFF" w:rsidRDefault="00B50935" w:rsidP="00F36FFA">
      <w:pPr>
        <w:pStyle w:val="Considrant"/>
        <w:numPr>
          <w:ilvl w:val="0"/>
          <w:numId w:val="18"/>
        </w:numPr>
      </w:pPr>
      <w:r w:rsidRPr="00927CFF">
        <w:t xml:space="preserve">Unionen er fast besluttet på at beskytte og forbedre menneskers sundhed, navnlig for at bekæmpe de største grænseoverskridende trusler mod sundheden med foranstaltninger vedrørende monitorering, tidlig varsling og bekæmpelse af alvorlige grænseoverskridende sundhedstrusler. </w:t>
      </w:r>
    </w:p>
    <w:p w14:paraId="53A2FA9B" w14:textId="497E3C5B" w:rsidR="00B50935" w:rsidRPr="00927CFF" w:rsidRDefault="00B50935" w:rsidP="00F36FFA">
      <w:pPr>
        <w:pStyle w:val="Considrant"/>
        <w:numPr>
          <w:ilvl w:val="0"/>
          <w:numId w:val="18"/>
        </w:numPr>
      </w:pPr>
      <w:r w:rsidRPr="00927CFF">
        <w:t>Ved Europa-Parlamentets og Rådets forordning (EF) nr. 851/2004</w:t>
      </w:r>
      <w:r w:rsidRPr="00927CFF">
        <w:rPr>
          <w:rStyle w:val="FootnoteReference"/>
        </w:rPr>
        <w:footnoteReference w:id="10"/>
      </w:r>
      <w:r w:rsidRPr="00927CFF">
        <w:t xml:space="preserve"> blev der oprettet et uafhængigt europæisk agentur — Det Europæiske Center for Forebyggelse af og Kontrol med Sygdomme ("centret"), hvis kommissorium går ud på at identificere, vurdere og formidle oplysninger om eksisterende og nye sundhedsrisici for mennesker fra overførbare sygdomme. </w:t>
      </w:r>
    </w:p>
    <w:p w14:paraId="2E74F4D6" w14:textId="0ADE5CD5" w:rsidR="00B50935" w:rsidRPr="00927CFF" w:rsidRDefault="00B50935" w:rsidP="00B50935">
      <w:pPr>
        <w:pStyle w:val="Considrant"/>
      </w:pPr>
      <w:r w:rsidRPr="00927CFF">
        <w:t xml:space="preserve">Den 11. marts 2020 erklærede Verdenssundhedsorganisationen (WHO), at udbruddet af den nye coronavirus (covid-19) var en global pandemi. Ud fra de udfordringer, der opstod i forbindelse med indsatsen over for pandemien, blev det klart, at centrets rolle i EU's rammer for sundhedskriseberedskab og -indsats burde styrkes. </w:t>
      </w:r>
    </w:p>
    <w:p w14:paraId="57E17821" w14:textId="604CFFD5" w:rsidR="00B50935" w:rsidRPr="00927CFF" w:rsidRDefault="00B50935" w:rsidP="00B50935">
      <w:pPr>
        <w:pStyle w:val="Considrant"/>
      </w:pPr>
      <w:r w:rsidRPr="00927CFF">
        <w:t>I en fælles udtalelse fra Europa-Kommissionens gruppe af ledende videnskabelige rådgivere, Den Europæiske Gruppe vedrørende Etik inden for Naturvidenskab og Ny Teknologi og den særlige rådgiver for Europa-Kommissionens formand om indsatsen over for covid-19 anbefales det, at der oprettes et europæisk rådgivende organ for sundhedstrusler og -kriser.</w:t>
      </w:r>
    </w:p>
    <w:p w14:paraId="7FCA6147" w14:textId="77777777" w:rsidR="00B50935" w:rsidRPr="00927CFF" w:rsidRDefault="00B50935" w:rsidP="00B50935">
      <w:pPr>
        <w:pStyle w:val="Considrant"/>
      </w:pPr>
      <w:r w:rsidRPr="00927CFF">
        <w:t>Nærværende forordning udvider således centrets kommissorium og opgaver med henblik på at øge centrets kapacitet til at levere den fornødne videnskabelige ekspertbistand og støtte aktioner, der er relevante for forebyggelse, beredskab, indsatsplanlægning og bekæmpelse af alvorlige grænseoverskridende sundhedstrusler i Unionen i overensstemmelse med Europa-Parlamentets og Rådets forordning (EU) nr..../... [ISC/2020/12524]</w:t>
      </w:r>
      <w:r w:rsidRPr="00927CFF">
        <w:rPr>
          <w:rStyle w:val="FootnoteReference"/>
        </w:rPr>
        <w:footnoteReference w:id="11"/>
      </w:r>
      <w:r w:rsidRPr="00927CFF">
        <w:t xml:space="preserve">. </w:t>
      </w:r>
    </w:p>
    <w:p w14:paraId="1202D216" w14:textId="4FDCD3D7" w:rsidR="00B50935" w:rsidRPr="00927CFF" w:rsidRDefault="00B50935" w:rsidP="00B50935">
      <w:pPr>
        <w:pStyle w:val="Considrant"/>
      </w:pPr>
      <w:r w:rsidRPr="00927CFF">
        <w:t>I den forbindelse bør centret have til opgave at levere epidemiologiske oplysninger og analyse heraf, epidemiologiske modeller, foregribelse og prognoser, relevante risikovurderinger og anbefalinger, som opstiller muligheder for forebyggelse og bekæmpelse af overførbare sygdomme. Centrets aktiviteter bør være i overensstemmelse med en One Health-tilgang, der anerkender de indbyrdes forbindelser mellem menneskers og dyrs sundhed og miljøet. Det bør monitorere de nationale sundhedssystemers kapacitet til at reagere på trusler fra overførbare sygdomme, navnlig i betragtning af betydningen af sådanne oplysninger i udarbejdelsen af de nationale beredskabs- og indsatsplaner. Centret bør understøtte gennemførelsen af foranstaltninger, der finansieres af EU's relevante finansieringsprogrammer og -instrumenter og vedrører overførbare sygdomme, udstikke retningslinjer for behandling og håndtering af tilfælde på grundlag af en grundig vurdering af den seneste dokumentation, understøtte indsatsen over for epidemier og udbrud i medlemsstaterne og tredjelande, herunder indsats i felten, og levere rettidige, objektive, pålidelige og lettilgængelige oplysninger om overførbare sygdomme til offentligheden. Centret bør også etablere klare procedurer for samarbejde med folkesundhedsaktører i tredjelande samt internationale organisationer, der har kompetence inden for folkesundhed, og dermed bidrage til EU's engagement i at styrke partnernes beredskabs- og indsatskapacitet.</w:t>
      </w:r>
    </w:p>
    <w:p w14:paraId="1142620C" w14:textId="1C3265BC" w:rsidR="00B50935" w:rsidRPr="00927CFF" w:rsidRDefault="00B50935" w:rsidP="00F36FFA">
      <w:pPr>
        <w:pStyle w:val="Considrant"/>
        <w:numPr>
          <w:ilvl w:val="0"/>
          <w:numId w:val="18"/>
        </w:numPr>
      </w:pPr>
      <w:r w:rsidRPr="00927CFF">
        <w:t>For effektivt at støtte centrets arbejde og sikre, at dets kommissorium opfyldes, bør medlemsstaterne have til opgave at give centret data om overvågningen af overførbare sygdomme og andre særlige sundhedsspørgsmål som f.eks. antimikrobiel resistens og infektioner forårsaget i sundhedssektoren vedrørende overførbare sygdomme, tilgængelige videnskabelige og tekniske data og oplysninger, der er relevante for centrets kommissorium, at underrette centret om eventuelle alvorlige grænseoverskridende sundhedstrusler, oplysninger om beredskabs- og indsatsplanlægning og kapacitet på sundhedsområdet samt stille relevante oplysninger til rådighed, som kan være nyttige for koordinering af indsatsen, samt pege på anerkendte kompetente organer og folkesundhedseksperter, der står til rådighed for at bistå med EU-indsatsen over for sundhedstrusler.</w:t>
      </w:r>
    </w:p>
    <w:p w14:paraId="3AB827D9" w14:textId="04FF824C" w:rsidR="00B50935" w:rsidRPr="00927CFF" w:rsidRDefault="00B50935" w:rsidP="00B50935">
      <w:pPr>
        <w:pStyle w:val="Considrant"/>
      </w:pPr>
      <w:r w:rsidRPr="00927CFF">
        <w:t xml:space="preserve">For at styrke beredskabs- og indsatsplanlægningsaktiviteterne i Unionen bør centrets drift af specifikke net og netværksaktiviteter udvides for at afspejle anvendelsesområdet for forordning (EU).../.... [EUT: </w:t>
      </w:r>
      <w:r w:rsidRPr="00927CFF">
        <w:rPr>
          <w:i/>
        </w:rPr>
        <w:t xml:space="preserve">Indsæt henvisning til forordning SCBTH </w:t>
      </w:r>
      <w:r w:rsidRPr="00927CFF">
        <w:t>[ISC/2020/12524]]. I det øjemed bør centret koordinere og yde teknisk og videnskabelig ekspertbistand til Kommissionen og medlemsstaterne gennem specifikke netværk med kompetente koordineringsorganer, herunder nyligt oprettede netværk for laboratorier og for ydelse af transfusion, transplantation og medicinsk assisteret reproduktion.</w:t>
      </w:r>
    </w:p>
    <w:p w14:paraId="45DD803B" w14:textId="2056DF93" w:rsidR="00B50935" w:rsidRPr="00927CFF" w:rsidRDefault="00B50935" w:rsidP="00B50935">
      <w:pPr>
        <w:pStyle w:val="Considrant"/>
      </w:pPr>
      <w:r w:rsidRPr="00927CFF">
        <w:t>Med henblik på at øge effektiviteten af epidemiologisk overvågning af overførbare sygdomme og relaterede specielle sundhedsspørgsmål i Unionen bør centret have til opgave at videreudvikle digitale platforme og applikationer, støtte epidemiologisk overvågning på EU-plan, muliggøre brug af digitale teknologier såsom kunstig intelligens til indsamling og analyse af data og yde medlemsstaterne teknisk og videnskabelig rådgivning til etablering af integrerede epidemiologiske overvågningssystemer. Sådanne digitale platforme og applikationer bør udvikles med integrerede rumbaserede EU-data med henblik på at integrere dem i det fremtidige europæiske sundhedsdataområde ifølge EU-lovgivningen.</w:t>
      </w:r>
    </w:p>
    <w:p w14:paraId="5D8D2D73" w14:textId="13CEAACC" w:rsidR="00B50935" w:rsidRPr="00927CFF" w:rsidRDefault="00B50935" w:rsidP="00B50935">
      <w:pPr>
        <w:pStyle w:val="Considrant"/>
      </w:pPr>
      <w:r w:rsidRPr="00927CFF">
        <w:t>For at styrke Unionens og medlemsstaternes kapacitet til at vurdere den epidemiologiske situation og foretage en nøjagtig risikovurdering og indsats bør centret navnlig monitorere og rapportere om tendenser i overførbare sygdomme, støtte og lette evidensbaserede indsatstiltag, give anbefalinger om forbedring af forebyggelses- og bekæmpelsesprogrammerne vedrørende overførbare sygdomme, der er etableret på nationalt plan og på EU-plan, overvåge og vurdere de nationale sundhedssystemers kapacitet til diagnosticering, forebyggelse og behandling af overførbare sygdomme, herunder på en kønssensitiv måde, identificere risikogrupper i befolkningen, der har behov for særlige foranstaltninger, analysere sammenhængen mellem sygdomsforekomst og samfunds- og miljøfaktorer og identificere risikofaktorer for smitteoverførsel og overførbare sygdommes alvor og identificere forskningsbehov og -prioriteter. Centret bør arbejde med udnævnte nationale knudepunkter for overvågning, der udgør et netværk, som rådgiver centret i strategisk henseende om sådanne spørgsmål og vil fremme brugen af understøttende sektorer såsom EU-rumdata og -tjenester.</w:t>
      </w:r>
    </w:p>
    <w:p w14:paraId="0C1582B3" w14:textId="77777777" w:rsidR="00B50935" w:rsidRPr="00927CFF" w:rsidRDefault="00B50935" w:rsidP="00B50935">
      <w:pPr>
        <w:pStyle w:val="Considrant"/>
      </w:pPr>
      <w:r w:rsidRPr="00927CFF">
        <w:t xml:space="preserve">Centret bør bidrage til at styrke kapaciteten i Unionen til at diagnosticere, påvise, identificere og karakterisere infektiøse agenser, som kan true folkesundheden, ved at sikre driften af netværket af EU-referencelaboratorier i overensstemmelse med forordning (EU).../... [EUT: </w:t>
      </w:r>
      <w:r w:rsidRPr="00927CFF">
        <w:rPr>
          <w:i/>
        </w:rPr>
        <w:t xml:space="preserve">Indsæt henvisning til forordning SCBTH </w:t>
      </w:r>
      <w:r w:rsidRPr="00927CFF">
        <w:t xml:space="preserve">[ISC/2020/12524]]. Dette netværk er ansvarligt for at fremme god praksis og indbyrdes tilpasning af diagnosticering, testmetoder og anvendelse af test med henblik på at sikre ensartet overvågning, anmeldelse og rapportering af sygdomme samt styrket kvalitet af testning og overvågning. </w:t>
      </w:r>
    </w:p>
    <w:p w14:paraId="3043D26A" w14:textId="77777777" w:rsidR="00B50935" w:rsidRPr="00927CFF" w:rsidRDefault="00B50935" w:rsidP="00B50935">
      <w:pPr>
        <w:pStyle w:val="Considrant"/>
      </w:pPr>
      <w:r w:rsidRPr="00927CFF">
        <w:t xml:space="preserve">I tilfælde af grænseoverskridende sundhedstrusler som følge af overførbare sygdomme kan blod- og transplantationstjenester i medlemsstaterne være et middel til hurtig testning af donorpopulationen og vurdering af eksponeringen for og immunitet mod sygdommen i den almindelige befolkning. Disse tjenester er afhængige af, at centret foretager hurtige risikovurderinger for at beskytte patienter, der har behov for behandling med et stof af menneskelig oprindelse, mod overførsel af en sådan overførbar sygdom. Disse risikovurderinger danner grundlag for en passende tilpasning af foranstaltninger til fastsættelse af standarder for kvaliteten og sikkerheden af stoffer af menneskelig oprindelse. Centret bør derfor oprette og drive et netværk af nationale blod- og transplantationstjenester og deres myndigheder for at opfylde dette dobbelte formål. </w:t>
      </w:r>
    </w:p>
    <w:p w14:paraId="34EBE7A1" w14:textId="3A0142E7" w:rsidR="00B50935" w:rsidRPr="00927CFF" w:rsidRDefault="00B50935" w:rsidP="00B50935">
      <w:pPr>
        <w:pStyle w:val="Considrant"/>
      </w:pPr>
      <w:r w:rsidRPr="00927CFF">
        <w:t xml:space="preserve">Med henblik på at mindske forekomsten af epidemier og styrke kapaciteten til at forebygge overførbare sygdomme i Unionen bør centret udarbejde en ramme for forebyggelse af overførbare sygdomme, der behandler spørgsmål som f.eks. vaccineforebyggelige sygdomme, antimikrobiel resistens, sundhedsuddannelse, sundhedskompetence og adfærdsændring. </w:t>
      </w:r>
    </w:p>
    <w:p w14:paraId="5921CB07" w14:textId="0F9C0ED4" w:rsidR="00B50935" w:rsidRPr="00927CFF" w:rsidRDefault="00B50935" w:rsidP="00B50935">
      <w:pPr>
        <w:pStyle w:val="Considrant"/>
      </w:pPr>
      <w:r w:rsidRPr="00927CFF">
        <w:t xml:space="preserve">Centret bør styrke beredskabs- og indsatskapaciteten på nationalt plan og EU-plan ved at yde videnskabelig og teknisk ekspertbistand til medlemsstaterne og Kommissionen. I denne forbindelse bør centret i tæt samarbejde med medlemsstaterne og Kommissionen gennemføre forskellige foranstaltninger, herunder udarbejdelse af EU's og nationale beredskabs- og indsatsplaner samt rammer for beredskabsmonitorering og -evaluering, give anbefalinger vedrørende kapacitet til at forebyggelse, beredskab og indsats i forhold til sygdomsudbrud og vedrørende styrkelse af de nationale sundhedssystemer. Centret bør udvide sin indsamling og analyse af data vedrørende epidemiologisk overvågning og relaterede særlige sundhedsspørgsmål, udviklingen i epidemiske situationer, usædvanlige epidemiske fænomener eller nye sygdomme af ukendt oprindelse, herunder i tredjelande, molekylære data om patogener og sundhedsdata. Med henblik herpå bør centret sikre passende datasæt samt med henblik på at lette samråd og transmission af samt adgang til data, foretage videnskabelig og teknisk evaluering af forebyggelses- og bekæmpelsesforanstaltninger på EU-plan og arbejde med agenturer, kompetente organer og organisationer, der beskæftiger sig med dataindsamling. </w:t>
      </w:r>
    </w:p>
    <w:p w14:paraId="0076A696" w14:textId="42C1CB56" w:rsidR="00B50935" w:rsidRPr="00927CFF" w:rsidRDefault="00B50935" w:rsidP="00B50935">
      <w:pPr>
        <w:pStyle w:val="Considrant"/>
      </w:pPr>
      <w:r w:rsidRPr="00927CFF">
        <w:t>Forordning.../... [ EUT:</w:t>
      </w:r>
      <w:r w:rsidRPr="00927CFF">
        <w:rPr>
          <w:i/>
        </w:rPr>
        <w:t xml:space="preserve"> </w:t>
      </w:r>
      <w:r w:rsidRPr="00927CFF">
        <w:rPr>
          <w:i/>
          <w:iCs/>
        </w:rPr>
        <w:t>Indsæt henvisning til forordning SCBTH</w:t>
      </w:r>
      <w:r w:rsidRPr="00927CFF">
        <w:t xml:space="preserve"> [ISC/2020/12524]] indeholder bestemmelser om systemet for tidlig varsling og reaktion, der gør det muligt på EU-plan at varsle om alvorlige grænseoverskridende sundhedstrusler, og som fortsat drives af centret. I betragtning af at moderne teknologier kan være til væsentlig støtte for bekæmpelsen af sundhedstrusler og inddæmning og bekæmpelse af epidemier, bør centret arbejde på at ajourføre dette system for at gøre det muligt at anvende kunstig intelligens og interoperable og privatlivsbevarende digitale værktøjer, såsom mobile applikationer, med opsporingsfunktioner, der gør det muligt at identificere personer, der har risiko for at blive smittet.</w:t>
      </w:r>
    </w:p>
    <w:p w14:paraId="62E17034" w14:textId="3DE2CFFC" w:rsidR="00B50935" w:rsidRPr="00927CFF" w:rsidRDefault="00B50935" w:rsidP="00B50935">
      <w:pPr>
        <w:pStyle w:val="Considrant"/>
      </w:pPr>
      <w:r w:rsidRPr="00927CFF">
        <w:t>Centret bør etablere passende kapaciteter til støtte for international indsats og indsats i felten i overensstemmelse med forordning.../... [ EUT:</w:t>
      </w:r>
      <w:r w:rsidRPr="00927CFF">
        <w:rPr>
          <w:i/>
        </w:rPr>
        <w:t xml:space="preserve"> Indsæt henvisning til forordning SCBTH </w:t>
      </w:r>
      <w:r w:rsidRPr="00927CFF">
        <w:t>[ISC/2020/12524]]. Disse kapaciteter bør sætte centret i stand til at mobilisere og indsætte indsatsteams, der skal yde bistand ved udbrud, kaldet "EU-sundhedstaskforcen", med henblik på at støtte lokal indsats over for sygdomsudbrud. Centret bør derfor sikre kapacitet til at foretage besøg i medlemsstaterne såvel som i tredjelande og til at give anbefalinger om indsats over for sundhedstrusler. Disse teams vil også kunne indsættes under EU-civilbeskyttelsesmekanismen med støtte fra Katastrofeberedskabskoordinationscentret. Centret bør også støtte styrkelsen af beredskabskapaciteten i tredjelande i henhold til det internationale sundhedsregulativ (IHR) for at adressere alvorlige grænseoverskridende sundhedstrusler og konsekvenserne heraf.</w:t>
      </w:r>
    </w:p>
    <w:p w14:paraId="7D9A5F11" w14:textId="4A33CC53" w:rsidR="00B50935" w:rsidRPr="00927CFF" w:rsidRDefault="00B50935" w:rsidP="00B50935">
      <w:pPr>
        <w:pStyle w:val="Considrant"/>
      </w:pPr>
      <w:r w:rsidRPr="00927CFF">
        <w:t>For at støtte indsatsen over for udbrud, der kan sprede sig inden for eller til Unionen, skal centret udarbejde en ramme for mobilisering af EU-sundhedstaskforcen i overensstemmelse med Europa-Parlamentets og Rådets afgørelse nr. 1313/2013/EU</w:t>
      </w:r>
      <w:r w:rsidRPr="00927CFF">
        <w:rPr>
          <w:rStyle w:val="FootnoteReference"/>
        </w:rPr>
        <w:footnoteReference w:id="12"/>
      </w:r>
      <w:r w:rsidRPr="00927CFF">
        <w:t xml:space="preserve"> og lette deltagelse af Unionens eksperter vedrørende indsats i felten i internationale indsatshold til støtte for EU-civilbeskyttelsesmekanismen. Centret bør styrke evnerne hos sit personale og hos eksperter fra EU- og EØS-lande, kandidatlande og potentielle kandidatlande samt europæiske naboskabslande og EU-partnerlande, jf. Europa-Parlamentets og Rådets forordning (EU) nr. 233/2014</w:t>
      </w:r>
      <w:r w:rsidRPr="00927CFF">
        <w:rPr>
          <w:rStyle w:val="FootnoteReference"/>
        </w:rPr>
        <w:footnoteReference w:id="13"/>
      </w:r>
      <w:r w:rsidRPr="00927CFF">
        <w:t>, så de effektivt kan deltage i feltmissioner og krisestyring.</w:t>
      </w:r>
    </w:p>
    <w:p w14:paraId="263E1539" w14:textId="77777777" w:rsidR="00B50935" w:rsidRPr="00927CFF" w:rsidRDefault="00B50935" w:rsidP="00B50935">
      <w:pPr>
        <w:pStyle w:val="Considrant"/>
      </w:pPr>
      <w:r w:rsidRPr="00927CFF">
        <w:t xml:space="preserve">For at vurdere virkningsfuldheden og effektiviteten af de retlige bestemmelser, der gælder for centret, bør Kommissionen skulle foretage en regelmæssig evaluering af centrets præstationer. </w:t>
      </w:r>
    </w:p>
    <w:p w14:paraId="36C103E6" w14:textId="77777777" w:rsidR="00B50935" w:rsidRPr="00927CFF" w:rsidRDefault="00B50935" w:rsidP="00B50935">
      <w:pPr>
        <w:pStyle w:val="Considrant"/>
      </w:pPr>
      <w:r w:rsidRPr="00927CFF">
        <w:t>Denne forordning bør ikke tillægge centret regeludstedende beføjelser.</w:t>
      </w:r>
    </w:p>
    <w:p w14:paraId="25BF6061" w14:textId="77777777" w:rsidR="00B50935" w:rsidRPr="00927CFF" w:rsidRDefault="00B50935" w:rsidP="00B50935">
      <w:pPr>
        <w:pStyle w:val="Considrant"/>
        <w:rPr>
          <w:szCs w:val="24"/>
        </w:rPr>
      </w:pPr>
      <w:r w:rsidRPr="00927CFF">
        <w:t>Centret bør iværksætte et informationssystem til udveksling af klassificerede og følsomme, ikke-klassificerede informationer for at sikre, at disse oplysninger forvaltes med den største diskretion.</w:t>
      </w:r>
    </w:p>
    <w:p w14:paraId="39E12A34" w14:textId="77777777" w:rsidR="00B50935" w:rsidRPr="00927CFF" w:rsidRDefault="00B50935" w:rsidP="00B50935">
      <w:pPr>
        <w:pStyle w:val="Considrant"/>
      </w:pPr>
      <w:r w:rsidRPr="00927CFF">
        <w:t>I betragtning af sagens hastende karakter som følge af de ekstraordinære omstændigheder, som covid-19-pandemien har forårsaget, bør der ske fravigelse af den periode på otte uger, der er omhandlet i artikel 4 i protokol nr. 1 om de nationale parlamenters rolle i Den Europæiske Union, der er knyttet som bilag til traktaten om Den Europæiske Union, traktaten om Den Europæiske Unions funktionsmåde og traktaten om oprettelse af Det Europæiske Atomenergifællesskab.</w:t>
      </w:r>
    </w:p>
    <w:p w14:paraId="0E1CD2E1" w14:textId="77777777" w:rsidR="00B50935" w:rsidRPr="00927CFF" w:rsidRDefault="00B50935" w:rsidP="00B50935">
      <w:pPr>
        <w:pStyle w:val="Considrant"/>
      </w:pPr>
      <w:r w:rsidRPr="00927CFF">
        <w:t>Målene for denne forordning, nemlig at udvide centrets kommissorium og opgaver med henblik på at styrke centrets kapacitet til at yde den fornødne videnskabelige ekspertbistand og støtte foranstaltninger til bekæmpelse af alvorlige grænseoverskridende sundhedstrusler i Unionen, kan ikke i tilstrækkelig grad opfyldes af medlemsstaterne, men kan på grund af sundhedstruslernes grænseoverskridende karakter og behovet for en hurtig, koordineret og sammenhængende indsats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nå disse mål.</w:t>
      </w:r>
    </w:p>
    <w:p w14:paraId="02D2A7E1" w14:textId="77777777" w:rsidR="00B50935" w:rsidRPr="00927CFF" w:rsidRDefault="00B50935" w:rsidP="00B50935">
      <w:pPr>
        <w:pStyle w:val="Considrant"/>
      </w:pPr>
      <w:r w:rsidRPr="00927CFF">
        <w:t>Forordning (EF) nr. 851/2004 bør derfor ændres —</w:t>
      </w:r>
    </w:p>
    <w:p w14:paraId="667F27AC" w14:textId="77777777" w:rsidR="00B50935" w:rsidRPr="00927CFF" w:rsidRDefault="00B50935" w:rsidP="00B50935">
      <w:pPr>
        <w:pStyle w:val="Formuledadoption"/>
      </w:pPr>
      <w:r w:rsidRPr="00927CFF">
        <w:t>VEDTAGET DENNE FORORDNING:</w:t>
      </w:r>
    </w:p>
    <w:p w14:paraId="3721CF86" w14:textId="77777777" w:rsidR="00B50935" w:rsidRPr="00927CFF" w:rsidRDefault="00B50935" w:rsidP="00B50935">
      <w:pPr>
        <w:pStyle w:val="Titrearticle"/>
        <w:rPr>
          <w:i w:val="0"/>
        </w:rPr>
      </w:pPr>
      <w:r w:rsidRPr="00927CFF">
        <w:t>Artikel 1</w:t>
      </w:r>
    </w:p>
    <w:p w14:paraId="27231096" w14:textId="77777777" w:rsidR="00B50935" w:rsidRPr="00927CFF" w:rsidRDefault="00B50935" w:rsidP="00B50935">
      <w:pPr>
        <w:jc w:val="left"/>
      </w:pPr>
      <w:r w:rsidRPr="00927CFF">
        <w:t>I forordning (EF) nr. 851/2004 foretages følgende ændringer:</w:t>
      </w:r>
    </w:p>
    <w:p w14:paraId="07401A38" w14:textId="77777777" w:rsidR="00B50935" w:rsidRPr="00927CFF" w:rsidRDefault="00B50935" w:rsidP="00B50935">
      <w:pPr>
        <w:pStyle w:val="Point0"/>
      </w:pPr>
      <w:r w:rsidRPr="00927CFF">
        <w:t>1)</w:t>
      </w:r>
      <w:r w:rsidRPr="00927CFF">
        <w:tab/>
        <w:t>Artikel 2 affattes således:</w:t>
      </w:r>
    </w:p>
    <w:p w14:paraId="413A9403" w14:textId="01A2255D" w:rsidR="00B50935" w:rsidRPr="00927CFF" w:rsidRDefault="00B50935" w:rsidP="00B50935">
      <w:pPr>
        <w:pStyle w:val="Text1"/>
        <w:rPr>
          <w:i/>
        </w:rPr>
      </w:pPr>
      <w:r w:rsidRPr="00927CFF">
        <w:t>"</w:t>
      </w:r>
    </w:p>
    <w:p w14:paraId="7F4CFD5E" w14:textId="77777777" w:rsidR="00B50935" w:rsidRPr="00927CFF" w:rsidRDefault="00B50935" w:rsidP="00B50935">
      <w:pPr>
        <w:pStyle w:val="Titrearticle"/>
      </w:pPr>
      <w:r w:rsidRPr="00927CFF">
        <w:t>Artikel 2</w:t>
      </w:r>
    </w:p>
    <w:p w14:paraId="47A10DE3" w14:textId="77777777" w:rsidR="00B50935" w:rsidRPr="00927CFF" w:rsidRDefault="00B50935" w:rsidP="00B50935">
      <w:pPr>
        <w:jc w:val="center"/>
        <w:rPr>
          <w:b/>
        </w:rPr>
      </w:pPr>
      <w:r w:rsidRPr="00927CFF">
        <w:rPr>
          <w:b/>
        </w:rPr>
        <w:t>Definitioner</w:t>
      </w:r>
    </w:p>
    <w:p w14:paraId="089E985B" w14:textId="77777777" w:rsidR="00B50935" w:rsidRPr="00927CFF" w:rsidRDefault="00B50935" w:rsidP="00B50935">
      <w:pPr>
        <w:pStyle w:val="Text1"/>
      </w:pPr>
      <w:r w:rsidRPr="00927CFF">
        <w:t>I denne forordning forstås ved:</w:t>
      </w:r>
    </w:p>
    <w:p w14:paraId="47479B32" w14:textId="77777777" w:rsidR="00B50935" w:rsidRPr="00927CFF" w:rsidRDefault="00B50935" w:rsidP="00B50935">
      <w:pPr>
        <w:pStyle w:val="Point1"/>
      </w:pPr>
      <w:r w:rsidRPr="00927CFF">
        <w:t>1)</w:t>
      </w:r>
      <w:r w:rsidRPr="00927CFF">
        <w:tab/>
        <w:t xml:space="preserve">"kompetent organ": instanser, institutter, agenturer eller andre videnskabelige organer, som medlemsstaternes myndigheder har anerkendt som værende i stand til at formidle uafhængig videnskabelig og teknisk rådgivning eller træffe foranstaltninger med henblik på forebyggelse af og kontrol med sygdomme hos mennesker </w:t>
      </w:r>
    </w:p>
    <w:p w14:paraId="2119B996" w14:textId="77777777" w:rsidR="00B50935" w:rsidRPr="00927CFF" w:rsidRDefault="00B50935" w:rsidP="00B50935">
      <w:pPr>
        <w:pStyle w:val="Point1"/>
      </w:pPr>
      <w:r w:rsidRPr="00927CFF">
        <w:t>2)</w:t>
      </w:r>
      <w:r w:rsidRPr="00927CFF">
        <w:tab/>
        <w:t xml:space="preserve">"koordinerende kompetent organ": et organ i hver medlemsstat med en udpeget national koordinator med ansvar for institutionelle kontakter med centret samt nationale knudepunkter og operationelle kontaktpunkter med ansvar for strategisk og operationelt samarbejde om tekniske og videnskabelige spørgsmål i forbindelse med specifikke sygdomskategorier og folkesundhedsfunktioner </w:t>
      </w:r>
    </w:p>
    <w:p w14:paraId="72F182F6" w14:textId="70F19E60" w:rsidR="00B50935" w:rsidRPr="00927CFF" w:rsidRDefault="00B50935" w:rsidP="00B50935">
      <w:pPr>
        <w:pStyle w:val="Point1"/>
      </w:pPr>
      <w:r w:rsidRPr="00927CFF">
        <w:t>3)</w:t>
      </w:r>
      <w:r w:rsidRPr="00927CFF">
        <w:tab/>
        <w:t xml:space="preserve">"specifikt net": specifikt net vedrørende sygdomme, specielle sundhedsspørgsmål eller folkesundhedsfunktioner med henblik på at sikre samarbejde mellem medlemsstaternes koordinerende kompetente myndigheder </w:t>
      </w:r>
    </w:p>
    <w:p w14:paraId="3639FE8B" w14:textId="77777777" w:rsidR="00B50935" w:rsidRPr="00927CFF" w:rsidRDefault="00B50935" w:rsidP="00B50935">
      <w:pPr>
        <w:pStyle w:val="Point1"/>
        <w:rPr>
          <w:color w:val="FF0000"/>
        </w:rPr>
      </w:pPr>
      <w:r w:rsidRPr="00927CFF">
        <w:t>4)</w:t>
      </w:r>
      <w:r w:rsidRPr="00927CFF">
        <w:tab/>
        <w:t>"overførbar sygdom": overførbar sygdom som defineret i artikel 3, nr. 2), i forordning (EU) …/… [</w:t>
      </w:r>
      <w:r w:rsidRPr="00927CFF">
        <w:rPr>
          <w:i/>
        </w:rPr>
        <w:t>EUT:</w:t>
      </w:r>
      <w:r w:rsidRPr="00927CFF">
        <w:rPr>
          <w:i/>
          <w:color w:val="FF0000"/>
        </w:rPr>
        <w:t xml:space="preserve"> Indsæt nummeret på forordning SCBTH </w:t>
      </w:r>
      <w:r w:rsidRPr="00927CFF">
        <w:rPr>
          <w:color w:val="FF0000"/>
        </w:rPr>
        <w:t>[ISC/2020/12524]]</w:t>
      </w:r>
    </w:p>
    <w:p w14:paraId="69E6F8FA" w14:textId="77777777" w:rsidR="00B50935" w:rsidRPr="00927CFF" w:rsidRDefault="00B50935" w:rsidP="00B50935">
      <w:pPr>
        <w:pStyle w:val="Point1"/>
      </w:pPr>
      <w:r w:rsidRPr="00927CFF">
        <w:t>5)</w:t>
      </w:r>
      <w:r w:rsidRPr="00927CFF">
        <w:tab/>
        <w:t>"alvorlig grænseoverskridende sundhedstrussel": alvorlig grænseoverskridende sundhedstrussel som defineret i artikel 3, nr. 7), i forordning (EU).../... [</w:t>
      </w:r>
      <w:r w:rsidRPr="00927CFF">
        <w:rPr>
          <w:i/>
          <w:iCs/>
        </w:rPr>
        <w:t>EUT:</w:t>
      </w:r>
      <w:r w:rsidRPr="00927CFF">
        <w:rPr>
          <w:i/>
          <w:color w:val="FF0000"/>
        </w:rPr>
        <w:t xml:space="preserve"> Indsæt nummeret på forordning SCBTH </w:t>
      </w:r>
      <w:r w:rsidRPr="00927CFF">
        <w:rPr>
          <w:color w:val="FF0000"/>
        </w:rPr>
        <w:t>[ISC/2020/12524]]</w:t>
      </w:r>
    </w:p>
    <w:p w14:paraId="5CEA90E5" w14:textId="37A7417E" w:rsidR="00B50935" w:rsidRPr="00927CFF" w:rsidRDefault="00B50935" w:rsidP="00B50935">
      <w:pPr>
        <w:pStyle w:val="Point1"/>
      </w:pPr>
      <w:r w:rsidRPr="00927CFF">
        <w:t>6)</w:t>
      </w:r>
      <w:r w:rsidRPr="00927CFF">
        <w:tab/>
        <w:t>"epidemiologisk overvågning": epidemiologisk overvågning som defineret i artikel 3, nr. 4), i forordning (EU) …/… [</w:t>
      </w:r>
      <w:r w:rsidRPr="00927CFF">
        <w:rPr>
          <w:i/>
        </w:rPr>
        <w:t>EUT:</w:t>
      </w:r>
      <w:r w:rsidRPr="00927CFF">
        <w:rPr>
          <w:i/>
          <w:color w:val="FF0000"/>
        </w:rPr>
        <w:t xml:space="preserve"> Indsæt nummeret på forordning SCBTH </w:t>
      </w:r>
      <w:r w:rsidRPr="00927CFF">
        <w:rPr>
          <w:color w:val="FF0000"/>
        </w:rPr>
        <w:t>[ISC/2020/12524]].</w:t>
      </w:r>
      <w:r w:rsidRPr="00927CFF">
        <w:t xml:space="preserve"> "</w:t>
      </w:r>
    </w:p>
    <w:p w14:paraId="0DF09DDB" w14:textId="6F347A1B" w:rsidR="00B50935" w:rsidRPr="00927CFF" w:rsidRDefault="00B50935" w:rsidP="00B50935">
      <w:pPr>
        <w:pStyle w:val="Point0"/>
      </w:pPr>
      <w:r w:rsidRPr="00927CFF">
        <w:t>2)</w:t>
      </w:r>
      <w:r w:rsidRPr="00927CFF">
        <w:tab/>
        <w:t xml:space="preserve">Artikel 3 affattes således: </w:t>
      </w:r>
    </w:p>
    <w:p w14:paraId="62E48BC9" w14:textId="77777777" w:rsidR="00B50935" w:rsidRPr="00927CFF" w:rsidRDefault="00B50935" w:rsidP="00B50935">
      <w:pPr>
        <w:pStyle w:val="Titrearticle"/>
        <w:rPr>
          <w:b/>
          <w:i w:val="0"/>
        </w:rPr>
      </w:pPr>
      <w:r w:rsidRPr="00927CFF">
        <w:t>"Artikel 3</w:t>
      </w:r>
    </w:p>
    <w:p w14:paraId="74D384D1" w14:textId="77777777" w:rsidR="00B50935" w:rsidRPr="00927CFF" w:rsidRDefault="00B50935" w:rsidP="00B50935">
      <w:pPr>
        <w:jc w:val="center"/>
      </w:pPr>
      <w:r w:rsidRPr="00927CFF">
        <w:rPr>
          <w:b/>
        </w:rPr>
        <w:t>Centrets kommissorium og opgaver</w:t>
      </w:r>
    </w:p>
    <w:p w14:paraId="719B4E38" w14:textId="4DD174A1" w:rsidR="00B50935" w:rsidRPr="00927CFF" w:rsidRDefault="00B50935" w:rsidP="00B50935">
      <w:pPr>
        <w:pStyle w:val="Point1"/>
      </w:pPr>
      <w:r w:rsidRPr="00927CFF">
        <w:t>1.</w:t>
      </w:r>
      <w:r w:rsidRPr="00927CFF">
        <w:tab/>
        <w:t xml:space="preserve">Med henblik på at sætte Unionen og medlemsstaterne i stand til bedre at beskytte menneskers sundhed gennem forebyggelse af og kontrol med overførbare sygdomme hos mennesker og relaterede specielle sundhedsspørgsmål, jf. artikel 2 i forordning </w:t>
      </w:r>
      <w:r w:rsidRPr="00927CFF">
        <w:rPr>
          <w:color w:val="FF0000"/>
        </w:rPr>
        <w:t>(EU) …/… [</w:t>
      </w:r>
      <w:r w:rsidRPr="00927CFF">
        <w:rPr>
          <w:i/>
          <w:color w:val="FF0000"/>
        </w:rPr>
        <w:t xml:space="preserve">OJ: Indsæt nummeret på forordning </w:t>
      </w:r>
      <w:r w:rsidRPr="00927CFF">
        <w:rPr>
          <w:color w:val="FF0000"/>
        </w:rPr>
        <w:t>[ISC/2020/12524]]</w:t>
      </w:r>
      <w:r w:rsidRPr="00927CFF">
        <w:t xml:space="preserve">, er centrets kommissorium at identificere, vurdere og formidle oplysninger om eksisterende og nye sundhedsrisici for mennesker fra overførbare sygdomme og efter behov give anbefalinger vedrørende indsatsen på EU-plan og nationalt plan samt på regionalt plan. </w:t>
      </w:r>
    </w:p>
    <w:p w14:paraId="6E14A3C4" w14:textId="73247495" w:rsidR="00B50935" w:rsidRPr="00927CFF" w:rsidRDefault="00B50935" w:rsidP="00B50935">
      <w:pPr>
        <w:pStyle w:val="Text2"/>
      </w:pPr>
      <w:r w:rsidRPr="00927CFF">
        <w:t xml:space="preserve">I tilfælde af andre sygdomsudbrud af ukendt oprindelse, som kan spredes inden for eller til Unionen, handler centret på eget initiativ, indtil kilden til udbruddet er kendt. Hvis det er klart, at et udbrud ikke skyldes en overførbar sygdom, handler centret kun i samarbejde med det kompetente organ på dettes anmodning. </w:t>
      </w:r>
    </w:p>
    <w:p w14:paraId="28DB85EC" w14:textId="77777777" w:rsidR="00B50935" w:rsidRPr="00927CFF" w:rsidRDefault="00B50935" w:rsidP="00B50935">
      <w:pPr>
        <w:pStyle w:val="Text2"/>
      </w:pPr>
      <w:r w:rsidRPr="00927CFF">
        <w:t>Centret tager i den forbindelse fuldt ud hensyn til det ansvar, der påhviler medlemsstaterne, Kommissionen og andre EU-agenturer samt internationale organisationer, som beskæftiger sig med folkesundhedsspørgsmål, for på den måde at sikre en omfattende, sammenhængende og konsekvent indsats, hvor de enkelte tiltag supplerer hinanden.</w:t>
      </w:r>
    </w:p>
    <w:p w14:paraId="08AD81FC" w14:textId="77777777" w:rsidR="00B50935" w:rsidRPr="00927CFF" w:rsidRDefault="00B50935" w:rsidP="00B50935">
      <w:pPr>
        <w:pStyle w:val="Point1"/>
      </w:pPr>
      <w:r w:rsidRPr="00927CFF">
        <w:t>2.</w:t>
      </w:r>
      <w:r w:rsidRPr="00927CFF">
        <w:tab/>
        <w:t xml:space="preserve">Centret varetager inden for rammerne af sin finansielle kapacitet og sit mandat følgende opgaver: </w:t>
      </w:r>
    </w:p>
    <w:p w14:paraId="03604C75" w14:textId="77777777" w:rsidR="00B50935" w:rsidRPr="00927CFF" w:rsidRDefault="00B50935" w:rsidP="00B50935">
      <w:pPr>
        <w:pStyle w:val="Point2"/>
      </w:pPr>
      <w:r w:rsidRPr="00927CFF">
        <w:t>a)</w:t>
      </w:r>
      <w:r w:rsidRPr="00927CFF">
        <w:tab/>
        <w:t>at søge, indsamle, sammenholde, evaluere og formidle relevante videnskabelige og tekniske data og oplysninger under hensyntagen til de nyeste teknologier</w:t>
      </w:r>
    </w:p>
    <w:p w14:paraId="2061E8EA" w14:textId="5B373B5D" w:rsidR="00B50935" w:rsidRPr="00927CFF" w:rsidRDefault="00B50935" w:rsidP="00B50935">
      <w:pPr>
        <w:pStyle w:val="Point2"/>
      </w:pPr>
      <w:r w:rsidRPr="00927CFF">
        <w:t>b)</w:t>
      </w:r>
      <w:r w:rsidRPr="00927CFF">
        <w:tab/>
        <w:t>at levere analyser, videnskabelig rådgivning, udtalelser og støtte til foranstaltninger truffet af Unionen og medlemsstaterne i forbindelse med grænseoverskridende sundhedstrusler, herunder risikovurderinger, analyse af epidemiologiske oplysninger, epidemiologisk modellering, foregribelse og prognose, anbefalinger vedrørende foranstaltninger til forebyggelse og bekæmpelse af trusler fra overførbare sygdomme og andre specielle sundhedsspørgsmål, bidrag til fastlæggelse af forskningsprioriteter og videnskabelig og teknisk bistand, herunder uddannelse og andre aktiviteter inden for dets mandat</w:t>
      </w:r>
    </w:p>
    <w:p w14:paraId="67312CA0" w14:textId="10E59D49" w:rsidR="00B50935" w:rsidRPr="00927CFF" w:rsidRDefault="00B50935" w:rsidP="00B50935">
      <w:pPr>
        <w:pStyle w:val="Point2"/>
      </w:pPr>
      <w:r w:rsidRPr="00927CFF">
        <w:t>c)</w:t>
      </w:r>
      <w:r w:rsidRPr="00927CFF">
        <w:tab/>
        <w:t>at koordinere europæisk netværkssamarbejde mellem organer, der beskæftiger sig med områder, som hører under centrets kommissorium, herunder netværk, der oprettes i forbindelse med folkesundhedstiltag med støtte fra Kommissionen, og som står for specifikke net</w:t>
      </w:r>
    </w:p>
    <w:p w14:paraId="6489EB3C" w14:textId="77777777" w:rsidR="00B50935" w:rsidRPr="00927CFF" w:rsidRDefault="00B50935" w:rsidP="00B50935">
      <w:pPr>
        <w:pStyle w:val="Point2"/>
      </w:pPr>
      <w:r w:rsidRPr="00927CFF">
        <w:t>d)</w:t>
      </w:r>
      <w:r w:rsidRPr="00927CFF">
        <w:tab/>
        <w:t xml:space="preserve">at udveksle informationer, ekspertise og bedste praksis </w:t>
      </w:r>
    </w:p>
    <w:p w14:paraId="1A125955" w14:textId="77777777" w:rsidR="00B50935" w:rsidRPr="00927CFF" w:rsidRDefault="00B50935" w:rsidP="00B50935">
      <w:pPr>
        <w:pStyle w:val="Point2"/>
      </w:pPr>
      <w:r w:rsidRPr="00927CFF">
        <w:t>e)</w:t>
      </w:r>
      <w:r w:rsidRPr="00927CFF">
        <w:tab/>
        <w:t>at monitorere sundhedssystemernes kapacitet til at håndtere trusler fra overførbare sygdomme og andre specielle sundhedsspørgsmål</w:t>
      </w:r>
    </w:p>
    <w:p w14:paraId="4CF9C102" w14:textId="77777777" w:rsidR="00B50935" w:rsidRPr="00927CFF" w:rsidRDefault="00B50935" w:rsidP="00B50935">
      <w:pPr>
        <w:pStyle w:val="Point2"/>
      </w:pPr>
      <w:r w:rsidRPr="00927CFF">
        <w:t>f)</w:t>
      </w:r>
      <w:r w:rsidRPr="00927CFF">
        <w:tab/>
        <w:t>at lette udvikling og gennemførelse af foranstaltninger, der finansieres af relevante EU-finansieringsprogrammer og -instrumenter, herunder gennemførelse af fælles aktioner</w:t>
      </w:r>
    </w:p>
    <w:p w14:paraId="246E4D3C" w14:textId="77777777" w:rsidR="00B50935" w:rsidRPr="00927CFF" w:rsidRDefault="00B50935" w:rsidP="00B50935">
      <w:pPr>
        <w:pStyle w:val="Point2"/>
      </w:pPr>
      <w:r w:rsidRPr="00927CFF">
        <w:t>g)</w:t>
      </w:r>
      <w:r w:rsidRPr="00927CFF">
        <w:tab/>
        <w:t>efter anmodning fra Kommissionen eller Udvalget for Sundhedssikkerhed eller på eget initiativ at fremlægge retningslinjer for behandling og håndtering af tilfælde af overførbare sygdomme og andre særlige sundhedsspørgsmål, der er relevante for folkesundheden, i samarbejde med de relevante kredse</w:t>
      </w:r>
    </w:p>
    <w:p w14:paraId="3695B2AA" w14:textId="77777777" w:rsidR="00B50935" w:rsidRPr="00927CFF" w:rsidRDefault="00B50935" w:rsidP="00B50935">
      <w:pPr>
        <w:pStyle w:val="Point2"/>
      </w:pPr>
      <w:r w:rsidRPr="00927CFF">
        <w:t>h)</w:t>
      </w:r>
      <w:r w:rsidRPr="00927CFF">
        <w:tab/>
        <w:t xml:space="preserve">at støtte indsatsen over for epidemier og udbrud i medlemsstaterne og i tredjelande i komplementaritet med andre EU-beredskabsinstrumenter, navnlig EU-civilbeskyttelsesmekanismen </w:t>
      </w:r>
    </w:p>
    <w:p w14:paraId="27F4029E" w14:textId="53CFC07A" w:rsidR="00B50935" w:rsidRPr="00927CFF" w:rsidRDefault="00B50935" w:rsidP="00B50935">
      <w:pPr>
        <w:pStyle w:val="Point2"/>
      </w:pPr>
      <w:r w:rsidRPr="00927CFF">
        <w:t>i)</w:t>
      </w:r>
      <w:r w:rsidRPr="00927CFF">
        <w:tab/>
        <w:t>at bidrage til at styrke beredskabskapaciteten i henhold til IHR i tredjelande, navnlig EU's partnerlande</w:t>
      </w:r>
    </w:p>
    <w:p w14:paraId="57153F97" w14:textId="1625B582" w:rsidR="00B50935" w:rsidRPr="00927CFF" w:rsidRDefault="00B50935" w:rsidP="00B50935">
      <w:pPr>
        <w:pStyle w:val="Point2"/>
      </w:pPr>
      <w:r w:rsidRPr="00927CFF">
        <w:t>j)</w:t>
      </w:r>
      <w:r w:rsidRPr="00927CFF">
        <w:tab/>
        <w:t>efter anmodning fra Kommissionen eller Udvalget for Sundhedssikkerhed at fremlægge evidensbaserede kommunikationsmeddelelser for offentligheden om overførbare sygdomme, om de sundhedstrusler, som de udgør, og om de relevante forebyggelses- og bekæmpelsesforanstaltninger.</w:t>
      </w:r>
    </w:p>
    <w:p w14:paraId="653555AD" w14:textId="73E491FB" w:rsidR="00B50935" w:rsidRPr="00927CFF" w:rsidRDefault="00B50935" w:rsidP="00B50935">
      <w:pPr>
        <w:pStyle w:val="Point1"/>
      </w:pPr>
      <w:r w:rsidRPr="00927CFF">
        <w:t>3.</w:t>
      </w:r>
      <w:r w:rsidRPr="00927CFF">
        <w:tab/>
        <w:t>Centret, Kommissionen, de relevante EU-organer og medlemsstaterne samarbejder for at sikre, at der er sammenhæng mellem deres respektive aktiviteter."</w:t>
      </w:r>
    </w:p>
    <w:p w14:paraId="4A24B52C" w14:textId="77777777" w:rsidR="00B50935" w:rsidRPr="00927CFF" w:rsidRDefault="00B50935" w:rsidP="00B50935">
      <w:pPr>
        <w:pStyle w:val="Point0"/>
      </w:pPr>
      <w:r w:rsidRPr="00927CFF">
        <w:t>3)</w:t>
      </w:r>
      <w:r w:rsidRPr="00927CFF">
        <w:tab/>
        <w:t>Artikel 4 affattes således:</w:t>
      </w:r>
    </w:p>
    <w:p w14:paraId="7D474554" w14:textId="77777777" w:rsidR="00B50935" w:rsidRPr="00927CFF" w:rsidRDefault="00B50935" w:rsidP="00B50935">
      <w:pPr>
        <w:pStyle w:val="Titrearticle"/>
        <w:rPr>
          <w:b/>
        </w:rPr>
      </w:pPr>
      <w:r w:rsidRPr="00927CFF">
        <w:t>"Artikel 4</w:t>
      </w:r>
    </w:p>
    <w:p w14:paraId="323B9A62" w14:textId="77777777" w:rsidR="00B50935" w:rsidRPr="00927CFF" w:rsidRDefault="00B50935" w:rsidP="00B50935">
      <w:pPr>
        <w:jc w:val="center"/>
        <w:rPr>
          <w:b/>
        </w:rPr>
      </w:pPr>
      <w:r w:rsidRPr="00927CFF">
        <w:rPr>
          <w:b/>
        </w:rPr>
        <w:t>Medlemsstaternes forpligtelser</w:t>
      </w:r>
    </w:p>
    <w:p w14:paraId="339E669D" w14:textId="77777777" w:rsidR="00B50935" w:rsidRPr="00927CFF" w:rsidRDefault="00B50935" w:rsidP="00B50935">
      <w:pPr>
        <w:pStyle w:val="Text1"/>
      </w:pPr>
      <w:r w:rsidRPr="00927CFF">
        <w:t>Medlemsstaterne skal:</w:t>
      </w:r>
    </w:p>
    <w:p w14:paraId="5ED353AC" w14:textId="06D2A7F6" w:rsidR="00B50935" w:rsidRPr="00927CFF" w:rsidRDefault="00B50935" w:rsidP="00B50935">
      <w:pPr>
        <w:pStyle w:val="Point1"/>
      </w:pPr>
      <w:r w:rsidRPr="00927CFF">
        <w:t>a)</w:t>
      </w:r>
      <w:r w:rsidRPr="00927CFF">
        <w:tab/>
        <w:t>rettidigt og i overensstemmelse med de aftalte case-definitioner, indikatorer, standarder, protokoller og procedurer meddele centret data om overvågning af overførbare sygdomme og andre særlige sundhedsspørgsmål, der gennemføres i overensstemmelse med artikel 13 i forordning</w:t>
      </w:r>
      <w:r w:rsidRPr="00927CFF">
        <w:rPr>
          <w:color w:val="FF0000"/>
        </w:rPr>
        <w:t xml:space="preserve"> (EU) …/… [</w:t>
      </w:r>
      <w:r w:rsidRPr="00927CFF">
        <w:rPr>
          <w:i/>
          <w:color w:val="FF0000"/>
        </w:rPr>
        <w:t xml:space="preserve">OJ: Indsæt nummeret på forordning SCBTH </w:t>
      </w:r>
      <w:r w:rsidRPr="00927CFF">
        <w:rPr>
          <w:color w:val="FF0000"/>
        </w:rPr>
        <w:t>[ISC/2020/12524]]</w:t>
      </w:r>
      <w:r w:rsidRPr="00927CFF">
        <w:t xml:space="preserve">, og de foreliggende videnskabelige og tekniske data og oplysninger, der er relevante for centrets kommissorium, herunder vedrørende beredskab, og sundhedssystemers kapacitet til at påvise, forebygge, reagere på og komme sig efter udbrud af overførbare sygdomme </w:t>
      </w:r>
    </w:p>
    <w:p w14:paraId="6C3DE7FD" w14:textId="77777777" w:rsidR="00B50935" w:rsidRPr="00927CFF" w:rsidRDefault="00B50935" w:rsidP="00B50935">
      <w:pPr>
        <w:pStyle w:val="Point1"/>
      </w:pPr>
      <w:r w:rsidRPr="00927CFF">
        <w:t>b)</w:t>
      </w:r>
      <w:r w:rsidRPr="00927CFF">
        <w:tab/>
        <w:t>underrette centret om alvorlige grænseoverskridende sundhedstrusler, så snart de påvises, via systemet for tidlig varsling og reaktion (EWRS) og straks give meddelelse om trufne indsatsforanstaltninger samt relevante oplysninger, der kan være nyttige for koordineringen af indsatsen, jf. artikel 21 i forordning (EU) …/… [</w:t>
      </w:r>
      <w:r w:rsidRPr="00927CFF">
        <w:rPr>
          <w:i/>
        </w:rPr>
        <w:t>EUT:</w:t>
      </w:r>
      <w:r w:rsidRPr="00927CFF">
        <w:rPr>
          <w:i/>
          <w:color w:val="FF0000"/>
        </w:rPr>
        <w:t xml:space="preserve"> Indsæt nummeret på forordning SCBTH </w:t>
      </w:r>
      <w:r w:rsidRPr="00927CFF">
        <w:rPr>
          <w:color w:val="FF0000"/>
        </w:rPr>
        <w:t>[ISC/2020/12524]]</w:t>
      </w:r>
      <w:r w:rsidRPr="00927CFF">
        <w:t xml:space="preserve">, og </w:t>
      </w:r>
    </w:p>
    <w:p w14:paraId="1DF9D471" w14:textId="0B0F1BE0" w:rsidR="00B50935" w:rsidRPr="00927CFF" w:rsidRDefault="00B50935" w:rsidP="00B50935">
      <w:pPr>
        <w:pStyle w:val="Point1"/>
      </w:pPr>
      <w:r w:rsidRPr="00927CFF">
        <w:t>c)</w:t>
      </w:r>
      <w:r w:rsidRPr="00927CFF">
        <w:tab/>
        <w:t>inden for de områder, der hører under centrets kommissorium, identificere anerkendte kompetente organer og eksperter fra folkesundhedsområdet, som kan stilles til disposition i forbindelse med Unionens indsats over for sundhedstrusler, f.eks. ved at foretage besøg i medlemsstaterne for at yde ekspertrådgivning og undersøgelser i marken i tilfælde af koncentration af sygdomstilfælde eller -udbrud."</w:t>
      </w:r>
    </w:p>
    <w:p w14:paraId="1457AC86" w14:textId="77777777" w:rsidR="00B50935" w:rsidRPr="00927CFF" w:rsidRDefault="00B50935" w:rsidP="00B50935">
      <w:pPr>
        <w:pStyle w:val="Point0"/>
      </w:pPr>
      <w:r w:rsidRPr="00927CFF">
        <w:t>4)</w:t>
      </w:r>
      <w:r w:rsidRPr="00927CFF">
        <w:tab/>
        <w:t>Artikel 5 affattes således:</w:t>
      </w:r>
    </w:p>
    <w:p w14:paraId="0282505F" w14:textId="77777777" w:rsidR="00B50935" w:rsidRPr="00927CFF" w:rsidRDefault="00B50935" w:rsidP="00B50935">
      <w:pPr>
        <w:pStyle w:val="Titrearticle"/>
      </w:pPr>
      <w:r w:rsidRPr="00927CFF">
        <w:t>"Artikel 5</w:t>
      </w:r>
    </w:p>
    <w:p w14:paraId="5C520F1F" w14:textId="77777777" w:rsidR="00B50935" w:rsidRPr="00927CFF" w:rsidRDefault="00B50935" w:rsidP="00B50935">
      <w:pPr>
        <w:jc w:val="center"/>
        <w:rPr>
          <w:b/>
        </w:rPr>
      </w:pPr>
      <w:r w:rsidRPr="00927CFF">
        <w:rPr>
          <w:b/>
        </w:rPr>
        <w:t>Specifikke net og netværksaktiviteter</w:t>
      </w:r>
    </w:p>
    <w:p w14:paraId="531B0476" w14:textId="77777777" w:rsidR="00B50935" w:rsidRPr="00927CFF" w:rsidRDefault="00B50935" w:rsidP="00B50935">
      <w:pPr>
        <w:pStyle w:val="Point1"/>
      </w:pPr>
      <w:r w:rsidRPr="00927CFF">
        <w:t>1.</w:t>
      </w:r>
      <w:r w:rsidRPr="00927CFF">
        <w:tab/>
        <w:t>Centret støtter netværksaktiviteter mellem kompetente organer, der er anerkendt af medlemsstaterne, ved at yde koordinering og teknisk og videnskabelig ekspertbistand til Kommissionen og medlemsstaterne og ved at stå for driften af de specifikke net.</w:t>
      </w:r>
    </w:p>
    <w:p w14:paraId="4E86F86F" w14:textId="77777777" w:rsidR="00B50935" w:rsidRPr="00927CFF" w:rsidRDefault="00B50935" w:rsidP="00B50935">
      <w:pPr>
        <w:pStyle w:val="Point1"/>
      </w:pPr>
      <w:r w:rsidRPr="00927CFF">
        <w:t>2.</w:t>
      </w:r>
      <w:r w:rsidRPr="00927CFF">
        <w:tab/>
        <w:t>Centret sikrer integreret drift af nettet til epidemiologisk overvågning af de overførbare sygdomme og relaterede specielle sundhedsspørgsmål, jf. artikel 2, stk. 1, litra a), nr. i) og ii) , i forordning (EU).../ ... [</w:t>
      </w:r>
      <w:r w:rsidRPr="00927CFF">
        <w:rPr>
          <w:i/>
          <w:iCs/>
        </w:rPr>
        <w:t>EUT:</w:t>
      </w:r>
      <w:r w:rsidRPr="00927CFF">
        <w:rPr>
          <w:i/>
          <w:color w:val="FF0000"/>
        </w:rPr>
        <w:t xml:space="preserve"> Indsæt nummeret på forordning SCBTH </w:t>
      </w:r>
      <w:r w:rsidRPr="00927CFF">
        <w:rPr>
          <w:color w:val="FF0000"/>
        </w:rPr>
        <w:t>[ISC/2020/12524]].</w:t>
      </w:r>
    </w:p>
    <w:p w14:paraId="2AF5A4CD" w14:textId="77777777" w:rsidR="00B50935" w:rsidRPr="00927CFF" w:rsidRDefault="00B50935" w:rsidP="00B50935">
      <w:pPr>
        <w:pStyle w:val="Text2"/>
      </w:pPr>
      <w:r w:rsidRPr="00927CFF">
        <w:t>Centret skal navnlig:</w:t>
      </w:r>
    </w:p>
    <w:p w14:paraId="2CC00439" w14:textId="77777777" w:rsidR="00B50935" w:rsidRPr="00927CFF" w:rsidRDefault="00B50935" w:rsidP="00B50935">
      <w:pPr>
        <w:pStyle w:val="Point2"/>
      </w:pPr>
      <w:r w:rsidRPr="00927CFF">
        <w:t>a)</w:t>
      </w:r>
      <w:r w:rsidRPr="00927CFF">
        <w:tab/>
        <w:t xml:space="preserve">sikre videreudvikling af de digitale platforme og applikationer, der understøtter epidemiologisk overvågning på EU-plan, og støtte medlemsstaterne med teknisk og videnskabelig rådgivning med henblik på at etablere integrerede overvågningssystemer, der muliggør realtidsovervågning, hvor det er relevant, og som drager fordel af EU's eksisterende ruminfrastrukturer og -tjenester </w:t>
      </w:r>
    </w:p>
    <w:p w14:paraId="5D6EB793" w14:textId="77777777" w:rsidR="00B50935" w:rsidRPr="00927CFF" w:rsidRDefault="00B50935" w:rsidP="00B50935">
      <w:pPr>
        <w:pStyle w:val="Point2"/>
      </w:pPr>
      <w:r w:rsidRPr="00927CFF">
        <w:t>b)</w:t>
      </w:r>
      <w:r w:rsidRPr="00927CFF">
        <w:tab/>
        <w:t>sørge for kvalitetssikring ved at monitorere og evaluere de specifikke overvågningsnets epidemiologiske overvågningsaktiviteter (herunder fastsættelse af overvågningsstandarder og overvågning af dataenes fuldstændighed) for at sikre en optimal drift</w:t>
      </w:r>
    </w:p>
    <w:p w14:paraId="7B857D6E" w14:textId="5A8245BB" w:rsidR="00B50935" w:rsidRPr="00927CFF" w:rsidRDefault="00B50935" w:rsidP="00B50935">
      <w:pPr>
        <w:pStyle w:val="Point2"/>
      </w:pPr>
      <w:r w:rsidRPr="00927CFF">
        <w:t>c)</w:t>
      </w:r>
      <w:r w:rsidRPr="00927CFF">
        <w:tab/>
        <w:t>vedligeholde databaser for epidemiologisk overvågning, koordinere med dem, der hoster andre relevante databaser, og arbejde hen imod harmoniserede tilgange til dataindsamling og modellering</w:t>
      </w:r>
    </w:p>
    <w:p w14:paraId="4B29EEE7" w14:textId="77777777" w:rsidR="00B50935" w:rsidRPr="00927CFF" w:rsidRDefault="00B50935" w:rsidP="00B50935">
      <w:pPr>
        <w:pStyle w:val="Point2"/>
      </w:pPr>
      <w:r w:rsidRPr="00927CFF">
        <w:t>d)</w:t>
      </w:r>
      <w:r w:rsidRPr="00927CFF">
        <w:tab/>
        <w:t xml:space="preserve">formidle dataanalysernes resultater til Kommissionen og medlemsstaterne </w:t>
      </w:r>
    </w:p>
    <w:p w14:paraId="22BEFD32" w14:textId="77777777" w:rsidR="00B50935" w:rsidRPr="00927CFF" w:rsidRDefault="00B50935" w:rsidP="00B50935">
      <w:pPr>
        <w:pStyle w:val="Point2"/>
      </w:pPr>
      <w:r w:rsidRPr="00927CFF">
        <w:t>e)</w:t>
      </w:r>
      <w:r w:rsidRPr="00927CFF">
        <w:tab/>
        <w:t>harmonisere og rationalisere arbejdsmetoderne</w:t>
      </w:r>
    </w:p>
    <w:p w14:paraId="14042283" w14:textId="64F95A5C" w:rsidR="00B50935" w:rsidRPr="00927CFF" w:rsidRDefault="00B50935" w:rsidP="00B50935">
      <w:pPr>
        <w:pStyle w:val="Point2"/>
      </w:pPr>
      <w:r w:rsidRPr="00927CFF">
        <w:t>f)</w:t>
      </w:r>
      <w:r w:rsidRPr="00927CFF">
        <w:tab/>
        <w:t xml:space="preserve">sikre interoperabilitet mellem automatiserede applikationer, herunder til kontaktopsporing, der er udviklet på nationalt plan </w:t>
      </w:r>
    </w:p>
    <w:p w14:paraId="78187139" w14:textId="1810250A" w:rsidR="00F233D0" w:rsidRPr="00927CFF" w:rsidRDefault="00B50935" w:rsidP="00B50935">
      <w:pPr>
        <w:pStyle w:val="Point2"/>
      </w:pPr>
      <w:r w:rsidRPr="00927CFF">
        <w:t>g)</w:t>
      </w:r>
      <w:r w:rsidRPr="00927CFF">
        <w:tab/>
        <w:t>sikre interoperabilitet mellem de digitale platforme for overvågning ved hjælp af digitale infrastrukturer, der gør det muligt at udnytte sundhedsdataene til sundhedspleje, forskning, politikudformning og regulering, og med henblik på at integrere disse platforme og infrastrukturer i det europæiske sundhedsdataområde, som reguleret i EU-lovgivningen, og gøre brug af andre relevante data, f.eks. miljøfaktorer.</w:t>
      </w:r>
    </w:p>
    <w:p w14:paraId="63F5FA28" w14:textId="4E9097C7" w:rsidR="00B50935" w:rsidRPr="00927CFF" w:rsidRDefault="00B50935" w:rsidP="00B50935">
      <w:pPr>
        <w:pStyle w:val="Point1"/>
      </w:pPr>
      <w:r w:rsidRPr="00927CFF">
        <w:t>3.</w:t>
      </w:r>
      <w:r w:rsidRPr="00927CFF">
        <w:tab/>
        <w:t>Centret støtter Udvalget for Sundhedssikkerheds, Rådets og andre EU-strukturers arbejde med at koordinere indsatserne over for alvorlige grænseoverskridende sundhedstrusler inden for sit mandat.</w:t>
      </w:r>
    </w:p>
    <w:p w14:paraId="6E8AC63E" w14:textId="77777777" w:rsidR="00B50935" w:rsidRPr="00927CFF" w:rsidRDefault="00B50935" w:rsidP="00B50935">
      <w:pPr>
        <w:pStyle w:val="Point1"/>
      </w:pPr>
      <w:r w:rsidRPr="00927CFF">
        <w:t>4.</w:t>
      </w:r>
      <w:r w:rsidRPr="00927CFF">
        <w:tab/>
        <w:t>Centret skal gennem driften af nettet for epidemiologisk overvågning:</w:t>
      </w:r>
    </w:p>
    <w:p w14:paraId="5CE42013" w14:textId="77777777" w:rsidR="00B50935" w:rsidRPr="00927CFF" w:rsidRDefault="00B50935" w:rsidP="00B50935">
      <w:pPr>
        <w:pStyle w:val="Point2"/>
      </w:pPr>
      <w:r w:rsidRPr="00927CFF">
        <w:t>a)</w:t>
      </w:r>
      <w:r w:rsidRPr="00927CFF">
        <w:tab/>
        <w:t xml:space="preserve">monitorere og rapportere om udviklingen i overførbare sygdomme over tid og på tværs af medlemsstaterne og i tredjelande på grundlag af aftalte indikatorer, vurdere den aktuelle situation og lette en passende evidensbaseret indsats, herunder ved at fastlægge specifikationer for harmoniseret dataindsamling fra medlemsstaterne </w:t>
      </w:r>
    </w:p>
    <w:p w14:paraId="36AF53F1" w14:textId="52BA0E12" w:rsidR="00B50935" w:rsidRPr="00927CFF" w:rsidRDefault="00B50935" w:rsidP="00B50935">
      <w:pPr>
        <w:pStyle w:val="Point2"/>
      </w:pPr>
      <w:r w:rsidRPr="00927CFF">
        <w:t>b)</w:t>
      </w:r>
      <w:r w:rsidRPr="00927CFF">
        <w:tab/>
        <w:t>påvise, monitorere og rapportere om alvorlige grænseoverskridende sundhedstrusler i tilfælde af en trussel som omhandlet i artikel 2, stk. 1, litra a), nr. i) og ii) , i forordning (EU).../ ... [</w:t>
      </w:r>
      <w:r w:rsidRPr="00927CFF">
        <w:rPr>
          <w:i/>
          <w:iCs/>
        </w:rPr>
        <w:t>EUT:</w:t>
      </w:r>
      <w:r w:rsidRPr="00927CFF">
        <w:rPr>
          <w:i/>
          <w:color w:val="FF0000"/>
        </w:rPr>
        <w:t xml:space="preserve"> </w:t>
      </w:r>
      <w:r w:rsidRPr="00927CFF">
        <w:rPr>
          <w:i/>
        </w:rPr>
        <w:t xml:space="preserve">Indsæt nummeret på forordning SCBTH </w:t>
      </w:r>
      <w:r w:rsidRPr="00927CFF">
        <w:t>[ISC/2020/12524]], herunder en trussel mod stoffer af menneskelig oprindelse, såsom blod, organer, væv og celler, der potentielt kan blive påvirket af overførbare sygdomme, eller i artikel 2, stk. 1, litra d), i nævnte forordning med hensyn til kilde, tid, population og sted for at give et rationale for folkesundhedsindsatsen</w:t>
      </w:r>
    </w:p>
    <w:p w14:paraId="7F34129F" w14:textId="6F83E0AE" w:rsidR="00B50935" w:rsidRPr="00927CFF" w:rsidRDefault="00B50935" w:rsidP="00B50935">
      <w:pPr>
        <w:pStyle w:val="Point2"/>
      </w:pPr>
      <w:r w:rsidRPr="00927CFF">
        <w:t>c)</w:t>
      </w:r>
      <w:r w:rsidRPr="00927CFF">
        <w:tab/>
        <w:t xml:space="preserve">bidrage til evaluering og monitorering af programmer for forebyggelse og bekæmpelse af overførbare sygdomme med henblik på at tilvejebringe evidens som grundlag for anbefalinger til at styrke og forbedre disse programmer på nationalt plan og EU-plan </w:t>
      </w:r>
    </w:p>
    <w:p w14:paraId="0BBB684F" w14:textId="46BA9B09" w:rsidR="00B50935" w:rsidRPr="00927CFF" w:rsidRDefault="00B50935" w:rsidP="00B50935">
      <w:pPr>
        <w:pStyle w:val="Point2"/>
      </w:pPr>
      <w:r w:rsidRPr="00927CFF">
        <w:t>d)</w:t>
      </w:r>
      <w:r w:rsidRPr="00927CFF">
        <w:tab/>
        <w:t>monitorere og vurdere sundhedssystemernes kapacitet til at diagnosticere, forebygge og behandle specifikke overførbare sygdomme samt patientsikkerheden</w:t>
      </w:r>
    </w:p>
    <w:p w14:paraId="2F9D4CA2" w14:textId="77777777" w:rsidR="00B50935" w:rsidRPr="00927CFF" w:rsidRDefault="00B50935" w:rsidP="00B50935">
      <w:pPr>
        <w:pStyle w:val="Point2"/>
      </w:pPr>
      <w:r w:rsidRPr="00927CFF">
        <w:t>e)</w:t>
      </w:r>
      <w:r w:rsidRPr="00927CFF">
        <w:tab/>
        <w:t xml:space="preserve">identificere risikogrupper i befolkningen, der har behov for målrettede forebyggelses- og indsatsforanstaltninger, og sikre, at disse foranstaltninger er tilgængelige for personer med handicap </w:t>
      </w:r>
    </w:p>
    <w:p w14:paraId="4091A397" w14:textId="77777777" w:rsidR="00B50935" w:rsidRPr="00927CFF" w:rsidRDefault="00B50935" w:rsidP="00B50935">
      <w:pPr>
        <w:pStyle w:val="Point2"/>
      </w:pPr>
      <w:r w:rsidRPr="00927CFF">
        <w:t>f)</w:t>
      </w:r>
      <w:r w:rsidRPr="00927CFF">
        <w:tab/>
        <w:t xml:space="preserve">bidrage til vurderingen af den byrde, overførbare sygdomme udgør for befolkningen, ved hjælp af data som f.eks. sygdomsprævalens, komplikationer, hospitalsindlæggelse og dødelighed og sikre, at disse data opdeles efter alder, køn og handicap </w:t>
      </w:r>
    </w:p>
    <w:p w14:paraId="2E3DAF4C" w14:textId="0055AE08" w:rsidR="00B50935" w:rsidRPr="00927CFF" w:rsidRDefault="00B50935" w:rsidP="00B50935">
      <w:pPr>
        <w:pStyle w:val="Point2"/>
      </w:pPr>
      <w:r w:rsidRPr="00927CFF">
        <w:t>g)</w:t>
      </w:r>
      <w:r w:rsidRPr="00927CFF">
        <w:tab/>
        <w:t xml:space="preserve">foretage epidemiologisk modellering, foregribelse og udvikling af scenarier vedrørende indsats og koordinering af sådanne bestræbelser med henblik på at udveksle bedste praksis og forbedre modelleringskapaciteten i hele Unionen og </w:t>
      </w:r>
    </w:p>
    <w:p w14:paraId="0F7ACF7A" w14:textId="7CAA1EBF" w:rsidR="00B50935" w:rsidRPr="00927CFF" w:rsidRDefault="00B50935" w:rsidP="00B50935">
      <w:pPr>
        <w:pStyle w:val="Point2"/>
      </w:pPr>
      <w:r w:rsidRPr="00927CFF">
        <w:t>h)</w:t>
      </w:r>
      <w:r w:rsidRPr="00927CFF">
        <w:tab/>
        <w:t>identificere risikofaktorer for overførsel af sygdomme, risikogrupper, herunder korrelation af sygdomsforekomst og -alvor med samfundsmæssige og miljømæssige faktorer, og forskningsprioriteter og -behov.</w:t>
      </w:r>
    </w:p>
    <w:p w14:paraId="75763F21" w14:textId="77777777" w:rsidR="00B50935" w:rsidRPr="00927CFF" w:rsidRDefault="00B50935" w:rsidP="00B50935">
      <w:pPr>
        <w:pStyle w:val="Point1"/>
      </w:pPr>
      <w:r w:rsidRPr="00927CFF">
        <w:t>5.</w:t>
      </w:r>
      <w:r w:rsidRPr="00927CFF">
        <w:tab/>
        <w:t xml:space="preserve">Hver medlemsstat udpeger et koordinerende kompetent organ og udnævner et nationalt knudepunkt og operationelle kontaktpunkter, der er relevante for varetagelsen af folkesundheden, herunder epidemiologisk overvågning, og for forskellige sygdomsgrupper og individuelle sygdomme. </w:t>
      </w:r>
    </w:p>
    <w:p w14:paraId="5460BD96" w14:textId="77777777" w:rsidR="00B50935" w:rsidRPr="00927CFF" w:rsidRDefault="00B50935" w:rsidP="00B50935">
      <w:pPr>
        <w:pStyle w:val="Text2"/>
      </w:pPr>
      <w:r w:rsidRPr="00927CFF">
        <w:t xml:space="preserve">De nationale knudepunkter skal danne netværk, der rådgiver centret i strategisk henseende. </w:t>
      </w:r>
    </w:p>
    <w:p w14:paraId="1E561336" w14:textId="77777777" w:rsidR="00B50935" w:rsidRPr="00927CFF" w:rsidRDefault="00B50935" w:rsidP="00B50935">
      <w:pPr>
        <w:pStyle w:val="Text2"/>
      </w:pPr>
      <w:r w:rsidRPr="00927CFF">
        <w:t xml:space="preserve">Nationale knudepunkter og operationelle kontaktpunkter, der er udpeget med henblik på sygdomsspecifikke interaktioner med centret, skal danne sygdomsspecifikke eller sygdomsgruppespecifikke netværk, hvis opgaver omfatter formidling af nationale overvågningsdata til centret. </w:t>
      </w:r>
    </w:p>
    <w:p w14:paraId="672BD1C9" w14:textId="77777777" w:rsidR="00B50935" w:rsidRPr="00927CFF" w:rsidRDefault="00B50935" w:rsidP="00B50935">
      <w:pPr>
        <w:pStyle w:val="Text2"/>
      </w:pPr>
      <w:r w:rsidRPr="00927CFF">
        <w:t>Medlemsstaterne underretter centret og de øvrige medlemsstater om de udpegelser og udnævnelser, der er omhandlet i dette stykke, og om enhver ændring heraf.</w:t>
      </w:r>
    </w:p>
    <w:p w14:paraId="171BFDB0" w14:textId="77777777" w:rsidR="00B50935" w:rsidRPr="00927CFF" w:rsidRDefault="00B50935" w:rsidP="00B50935">
      <w:pPr>
        <w:pStyle w:val="Point1"/>
      </w:pPr>
      <w:r w:rsidRPr="00927CFF">
        <w:t>6.</w:t>
      </w:r>
      <w:r w:rsidRPr="00927CFF">
        <w:tab/>
        <w:t>Centret varetager driften af det netværk af EU-referencelaboratorier, der er omhandlet i artikel 15 i forordning (EU).../... [</w:t>
      </w:r>
      <w:r w:rsidRPr="00927CFF">
        <w:rPr>
          <w:i/>
          <w:iCs/>
        </w:rPr>
        <w:t>EUT</w:t>
      </w:r>
      <w:r w:rsidRPr="00927CFF">
        <w:t>:</w:t>
      </w:r>
      <w:r w:rsidRPr="00927CFF">
        <w:rPr>
          <w:i/>
          <w:color w:val="FF0000"/>
        </w:rPr>
        <w:t xml:space="preserve"> Indsæt nummeret på forordning SCBTH </w:t>
      </w:r>
      <w:r w:rsidRPr="00927CFF">
        <w:rPr>
          <w:color w:val="FF0000"/>
        </w:rPr>
        <w:t>[ISC/2020/12524]]</w:t>
      </w:r>
      <w:r w:rsidRPr="00927CFF">
        <w:t xml:space="preserve">, med henblik på diagnosticering, påvisning, identificering og karakterisering af smitstoffer, der kan true folkesundheden. </w:t>
      </w:r>
    </w:p>
    <w:p w14:paraId="27E01178" w14:textId="77777777" w:rsidR="00B50935" w:rsidRPr="00927CFF" w:rsidRDefault="00B50935" w:rsidP="00B50935">
      <w:pPr>
        <w:pStyle w:val="Point1"/>
      </w:pPr>
      <w:r w:rsidRPr="00927CFF">
        <w:t>7.</w:t>
      </w:r>
      <w:r w:rsidRPr="00927CFF">
        <w:tab/>
        <w:t>Ved at tilskynde til samarbejde mellem ekspertlaboratorier og referencelaboratorier sørger centret for at skabe tilstrækkelig kapacitet i Unionen til diagnosticering, påvisning, identificering og karakterisering af smitstoffer, der kan true folkesundheden. Centret vedligeholder og udvider et sådant samarbejde og støtter gennemførelsen af kvalitetssikringsordninger.</w:t>
      </w:r>
    </w:p>
    <w:p w14:paraId="5A0AFBD6" w14:textId="011854AD" w:rsidR="00B50935" w:rsidRPr="00927CFF" w:rsidRDefault="00B50935" w:rsidP="00B50935">
      <w:pPr>
        <w:pStyle w:val="Point1"/>
      </w:pPr>
      <w:r w:rsidRPr="00927CFF">
        <w:t>8.</w:t>
      </w:r>
      <w:r w:rsidRPr="00927CFF">
        <w:tab/>
        <w:t xml:space="preserve">Centret varetager driften af netværket af medlemsstaternes tjenester til støtte for transfusion, transplantation og medicinsk assisteret reproduktion for at give mulighed for kontinuerlig og hurtig adgang til seroepidemiologiske data via seroepidemiologiske undersøgelser i populationen, herunder vurdering af donorpopulationens eksponering og immunitet. </w:t>
      </w:r>
    </w:p>
    <w:p w14:paraId="726C3960" w14:textId="1D7531BD" w:rsidR="00B50935" w:rsidRPr="00927CFF" w:rsidRDefault="00B50935" w:rsidP="00B50935">
      <w:pPr>
        <w:pStyle w:val="Text2"/>
      </w:pPr>
      <w:r w:rsidRPr="00927CFF">
        <w:t xml:space="preserve">Det i første afsnit omhandlede netværk støtter centret ved at monitorere sygdomsudbrud, der er relevante for stoffer af menneskelig oprindelse og levering heraf til patienter, og ved udviklingen af retningslinjer for blods, vævs og cellers sikkerhed og kvalitet. </w:t>
      </w:r>
    </w:p>
    <w:p w14:paraId="3CE202A6" w14:textId="75ADF75C" w:rsidR="00B50935" w:rsidRPr="00927CFF" w:rsidRDefault="00B50935" w:rsidP="00B50935">
      <w:pPr>
        <w:pStyle w:val="Point1"/>
      </w:pPr>
      <w:r w:rsidRPr="00927CFF">
        <w:t>9.</w:t>
      </w:r>
      <w:r w:rsidRPr="00927CFF">
        <w:tab/>
        <w:t>Centret samarbejder med de kompetente organer, som medlemsstaterne har anerkendt, navnlig om det forberedende arbejde i forbindelse med videnskabelige udtalelser, videnskabelig og teknisk bistand, indsamling af sammenlignelige data på basis af fælles formater, der gør det lettere at aggregere dem, og konstatering af nye sundhedstrusler."</w:t>
      </w:r>
    </w:p>
    <w:p w14:paraId="458C6E00" w14:textId="77777777" w:rsidR="00B50935" w:rsidRPr="00927CFF" w:rsidRDefault="00B50935" w:rsidP="00B50935">
      <w:pPr>
        <w:pStyle w:val="Point0"/>
      </w:pPr>
      <w:r w:rsidRPr="00927CFF">
        <w:t>5)</w:t>
      </w:r>
      <w:r w:rsidRPr="00927CFF">
        <w:tab/>
        <w:t>Følgende indsættes som artikel 5a:</w:t>
      </w:r>
    </w:p>
    <w:p w14:paraId="3764CBB8" w14:textId="77777777" w:rsidR="00B50935" w:rsidRPr="00927CFF" w:rsidRDefault="00B50935" w:rsidP="00B50935">
      <w:pPr>
        <w:pStyle w:val="Titrearticle"/>
      </w:pPr>
      <w:r w:rsidRPr="00927CFF">
        <w:t>"Artikel 5a</w:t>
      </w:r>
    </w:p>
    <w:p w14:paraId="30E823E4" w14:textId="77777777" w:rsidR="00B50935" w:rsidRPr="00927CFF" w:rsidRDefault="00B50935" w:rsidP="00B50935">
      <w:pPr>
        <w:jc w:val="center"/>
        <w:rPr>
          <w:b/>
        </w:rPr>
      </w:pPr>
      <w:r w:rsidRPr="00927CFF">
        <w:rPr>
          <w:b/>
        </w:rPr>
        <w:t>Forebyggelse af overførbare sygdomme</w:t>
      </w:r>
    </w:p>
    <w:p w14:paraId="54B5B7B2" w14:textId="77777777" w:rsidR="00B50935" w:rsidRPr="00927CFF" w:rsidRDefault="00B50935" w:rsidP="00B50935">
      <w:pPr>
        <w:pStyle w:val="Point1"/>
      </w:pPr>
      <w:r w:rsidRPr="00927CFF">
        <w:t>1.</w:t>
      </w:r>
      <w:r w:rsidRPr="00927CFF">
        <w:tab/>
        <w:t xml:space="preserve">Centret støtter medlemsstaterne i at styrke deres systemer til forebyggelse og bekæmpelse af overførbare sygdomme. </w:t>
      </w:r>
    </w:p>
    <w:p w14:paraId="5A5507A5" w14:textId="5632C299" w:rsidR="00B50935" w:rsidRPr="00927CFF" w:rsidRDefault="00B50935" w:rsidP="00B50935">
      <w:pPr>
        <w:pStyle w:val="Point1"/>
      </w:pPr>
      <w:r w:rsidRPr="00927CFF">
        <w:t>2.</w:t>
      </w:r>
      <w:r w:rsidRPr="00927CFF">
        <w:tab/>
        <w:t xml:space="preserve">Centret udvikler en ramme for forebyggelse af overførbare sygdomme og særlige spørgsmål, herunder vaccineforebyggelige sygdomme, antimikrobiel resistens, sundhedsuddannelse, sundhedskompetence og adfærdsændring. </w:t>
      </w:r>
    </w:p>
    <w:p w14:paraId="0B1338EF" w14:textId="58264DC4" w:rsidR="00B50935" w:rsidRPr="00927CFF" w:rsidRDefault="00B50935" w:rsidP="00B50935">
      <w:pPr>
        <w:pStyle w:val="Point1"/>
      </w:pPr>
      <w:r w:rsidRPr="00927CFF">
        <w:t>3.</w:t>
      </w:r>
      <w:r w:rsidRPr="00927CFF">
        <w:tab/>
        <w:t>Centret evaluerer og monitorerer programmer for forebyggelse og bekæmpelse af overførbare sygdomme med henblik på at tilvejebringe evidens som grundlag for anbefalinger til at styrke og forbedre disse programmer på nationalt plan og EU-plan samt, hvor det er relevant, på internationalt plan.</w:t>
      </w:r>
    </w:p>
    <w:p w14:paraId="7B7BE331" w14:textId="3401DEAD" w:rsidR="00B50935" w:rsidRPr="00927CFF" w:rsidRDefault="00B50935" w:rsidP="00B50935">
      <w:pPr>
        <w:pStyle w:val="Point1"/>
      </w:pPr>
      <w:r w:rsidRPr="00927CFF">
        <w:t>4.</w:t>
      </w:r>
      <w:r w:rsidRPr="00927CFF">
        <w:tab/>
        <w:t>Centret koordinerer uafhængige undersøgelser efter markedsføring og monitoreringsundersøgelser vedrørende vacciners effektivitet og sikkerhed med indsamling af nye oplysninger og/eller anvendelse af relevante data indsamlet af kompetente organer. Dette arbejde udføres i fællesskab med Det Europæiske Lægemiddelagentur og navnlig gennem en ny platform til monitorering af vacciner."</w:t>
      </w:r>
    </w:p>
    <w:p w14:paraId="5AC7BBBF" w14:textId="77777777" w:rsidR="00B50935" w:rsidRPr="00927CFF" w:rsidRDefault="00B50935" w:rsidP="00B50935">
      <w:pPr>
        <w:pStyle w:val="Point0"/>
      </w:pPr>
      <w:r w:rsidRPr="00927CFF">
        <w:t>6)</w:t>
      </w:r>
      <w:r w:rsidRPr="00927CFF">
        <w:tab/>
        <w:t>Følgende indsættes som artikel 5b:</w:t>
      </w:r>
    </w:p>
    <w:p w14:paraId="3B7A6C6C" w14:textId="77777777" w:rsidR="00B50935" w:rsidRPr="00927CFF" w:rsidRDefault="00B50935" w:rsidP="00B50935">
      <w:pPr>
        <w:pStyle w:val="Titrearticle"/>
      </w:pPr>
      <w:r w:rsidRPr="00927CFF">
        <w:t>"Artikel 5b</w:t>
      </w:r>
    </w:p>
    <w:p w14:paraId="629E4380" w14:textId="77777777" w:rsidR="00B50935" w:rsidRPr="00927CFF" w:rsidRDefault="00B50935" w:rsidP="00B50935">
      <w:pPr>
        <w:jc w:val="center"/>
        <w:rPr>
          <w:b/>
        </w:rPr>
      </w:pPr>
      <w:r w:rsidRPr="00927CFF">
        <w:rPr>
          <w:b/>
        </w:rPr>
        <w:t>Beredskabs- og indsatsplanlægning</w:t>
      </w:r>
    </w:p>
    <w:p w14:paraId="6C905E4A" w14:textId="77777777" w:rsidR="00B50935" w:rsidRPr="00927CFF" w:rsidRDefault="00B50935" w:rsidP="00B50935">
      <w:pPr>
        <w:pStyle w:val="Point1"/>
      </w:pPr>
      <w:r w:rsidRPr="00927CFF">
        <w:t>1.</w:t>
      </w:r>
      <w:r w:rsidRPr="00927CFF">
        <w:tab/>
        <w:t>Centret yder videnskabelig og teknisk ekspertbistand til medlemsstaterne og Kommissionen i samarbejde med relevante EU-organer og -agenturer og internationale organisationer i overensstemmelse med passende arbejdsordninger fastlagt sammen med Kommissionen vedrørende beredskabs- og indsatsplanlægning.</w:t>
      </w:r>
    </w:p>
    <w:p w14:paraId="797E2016" w14:textId="77777777" w:rsidR="00B50935" w:rsidRPr="00927CFF" w:rsidRDefault="00B50935" w:rsidP="00B50935">
      <w:pPr>
        <w:pStyle w:val="Text2"/>
      </w:pPr>
      <w:r w:rsidRPr="00927CFF">
        <w:t xml:space="preserve">Centret skal i tæt samarbejde med medlemsstaterne og Kommissionen: </w:t>
      </w:r>
    </w:p>
    <w:p w14:paraId="76A1D8B6" w14:textId="77777777" w:rsidR="00B50935" w:rsidRPr="00927CFF" w:rsidRDefault="00B50935" w:rsidP="00B50935">
      <w:pPr>
        <w:pStyle w:val="Point2"/>
      </w:pPr>
      <w:r w:rsidRPr="00927CFF">
        <w:t>a)</w:t>
      </w:r>
      <w:r w:rsidRPr="00927CFF">
        <w:tab/>
        <w:t>bidrage til udformning, regelmæssig gennemgang og ajourføring af beredskabsplaner og overordnede, trusselsspecifikke beredskabsplaner med henblik på Udvalget for Sundhedssikkerheds vedtagelse</w:t>
      </w:r>
    </w:p>
    <w:p w14:paraId="3A03AD89" w14:textId="77777777" w:rsidR="00B50935" w:rsidRPr="00927CFF" w:rsidRDefault="00B50935" w:rsidP="00B50935">
      <w:pPr>
        <w:pStyle w:val="Point2"/>
      </w:pPr>
      <w:r w:rsidRPr="00927CFF">
        <w:t>b)</w:t>
      </w:r>
      <w:r w:rsidRPr="00927CFF">
        <w:tab/>
        <w:t>udvikle monitorerings- og evalueringsrammer og indikatorer for beredskab</w:t>
      </w:r>
    </w:p>
    <w:p w14:paraId="5F7CC0F5" w14:textId="7A404F5B" w:rsidR="00DB2CE6" w:rsidRPr="00927CFF" w:rsidRDefault="00B50935" w:rsidP="00B50935">
      <w:pPr>
        <w:pStyle w:val="Point2"/>
      </w:pPr>
      <w:r w:rsidRPr="00927CFF">
        <w:t>c)</w:t>
      </w:r>
      <w:r w:rsidRPr="00927CFF">
        <w:tab/>
        <w:t>lette selvevalueringer og eksterne evalueringer af medlemsstaternes beredskabs- og indsatsplanlægning og bidrage til rapportering og audit af beredskabs- og indsatsplanlægning i henhold til artikel 7 og 8 i forordning (EU).../... [</w:t>
      </w:r>
      <w:r w:rsidRPr="00927CFF">
        <w:rPr>
          <w:i/>
          <w:iCs/>
        </w:rPr>
        <w:t>EUT:</w:t>
      </w:r>
      <w:r w:rsidRPr="00927CFF">
        <w:rPr>
          <w:i/>
          <w:color w:val="FF0000"/>
        </w:rPr>
        <w:t xml:space="preserve"> Indsæt nummeret på forordning SCBTH </w:t>
      </w:r>
      <w:r w:rsidRPr="00927CFF">
        <w:rPr>
          <w:color w:val="FF0000"/>
        </w:rPr>
        <w:t>[ISC/2020/12524]]</w:t>
      </w:r>
    </w:p>
    <w:p w14:paraId="41DBBD9E" w14:textId="77777777" w:rsidR="00B50935" w:rsidRPr="00927CFF" w:rsidRDefault="00B50935" w:rsidP="00B50935">
      <w:pPr>
        <w:pStyle w:val="Point2"/>
      </w:pPr>
      <w:r w:rsidRPr="00927CFF">
        <w:t>d)</w:t>
      </w:r>
      <w:r w:rsidRPr="00927CFF">
        <w:tab/>
        <w:t xml:space="preserve">sikre monitorering af mangler i beredskabet og målrettet støtte til EU's medlemsstater og tredjelande i tilfælde af behov </w:t>
      </w:r>
    </w:p>
    <w:p w14:paraId="26063FAD" w14:textId="46C86EF9" w:rsidR="00B50935" w:rsidRPr="00927CFF" w:rsidRDefault="00B50935" w:rsidP="00B50935">
      <w:pPr>
        <w:pStyle w:val="Point2"/>
      </w:pPr>
      <w:r w:rsidRPr="00927CFF">
        <w:t>e)</w:t>
      </w:r>
      <w:r w:rsidRPr="00927CFF">
        <w:tab/>
        <w:t xml:space="preserve">udvikle øvelser og gennemgang under og efter indsatsen og tilrettelægge kapacitetsopbyggende foranstaltninger med henblik på at adressere identificerede mangler i beredskabskapacitet og -evne </w:t>
      </w:r>
    </w:p>
    <w:p w14:paraId="58C58B31" w14:textId="77777777" w:rsidR="00B50935" w:rsidRPr="00927CFF" w:rsidRDefault="00B50935" w:rsidP="00B50935">
      <w:pPr>
        <w:pStyle w:val="Point2"/>
      </w:pPr>
      <w:r w:rsidRPr="00927CFF">
        <w:t>f)</w:t>
      </w:r>
      <w:r w:rsidRPr="00927CFF">
        <w:tab/>
        <w:t>udvikle specifikke beredskabsaktiviteter vedrørende vaccineforebyggelige sygdomme, antimikrobiel resistens, laboratoriekapacitet og biosikkerhed i overensstemmelse med Kommissionens prioriteter og baseret på konstaterede mangler</w:t>
      </w:r>
    </w:p>
    <w:p w14:paraId="2D79AB3F" w14:textId="77777777" w:rsidR="00B50935" w:rsidRPr="00927CFF" w:rsidRDefault="00B50935" w:rsidP="00B50935">
      <w:pPr>
        <w:pStyle w:val="Point2"/>
      </w:pPr>
      <w:r w:rsidRPr="00927CFF">
        <w:t>g)</w:t>
      </w:r>
      <w:r w:rsidRPr="00927CFF">
        <w:tab/>
        <w:t>støtte integrationen af forskningsberedskab i beredskabs- og indsatsplanerne</w:t>
      </w:r>
    </w:p>
    <w:p w14:paraId="2FAB5E90" w14:textId="77777777" w:rsidR="00B50935" w:rsidRPr="00927CFF" w:rsidRDefault="00B50935" w:rsidP="00B50935">
      <w:pPr>
        <w:pStyle w:val="Point2"/>
      </w:pPr>
      <w:r w:rsidRPr="00927CFF">
        <w:t>h)</w:t>
      </w:r>
      <w:r w:rsidRPr="00927CFF">
        <w:tab/>
        <w:t xml:space="preserve">udvikle målrettede aktiviteter rettet mod risikogrupper og lokalsamfundsberedskab </w:t>
      </w:r>
    </w:p>
    <w:p w14:paraId="5C578983" w14:textId="125619AB" w:rsidR="00B50935" w:rsidRPr="00927CFF" w:rsidRDefault="00B50935" w:rsidP="00B50935">
      <w:pPr>
        <w:pStyle w:val="Point2"/>
      </w:pPr>
      <w:r w:rsidRPr="00927CFF">
        <w:t>i)</w:t>
      </w:r>
      <w:r w:rsidRPr="00927CFF">
        <w:tab/>
        <w:t>vurdere sundhedssystemernes evne til at påvise, forebygge, reagere på og komme sig efter udbrud af overførbare sygdomme, identificere mangler og fremsætte anbefalinger om styrkelse af sundhedssystemerne, som skal gennemføres med EU-støtte, hvis det er relevant</w:t>
      </w:r>
    </w:p>
    <w:p w14:paraId="25434035" w14:textId="77777777" w:rsidR="00B50935" w:rsidRPr="00927CFF" w:rsidRDefault="00B50935" w:rsidP="00B50935">
      <w:pPr>
        <w:pStyle w:val="Point2"/>
      </w:pPr>
      <w:r w:rsidRPr="00927CFF">
        <w:t>j)</w:t>
      </w:r>
      <w:r w:rsidRPr="00927CFF">
        <w:tab/>
        <w:t xml:space="preserve">styrke centrets kapacitet til modellering, foregribelse og udarbejdelse af prognoser og </w:t>
      </w:r>
    </w:p>
    <w:p w14:paraId="2002EE06" w14:textId="14487553" w:rsidR="00B50935" w:rsidRPr="00927CFF" w:rsidRDefault="00B50935" w:rsidP="00B50935">
      <w:pPr>
        <w:pStyle w:val="Point2"/>
      </w:pPr>
      <w:r w:rsidRPr="00927CFF">
        <w:t>k)</w:t>
      </w:r>
      <w:r w:rsidRPr="00927CFF">
        <w:tab/>
        <w:t>opretholde en mekanisme for regelmæssig udstationering indbyrdes af centrets, Kommissionens og medlemsstaternes eksperter."</w:t>
      </w:r>
    </w:p>
    <w:p w14:paraId="2B721B92" w14:textId="77777777" w:rsidR="00B50935" w:rsidRPr="00927CFF" w:rsidRDefault="00B50935" w:rsidP="00B50935">
      <w:pPr>
        <w:pStyle w:val="Point0"/>
      </w:pPr>
      <w:r w:rsidRPr="00927CFF">
        <w:t>7)</w:t>
      </w:r>
      <w:r w:rsidRPr="00927CFF">
        <w:tab/>
        <w:t>Artikel 6 ændres således</w:t>
      </w:r>
    </w:p>
    <w:p w14:paraId="53987D24" w14:textId="77777777" w:rsidR="00B50935" w:rsidRPr="00927CFF" w:rsidRDefault="00B50935" w:rsidP="00B50935">
      <w:pPr>
        <w:pStyle w:val="Point1"/>
      </w:pPr>
      <w:r w:rsidRPr="00927CFF">
        <w:t>a)</w:t>
      </w:r>
      <w:r w:rsidRPr="00927CFF">
        <w:tab/>
        <w:t xml:space="preserve">Følgende indsættes som stk. 1a: </w:t>
      </w:r>
    </w:p>
    <w:p w14:paraId="1C05A466" w14:textId="77777777" w:rsidR="00B50935" w:rsidRPr="00927CFF" w:rsidRDefault="00B50935" w:rsidP="00B50935">
      <w:pPr>
        <w:pStyle w:val="Point2"/>
      </w:pPr>
      <w:r w:rsidRPr="00927CFF">
        <w:t>"1a.</w:t>
      </w:r>
      <w:r w:rsidRPr="00927CFF">
        <w:tab/>
        <w:t>Centret udarbejder efter anmodning fra Kommissionen konkrete analyser og anbefalinger vedrørende foranstaltninger til forebyggelse og bekæmpelse af trusler fra overførbare sygdomme."</w:t>
      </w:r>
    </w:p>
    <w:p w14:paraId="1F809A20" w14:textId="77777777" w:rsidR="00B50935" w:rsidRPr="00927CFF" w:rsidRDefault="00B50935" w:rsidP="00B50935">
      <w:pPr>
        <w:pStyle w:val="Point1"/>
      </w:pPr>
      <w:r w:rsidRPr="00927CFF">
        <w:t>b)</w:t>
      </w:r>
      <w:r w:rsidRPr="00927CFF">
        <w:tab/>
        <w:t>Stk. 3 affattes således:</w:t>
      </w:r>
    </w:p>
    <w:p w14:paraId="23A57287" w14:textId="0C2370C4" w:rsidR="00B50935" w:rsidRPr="00927CFF" w:rsidRDefault="00B50935" w:rsidP="00B50935">
      <w:pPr>
        <w:pStyle w:val="Point2"/>
      </w:pPr>
      <w:r w:rsidRPr="00927CFF">
        <w:t>"3.</w:t>
      </w:r>
      <w:r w:rsidRPr="00927CFF">
        <w:tab/>
        <w:t>Centret kan fremme og tage initiativ til videnskabelige undersøgelser, der er nødvendige for varetagelsen af dets kommissorium, samt anvendte, videnskabelige undersøgelser og projekter vedrørende aktiviteternes gennemførlighed, udvikling og forberedelse. Centret undgår overlapning med Kommissionens, medlemsstaternes og Unionens forsknings- og sundhedsprogrammer og vil holde kontakt med folkesundhedssektoren og forskningssektoren efter behov.</w:t>
      </w:r>
    </w:p>
    <w:p w14:paraId="1D2761AA" w14:textId="46A9D928" w:rsidR="00B50935" w:rsidRPr="00927CFF" w:rsidRDefault="00B50935" w:rsidP="00B50935">
      <w:pPr>
        <w:pStyle w:val="Text3"/>
      </w:pPr>
      <w:r w:rsidRPr="00927CFF">
        <w:t>I forbindelse med de undersøgelser, der er omhandlet i første afsnit, skal centret have adgang til sundhedsoplysninger, der stilles til rådighed eller udveksles via digitale infrastrukturer og applikationer, i overensstemmelse med databeskyttelsesreglerne, således at sundhedsdataene kan anvendes til formål inden for sundhedssektoren, forskning, politikudformning og lovgivning. Med henblik på undersøgelser i henhold til første afsnit skal centret også gøre brug af andre relevante data, f.eks. om miljømæssige og socioøkonomiske faktorer."</w:t>
      </w:r>
    </w:p>
    <w:p w14:paraId="0ADA6837" w14:textId="77777777" w:rsidR="00B50935" w:rsidRPr="00927CFF" w:rsidRDefault="00B50935" w:rsidP="00B50935">
      <w:pPr>
        <w:pStyle w:val="Point1"/>
      </w:pPr>
      <w:r w:rsidRPr="00927CFF">
        <w:t>c)</w:t>
      </w:r>
      <w:r w:rsidRPr="00927CFF">
        <w:tab/>
        <w:t xml:space="preserve">Stk. 4 affattes således: </w:t>
      </w:r>
    </w:p>
    <w:p w14:paraId="77DCB4F5" w14:textId="77777777" w:rsidR="00B50935" w:rsidRPr="00927CFF" w:rsidRDefault="00B50935" w:rsidP="00B50935">
      <w:pPr>
        <w:pStyle w:val="Point2"/>
      </w:pPr>
      <w:r w:rsidRPr="00927CFF">
        <w:t>"4.</w:t>
      </w:r>
      <w:r w:rsidRPr="00927CFF">
        <w:tab/>
        <w:t>Centret rådfører sig med Kommissionen og andre EU-organer eller -agenturer om planlægning og fastsættelse af prioriteter for forskning og undersøgelser på folkesundhedsområdet."</w:t>
      </w:r>
    </w:p>
    <w:p w14:paraId="691716EF" w14:textId="77777777" w:rsidR="00B50935" w:rsidRPr="00927CFF" w:rsidRDefault="00B50935" w:rsidP="00B50935">
      <w:pPr>
        <w:pStyle w:val="Point0"/>
      </w:pPr>
      <w:r w:rsidRPr="00927CFF">
        <w:t>8)</w:t>
      </w:r>
      <w:r w:rsidRPr="00927CFF">
        <w:tab/>
        <w:t xml:space="preserve">Artikel 7 affattes således: </w:t>
      </w:r>
    </w:p>
    <w:p w14:paraId="35D7B973" w14:textId="77777777" w:rsidR="00B50935" w:rsidRPr="00927CFF" w:rsidRDefault="00B50935" w:rsidP="00B50935">
      <w:pPr>
        <w:pStyle w:val="Titrearticle"/>
      </w:pPr>
      <w:r w:rsidRPr="00927CFF">
        <w:t>"Artikel 7</w:t>
      </w:r>
    </w:p>
    <w:p w14:paraId="2FF23676" w14:textId="77777777" w:rsidR="00B50935" w:rsidRPr="00927CFF" w:rsidRDefault="00B50935" w:rsidP="00B50935">
      <w:pPr>
        <w:jc w:val="center"/>
        <w:rPr>
          <w:b/>
        </w:rPr>
      </w:pPr>
      <w:r w:rsidRPr="00927CFF">
        <w:rPr>
          <w:b/>
        </w:rPr>
        <w:t>Procedure for videnskabelige udtalelser</w:t>
      </w:r>
    </w:p>
    <w:p w14:paraId="7A2023DB" w14:textId="77777777" w:rsidR="00B50935" w:rsidRPr="00927CFF" w:rsidRDefault="00B50935" w:rsidP="00B50935">
      <w:pPr>
        <w:pStyle w:val="Point1"/>
      </w:pPr>
      <w:r w:rsidRPr="00927CFF">
        <w:t>1.</w:t>
      </w:r>
      <w:r w:rsidRPr="00927CFF">
        <w:tab/>
        <w:t>Centret afgiver videnskabelige udtalelser om spørgsmål, der hører under dets kommissorium:</w:t>
      </w:r>
    </w:p>
    <w:p w14:paraId="3E0C8457" w14:textId="77777777" w:rsidR="00B50935" w:rsidRPr="00927CFF" w:rsidRDefault="00B50935" w:rsidP="00B50935">
      <w:pPr>
        <w:pStyle w:val="Point2"/>
      </w:pPr>
      <w:r w:rsidRPr="00927CFF">
        <w:t>a)</w:t>
      </w:r>
      <w:r w:rsidRPr="00927CFF">
        <w:tab/>
        <w:t>i alle tilfælde, hvor EU-lovgivningen foreskriver, at centret skal høres</w:t>
      </w:r>
    </w:p>
    <w:p w14:paraId="013DDA25" w14:textId="77777777" w:rsidR="00B50935" w:rsidRPr="00927CFF" w:rsidRDefault="00B50935" w:rsidP="00B50935">
      <w:pPr>
        <w:pStyle w:val="Point2"/>
      </w:pPr>
      <w:r w:rsidRPr="00927CFF">
        <w:t>b)</w:t>
      </w:r>
      <w:r w:rsidRPr="00927CFF">
        <w:tab/>
        <w:t xml:space="preserve">efter anmodning fra Europa-Parlamentet eller en medlemsstat </w:t>
      </w:r>
    </w:p>
    <w:p w14:paraId="3CE67D6E" w14:textId="7CFCB815" w:rsidR="00B50935" w:rsidRPr="00927CFF" w:rsidRDefault="00B50935" w:rsidP="00B50935">
      <w:pPr>
        <w:pStyle w:val="Point2"/>
      </w:pPr>
      <w:r w:rsidRPr="00927CFF">
        <w:t>c)</w:t>
      </w:r>
      <w:r w:rsidRPr="00927CFF">
        <w:tab/>
        <w:t>efter anmodning fra Kommissionen og</w:t>
      </w:r>
    </w:p>
    <w:p w14:paraId="7166C372" w14:textId="062EF4B2" w:rsidR="00B50935" w:rsidRPr="00927CFF" w:rsidRDefault="00B50935" w:rsidP="00B50935">
      <w:pPr>
        <w:pStyle w:val="Point2"/>
      </w:pPr>
      <w:r w:rsidRPr="00927CFF">
        <w:t>d)</w:t>
      </w:r>
      <w:r w:rsidRPr="00927CFF">
        <w:tab/>
        <w:t>på eget initiativ.</w:t>
      </w:r>
    </w:p>
    <w:p w14:paraId="0E64D398" w14:textId="77777777" w:rsidR="00B50935" w:rsidRPr="00927CFF" w:rsidRDefault="00B50935" w:rsidP="00B50935">
      <w:pPr>
        <w:pStyle w:val="Point1"/>
      </w:pPr>
      <w:r w:rsidRPr="00927CFF">
        <w:t>2.</w:t>
      </w:r>
      <w:r w:rsidRPr="00927CFF">
        <w:tab/>
        <w:t>Anmodninger om en videnskabelig udtalelse, jf. stk. 1, skal klart redegøre for det videnskabelige spørgsmål, der skal behandles, og Unionens interesse heri og være ledsaget af tilstrækkelige baggrundsoplysninger om spørgsmålet.</w:t>
      </w:r>
    </w:p>
    <w:p w14:paraId="4D162657" w14:textId="77777777" w:rsidR="00B50935" w:rsidRPr="00927CFF" w:rsidRDefault="00B50935" w:rsidP="00B50935">
      <w:pPr>
        <w:pStyle w:val="Point1"/>
      </w:pPr>
      <w:r w:rsidRPr="00927CFF">
        <w:t>3.</w:t>
      </w:r>
      <w:r w:rsidRPr="00927CFF">
        <w:tab/>
        <w:t>Centret afgiver ekspertudtalelser inden for en i fællesskab aftalt tidsfrist.</w:t>
      </w:r>
    </w:p>
    <w:p w14:paraId="65C9B351" w14:textId="77777777" w:rsidR="00B50935" w:rsidRPr="00927CFF" w:rsidRDefault="00B50935" w:rsidP="00B50935">
      <w:pPr>
        <w:pStyle w:val="Point1"/>
      </w:pPr>
      <w:r w:rsidRPr="00927CFF">
        <w:t>4.</w:t>
      </w:r>
      <w:r w:rsidRPr="00927CFF">
        <w:tab/>
        <w:t xml:space="preserve">Hvis der fremsættes forskellige anmodninger vedrørende det samme spørgsmål, eller hvis anmodningen ikke er i overensstemmelse med stk. 2, kan centret enten afvise at afgive en videnskabelig udtalelse eller foreslå ændringer af anmodningen i samråd med den institution eller den medlemsstat, der har fremsat anmodningen. Hvis anmodningen afvises, begrundes det over for den institution eller den medlemsstat, der har fremsat anmodningen. </w:t>
      </w:r>
    </w:p>
    <w:p w14:paraId="05F110DB" w14:textId="77777777" w:rsidR="00B50935" w:rsidRPr="00927CFF" w:rsidRDefault="00B50935" w:rsidP="00B50935">
      <w:pPr>
        <w:pStyle w:val="Point1"/>
      </w:pPr>
      <w:r w:rsidRPr="00927CFF">
        <w:t>5.</w:t>
      </w:r>
      <w:r w:rsidRPr="00927CFF">
        <w:tab/>
        <w:t>Hvis centret allerede har afgivet en ekspertudtalelse om det specifikke emne omfattet af en anmodning, og det konkluderer, at der ikke er videnskabelige elementer, der berettiger til, at spørgsmålet tages op igen, gives der nærmere oplysninger til underbygning heraf til den institution eller den medlemsstat, der har fremsat anmodningen.</w:t>
      </w:r>
    </w:p>
    <w:p w14:paraId="0C2060A7" w14:textId="77777777" w:rsidR="00B50935" w:rsidRPr="00927CFF" w:rsidRDefault="00B50935" w:rsidP="00B50935">
      <w:pPr>
        <w:pStyle w:val="Point1"/>
      </w:pPr>
      <w:r w:rsidRPr="00927CFF">
        <w:t>6.</w:t>
      </w:r>
      <w:r w:rsidRPr="00927CFF">
        <w:tab/>
        <w:t>I centrets interne regler fastsættes nærmere krav med hensyn til format, begrundelse og offentliggørelse af ekspertudtalelser."</w:t>
      </w:r>
    </w:p>
    <w:p w14:paraId="512897E5" w14:textId="77777777" w:rsidR="00B50935" w:rsidRPr="00927CFF" w:rsidRDefault="00B50935" w:rsidP="00025545">
      <w:pPr>
        <w:pStyle w:val="Point0"/>
      </w:pPr>
      <w:r w:rsidRPr="00927CFF">
        <w:t>9)</w:t>
      </w:r>
      <w:r w:rsidRPr="00927CFF">
        <w:tab/>
        <w:t>Artikel 8 affattes således:</w:t>
      </w:r>
    </w:p>
    <w:p w14:paraId="1D5812FF" w14:textId="77777777" w:rsidR="00B50935" w:rsidRPr="00927CFF" w:rsidRDefault="00B50935" w:rsidP="00B50935">
      <w:pPr>
        <w:pStyle w:val="Titrearticle"/>
      </w:pPr>
      <w:r w:rsidRPr="00927CFF">
        <w:t>"Artikel 8</w:t>
      </w:r>
    </w:p>
    <w:p w14:paraId="56DD7C34" w14:textId="77777777" w:rsidR="00B50935" w:rsidRPr="00927CFF" w:rsidRDefault="00B50935" w:rsidP="00B50935">
      <w:pPr>
        <w:jc w:val="center"/>
        <w:rPr>
          <w:b/>
        </w:rPr>
      </w:pPr>
      <w:r w:rsidRPr="00927CFF">
        <w:rPr>
          <w:b/>
        </w:rPr>
        <w:t>Systemet for tidlig varsling og reaktion</w:t>
      </w:r>
    </w:p>
    <w:p w14:paraId="09F2C03E" w14:textId="77777777" w:rsidR="00B50935" w:rsidRPr="00927CFF" w:rsidRDefault="00B50935" w:rsidP="00B50935">
      <w:pPr>
        <w:pStyle w:val="Point1"/>
      </w:pPr>
      <w:r w:rsidRPr="00927CFF">
        <w:t>1.</w:t>
      </w:r>
      <w:r w:rsidRPr="00927CFF">
        <w:tab/>
        <w:t>Centret støtter og yder Kommissionen bistand med hensyn til driften af systemet for tidlig varsling og reaktion (EWRS) og til i samarbejde med medlemsstaterne at sikre, at der er kapacitet til at reagere på en koordineret måde.</w:t>
      </w:r>
    </w:p>
    <w:p w14:paraId="40C5CCD6" w14:textId="77777777" w:rsidR="00B50935" w:rsidRPr="00927CFF" w:rsidRDefault="00B50935" w:rsidP="00B50935">
      <w:pPr>
        <w:pStyle w:val="Point1"/>
      </w:pPr>
      <w:r w:rsidRPr="00927CFF">
        <w:t>2.</w:t>
      </w:r>
      <w:r w:rsidRPr="00927CFF">
        <w:tab/>
        <w:t>Centret:</w:t>
      </w:r>
    </w:p>
    <w:p w14:paraId="7F4FFE10" w14:textId="77777777" w:rsidR="00B50935" w:rsidRPr="00927CFF" w:rsidRDefault="00B50935" w:rsidP="00B50935">
      <w:pPr>
        <w:pStyle w:val="Point2"/>
      </w:pPr>
      <w:r w:rsidRPr="00927CFF">
        <w:t>a)</w:t>
      </w:r>
      <w:r w:rsidRPr="00927CFF">
        <w:tab/>
        <w:t>analyserer indholdet af meddelelser, som den modtager via EWRS</w:t>
      </w:r>
    </w:p>
    <w:p w14:paraId="3AD2A13A" w14:textId="77777777" w:rsidR="00B50935" w:rsidRPr="00927CFF" w:rsidRDefault="00B50935" w:rsidP="00B50935">
      <w:pPr>
        <w:pStyle w:val="Point2"/>
      </w:pPr>
      <w:r w:rsidRPr="00927CFF">
        <w:t>b)</w:t>
      </w:r>
      <w:r w:rsidRPr="00927CFF">
        <w:tab/>
        <w:t>stiller information, ekspertise, rådgivning og risikovurderinger til rådighed for medlemsstaterne og Kommissionen og</w:t>
      </w:r>
    </w:p>
    <w:p w14:paraId="3D7FF9D3" w14:textId="77777777" w:rsidR="00B50935" w:rsidRPr="00927CFF" w:rsidRDefault="00B50935" w:rsidP="00B50935">
      <w:pPr>
        <w:pStyle w:val="Point2"/>
      </w:pPr>
      <w:r w:rsidRPr="00927CFF">
        <w:t>c)</w:t>
      </w:r>
      <w:r w:rsidRPr="00927CFF">
        <w:tab/>
        <w:t>sikrer, at EWRS kobles effektivt sammen med andre EU-varslingssystemer.</w:t>
      </w:r>
    </w:p>
    <w:p w14:paraId="719FDFA0" w14:textId="45AF0BD5" w:rsidR="00B50935" w:rsidRPr="00927CFF" w:rsidRDefault="00B50935" w:rsidP="00B50935">
      <w:pPr>
        <w:pStyle w:val="Point1"/>
      </w:pPr>
      <w:r w:rsidRPr="00927CFF">
        <w:t>3.</w:t>
      </w:r>
      <w:r w:rsidRPr="00927CFF">
        <w:tab/>
        <w:t>Centret samarbejder med Kommissionen og Udvalget for Sundhedssikkerhed om opdateringer af EWRS, herunder med henblik på anvendelse af moderne teknologier, f.eks. digitale mobile applikationer, modeller for kunstig intelligens eller andre teknologier til automatiseret kontaktopsporing, på grundlag af de kontaktopsporingsteknologier, som medlemsstaterne har udviklet, og om fastlæggelse af de funktionelle krav til EWRS.</w:t>
      </w:r>
    </w:p>
    <w:p w14:paraId="1D53045F" w14:textId="526DF5E7" w:rsidR="00B50935" w:rsidRPr="00927CFF" w:rsidRDefault="00B50935" w:rsidP="00B50935">
      <w:pPr>
        <w:pStyle w:val="Point1"/>
      </w:pPr>
      <w:r w:rsidRPr="00927CFF">
        <w:t>4.</w:t>
      </w:r>
      <w:r w:rsidRPr="00927CFF">
        <w:tab/>
        <w:t>Centret samarbejder med Kommissionen, Udvalget for Sundhedssikkerhed og e-sundhedsnetværket med henblik på yderligere at fastlægge de funktionelle krav til kontaktopsporingsapplikationer og deres interoperabilitet under hensyntagen til eksisterende infrastrukturer og tjenester, såsom geolokaliseringstjenester, der leveres af EU's rumprogram.</w:t>
      </w:r>
    </w:p>
    <w:p w14:paraId="14DB851C" w14:textId="61FCA42A" w:rsidR="00B50935" w:rsidRPr="00927CFF" w:rsidRDefault="00B50935" w:rsidP="00B50935">
      <w:pPr>
        <w:pStyle w:val="Point1"/>
      </w:pPr>
      <w:r w:rsidRPr="00927CFF">
        <w:t>5.</w:t>
      </w:r>
      <w:r w:rsidRPr="00927CFF">
        <w:tab/>
        <w:t xml:space="preserve">Centret har som databehandler ansvaret for at sikre sikkerheden og fortroligheden i forbindelse med behandlingen af personoplysninger i EWRS og i forbindelse med interoperabiliteten af kontaktopsporingsapplikationer i overensstemmelse med de forpligtelser, der er fastsat i artikel 33, artikel 34, stk. 2, og artikel 36 i Europa-Parlamentets og Rådets forordning (EU) 2018/1725*. </w:t>
      </w:r>
    </w:p>
    <w:p w14:paraId="448E396C" w14:textId="77777777" w:rsidR="00B50935" w:rsidRPr="00927CFF" w:rsidRDefault="00B50935" w:rsidP="00B50935">
      <w:pPr>
        <w:pStyle w:val="Text1"/>
      </w:pPr>
      <w:r w:rsidRPr="00927CFF">
        <w:t>________________</w:t>
      </w:r>
    </w:p>
    <w:p w14:paraId="1F3DAB32" w14:textId="77777777" w:rsidR="00B50935" w:rsidRPr="00927CFF" w:rsidRDefault="00B50935" w:rsidP="00B50935">
      <w:pPr>
        <w:pStyle w:val="Point1"/>
      </w:pPr>
      <w:r w:rsidRPr="00927CFF">
        <w:t>*</w:t>
      </w:r>
      <w:r w:rsidRPr="00927CFF">
        <w:tab/>
        <w:t>Europa-Parlamentets og Rådets forordning (EU) 2018/1725 af 23. oktober 2018 om beskyttelse af fysiske personer i forbindelse med behandling af personoplysninger i Unionens institutioner, organer, kontorer og agenturer og om fri udveksling af sådanne oplysninger og om ophævelse af forordning (EF) nr. 45/2001 og afgørelse nr. 1247/2002/EF (EUT L 295 af 21.11.2018, s. 39)."</w:t>
      </w:r>
    </w:p>
    <w:p w14:paraId="1BDD512B" w14:textId="77777777" w:rsidR="00B50935" w:rsidRPr="00927CFF" w:rsidRDefault="00B50935" w:rsidP="00B50935">
      <w:pPr>
        <w:pStyle w:val="Point0"/>
      </w:pPr>
      <w:r w:rsidRPr="00927CFF">
        <w:t>10)</w:t>
      </w:r>
      <w:r w:rsidRPr="00927CFF">
        <w:tab/>
        <w:t>Følgende indsættes som artikel 8a:</w:t>
      </w:r>
    </w:p>
    <w:p w14:paraId="147F9459" w14:textId="77777777" w:rsidR="00B50935" w:rsidRPr="00927CFF" w:rsidRDefault="00B50935" w:rsidP="00B50935">
      <w:pPr>
        <w:pStyle w:val="Titrearticle"/>
      </w:pPr>
      <w:r w:rsidRPr="00927CFF">
        <w:t>"Artikel 8a</w:t>
      </w:r>
    </w:p>
    <w:p w14:paraId="7D6AD6DF" w14:textId="77777777" w:rsidR="00B50935" w:rsidRPr="00927CFF" w:rsidRDefault="00B50935" w:rsidP="00B50935">
      <w:pPr>
        <w:jc w:val="center"/>
        <w:rPr>
          <w:b/>
        </w:rPr>
      </w:pPr>
      <w:r w:rsidRPr="00927CFF">
        <w:rPr>
          <w:b/>
        </w:rPr>
        <w:t>Risikovurdering</w:t>
      </w:r>
    </w:p>
    <w:p w14:paraId="06C2203A" w14:textId="015EF20B" w:rsidR="00B50935" w:rsidRPr="00927CFF" w:rsidRDefault="00B50935" w:rsidP="00B50935">
      <w:pPr>
        <w:pStyle w:val="Point1"/>
      </w:pPr>
      <w:r w:rsidRPr="00927CFF">
        <w:t>1.</w:t>
      </w:r>
      <w:r w:rsidRPr="00927CFF">
        <w:tab/>
        <w:t>Centret foretager rettidige, hurtige risikovurderinger i overensstemmelse med artikel 20 i forordning (EU).../... [</w:t>
      </w:r>
      <w:r w:rsidRPr="00927CFF">
        <w:rPr>
          <w:i/>
          <w:iCs/>
        </w:rPr>
        <w:t>EUT:</w:t>
      </w:r>
      <w:r w:rsidRPr="00927CFF">
        <w:rPr>
          <w:i/>
          <w:color w:val="FF0000"/>
        </w:rPr>
        <w:t xml:space="preserve"> Indsæt nummeret på forordning SCBTH </w:t>
      </w:r>
      <w:r w:rsidRPr="00927CFF">
        <w:rPr>
          <w:color w:val="FF0000"/>
        </w:rPr>
        <w:t>[ISC/2020/12524]]</w:t>
      </w:r>
      <w:r w:rsidRPr="00927CFF">
        <w:t xml:space="preserve"> i tilfælde af en trussel som omhandlet i artikel 2, stk. 1, litra a), nr. i) og ii), i nævnte forordning, herunder en trussel mod stoffer af menneskelig oprindelse, såsom blod, organer, væv og celler, der potentielt kan blive påvirket af overførbare sygdomme, eller artikel 2, stk. 1, litra d), i nævnte forordning.</w:t>
      </w:r>
    </w:p>
    <w:p w14:paraId="605B043F" w14:textId="77777777" w:rsidR="00B50935" w:rsidRPr="00927CFF" w:rsidRDefault="00B50935" w:rsidP="00B50935">
      <w:pPr>
        <w:pStyle w:val="Point1"/>
      </w:pPr>
      <w:r w:rsidRPr="00927CFF">
        <w:t>2.</w:t>
      </w:r>
      <w:r w:rsidRPr="00927CFF">
        <w:tab/>
        <w:t xml:space="preserve">Risikovurderingen skal omfatte generelle og målrettede anbefalinger om reaktion som grundlag for koordinering i Udvalget for Sundhedssikkerhed. </w:t>
      </w:r>
    </w:p>
    <w:p w14:paraId="1EBEC10D" w14:textId="77777777" w:rsidR="00B50935" w:rsidRPr="00927CFF" w:rsidRDefault="00B50935" w:rsidP="00B50935">
      <w:pPr>
        <w:pStyle w:val="Point1"/>
      </w:pPr>
      <w:r w:rsidRPr="00927CFF">
        <w:t>3.</w:t>
      </w:r>
      <w:r w:rsidRPr="00927CFF">
        <w:tab/>
        <w:t>Med henblik på stk. 1 koordinerer centret udarbejdelsen af hurtige risikovurderinger ved om nødvendigt at inddrage medlemsstaternes eksperter og relevante agenturer.</w:t>
      </w:r>
    </w:p>
    <w:p w14:paraId="1700D33C" w14:textId="39DDC9EA" w:rsidR="00B50935" w:rsidRPr="00927CFF" w:rsidRDefault="00B50935" w:rsidP="00B50935">
      <w:pPr>
        <w:pStyle w:val="Point1"/>
      </w:pPr>
      <w:r w:rsidRPr="00927CFF">
        <w:t>4.</w:t>
      </w:r>
      <w:r w:rsidRPr="00927CFF">
        <w:tab/>
        <w:t>Hvis risikovurderingen falder uden for centrets mandat, sender centret efter anmodning fra det agentur eller det organ, der gennemfører risikovurderingen inden for sit mandat, uden unødigt ophold alle relevante oplysninger og data, som det har til rådighed."</w:t>
      </w:r>
    </w:p>
    <w:p w14:paraId="15B47187" w14:textId="77777777" w:rsidR="00B50935" w:rsidRPr="00927CFF" w:rsidRDefault="00B50935" w:rsidP="00B50935">
      <w:pPr>
        <w:pStyle w:val="Point0"/>
      </w:pPr>
      <w:r w:rsidRPr="00927CFF">
        <w:t>11)</w:t>
      </w:r>
      <w:r w:rsidRPr="00927CFF">
        <w:tab/>
        <w:t>Følgende indsættes som artikel 8b:</w:t>
      </w:r>
    </w:p>
    <w:p w14:paraId="4673FB85" w14:textId="77777777" w:rsidR="00B50935" w:rsidRPr="00927CFF" w:rsidRDefault="00B50935" w:rsidP="00B50935">
      <w:pPr>
        <w:pStyle w:val="Titrearticle"/>
      </w:pPr>
      <w:r w:rsidRPr="00927CFF">
        <w:t>"Artikel 8b</w:t>
      </w:r>
    </w:p>
    <w:p w14:paraId="6A84EEFC" w14:textId="77777777" w:rsidR="00B50935" w:rsidRPr="00927CFF" w:rsidRDefault="00B50935" w:rsidP="00B50935">
      <w:pPr>
        <w:jc w:val="center"/>
        <w:rPr>
          <w:b/>
        </w:rPr>
      </w:pPr>
      <w:r w:rsidRPr="00927CFF">
        <w:rPr>
          <w:b/>
        </w:rPr>
        <w:t>Koordinering af indsats</w:t>
      </w:r>
    </w:p>
    <w:p w14:paraId="08D1394E" w14:textId="2732F6A1" w:rsidR="00B50935" w:rsidRPr="00927CFF" w:rsidRDefault="00B50935" w:rsidP="00B50935">
      <w:pPr>
        <w:pStyle w:val="Point1"/>
      </w:pPr>
      <w:r w:rsidRPr="00927CFF">
        <w:t>1.</w:t>
      </w:r>
      <w:r w:rsidRPr="00927CFF">
        <w:tab/>
        <w:t>Centret støtter koordinering af indsats i Udvalget for Sundhedssikkerhed, jf. artikel 21 i forordning (EU).../... [</w:t>
      </w:r>
      <w:r w:rsidRPr="00927CFF">
        <w:rPr>
          <w:i/>
          <w:iCs/>
        </w:rPr>
        <w:t>EUT</w:t>
      </w:r>
      <w:r w:rsidRPr="00927CFF">
        <w:t>:</w:t>
      </w:r>
      <w:r w:rsidRPr="00927CFF">
        <w:rPr>
          <w:i/>
          <w:color w:val="FF0000"/>
        </w:rPr>
        <w:t xml:space="preserve"> Indsæt nummeret på forordning SCBTH </w:t>
      </w:r>
      <w:r w:rsidRPr="00927CFF">
        <w:rPr>
          <w:color w:val="FF0000"/>
        </w:rPr>
        <w:t>[ISC/2020/12524]]</w:t>
      </w:r>
      <w:r w:rsidRPr="00927CFF">
        <w:t xml:space="preserve">, navnlig ved at fremsætte anbefalinger til indsatsforanstaltninger for: </w:t>
      </w:r>
    </w:p>
    <w:p w14:paraId="5D900D32" w14:textId="77777777" w:rsidR="00B50935" w:rsidRPr="00927CFF" w:rsidRDefault="00B50935" w:rsidP="00B50935">
      <w:pPr>
        <w:pStyle w:val="Point2"/>
      </w:pPr>
      <w:r w:rsidRPr="00927CFF">
        <w:t>a)</w:t>
      </w:r>
      <w:r w:rsidRPr="00927CFF">
        <w:tab/>
        <w:t>national indsats over for den alvorlige grænseoverskridende sundhedstrussel</w:t>
      </w:r>
    </w:p>
    <w:p w14:paraId="7A572947" w14:textId="77777777" w:rsidR="00B50935" w:rsidRPr="00927CFF" w:rsidRDefault="00B50935" w:rsidP="00B50935">
      <w:pPr>
        <w:pStyle w:val="Point2"/>
      </w:pPr>
      <w:r w:rsidRPr="00927CFF">
        <w:t>b)</w:t>
      </w:r>
      <w:r w:rsidRPr="00927CFF">
        <w:tab/>
        <w:t>vedtagelse af retningslinjer for medlemsstaterne med henblik på forebyggelse og bekæmpelse af en alvorlig grænseoverskridende sundhedstrussel.</w:t>
      </w:r>
    </w:p>
    <w:p w14:paraId="7CD77B21" w14:textId="0C97E9C8" w:rsidR="00B50935" w:rsidRPr="00927CFF" w:rsidRDefault="00B50935" w:rsidP="00B50935">
      <w:pPr>
        <w:pStyle w:val="Point1"/>
      </w:pPr>
      <w:r w:rsidRPr="00927CFF">
        <w:t>2.</w:t>
      </w:r>
      <w:r w:rsidRPr="00927CFF">
        <w:tab/>
        <w:t xml:space="preserve">Centret støtter en koordineret EU-indsats efter anmodning fra en medlemsstat, Rådet, Kommissionen, EU-organer eller -agenturer." </w:t>
      </w:r>
    </w:p>
    <w:p w14:paraId="719BA862" w14:textId="77777777" w:rsidR="00B50935" w:rsidRPr="00927CFF" w:rsidRDefault="00B50935" w:rsidP="00B50935">
      <w:pPr>
        <w:pStyle w:val="Point0"/>
      </w:pPr>
      <w:r w:rsidRPr="00927CFF">
        <w:t>12)</w:t>
      </w:r>
      <w:r w:rsidRPr="00927CFF">
        <w:tab/>
        <w:t>Artikel 9 ændres således</w:t>
      </w:r>
    </w:p>
    <w:p w14:paraId="7B979A21" w14:textId="77777777" w:rsidR="00B50935" w:rsidRPr="00927CFF" w:rsidRDefault="00B50935" w:rsidP="00B50935">
      <w:pPr>
        <w:pStyle w:val="Point1"/>
      </w:pPr>
      <w:r w:rsidRPr="00927CFF">
        <w:t>a)</w:t>
      </w:r>
      <w:r w:rsidRPr="00927CFF">
        <w:tab/>
        <w:t>Stk. 1, 2 og 3 affattes således:</w:t>
      </w:r>
    </w:p>
    <w:p w14:paraId="0200DECD" w14:textId="30D2921C" w:rsidR="00B50935" w:rsidRPr="00927CFF" w:rsidRDefault="00B50935" w:rsidP="00B50935">
      <w:pPr>
        <w:pStyle w:val="Point2"/>
      </w:pPr>
      <w:r w:rsidRPr="00927CFF">
        <w:t>"1.</w:t>
      </w:r>
      <w:r w:rsidRPr="00927CFF">
        <w:tab/>
        <w:t>Centret yder videnskabelig og teknisk ekspertbistand til medlemsstaterne, Kommissionen og andre EU-organer eller -agenturer ved udarbejdelse, regelmæssig gennemgang og opdatering af beredskabsplaner samt ved udarbejdelse af interventionsstrategier inden for de områder, der henhører under dets kommissorium.</w:t>
      </w:r>
    </w:p>
    <w:p w14:paraId="767006DB" w14:textId="77777777" w:rsidR="00B50935" w:rsidRPr="00927CFF" w:rsidRDefault="00B50935" w:rsidP="00B50935">
      <w:pPr>
        <w:pStyle w:val="Point2"/>
      </w:pPr>
      <w:r w:rsidRPr="00927CFF">
        <w:t>2.</w:t>
      </w:r>
      <w:r w:rsidRPr="00927CFF">
        <w:tab/>
        <w:t>Kommissionen, medlemsstaterne, tredjelande, især EU-partnerlande, og internationale organisationer (særlig WHO) kan anmode centret om videnskabelig eller teknisk bistand inden for et hvilket som helst område under centrets kommissorium. Bistanden kan omfatte bistand til Kommissionen og medlemsstaterne med at udarbejde tekniske retningslinjer for god praksis og beskyttelsesforanstaltninger til brug i tilfælde af trusler mod menneskers sundhed, ydelse af ekspertbistand samt mobilisering og koordinering af undersøgelseshold. Centret yder videnskabelig og teknisk ekspertbistand og anden bistand inden for rammerne af sin økonomiske kapacitet og sit mandat og i overensstemmelse med de passende arbejdsordninger, der er fastlagt sammen med Kommissionen.</w:t>
      </w:r>
    </w:p>
    <w:p w14:paraId="42C3FC18" w14:textId="77777777" w:rsidR="00B50935" w:rsidRPr="00927CFF" w:rsidRDefault="00B50935" w:rsidP="00B50935">
      <w:pPr>
        <w:pStyle w:val="Point2"/>
      </w:pPr>
      <w:r w:rsidRPr="00927CFF">
        <w:t>3.</w:t>
      </w:r>
      <w:r w:rsidRPr="00927CFF">
        <w:tab/>
        <w:t>Ved anmodninger om videnskabelig eller teknisk bistand til centret fastsættes efter gensidig aftale med centret en frist."</w:t>
      </w:r>
    </w:p>
    <w:p w14:paraId="73AAEAEC" w14:textId="77777777" w:rsidR="00B50935" w:rsidRPr="00927CFF" w:rsidRDefault="00B50935" w:rsidP="00B50935">
      <w:pPr>
        <w:pStyle w:val="Point1"/>
      </w:pPr>
      <w:r w:rsidRPr="00927CFF">
        <w:t>b)</w:t>
      </w:r>
      <w:r w:rsidRPr="00927CFF">
        <w:tab/>
        <w:t xml:space="preserve">Stk. 5 udgår. </w:t>
      </w:r>
    </w:p>
    <w:p w14:paraId="7F036780" w14:textId="77777777" w:rsidR="00B50935" w:rsidRPr="00927CFF" w:rsidRDefault="00B50935" w:rsidP="00B50935">
      <w:pPr>
        <w:pStyle w:val="Point1"/>
      </w:pPr>
      <w:r w:rsidRPr="00927CFF">
        <w:t>c)</w:t>
      </w:r>
      <w:r w:rsidRPr="00927CFF">
        <w:tab/>
        <w:t>Stk. 6 affattes således:</w:t>
      </w:r>
    </w:p>
    <w:p w14:paraId="40A69ECC" w14:textId="77777777" w:rsidR="00B50935" w:rsidRPr="00927CFF" w:rsidRDefault="00B50935" w:rsidP="00B50935">
      <w:pPr>
        <w:pStyle w:val="Point2"/>
      </w:pPr>
      <w:r w:rsidRPr="00927CFF">
        <w:t>"6.</w:t>
      </w:r>
      <w:r w:rsidRPr="00927CFF">
        <w:tab/>
        <w:t>Centret støtter og koordinerer efter behov uddannelsesprogrammer, navnlig inden for epidemiologisk overvågning, undersøgelser i marken, beredskab og forebyggelse samt forskning i folkesundhed."</w:t>
      </w:r>
    </w:p>
    <w:p w14:paraId="5326D758" w14:textId="77777777" w:rsidR="00B50935" w:rsidRPr="00927CFF" w:rsidRDefault="00B50935" w:rsidP="00B50935">
      <w:pPr>
        <w:pStyle w:val="Point0"/>
      </w:pPr>
      <w:r w:rsidRPr="00927CFF">
        <w:t>13)</w:t>
      </w:r>
      <w:r w:rsidRPr="00927CFF">
        <w:tab/>
        <w:t>Artikel 11 ændres således</w:t>
      </w:r>
    </w:p>
    <w:p w14:paraId="14201FA4" w14:textId="77777777" w:rsidR="00B50935" w:rsidRPr="00927CFF" w:rsidRDefault="00B50935" w:rsidP="00B50935">
      <w:pPr>
        <w:pStyle w:val="Point1"/>
      </w:pPr>
      <w:r w:rsidRPr="00927CFF">
        <w:t>a)</w:t>
      </w:r>
      <w:r w:rsidRPr="00927CFF">
        <w:tab/>
        <w:t>Stk. 1 affattes således:</w:t>
      </w:r>
    </w:p>
    <w:p w14:paraId="2F6A93CC" w14:textId="77777777" w:rsidR="00B50935" w:rsidRPr="00927CFF" w:rsidRDefault="00B50935" w:rsidP="00B50935">
      <w:pPr>
        <w:pStyle w:val="Point2"/>
      </w:pPr>
      <w:r w:rsidRPr="00927CFF">
        <w:t>"1.</w:t>
      </w:r>
      <w:r w:rsidRPr="00927CFF">
        <w:tab/>
        <w:t xml:space="preserve">Centret koordinerer indsamling, validering, analyse og formidling af data på EU-plan." </w:t>
      </w:r>
    </w:p>
    <w:p w14:paraId="26B4BBF3" w14:textId="77777777" w:rsidR="00B50935" w:rsidRPr="00927CFF" w:rsidRDefault="00B50935" w:rsidP="00B50935">
      <w:pPr>
        <w:pStyle w:val="Point1"/>
      </w:pPr>
      <w:r w:rsidRPr="00927CFF">
        <w:t>b)</w:t>
      </w:r>
      <w:r w:rsidRPr="00927CFF">
        <w:tab/>
        <w:t>Følgende indsættes som stk. 1a:</w:t>
      </w:r>
    </w:p>
    <w:p w14:paraId="7E9B0DA6" w14:textId="77777777" w:rsidR="00B50935" w:rsidRPr="00927CFF" w:rsidRDefault="00B50935" w:rsidP="00B50935">
      <w:pPr>
        <w:pStyle w:val="Point2"/>
      </w:pPr>
      <w:r w:rsidRPr="00927CFF">
        <w:t>"1a.</w:t>
      </w:r>
      <w:r w:rsidRPr="00927CFF">
        <w:tab/>
        <w:t>Centret indsamler data og oplysninger og sikrer forbindelser til relevante forskningsdata og -output om:</w:t>
      </w:r>
    </w:p>
    <w:p w14:paraId="1D67983C" w14:textId="77777777" w:rsidR="00B50935" w:rsidRPr="00927CFF" w:rsidRDefault="00B50935" w:rsidP="00B50935">
      <w:pPr>
        <w:pStyle w:val="Point3"/>
      </w:pPr>
      <w:r w:rsidRPr="00927CFF">
        <w:t>a)</w:t>
      </w:r>
      <w:r w:rsidRPr="00927CFF">
        <w:tab/>
        <w:t>epidemiologisk overvågning af overførbare sygdomme og relaterede specielle sundhedsspørgsmål, jf. artikel 2, stk. 1, litra a), nr. i) og ii) , i forordning (EU).../ ... [</w:t>
      </w:r>
      <w:r w:rsidRPr="00927CFF">
        <w:rPr>
          <w:i/>
          <w:iCs/>
        </w:rPr>
        <w:t>EUT:</w:t>
      </w:r>
      <w:r w:rsidRPr="00927CFF">
        <w:rPr>
          <w:i/>
          <w:color w:val="FF0000"/>
        </w:rPr>
        <w:t xml:space="preserve"> Indsæt nummeret på forordning SCBTH </w:t>
      </w:r>
      <w:r w:rsidRPr="00927CFF">
        <w:rPr>
          <w:color w:val="FF0000"/>
        </w:rPr>
        <w:t>[ISC/2020/12524]]</w:t>
      </w:r>
    </w:p>
    <w:p w14:paraId="2A480440" w14:textId="77777777" w:rsidR="00B50935" w:rsidRPr="00927CFF" w:rsidRDefault="00B50935" w:rsidP="00B50935">
      <w:pPr>
        <w:pStyle w:val="Point3"/>
      </w:pPr>
      <w:r w:rsidRPr="00927CFF">
        <w:t>b)</w:t>
      </w:r>
      <w:r w:rsidRPr="00927CFF">
        <w:tab/>
        <w:t>udviklingen i epidemiske situationer, herunder med henblik på udvikling af modellering, foregribelse og scenarier</w:t>
      </w:r>
    </w:p>
    <w:p w14:paraId="27D7C58C" w14:textId="77777777" w:rsidR="00B50935" w:rsidRPr="00927CFF" w:rsidRDefault="00B50935" w:rsidP="00B50935">
      <w:pPr>
        <w:pStyle w:val="Point3"/>
      </w:pPr>
      <w:r w:rsidRPr="00927CFF">
        <w:t>c)</w:t>
      </w:r>
      <w:r w:rsidRPr="00927CFF">
        <w:tab/>
        <w:t>usædvanlige epidemiske fænomener eller nye overførbare sygdomme af ukendt oprindelse, herunder i tredjelande</w:t>
      </w:r>
    </w:p>
    <w:p w14:paraId="1BC24B7A" w14:textId="77777777" w:rsidR="00B50935" w:rsidRPr="00927CFF" w:rsidRDefault="00B50935" w:rsidP="00B50935">
      <w:pPr>
        <w:pStyle w:val="Point3"/>
      </w:pPr>
      <w:r w:rsidRPr="00927CFF">
        <w:t>d)</w:t>
      </w:r>
      <w:r w:rsidRPr="00927CFF">
        <w:tab/>
        <w:t>molekylære data om patogener, hvis det er nødvendigt for at påvise eller efterforske grænseoverskridende sundhedstrusler, og</w:t>
      </w:r>
    </w:p>
    <w:p w14:paraId="07D642F8" w14:textId="77777777" w:rsidR="00B50935" w:rsidRPr="00927CFF" w:rsidRDefault="00B50935" w:rsidP="00B50935">
      <w:pPr>
        <w:pStyle w:val="Point3"/>
      </w:pPr>
      <w:r w:rsidRPr="00927CFF">
        <w:t>e)</w:t>
      </w:r>
      <w:r w:rsidRPr="00927CFF">
        <w:tab/>
        <w:t>data vedrørende sundhedssystemer, der er nødvendige for at håndtere grænseoverskridende sundhedstrusler."</w:t>
      </w:r>
    </w:p>
    <w:p w14:paraId="41D3C7AF" w14:textId="77777777" w:rsidR="00B50935" w:rsidRPr="00927CFF" w:rsidRDefault="00B50935" w:rsidP="00B50935">
      <w:pPr>
        <w:pStyle w:val="Point1"/>
      </w:pPr>
      <w:r w:rsidRPr="00927CFF">
        <w:t>c)</w:t>
      </w:r>
      <w:r w:rsidRPr="00927CFF">
        <w:tab/>
        <w:t xml:space="preserve">Stk. 2 affattes således: </w:t>
      </w:r>
    </w:p>
    <w:p w14:paraId="74A06920" w14:textId="77777777" w:rsidR="00B50935" w:rsidRPr="00927CFF" w:rsidRDefault="00B50935" w:rsidP="00B50935">
      <w:pPr>
        <w:pStyle w:val="Point2"/>
      </w:pPr>
      <w:r w:rsidRPr="00927CFF">
        <w:t>"2.</w:t>
      </w:r>
      <w:r w:rsidRPr="00927CFF">
        <w:tab/>
        <w:t>I overensstemmelse med stk. 1:</w:t>
      </w:r>
    </w:p>
    <w:p w14:paraId="48EDE7B0" w14:textId="22355D6D" w:rsidR="00B50935" w:rsidRPr="00927CFF" w:rsidRDefault="00B50935" w:rsidP="00B50935">
      <w:pPr>
        <w:pStyle w:val="Point3"/>
      </w:pPr>
      <w:r w:rsidRPr="00927CFF">
        <w:t>a)</w:t>
      </w:r>
      <w:r w:rsidRPr="00927CFF">
        <w:tab/>
        <w:t>udvikler centret sammen med medlemsstaternes kompetente organer og Kommissionen hensigtsmæssige procedurer med henblik på at lette samråd og transmission af samt adgang til data</w:t>
      </w:r>
    </w:p>
    <w:p w14:paraId="69DE168A" w14:textId="77777777" w:rsidR="00B50935" w:rsidRPr="00927CFF" w:rsidRDefault="00B50935" w:rsidP="00B50935">
      <w:pPr>
        <w:pStyle w:val="Point3"/>
      </w:pPr>
      <w:r w:rsidRPr="00927CFF">
        <w:t>b)</w:t>
      </w:r>
      <w:r w:rsidRPr="00927CFF">
        <w:tab/>
        <w:t>foretager det teknisk og videnskabelig evaluering af forebyggelses- og kontrolforanstaltninger på EU-plan,</w:t>
      </w:r>
    </w:p>
    <w:p w14:paraId="0813908A" w14:textId="77777777" w:rsidR="00B50935" w:rsidRPr="00927CFF" w:rsidRDefault="00B50935" w:rsidP="00B50935">
      <w:pPr>
        <w:pStyle w:val="Point3"/>
      </w:pPr>
      <w:r w:rsidRPr="00927CFF">
        <w:t>c)</w:t>
      </w:r>
      <w:r w:rsidRPr="00927CFF">
        <w:tab/>
        <w:t>indgår det i et tæt samarbejde med de kompetente organer i organisationer, som beskæftiger sig med dataindsamling fra Unionen, tredjelande, WHO og andre internationale organisationer, og</w:t>
      </w:r>
    </w:p>
    <w:p w14:paraId="719CC0E4" w14:textId="193C126B" w:rsidR="00B50935" w:rsidRPr="00927CFF" w:rsidRDefault="00B50935" w:rsidP="00B50935">
      <w:pPr>
        <w:pStyle w:val="Point3"/>
      </w:pPr>
      <w:r w:rsidRPr="00927CFF">
        <w:t>d)</w:t>
      </w:r>
      <w:r w:rsidRPr="00927CFF">
        <w:tab/>
        <w:t>udvikler det løsninger vedrørende adgang til relevante sundhedsoplysninger, der stilles til rådighed eller udveksles via digitale infrastrukturer, i overensstemmelse med databeskyttelsesreglerne, således at sundhedsdataene kan anvendes til formål inden for sundhedssektoren, forskning, politikudformning og lovgivning, og det sikrer og letter kontrolleret adgang til sundhedsdata til støtte for forskning i folkesundhed."</w:t>
      </w:r>
    </w:p>
    <w:p w14:paraId="25A0E4F7" w14:textId="77777777" w:rsidR="00B50935" w:rsidRPr="00927CFF" w:rsidRDefault="00B50935" w:rsidP="00B50935">
      <w:pPr>
        <w:pStyle w:val="Point1"/>
      </w:pPr>
      <w:r w:rsidRPr="00927CFF">
        <w:t>d)</w:t>
      </w:r>
      <w:r w:rsidRPr="00927CFF">
        <w:tab/>
        <w:t>Følgende tilføjes som stk. 4 og 5:</w:t>
      </w:r>
    </w:p>
    <w:p w14:paraId="287C8E35" w14:textId="77777777" w:rsidR="00B50935" w:rsidRPr="00927CFF" w:rsidRDefault="00B50935" w:rsidP="00B50935">
      <w:pPr>
        <w:pStyle w:val="Point2"/>
      </w:pPr>
      <w:r w:rsidRPr="00927CFF">
        <w:t>"4.</w:t>
      </w:r>
      <w:r w:rsidRPr="00927CFF">
        <w:tab/>
        <w:t>I nødsituationer, hvor der er tale om en alvorlig eller ny alvorlig grænseoverskridende sundhedstrussel, eller hvor den pågældende trussel spredes hurtigt blandt medlemsstaterne, stiller centret epidemiologiske prognoser, jf. artikel 5, stk. 4, litra g), til rådighed efter anmodning fra Det Europæiske Lægemiddelagentur på en objektiv, pålidelig og lettilgængelig måde og på grundlag af de bedste tilgængelige oplysninger.</w:t>
      </w:r>
    </w:p>
    <w:p w14:paraId="4D683CC1" w14:textId="77777777" w:rsidR="00B50935" w:rsidRPr="00927CFF" w:rsidRDefault="00B50935" w:rsidP="00B50935">
      <w:pPr>
        <w:pStyle w:val="Point2"/>
      </w:pPr>
      <w:r w:rsidRPr="00927CFF">
        <w:t>5.</w:t>
      </w:r>
      <w:r w:rsidRPr="00927CFF">
        <w:tab/>
        <w:t>I nødsituationer, hvor der er tale om en alvorlig eller ny alvorlig grænseoverskridende sundhedstrussel, eller hvor den pågældende trussel spredes hurtigt blandt medlemsstaterne, fremlægger centret data og relevante analyser på grundlag af de bedste tilgængelige oplysninger."</w:t>
      </w:r>
    </w:p>
    <w:p w14:paraId="32EF861D" w14:textId="0896A6C1" w:rsidR="00B50935" w:rsidRPr="00927CFF" w:rsidRDefault="00B50935" w:rsidP="00B50935">
      <w:pPr>
        <w:pStyle w:val="Point0"/>
      </w:pPr>
      <w:r w:rsidRPr="00927CFF">
        <w:t>14)</w:t>
      </w:r>
      <w:r w:rsidRPr="00927CFF">
        <w:tab/>
        <w:t>Følgende indsættes som artikel 11a:</w:t>
      </w:r>
    </w:p>
    <w:p w14:paraId="29F8E3BF" w14:textId="77777777" w:rsidR="00B50935" w:rsidRPr="00927CFF" w:rsidRDefault="00B50935" w:rsidP="00B50935">
      <w:pPr>
        <w:pStyle w:val="Titrearticle"/>
      </w:pPr>
      <w:r w:rsidRPr="00927CFF">
        <w:t>"Artikel 11a</w:t>
      </w:r>
    </w:p>
    <w:p w14:paraId="4C45EEBA" w14:textId="77777777" w:rsidR="00B50935" w:rsidRPr="00927CFF" w:rsidRDefault="00B50935" w:rsidP="00B50935">
      <w:pPr>
        <w:jc w:val="center"/>
        <w:rPr>
          <w:b/>
        </w:rPr>
      </w:pPr>
      <w:r w:rsidRPr="00927CFF">
        <w:rPr>
          <w:b/>
        </w:rPr>
        <w:t>Støtte til international indsats og indsats i felten</w:t>
      </w:r>
    </w:p>
    <w:p w14:paraId="31E43554" w14:textId="309B48F8" w:rsidR="00B50935" w:rsidRPr="00927CFF" w:rsidRDefault="00B50935" w:rsidP="00B50935">
      <w:pPr>
        <w:pStyle w:val="Point1"/>
      </w:pPr>
      <w:r w:rsidRPr="00927CFF">
        <w:t>1.</w:t>
      </w:r>
      <w:r w:rsidRPr="00927CFF">
        <w:tab/>
        <w:t xml:space="preserve">Centret etablerer kapacitet til at mobilisere og anvende EU-sundhedstaskforcen, herunder centrets personale og eksperter fra medlemsstaterne og stipendieprogrammer, til at bistå den lokale indsats i tilfælde af udbrud af overførbare sygdomme i medlemsstaterne og i tredjelande. </w:t>
      </w:r>
    </w:p>
    <w:p w14:paraId="1ADEB69A" w14:textId="257B0285" w:rsidR="00B50935" w:rsidRPr="00927CFF" w:rsidRDefault="00B50935" w:rsidP="00B50935">
      <w:pPr>
        <w:pStyle w:val="Point1"/>
      </w:pPr>
      <w:r w:rsidRPr="00927CFF">
        <w:t>2.</w:t>
      </w:r>
      <w:r w:rsidRPr="00927CFF">
        <w:tab/>
        <w:t xml:space="preserve">Centret udarbejder en ramme og fastlægger procedurer sammen med Kommissionen med henblik på at mobilisere EU-sundhedstaskforcen. </w:t>
      </w:r>
    </w:p>
    <w:p w14:paraId="6D0FF8AD" w14:textId="22C97BDE" w:rsidR="00B50935" w:rsidRPr="00927CFF" w:rsidRDefault="00B50935" w:rsidP="00B50935">
      <w:pPr>
        <w:pStyle w:val="Point1"/>
      </w:pPr>
      <w:r w:rsidRPr="00927CFF">
        <w:t>3.</w:t>
      </w:r>
      <w:r w:rsidRPr="00927CFF">
        <w:tab/>
        <w:t xml:space="preserve">Centret sikrer, at EU-sundhedstaskforcen koordineres og supplerer kapaciteterne til integration af Det Europæiske Lægekorps og andre relevante kapaciteter under EU-civilbeskyttelsesmekanismen. </w:t>
      </w:r>
    </w:p>
    <w:p w14:paraId="18C3F0AC" w14:textId="380CABEE" w:rsidR="00B50935" w:rsidRPr="00927CFF" w:rsidRDefault="00B50935" w:rsidP="00B50935">
      <w:pPr>
        <w:pStyle w:val="Point1"/>
      </w:pPr>
      <w:r w:rsidRPr="00927CFF">
        <w:t>4.</w:t>
      </w:r>
      <w:r w:rsidRPr="00927CFF">
        <w:tab/>
        <w:t xml:space="preserve">Centret udarbejde sammen med Kommissionen en ramme for mobilisering af EU-sundhedstaskforcen med henblik på foranstaltninger i henhold til afgørelse nr. 1313/2013/EU*. </w:t>
      </w:r>
    </w:p>
    <w:p w14:paraId="2FF4B8A6" w14:textId="14F37BB0" w:rsidR="00B50935" w:rsidRPr="00927CFF" w:rsidRDefault="00B50935" w:rsidP="00B50935">
      <w:pPr>
        <w:pStyle w:val="Text2"/>
      </w:pPr>
      <w:r w:rsidRPr="00927CFF">
        <w:t xml:space="preserve">Centret yder bidrag fra eksperter vedrørende indsats i felten til internationale indsatsteams mobiliseret af WHO's program for nødsituationer på sundhedsområdet og netværket for indberetning af og indsats over for sygdomsudbrud på verdensplan (GOARN) og i overensstemmelse med passende arbejdsordninger fastlagt sammen med Kommissionen. </w:t>
      </w:r>
    </w:p>
    <w:p w14:paraId="5A5C7AB1" w14:textId="77777777" w:rsidR="00B50935" w:rsidRPr="00927CFF" w:rsidRDefault="00B50935" w:rsidP="00B50935">
      <w:pPr>
        <w:pStyle w:val="Point1"/>
      </w:pPr>
      <w:r w:rsidRPr="00927CFF">
        <w:t>5.</w:t>
      </w:r>
      <w:r w:rsidRPr="00927CFF">
        <w:tab/>
        <w:t>Centret fremmer udvikling af beredskabskapacitet og ekspertise i krisestyring i felten blandt centrets personale og eksperter fra EU- og EØS-lande, EU-kandidatlande og potentielle kandidatlande samt partnerlande i den europæiske naboskabspolitik og EU's partnerlande efter anmodning fra Kommissionen</w:t>
      </w:r>
    </w:p>
    <w:p w14:paraId="28DBAF98" w14:textId="77777777" w:rsidR="00B50935" w:rsidRPr="00927CFF" w:rsidRDefault="00B50935" w:rsidP="00B50935">
      <w:pPr>
        <w:pStyle w:val="Point1"/>
      </w:pPr>
      <w:r w:rsidRPr="00927CFF">
        <w:t>6.</w:t>
      </w:r>
      <w:r w:rsidRPr="00927CFF">
        <w:tab/>
        <w:t>Centret opretholder kapacitet til at foretage besøg i medlemsstaterne efter anmodning fra Kommissionen og medlemsstaterne med henblik på at give anbefalinger om indsats mod trusler mod sundheden inden for sit mandat.</w:t>
      </w:r>
    </w:p>
    <w:p w14:paraId="0EEC2526" w14:textId="6FB5F7EC" w:rsidR="00B50935" w:rsidRPr="00927CFF" w:rsidRDefault="00B50935" w:rsidP="00B50935">
      <w:pPr>
        <w:pStyle w:val="Point1"/>
      </w:pPr>
      <w:r w:rsidRPr="00927CFF">
        <w:t>7.</w:t>
      </w:r>
      <w:r w:rsidRPr="00927CFF">
        <w:tab/>
        <w:t>Efter anmodning fra Kommissionen og medlemsstaterne indgår centret i langsigtede kapacitetsopbygningsprojekter, der har til formål at styrke beredskabskapaciteten i henhold til det internationale sundhedsregulativ i ikke-europæiske tredjelande, navnlig i partnerlande.</w:t>
      </w:r>
    </w:p>
    <w:p w14:paraId="1459EEDC" w14:textId="77777777" w:rsidR="00B50935" w:rsidRPr="00927CFF" w:rsidDel="00906570" w:rsidRDefault="00B50935" w:rsidP="00B50935">
      <w:pPr>
        <w:pStyle w:val="Text1"/>
      </w:pPr>
      <w:r w:rsidRPr="00927CFF">
        <w:t>_______________</w:t>
      </w:r>
    </w:p>
    <w:p w14:paraId="592D2F68" w14:textId="77777777" w:rsidR="00B50935" w:rsidRPr="00927CFF" w:rsidRDefault="00B50935" w:rsidP="00B50935">
      <w:pPr>
        <w:pStyle w:val="Point1"/>
      </w:pPr>
      <w:r w:rsidRPr="00927CFF">
        <w:t>*</w:t>
      </w:r>
      <w:r w:rsidRPr="00927CFF">
        <w:tab/>
        <w:t>Europa-Parlamentets og Rådets afgørelse nr. 1313/2013/EU af 17. december 2013 om en EU-civilbeskyttelsesmekanisme (EUT L 347 af 20.12.2013, s. 924)."</w:t>
      </w:r>
    </w:p>
    <w:p w14:paraId="35809F8B" w14:textId="77777777" w:rsidR="00B50935" w:rsidRPr="00927CFF" w:rsidRDefault="00B50935" w:rsidP="00B50935">
      <w:pPr>
        <w:pStyle w:val="Point0"/>
      </w:pPr>
      <w:r w:rsidRPr="00927CFF">
        <w:t>15)</w:t>
      </w:r>
      <w:r w:rsidRPr="00927CFF">
        <w:tab/>
        <w:t>Artikel 12 ændres således</w:t>
      </w:r>
    </w:p>
    <w:p w14:paraId="22756D84" w14:textId="77777777" w:rsidR="00B50935" w:rsidRPr="00927CFF" w:rsidRDefault="00B50935" w:rsidP="00B50935">
      <w:pPr>
        <w:pStyle w:val="Point1"/>
      </w:pPr>
      <w:r w:rsidRPr="00927CFF">
        <w:t>a)</w:t>
      </w:r>
      <w:r w:rsidRPr="00927CFF">
        <w:tab/>
        <w:t>Stk. 1 affattes således:</w:t>
      </w:r>
    </w:p>
    <w:p w14:paraId="0DF72883" w14:textId="77777777" w:rsidR="00B50935" w:rsidRPr="00927CFF" w:rsidRDefault="00B50935" w:rsidP="00B50935">
      <w:pPr>
        <w:pStyle w:val="Point2"/>
      </w:pPr>
      <w:r w:rsidRPr="00927CFF">
        <w:t>"1.</w:t>
      </w:r>
      <w:r w:rsidRPr="00927CFF">
        <w:tab/>
        <w:t xml:space="preserve">Centret kan selv tage initiativ til kommunikation inden for sit kommissorium efter forudgående underretning af Kommissionen og medlemsstaterne. </w:t>
      </w:r>
    </w:p>
    <w:p w14:paraId="5DD9EEF9" w14:textId="77777777" w:rsidR="00B50935" w:rsidRPr="00927CFF" w:rsidRDefault="00B50935" w:rsidP="00B50935">
      <w:pPr>
        <w:pStyle w:val="Text3"/>
      </w:pPr>
      <w:r w:rsidRPr="00927CFF">
        <w:t>Centret sikrer, at offentligheden eller eventuelle berørte parter hurtigt får objektive, pålidelige evidensbaserede og let tilgængelige oplysninger vedrørende resultaterne af dets arbejde. Centret stiller informationsmateriale til rådighed for den brede offentlighed, bl.a. gennem et særligt websted. Det offentliggør desuden sine udtalelser i henhold til artikel 6."</w:t>
      </w:r>
    </w:p>
    <w:p w14:paraId="0CB1A7F1" w14:textId="77777777" w:rsidR="00B50935" w:rsidRPr="00927CFF" w:rsidRDefault="00B50935" w:rsidP="00B50935">
      <w:pPr>
        <w:pStyle w:val="Point1"/>
      </w:pPr>
      <w:r w:rsidRPr="00927CFF">
        <w:t>b)</w:t>
      </w:r>
      <w:r w:rsidRPr="00927CFF">
        <w:tab/>
        <w:t>Stk. 2 udgår</w:t>
      </w:r>
    </w:p>
    <w:p w14:paraId="16848818" w14:textId="77777777" w:rsidR="00B50935" w:rsidRPr="00927CFF" w:rsidRDefault="00B50935" w:rsidP="00B50935">
      <w:pPr>
        <w:pStyle w:val="Point1"/>
      </w:pPr>
      <w:r w:rsidRPr="00927CFF">
        <w:t>c)</w:t>
      </w:r>
      <w:r w:rsidRPr="00927CFF">
        <w:tab/>
        <w:t>Stk. 3 affattes således:</w:t>
      </w:r>
    </w:p>
    <w:p w14:paraId="7565B564" w14:textId="77777777" w:rsidR="00B50935" w:rsidRPr="00927CFF" w:rsidRDefault="00B50935" w:rsidP="00B50935">
      <w:pPr>
        <w:pStyle w:val="Point2"/>
      </w:pPr>
      <w:r w:rsidRPr="00927CFF">
        <w:t>"3.</w:t>
      </w:r>
      <w:r w:rsidRPr="00927CFF">
        <w:tab/>
        <w:t>Centret samarbejder i givet fald med de kompetente organer i medlemsstaterne og med andre berørte parter i forbindelse med offentlige informationskampagner."</w:t>
      </w:r>
    </w:p>
    <w:p w14:paraId="59ECB1C4" w14:textId="77777777" w:rsidR="00B50935" w:rsidRPr="00927CFF" w:rsidRDefault="00B50935" w:rsidP="00B50935">
      <w:pPr>
        <w:pStyle w:val="Point0"/>
      </w:pPr>
      <w:r w:rsidRPr="00927CFF">
        <w:t>16)</w:t>
      </w:r>
      <w:r w:rsidRPr="00927CFF">
        <w:tab/>
        <w:t xml:space="preserve">Artikel 14 ændres således </w:t>
      </w:r>
    </w:p>
    <w:p w14:paraId="686C9088" w14:textId="77777777" w:rsidR="00B50935" w:rsidRPr="00927CFF" w:rsidRDefault="00B50935" w:rsidP="00B50935">
      <w:pPr>
        <w:pStyle w:val="Point1"/>
      </w:pPr>
      <w:r w:rsidRPr="00927CFF">
        <w:t>a)</w:t>
      </w:r>
      <w:r w:rsidRPr="00927CFF">
        <w:tab/>
        <w:t xml:space="preserve">Stk. 2, tredje afsnit, affattes således: </w:t>
      </w:r>
    </w:p>
    <w:p w14:paraId="27F19390" w14:textId="77777777" w:rsidR="00B50935" w:rsidRPr="00927CFF" w:rsidRDefault="00B50935" w:rsidP="00B50935">
      <w:pPr>
        <w:pStyle w:val="Text2"/>
      </w:pPr>
      <w:r w:rsidRPr="00927CFF">
        <w:t>"Medlemmerne udpeges for en treårig periode og kan genudpeges."</w:t>
      </w:r>
    </w:p>
    <w:p w14:paraId="79B6D333" w14:textId="77777777" w:rsidR="00B50935" w:rsidRPr="00927CFF" w:rsidRDefault="00B50935" w:rsidP="00B50935">
      <w:pPr>
        <w:pStyle w:val="Point1"/>
      </w:pPr>
      <w:r w:rsidRPr="00927CFF">
        <w:t>b)</w:t>
      </w:r>
      <w:r w:rsidRPr="00927CFF">
        <w:tab/>
        <w:t xml:space="preserve">Stk. 5, litra d), e) og f), erstattes af følgende: </w:t>
      </w:r>
    </w:p>
    <w:p w14:paraId="75D14E33" w14:textId="77777777" w:rsidR="00B50935" w:rsidRPr="00927CFF" w:rsidRDefault="00B50935" w:rsidP="00B50935">
      <w:pPr>
        <w:pStyle w:val="Point2"/>
      </w:pPr>
      <w:r w:rsidRPr="00927CFF">
        <w:t>"d)</w:t>
      </w:r>
      <w:r w:rsidRPr="00927CFF">
        <w:tab/>
        <w:t xml:space="preserve">vedtager inden den 31. januar hvert år centrets arbejdsprogram for det kommende år </w:t>
      </w:r>
    </w:p>
    <w:p w14:paraId="79B1F256" w14:textId="0003FE5A" w:rsidR="00B50935" w:rsidRPr="00927CFF" w:rsidRDefault="00B50935" w:rsidP="00B50935">
      <w:pPr>
        <w:pStyle w:val="Point2"/>
      </w:pPr>
      <w:r w:rsidRPr="00927CFF">
        <w:t>e)</w:t>
      </w:r>
      <w:r w:rsidRPr="00927CFF">
        <w:tab/>
        <w:t xml:space="preserve">vedtager et udkast til et samlet programmeringsdokument i overensstemmelse med artikel 32 i Kommissionens delegerede forordning (EU) 2019/715* og Kommissionens retningslinjer for det samlede programmeringsdokument** </w:t>
      </w:r>
    </w:p>
    <w:p w14:paraId="3AAAB82A" w14:textId="77777777" w:rsidR="00B50935" w:rsidRPr="00927CFF" w:rsidRDefault="00B50935" w:rsidP="00B50935">
      <w:pPr>
        <w:pStyle w:val="Point2"/>
      </w:pPr>
      <w:r w:rsidRPr="00927CFF">
        <w:t>f)</w:t>
      </w:r>
      <w:r w:rsidRPr="00927CFF">
        <w:tab/>
        <w:t xml:space="preserve">sikrer, at arbejdsprogrammet for det kommende år og de flerårige programmer er i overensstemmelse med Unionens lovgivningsmæssige og politiske prioriteter på området for centrets kommissorium og opgaver og følger henstillingerne i Kommissionens årlige udtalelse </w:t>
      </w:r>
    </w:p>
    <w:p w14:paraId="426804E4" w14:textId="77777777" w:rsidR="00B50935" w:rsidRPr="00927CFF" w:rsidRDefault="00B50935" w:rsidP="00B50935">
      <w:pPr>
        <w:pStyle w:val="Point2"/>
      </w:pPr>
      <w:r w:rsidRPr="00927CFF">
        <w:t>g)</w:t>
      </w:r>
      <w:r w:rsidRPr="00927CFF">
        <w:tab/>
        <w:t xml:space="preserve">vedtager inden den 30. marts hvert år en almindelig beretning om centrets aktiviteter i det forløbne år </w:t>
      </w:r>
    </w:p>
    <w:p w14:paraId="2B906C4E" w14:textId="77777777" w:rsidR="00B50935" w:rsidRPr="00927CFF" w:rsidRDefault="00B50935" w:rsidP="00B50935">
      <w:pPr>
        <w:pStyle w:val="Point2"/>
        <w:rPr>
          <w:sz w:val="22"/>
        </w:rPr>
      </w:pPr>
      <w:r w:rsidRPr="00927CFF">
        <w:t>h)</w:t>
      </w:r>
      <w:r w:rsidRPr="00927CFF">
        <w:tab/>
        <w:t xml:space="preserve">vedtager finansforordningen for centret efter at have hørt Kommissionen </w:t>
      </w:r>
    </w:p>
    <w:p w14:paraId="5E97BF21" w14:textId="77777777" w:rsidR="00B50935" w:rsidRPr="00927CFF" w:rsidRDefault="00B50935" w:rsidP="00B50935">
      <w:pPr>
        <w:pStyle w:val="Point2"/>
      </w:pPr>
      <w:r w:rsidRPr="00927CFF">
        <w:t>i)</w:t>
      </w:r>
      <w:r w:rsidRPr="00927CFF">
        <w:tab/>
        <w:t>fastlægger bestemmelserne om, hvilke sprog centret skal anvende, herunder muligheden for en sondring mellem centrets interne arbejde og dets eksterne kommunikation, under hensyntagen til behovet for at sikre, at alle berørte parter i begge tilfælde har adgang til og kan deltage i centrets arbejde.</w:t>
      </w:r>
    </w:p>
    <w:p w14:paraId="7E8C4A2C" w14:textId="344176FF" w:rsidR="00B50935" w:rsidRPr="00927CFF" w:rsidRDefault="00B50935" w:rsidP="00B50935">
      <w:pPr>
        <w:pStyle w:val="Text3"/>
      </w:pPr>
      <w:r w:rsidRPr="00927CFF">
        <w:t>Finansforordningen for centret, jf. første afsnit, litra h), må ikke afvige fra Kommissionens delegerede forordning (EU) 2019/715, medmindre det specifikt er nødvendigt for centrets drift og i så fald med forudgående samtykke fra Kommissionen.</w:t>
      </w:r>
    </w:p>
    <w:p w14:paraId="67067D7B" w14:textId="77777777" w:rsidR="00B50935" w:rsidRPr="00927CFF" w:rsidRDefault="00B50935" w:rsidP="00B50935">
      <w:pPr>
        <w:pStyle w:val="Text3"/>
      </w:pPr>
      <w:r w:rsidRPr="00927CFF">
        <w:t>________________</w:t>
      </w:r>
    </w:p>
    <w:p w14:paraId="7F08CF7E" w14:textId="77777777" w:rsidR="00B50935" w:rsidRPr="00927CFF" w:rsidRDefault="00B50935" w:rsidP="00B50935">
      <w:pPr>
        <w:pStyle w:val="Point3"/>
        <w:rPr>
          <w:sz w:val="22"/>
        </w:rPr>
      </w:pPr>
      <w:r w:rsidRPr="00927CFF">
        <w:t>*</w:t>
      </w:r>
      <w:r w:rsidRPr="00927CFF">
        <w:tab/>
        <w:t>Kommissionens delegerede forordning (EU) 2019/715 af 18. december 2018 om rammefinansforordningen for de organer, der er nedsat i henhold til TEUF og Euratomtraktaten og omhandlet i artikel 70 i Europa-Parlamentets og Rådets forordning (EU, Euratom) 2018/1046 (EUT L 122 af 10.5.2019, s. 1)."</w:t>
      </w:r>
    </w:p>
    <w:p w14:paraId="100CFFA0" w14:textId="77777777" w:rsidR="00B50935" w:rsidRPr="00927CFF" w:rsidRDefault="00B50935" w:rsidP="00B50935">
      <w:pPr>
        <w:pStyle w:val="Point0"/>
      </w:pPr>
      <w:r w:rsidRPr="00927CFF">
        <w:t>17)</w:t>
      </w:r>
      <w:r w:rsidRPr="00927CFF">
        <w:tab/>
        <w:t>Artikel 16, stk. 2, litra b), affattes således:</w:t>
      </w:r>
    </w:p>
    <w:p w14:paraId="5DB75180" w14:textId="77777777" w:rsidR="00B50935" w:rsidRPr="00927CFF" w:rsidRDefault="00B50935" w:rsidP="00B50935">
      <w:pPr>
        <w:pStyle w:val="Point1"/>
      </w:pPr>
      <w:r w:rsidRPr="00927CFF">
        <w:t>"b)</w:t>
      </w:r>
      <w:r w:rsidRPr="00927CFF">
        <w:tab/>
        <w:t>udarbejdelse af udkast til arbejdsprogrammer, hvor der tages hensyn til henstillingerne i Kommissionens årlige udtalelse om det samlede programmeringsdokument".</w:t>
      </w:r>
    </w:p>
    <w:p w14:paraId="5CBE7410" w14:textId="4E7EE63C" w:rsidR="00B50935" w:rsidRPr="00927CFF" w:rsidRDefault="00B50935" w:rsidP="00B50935">
      <w:pPr>
        <w:pStyle w:val="Point0"/>
      </w:pPr>
      <w:r w:rsidRPr="00927CFF">
        <w:t>18)</w:t>
      </w:r>
      <w:r w:rsidRPr="00927CFF">
        <w:tab/>
        <w:t>Artikel 17 affattes således:</w:t>
      </w:r>
    </w:p>
    <w:p w14:paraId="11777E7B" w14:textId="57499ECA" w:rsidR="00B50935" w:rsidRPr="00927CFF" w:rsidRDefault="00C74CC6" w:rsidP="00C74CC6">
      <w:pPr>
        <w:pStyle w:val="Point1"/>
      </w:pPr>
      <w:r w:rsidRPr="00927CFF">
        <w:t>"1.</w:t>
      </w:r>
      <w:r w:rsidRPr="00927CFF">
        <w:tab/>
        <w:t xml:space="preserve">Uden at artikel 3, stk. 2, derved tilsidesættes, udnævnes direktøren af bestyrelsen for en femårig periode, der kan forlænges én gang med yderligere en periode på op til fem år, på grundlag af en liste over kandidater, som Kommissionen foreslår efter en almindelig udvælgelsesprøve efter offentliggørelse af interessetilkendegivelser både i </w:t>
      </w:r>
      <w:r w:rsidRPr="00927CFF">
        <w:rPr>
          <w:i/>
          <w:iCs/>
        </w:rPr>
        <w:t>Den Europæiske Unions Tidende</w:t>
      </w:r>
      <w:r w:rsidRPr="00927CFF">
        <w:t xml:space="preserve"> og andre steder." </w:t>
      </w:r>
    </w:p>
    <w:p w14:paraId="303BE10B" w14:textId="77777777" w:rsidR="00B50935" w:rsidRPr="00927CFF" w:rsidRDefault="00B50935" w:rsidP="00B50935">
      <w:pPr>
        <w:pStyle w:val="Point0"/>
      </w:pPr>
      <w:r w:rsidRPr="00927CFF">
        <w:t>19)</w:t>
      </w:r>
      <w:r w:rsidRPr="00927CFF">
        <w:tab/>
        <w:t>Artikel 18 ændres således</w:t>
      </w:r>
    </w:p>
    <w:p w14:paraId="04352ADB" w14:textId="77777777" w:rsidR="00B50935" w:rsidRPr="00927CFF" w:rsidRDefault="00B50935" w:rsidP="00B50935">
      <w:pPr>
        <w:pStyle w:val="Point1"/>
      </w:pPr>
      <w:r w:rsidRPr="00927CFF">
        <w:t>a)</w:t>
      </w:r>
      <w:r w:rsidRPr="00927CFF">
        <w:tab/>
        <w:t>Stk. 2 affattes således:</w:t>
      </w:r>
    </w:p>
    <w:p w14:paraId="06B9CE75" w14:textId="77777777" w:rsidR="00B50935" w:rsidRPr="00927CFF" w:rsidRDefault="00B50935" w:rsidP="00B50935">
      <w:pPr>
        <w:pStyle w:val="Point2"/>
      </w:pPr>
      <w:r w:rsidRPr="00927CFF">
        <w:t>"2.</w:t>
      </w:r>
      <w:r w:rsidRPr="00927CFF">
        <w:tab/>
        <w:t>Medlemmer af det rådgivende forum kan ikke være medlemmer af bestyrelsen. Medlemmerne udpeges for en treårig periode og kan genudpeges."</w:t>
      </w:r>
    </w:p>
    <w:p w14:paraId="21320924" w14:textId="77777777" w:rsidR="00B50935" w:rsidRPr="00927CFF" w:rsidRDefault="00B50935" w:rsidP="00B50935">
      <w:pPr>
        <w:pStyle w:val="Point1"/>
      </w:pPr>
      <w:r w:rsidRPr="00927CFF">
        <w:t>b)</w:t>
      </w:r>
      <w:r w:rsidRPr="00927CFF">
        <w:tab/>
        <w:t>Stk. 4, litra f), erstattes af følgende:</w:t>
      </w:r>
    </w:p>
    <w:p w14:paraId="17956B1E" w14:textId="77777777" w:rsidR="00B50935" w:rsidRPr="00927CFF" w:rsidRDefault="00B50935" w:rsidP="00B50935">
      <w:pPr>
        <w:pStyle w:val="Point2"/>
      </w:pPr>
      <w:r w:rsidRPr="00927CFF">
        <w:t>"f)</w:t>
      </w:r>
      <w:r w:rsidRPr="00927CFF">
        <w:tab/>
        <w:t>om videnskabelige og folkesundhedsmæssige prioriteter, der skal behandles i arbejdsprogrammet, og</w:t>
      </w:r>
    </w:p>
    <w:p w14:paraId="5A3B2AD9" w14:textId="77777777" w:rsidR="00B50935" w:rsidRPr="00927CFF" w:rsidRDefault="00B50935" w:rsidP="00B50935">
      <w:pPr>
        <w:pStyle w:val="Point2"/>
      </w:pPr>
      <w:r w:rsidRPr="00927CFF">
        <w:t>g)</w:t>
      </w:r>
      <w:r w:rsidRPr="00927CFF">
        <w:tab/>
        <w:t>om vigtige publikationer, der er under udarbejdelse af centret, f.eks. prognoseundersøgelser."</w:t>
      </w:r>
    </w:p>
    <w:p w14:paraId="2AE7B594" w14:textId="77777777" w:rsidR="00B50935" w:rsidRPr="00927CFF" w:rsidRDefault="00B50935" w:rsidP="00B50935">
      <w:pPr>
        <w:pStyle w:val="Point1"/>
      </w:pPr>
      <w:r w:rsidRPr="00927CFF">
        <w:t>c)</w:t>
      </w:r>
      <w:r w:rsidRPr="00927CFF">
        <w:tab/>
        <w:t>Stk. 8 affattes således:</w:t>
      </w:r>
    </w:p>
    <w:p w14:paraId="162DB414" w14:textId="77777777" w:rsidR="00B50935" w:rsidRPr="00927CFF" w:rsidRDefault="00B50935" w:rsidP="00B50935">
      <w:pPr>
        <w:pStyle w:val="Point2"/>
      </w:pPr>
      <w:r w:rsidRPr="00927CFF">
        <w:t>"8.</w:t>
      </w:r>
      <w:r w:rsidRPr="00927CFF">
        <w:tab/>
        <w:t>Direktøren kan indbyde eksperter eller repræsentanter for faglige eller videnskabelige organer eller ikke-statslige organisationer med anerkendt ekspertise af relevans for centrets arbejde til at samarbejde om bestemte opgaver og til at deltage i de relevante aktiviteter i det rådgivende forum. Desuden kan Kommissionen over for direktøren foreslå, at eksperter eller repræsentanter for faglige eller videnskabelige organer eller ikke-statslige organisationer indbydes på ad hoc-basis."</w:t>
      </w:r>
    </w:p>
    <w:p w14:paraId="7262176A" w14:textId="77777777" w:rsidR="00B50935" w:rsidRPr="00927CFF" w:rsidRDefault="00B50935" w:rsidP="00B50935">
      <w:pPr>
        <w:pStyle w:val="Point0"/>
      </w:pPr>
      <w:r w:rsidRPr="00927CFF">
        <w:t>20)</w:t>
      </w:r>
      <w:r w:rsidRPr="00927CFF">
        <w:tab/>
        <w:t xml:space="preserve">Artikel 20, stk. 3, affattes således: </w:t>
      </w:r>
    </w:p>
    <w:p w14:paraId="38292788" w14:textId="77777777" w:rsidR="00B50935" w:rsidRPr="00927CFF" w:rsidRDefault="00B50935" w:rsidP="00B50935">
      <w:pPr>
        <w:pStyle w:val="Point1"/>
      </w:pPr>
      <w:r w:rsidRPr="00927CFF">
        <w:t>"3.</w:t>
      </w:r>
      <w:r w:rsidRPr="00927CFF">
        <w:tab/>
        <w:t>De beslutninger, som centret træffer i henhold til artikel 8 i forordning (EF) nr. 1049/2001, kan påklages til Ombudsmanden eller indbringes for Den Europæiske Unions Domstol ("Domstolen") efter bestemmelserne i henholdsvis artikel 228 og 230 i TEUF."</w:t>
      </w:r>
    </w:p>
    <w:p w14:paraId="1DDE6726" w14:textId="77777777" w:rsidR="00B50935" w:rsidRPr="00927CFF" w:rsidRDefault="00B50935" w:rsidP="00B50935">
      <w:pPr>
        <w:pStyle w:val="Point0"/>
        <w:rPr>
          <w:b/>
        </w:rPr>
      </w:pPr>
      <w:r w:rsidRPr="00927CFF">
        <w:t>21)</w:t>
      </w:r>
      <w:r w:rsidRPr="00927CFF">
        <w:tab/>
        <w:t>Artikel 21 affattes således:</w:t>
      </w:r>
    </w:p>
    <w:p w14:paraId="7827CF01" w14:textId="77777777" w:rsidR="00B50935" w:rsidRPr="00927CFF" w:rsidRDefault="00B50935" w:rsidP="00B50935">
      <w:pPr>
        <w:pStyle w:val="Titrearticle"/>
        <w:rPr>
          <w:iCs/>
        </w:rPr>
      </w:pPr>
      <w:r w:rsidRPr="00927CFF">
        <w:t>"Artikel 21</w:t>
      </w:r>
    </w:p>
    <w:p w14:paraId="2A3D4E07" w14:textId="77777777" w:rsidR="00B50935" w:rsidRPr="00927CFF" w:rsidRDefault="00B50935" w:rsidP="00B50935">
      <w:pPr>
        <w:jc w:val="center"/>
        <w:rPr>
          <w:b/>
        </w:rPr>
      </w:pPr>
      <w:r w:rsidRPr="00927CFF">
        <w:rPr>
          <w:b/>
        </w:rPr>
        <w:t>Tavshedspligt og fortrolighed</w:t>
      </w:r>
    </w:p>
    <w:p w14:paraId="0CE73558" w14:textId="77777777" w:rsidR="00B50935" w:rsidRPr="00927CFF" w:rsidRDefault="00B50935" w:rsidP="00B50935">
      <w:pPr>
        <w:pStyle w:val="Point1"/>
      </w:pPr>
      <w:r w:rsidRPr="00927CFF">
        <w:t>1.</w:t>
      </w:r>
      <w:r w:rsidRPr="00927CFF">
        <w:tab/>
        <w:t>Uden at artikel 20 derved tilsidesættes, må centret ikke til tredjemand videregive fortrolige oplysninger, som det modtager, og for hvilke der foreligger en begrundet begæring om, at de behandles fortroligt, medmindre omstændighederne gør det påkrævet at offentliggøre oplysningerne af hensyn til beskyttelse af folkesundheden. Fortrolige oplysninger, der er blevet forelagt af en medlemsstat, må ikke videregives uden den pågældende medlemsstats forudgående samtykke hertil.</w:t>
      </w:r>
    </w:p>
    <w:p w14:paraId="1CF6196F" w14:textId="09AD8BAF" w:rsidR="00B50935" w:rsidRPr="00927CFF" w:rsidRDefault="00B50935" w:rsidP="00B50935">
      <w:pPr>
        <w:pStyle w:val="Text2"/>
      </w:pPr>
      <w:r w:rsidRPr="00927CFF">
        <w:t>Kommissionens sikkerhedsforskrifter vedrørende beskyttelse af Unionens klassificerede oplysninger, jf. Kommissionens afgørelse (EU, Euratom) 2015/443* og (EU, Euratom) 2015/444**, finder anvendelse på centrets arbejde og personale.</w:t>
      </w:r>
    </w:p>
    <w:p w14:paraId="283A6E19" w14:textId="77777777" w:rsidR="00B50935" w:rsidRPr="00927CFF" w:rsidRDefault="00B50935" w:rsidP="00B50935">
      <w:pPr>
        <w:pStyle w:val="Point1"/>
      </w:pPr>
      <w:r w:rsidRPr="00927CFF">
        <w:t>2.</w:t>
      </w:r>
      <w:r w:rsidRPr="00927CFF">
        <w:tab/>
        <w:t xml:space="preserve">Bestyrelsesmedlemmer, direktøren, medlemmerne af det rådgivende forum samt eksterne eksperter, som deltager i ekspertpanelerne, og centrets ansatte er, selv efter at deres hverv er ophørt, undergivet tavshedspligt som fastsat i artikel 339 i TEUF. </w:t>
      </w:r>
    </w:p>
    <w:p w14:paraId="649E8674" w14:textId="77777777" w:rsidR="00B50935" w:rsidRPr="00927CFF" w:rsidRDefault="00B50935" w:rsidP="00B50935">
      <w:pPr>
        <w:pStyle w:val="Point1"/>
      </w:pPr>
      <w:r w:rsidRPr="00927CFF">
        <w:t>3.</w:t>
      </w:r>
      <w:r w:rsidRPr="00927CFF">
        <w:tab/>
        <w:t>Konklusionerne af de videnskabelige udtalelser, der afgives af centret vedrørende de påregnede sundhedsmæssige virkninger, må under ingen omstændigheder behandles fortroligt.</w:t>
      </w:r>
    </w:p>
    <w:p w14:paraId="3098F405" w14:textId="77777777" w:rsidR="00B50935" w:rsidRPr="00927CFF" w:rsidRDefault="00B50935" w:rsidP="00B50935">
      <w:pPr>
        <w:pStyle w:val="Point1"/>
      </w:pPr>
      <w:r w:rsidRPr="00927CFF">
        <w:t>4.</w:t>
      </w:r>
      <w:r w:rsidRPr="00927CFF">
        <w:tab/>
        <w:t xml:space="preserve">Centret fastsætter i sine interne regler bestemmelser om, hvordan de i stk. 1 og 2 omhandlede regler om tavshedspligt gennemføres i praksis. </w:t>
      </w:r>
    </w:p>
    <w:p w14:paraId="76D64286" w14:textId="42B44DCF" w:rsidR="00B50935" w:rsidRPr="00927CFF" w:rsidRDefault="00B50935" w:rsidP="00B50935">
      <w:pPr>
        <w:pStyle w:val="Point1"/>
      </w:pPr>
      <w:r w:rsidRPr="00927CFF">
        <w:t>5.</w:t>
      </w:r>
      <w:r w:rsidRPr="00927CFF">
        <w:tab/>
        <w:t xml:space="preserve">Centret træffer alle nødvendige foranstaltninger for at lette udveksling af oplysninger, der er relevante for dets opgaver, med Kommissionen, medlemsstaterne og i givet fald andre EU-institutioner og Unionens organer, kontorer og agenturer samt internationale organisationer og tredjelande i overensstemmelse med passende arbejdsordninger fastlagt sammen med Kommissionen. </w:t>
      </w:r>
    </w:p>
    <w:p w14:paraId="14C2FF4D" w14:textId="77777777" w:rsidR="00B50935" w:rsidRPr="00927CFF" w:rsidRDefault="00B50935" w:rsidP="00B50935">
      <w:pPr>
        <w:pStyle w:val="Point1"/>
      </w:pPr>
      <w:r w:rsidRPr="00927CFF">
        <w:t>6.</w:t>
      </w:r>
      <w:r w:rsidRPr="00927CFF">
        <w:tab/>
        <w:t xml:space="preserve">Centret udvikler, udbreder og driver et informationssystem til udveksling af klassificerede og følsomme, ikke-klassificerede informationer som specificeret i denne artikel. </w:t>
      </w:r>
    </w:p>
    <w:p w14:paraId="17C8E0C0" w14:textId="77777777" w:rsidR="00B50935" w:rsidRPr="00927CFF" w:rsidRDefault="00B50935" w:rsidP="00B50935">
      <w:pPr>
        <w:pStyle w:val="Text1"/>
      </w:pPr>
      <w:r w:rsidRPr="00927CFF">
        <w:t>__________________</w:t>
      </w:r>
    </w:p>
    <w:p w14:paraId="1062ECEF" w14:textId="77777777" w:rsidR="00B50935" w:rsidRPr="00927CFF" w:rsidRDefault="00B50935" w:rsidP="00B50935">
      <w:pPr>
        <w:pStyle w:val="Point1"/>
      </w:pPr>
      <w:r w:rsidRPr="00927CFF">
        <w:t>*</w:t>
      </w:r>
      <w:r w:rsidRPr="00927CFF">
        <w:tab/>
        <w:t>Kommissionens afgørelse (EU, Euratom) 2015/443 af 13. marts 2015 om sikkerhedsbeskyttelse i Kommissionen (EUT L 72 af 17.3.2015, s. 41).</w:t>
      </w:r>
    </w:p>
    <w:p w14:paraId="3E2855BB" w14:textId="77777777" w:rsidR="00B50935" w:rsidRPr="00927CFF" w:rsidRDefault="00B50935" w:rsidP="00B50935">
      <w:pPr>
        <w:pStyle w:val="Point1"/>
      </w:pPr>
      <w:r w:rsidRPr="00927CFF">
        <w:t>**</w:t>
      </w:r>
      <w:r w:rsidRPr="00927CFF">
        <w:tab/>
        <w:t>Kommissionens afgørelse (EU, Euratom) 2015/444 af 13. marts 2015 om reglerne for sikkerhedsbeskyttelse af EU's klassificerede informationer (EUT L 72 af 17.3.2015, s. 53)."</w:t>
      </w:r>
    </w:p>
    <w:p w14:paraId="2C6DB6A9" w14:textId="77777777" w:rsidR="00B50935" w:rsidRPr="00927CFF" w:rsidRDefault="00B50935" w:rsidP="00B50935">
      <w:pPr>
        <w:pStyle w:val="Point0"/>
      </w:pPr>
      <w:r w:rsidRPr="00927CFF">
        <w:t>22)</w:t>
      </w:r>
      <w:r w:rsidRPr="00927CFF">
        <w:tab/>
        <w:t>Artikel 22 ændres således</w:t>
      </w:r>
    </w:p>
    <w:p w14:paraId="08052F10" w14:textId="77777777" w:rsidR="00B50935" w:rsidRPr="00927CFF" w:rsidRDefault="00B50935" w:rsidP="00B50935">
      <w:pPr>
        <w:pStyle w:val="Point1"/>
      </w:pPr>
      <w:r w:rsidRPr="00927CFF">
        <w:t>a)</w:t>
      </w:r>
      <w:r w:rsidRPr="00927CFF">
        <w:tab/>
        <w:t>Stk. 3, litra d), erstattes af følgende:</w:t>
      </w:r>
    </w:p>
    <w:p w14:paraId="49EB3F18" w14:textId="77777777" w:rsidR="00B50935" w:rsidRPr="00927CFF" w:rsidRDefault="00B50935" w:rsidP="00B50935">
      <w:pPr>
        <w:pStyle w:val="Point2"/>
      </w:pPr>
      <w:r w:rsidRPr="00927CFF">
        <w:t>"d)</w:t>
      </w:r>
      <w:r w:rsidRPr="00927CFF">
        <w:tab/>
        <w:t>eventuelle frivillige bidrag fra medlemsstaterne og</w:t>
      </w:r>
    </w:p>
    <w:p w14:paraId="60E06418" w14:textId="77777777" w:rsidR="00B50935" w:rsidRPr="00927CFF" w:rsidRDefault="00B50935" w:rsidP="00B50935">
      <w:pPr>
        <w:pStyle w:val="Point2"/>
      </w:pPr>
      <w:r w:rsidRPr="00927CFF">
        <w:t>e)</w:t>
      </w:r>
      <w:r w:rsidRPr="00927CFF">
        <w:tab/>
        <w:t>eventuelle indtægter fra bidragsaftaler eller tilskudsaftaler, der ekstraordinært indgås mellem Kommissionen og centret."</w:t>
      </w:r>
    </w:p>
    <w:p w14:paraId="1B6CC789" w14:textId="77777777" w:rsidR="00B50935" w:rsidRPr="00927CFF" w:rsidRDefault="00B50935" w:rsidP="00B50935">
      <w:pPr>
        <w:pStyle w:val="Point1"/>
      </w:pPr>
      <w:r w:rsidRPr="00927CFF">
        <w:t>b)</w:t>
      </w:r>
      <w:r w:rsidRPr="00927CFF">
        <w:tab/>
        <w:t>Følgende indsættes som stk. 3a:</w:t>
      </w:r>
    </w:p>
    <w:p w14:paraId="372F8BF1" w14:textId="1A19C7B5" w:rsidR="00B50935" w:rsidRPr="00927CFF" w:rsidRDefault="00B50935" w:rsidP="00B50935">
      <w:pPr>
        <w:pStyle w:val="Point2"/>
      </w:pPr>
      <w:r w:rsidRPr="00927CFF">
        <w:t>"3a.</w:t>
      </w:r>
      <w:r w:rsidRPr="00927CFF">
        <w:tab/>
        <w:t>Finansiering fra EU's budget kan tildeles centret for de omkostninger, som centret afholder i forbindelse med gennemførelsen af sit arbejdsprogram, der er udarbejdet i overensstemmelse med målene og prioriteterne i de arbejdsprogrammer, som Kommissionen har vedtaget i overensstemmelse med Europa-Parlamentets og Rådets forordning (EU).../...* , og EU's forsknings- og innovationsprogrammer. Denne finansiering omfatter ikke udgifter, der allerede er dækket af Den Europæiske Unions almindelige budget eller andre af centrets ressourcer som defineret i denne artikels stk. 3."</w:t>
      </w:r>
    </w:p>
    <w:p w14:paraId="361866BB" w14:textId="77777777" w:rsidR="00B50935" w:rsidRPr="00927CFF" w:rsidRDefault="00B50935" w:rsidP="00B50935">
      <w:pPr>
        <w:pStyle w:val="Point1"/>
      </w:pPr>
      <w:r w:rsidRPr="00927CFF">
        <w:t>c)</w:t>
      </w:r>
      <w:r w:rsidRPr="00927CFF">
        <w:tab/>
        <w:t>Stk. 5 affattes således:</w:t>
      </w:r>
    </w:p>
    <w:p w14:paraId="6129E707" w14:textId="42B7F798" w:rsidR="00B50935" w:rsidRPr="00927CFF" w:rsidRDefault="00B50935" w:rsidP="00B50935">
      <w:pPr>
        <w:pStyle w:val="Point2"/>
      </w:pPr>
      <w:r w:rsidRPr="00927CFF">
        <w:t>"5.</w:t>
      </w:r>
      <w:r w:rsidRPr="00927CFF">
        <w:tab/>
        <w:t>Bestyrelsen udarbejder hvert år på grundlag af et udkast fra direktøren et overslag over centrets indtægter og udgifter for det kommende regnskabsår. Dette overslag, herunder et udkast til stillingsfortegnelse, skal indgå i udkastet til det samlede programmeringsdokument. I overensstemmelse med artikel 40 i Europa-Parlamentets og Rådets forordning (EU, Euratom) 2018/1046** sender centret senest den 31. januar hvert år Europa-Parlamentet, Rådet og Kommissionen sit udkast til samlet programmeringsdokument, således som det er godkendt af centrets bestyrelse."</w:t>
      </w:r>
    </w:p>
    <w:p w14:paraId="1F90E23E" w14:textId="77777777" w:rsidR="00B50935" w:rsidRPr="00927CFF" w:rsidRDefault="00B50935" w:rsidP="00B50935">
      <w:pPr>
        <w:pStyle w:val="Point1"/>
      </w:pPr>
      <w:r w:rsidRPr="00927CFF">
        <w:t>d)</w:t>
      </w:r>
      <w:r w:rsidRPr="00927CFF">
        <w:tab/>
        <w:t>Stk. 7 affattes således:</w:t>
      </w:r>
    </w:p>
    <w:p w14:paraId="1444312E" w14:textId="77777777" w:rsidR="00B50935" w:rsidRPr="00927CFF" w:rsidRDefault="00B50935" w:rsidP="00B50935">
      <w:pPr>
        <w:pStyle w:val="Point2"/>
      </w:pPr>
      <w:r w:rsidRPr="00927CFF">
        <w:t>"7.</w:t>
      </w:r>
      <w:r w:rsidRPr="00927CFF">
        <w:tab/>
        <w:t>På grundlag af overslaget opfører Kommissionen de beløb i det foreløbige forslag til Den Europæiske Unions almindelige budget, som den anser for nødvendige i forbindelse med stillingsfortegnelsen, og det tilskud, der ydes over det almindelige budget, og forelægger det for budgetmyndigheden i overensstemmelse med artikel 314 i TEUF.</w:t>
      </w:r>
    </w:p>
    <w:p w14:paraId="171F5E39" w14:textId="77777777" w:rsidR="00B50935" w:rsidRPr="00927CFF" w:rsidRDefault="00B50935" w:rsidP="00B50935">
      <w:pPr>
        <w:pStyle w:val="Text1"/>
      </w:pPr>
      <w:r w:rsidRPr="00927CFF">
        <w:t>________________________</w:t>
      </w:r>
    </w:p>
    <w:p w14:paraId="296E6023" w14:textId="77777777" w:rsidR="00B50935" w:rsidRPr="00927CFF" w:rsidRDefault="00B50935" w:rsidP="00B50935">
      <w:pPr>
        <w:pStyle w:val="Point1"/>
      </w:pPr>
      <w:r w:rsidRPr="00927CFF">
        <w:t>*</w:t>
      </w:r>
      <w:r w:rsidRPr="00927CFF">
        <w:tab/>
        <w:t>Europa-Parlamentets og Rådets forordning (EU) .../... af ... om oprettelse af et EU-handlingsprogram for sundhed — for perioden 2021-2027 og om ophævelse af forordning (EU) nr. 282/2014 ("EU4Health-programmet") (EUT ...).</w:t>
      </w:r>
    </w:p>
    <w:p w14:paraId="0A6AF7BC" w14:textId="7FF2BFD0" w:rsidR="00B50935" w:rsidRPr="00927CFF" w:rsidRDefault="00B50935" w:rsidP="00B50935">
      <w:pPr>
        <w:pStyle w:val="Point1"/>
      </w:pPr>
      <w:r w:rsidRPr="00927CFF">
        <w:t>**</w:t>
      </w:r>
      <w:r w:rsidRPr="00927CFF">
        <w:tab/>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(EUT L 193 af 30.7.2018, s. 1)."</w:t>
      </w:r>
    </w:p>
    <w:p w14:paraId="44AE92AE" w14:textId="77777777" w:rsidR="00B50935" w:rsidRPr="00927CFF" w:rsidRDefault="00B50935" w:rsidP="00B50935">
      <w:pPr>
        <w:pStyle w:val="Point0"/>
      </w:pPr>
      <w:r w:rsidRPr="00927CFF">
        <w:t>23)</w:t>
      </w:r>
      <w:r w:rsidRPr="00927CFF">
        <w:tab/>
        <w:t>Artikel 23 ændres således</w:t>
      </w:r>
    </w:p>
    <w:p w14:paraId="783DFD91" w14:textId="77777777" w:rsidR="00B50935" w:rsidRPr="00927CFF" w:rsidRDefault="00B50935" w:rsidP="00B50935">
      <w:pPr>
        <w:pStyle w:val="Point1"/>
      </w:pPr>
      <w:r w:rsidRPr="00927CFF">
        <w:t>a)</w:t>
      </w:r>
      <w:r w:rsidRPr="00927CFF">
        <w:tab/>
        <w:t>Stk. 2 affattes således:</w:t>
      </w:r>
    </w:p>
    <w:p w14:paraId="7D359424" w14:textId="77777777" w:rsidR="00B50935" w:rsidRPr="00927CFF" w:rsidRDefault="00B50935" w:rsidP="00B50935">
      <w:pPr>
        <w:pStyle w:val="Point2"/>
      </w:pPr>
      <w:r w:rsidRPr="00927CFF">
        <w:t>"2.</w:t>
      </w:r>
      <w:r w:rsidRPr="00927CFF">
        <w:tab/>
        <w:t>Centrets regnskabsfører sender senest den 1. marts efter det afsluttede regnskabsår det foreløbige regnskab ledsaget af en beretning om budgetforvaltningen og den økonomiske forvaltning i regnskabsåret til Kommissionens regnskabsfører. Kommissionens regnskabsfører konsoliderer de foreløbige årsregnskaber for institutionerne og de decentrale organer i overensstemmelse med artikel 245 i forordning (EU, Euratom) 2018/1046."</w:t>
      </w:r>
    </w:p>
    <w:p w14:paraId="0B811BA6" w14:textId="77777777" w:rsidR="00B50935" w:rsidRPr="00927CFF" w:rsidRDefault="00B50935" w:rsidP="00B50935">
      <w:pPr>
        <w:pStyle w:val="Point1"/>
      </w:pPr>
      <w:r w:rsidRPr="00927CFF">
        <w:t>b)</w:t>
      </w:r>
      <w:r w:rsidRPr="00927CFF">
        <w:tab/>
        <w:t>Stk. 4 affattes således:</w:t>
      </w:r>
    </w:p>
    <w:p w14:paraId="730E5870" w14:textId="1A34F05E" w:rsidR="00B50935" w:rsidRPr="00927CFF" w:rsidRDefault="00B50935" w:rsidP="00B50935">
      <w:pPr>
        <w:pStyle w:val="Point2"/>
      </w:pPr>
      <w:r w:rsidRPr="00927CFF">
        <w:t>"4.</w:t>
      </w:r>
      <w:r w:rsidRPr="00927CFF">
        <w:tab/>
        <w:t>Efter modtagelse af Revisionsrettens bemærkninger til centrets foreløbige regnskab opstiller direktøren i henhold til artikel 246 i forordning (EU, Euratom) 2018/1046 på eget ansvar centrets endelige regnskab og sender det til bestyrelsen med henblik på udtalelse.</w:t>
      </w:r>
    </w:p>
    <w:p w14:paraId="0863B62E" w14:textId="4CD2DADF" w:rsidR="00B50935" w:rsidRPr="00927CFF" w:rsidRDefault="00B50935" w:rsidP="00B50935">
      <w:pPr>
        <w:pStyle w:val="Text3"/>
      </w:pPr>
      <w:r w:rsidRPr="00927CFF">
        <w:t>Centret underretter uden ophold Kommissionen om tilfælde af formodet svig og andre økonomiske uregelmæssigheder, om eventuelle afsluttede eller igangværende undersøgelser fra Den Europæiske Anklagemyndigheds (EPPO) eller Det Europæiske Kontor for Bekæmpelse af Svigs (OLAF) side og om eventuelle revisioner eller kontroller udført af Revisionsretten eller Den Interne Revisionstjeneste (IAS), uden at fortroligheden i forbindelse med undersøgelserne bringes i fare."</w:t>
      </w:r>
    </w:p>
    <w:p w14:paraId="7450AEFE" w14:textId="77777777" w:rsidR="00B50935" w:rsidRPr="00927CFF" w:rsidRDefault="00B50935" w:rsidP="00B50935">
      <w:pPr>
        <w:pStyle w:val="Point1"/>
      </w:pPr>
      <w:r w:rsidRPr="00927CFF">
        <w:t>c)</w:t>
      </w:r>
      <w:r w:rsidRPr="00927CFF">
        <w:tab/>
        <w:t>Stk. 8 og 9 affattes således:</w:t>
      </w:r>
    </w:p>
    <w:p w14:paraId="56562D86" w14:textId="77777777" w:rsidR="00B50935" w:rsidRPr="00927CFF" w:rsidRDefault="00B50935" w:rsidP="00B50935">
      <w:pPr>
        <w:pStyle w:val="Point2"/>
      </w:pPr>
      <w:r w:rsidRPr="00927CFF">
        <w:t>"8.</w:t>
      </w:r>
      <w:r w:rsidRPr="00927CFF">
        <w:tab/>
        <w:t>Direktøren sender senest den 30. september Revisionsretten et svar på dennes bemærkninger. Direktøren sender ligeledes dette svar til bestyrelsen og Kommissionen.</w:t>
      </w:r>
    </w:p>
    <w:p w14:paraId="431D5335" w14:textId="77777777" w:rsidR="00B50935" w:rsidRPr="00927CFF" w:rsidRDefault="00B50935" w:rsidP="00B50935">
      <w:pPr>
        <w:pStyle w:val="Point2"/>
      </w:pPr>
      <w:r w:rsidRPr="00927CFF">
        <w:t>9.</w:t>
      </w:r>
      <w:r w:rsidRPr="00927CFF">
        <w:tab/>
        <w:t>Hvis Europa-Parlamentet anmoder om det, forelægger direktøren det alle de oplysninger, der er nødvendige for, at dechargeproceduren vedrørende det pågældende regnskabsår kan forløbe tilfredsstillende, jf. artikel 261, stk. 3, i forordning (EU, Euratom) nr. 2018/1046."</w:t>
      </w:r>
    </w:p>
    <w:p w14:paraId="570DF6D0" w14:textId="77777777" w:rsidR="00B50935" w:rsidRPr="00927CFF" w:rsidRDefault="00B50935" w:rsidP="00B50935">
      <w:pPr>
        <w:pStyle w:val="Point0"/>
      </w:pPr>
      <w:r w:rsidRPr="00927CFF">
        <w:t>24)</w:t>
      </w:r>
      <w:r w:rsidRPr="00927CFF">
        <w:tab/>
        <w:t xml:space="preserve">Artikel 25 ændres således </w:t>
      </w:r>
    </w:p>
    <w:p w14:paraId="4DC26C3E" w14:textId="77777777" w:rsidR="00B50935" w:rsidRPr="00927CFF" w:rsidRDefault="00B50935" w:rsidP="00B50935">
      <w:pPr>
        <w:pStyle w:val="Point1"/>
      </w:pPr>
      <w:r w:rsidRPr="00927CFF">
        <w:t>a)</w:t>
      </w:r>
      <w:r w:rsidRPr="00927CFF">
        <w:tab/>
        <w:t>Stk. 1 affattes således:</w:t>
      </w:r>
    </w:p>
    <w:p w14:paraId="36BF68D5" w14:textId="77777777" w:rsidR="00B50935" w:rsidRPr="00927CFF" w:rsidRDefault="00B50935" w:rsidP="00B50935">
      <w:pPr>
        <w:pStyle w:val="Point2"/>
      </w:pPr>
      <w:r w:rsidRPr="00927CFF">
        <w:t>"1.</w:t>
      </w:r>
      <w:r w:rsidRPr="00927CFF">
        <w:tab/>
        <w:t>Europa-Parlamentets og Rådets forordning (EU, Euratom) nr. 883/2013* finder ubegrænset anvendelse på centret."</w:t>
      </w:r>
    </w:p>
    <w:p w14:paraId="682572D7" w14:textId="77777777" w:rsidR="00B50935" w:rsidRPr="00927CFF" w:rsidRDefault="00B50935" w:rsidP="00B50935">
      <w:pPr>
        <w:pStyle w:val="Point1"/>
      </w:pPr>
      <w:r w:rsidRPr="00927CFF">
        <w:t>b)</w:t>
      </w:r>
      <w:r w:rsidRPr="00927CFF">
        <w:tab/>
        <w:t>Stk. 3 affattes således:</w:t>
      </w:r>
    </w:p>
    <w:p w14:paraId="7FB39C89" w14:textId="3BA754A9" w:rsidR="00B50935" w:rsidRPr="00927CFF" w:rsidRDefault="00B50935" w:rsidP="00B50935">
      <w:pPr>
        <w:pStyle w:val="Point2"/>
      </w:pPr>
      <w:r w:rsidRPr="00927CFF">
        <w:t>"3.</w:t>
      </w:r>
      <w:r w:rsidRPr="00927CFF">
        <w:tab/>
        <w:t>I afgørelser om ydelse af tilskud samt enhver aftale eller ethvert instrument til gennemførelse heraf fastsættes det udtrykkeligt, at Revisionsretten, EPPO og OLAF om nødvendigt kan foretage kontrol på stedet hos modtagerne af midler fra centret og de organer, som fordeler disse."</w:t>
      </w:r>
    </w:p>
    <w:p w14:paraId="28892C55" w14:textId="1D679F8E" w:rsidR="00B50935" w:rsidRPr="00927CFF" w:rsidRDefault="00B50935" w:rsidP="00B50935">
      <w:pPr>
        <w:pStyle w:val="Point1"/>
      </w:pPr>
      <w:r w:rsidRPr="00927CFF">
        <w:t>c)</w:t>
      </w:r>
      <w:r w:rsidRPr="00927CFF">
        <w:tab/>
        <w:t>Følgende tilføjes som stk. 4:</w:t>
      </w:r>
    </w:p>
    <w:p w14:paraId="31767665" w14:textId="45C4A1EB" w:rsidR="00B50935" w:rsidRPr="00927CFF" w:rsidRDefault="00B50935" w:rsidP="00B50935">
      <w:pPr>
        <w:pStyle w:val="Point2"/>
      </w:pPr>
      <w:r w:rsidRPr="00927CFF">
        <w:t>"4.</w:t>
      </w:r>
      <w:r w:rsidRPr="00927CFF">
        <w:tab/>
        <w:t>Uden at stk. 1-3 derved tilsidesættes, skal centrets samarbejdsordninger med tredjelande og internationale organisationer, tilskudsaftaler, tilskudsafgørelser og kontrakter, indeholde bestemmelser, der udtrykkeligt giver Revisionsretten, OLAF og EPPO beføjelse til at foretage sådan revisioner og undersøgelser i overensstemmelse med deres respektive beføjelser.</w:t>
      </w:r>
    </w:p>
    <w:p w14:paraId="28A8DF67" w14:textId="77777777" w:rsidR="00B50935" w:rsidRPr="00927CFF" w:rsidRDefault="00B50935" w:rsidP="00B50935">
      <w:pPr>
        <w:pStyle w:val="Text1"/>
      </w:pPr>
      <w:r w:rsidRPr="00927CFF">
        <w:t>_______________</w:t>
      </w:r>
    </w:p>
    <w:p w14:paraId="718F3CAB" w14:textId="77777777" w:rsidR="00B50935" w:rsidRPr="00927CFF" w:rsidRDefault="00B50935" w:rsidP="00B50935">
      <w:pPr>
        <w:pStyle w:val="Point1"/>
      </w:pPr>
      <w:r w:rsidRPr="00927CFF">
        <w:t>*</w:t>
      </w:r>
      <w:r w:rsidRPr="00927CFF">
        <w:tab/>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p w14:paraId="1F176C8D" w14:textId="77777777" w:rsidR="00B50935" w:rsidRPr="00927CFF" w:rsidRDefault="00B50935" w:rsidP="00B50935">
      <w:pPr>
        <w:pStyle w:val="Point0"/>
      </w:pPr>
      <w:r w:rsidRPr="00927CFF">
        <w:t>25)</w:t>
      </w:r>
      <w:r w:rsidRPr="00927CFF">
        <w:tab/>
        <w:t xml:space="preserve">Artikel 26 ændres således </w:t>
      </w:r>
    </w:p>
    <w:p w14:paraId="60AC1D96" w14:textId="77777777" w:rsidR="00B50935" w:rsidRPr="00927CFF" w:rsidRDefault="00B50935" w:rsidP="00B50935">
      <w:pPr>
        <w:pStyle w:val="Point1"/>
      </w:pPr>
      <w:r w:rsidRPr="00927CFF">
        <w:t>a)</w:t>
      </w:r>
      <w:r w:rsidRPr="00927CFF">
        <w:tab/>
        <w:t>Stk. 1 affattes således:</w:t>
      </w:r>
    </w:p>
    <w:p w14:paraId="45F7DE75" w14:textId="77777777" w:rsidR="00B50935" w:rsidRPr="00927CFF" w:rsidRDefault="00B50935" w:rsidP="00B50935">
      <w:pPr>
        <w:pStyle w:val="Point2"/>
      </w:pPr>
      <w:r w:rsidRPr="00927CFF">
        <w:t>"1.</w:t>
      </w:r>
      <w:r w:rsidRPr="00927CFF">
        <w:tab/>
        <w:t>Centret er et EU-organ. Det har status som juridisk person."</w:t>
      </w:r>
    </w:p>
    <w:p w14:paraId="511DF59C" w14:textId="77777777" w:rsidR="00B50935" w:rsidRPr="00927CFF" w:rsidRDefault="00B50935" w:rsidP="00B50935">
      <w:pPr>
        <w:pStyle w:val="Point1"/>
      </w:pPr>
      <w:r w:rsidRPr="00927CFF">
        <w:t>b)</w:t>
      </w:r>
      <w:r w:rsidRPr="00927CFF">
        <w:tab/>
        <w:t>Følgende indsættes som stk. 1a:</w:t>
      </w:r>
    </w:p>
    <w:p w14:paraId="056449FA" w14:textId="77777777" w:rsidR="00B50935" w:rsidRPr="00927CFF" w:rsidRDefault="00B50935" w:rsidP="00B50935">
      <w:pPr>
        <w:pStyle w:val="Point2"/>
      </w:pPr>
      <w:r w:rsidRPr="00927CFF">
        <w:t>"1a.</w:t>
      </w:r>
      <w:r w:rsidRPr="00927CFF">
        <w:tab/>
        <w:t>Centret har i hver medlemsstat den mest vidtgående rets- og handleevne, som vedkommende stats lovgivning tillægger juridiske personer. Det kan navnlig erhverve og afhænde fast ejendom og løsøre og optræde som part i retssager."</w:t>
      </w:r>
    </w:p>
    <w:p w14:paraId="7376A94D" w14:textId="77777777" w:rsidR="00B50935" w:rsidRPr="00927CFF" w:rsidRDefault="00B50935" w:rsidP="00B50935">
      <w:pPr>
        <w:pStyle w:val="Point1"/>
      </w:pPr>
      <w:r w:rsidRPr="00927CFF">
        <w:t>c)</w:t>
      </w:r>
      <w:r w:rsidRPr="00927CFF">
        <w:tab/>
        <w:t>Stk. 2 affattes således:</w:t>
      </w:r>
    </w:p>
    <w:p w14:paraId="2A49D2A1" w14:textId="77777777" w:rsidR="00B50935" w:rsidRPr="00927CFF" w:rsidRDefault="00B50935" w:rsidP="00B50935">
      <w:pPr>
        <w:pStyle w:val="Point2"/>
      </w:pPr>
      <w:r w:rsidRPr="00927CFF">
        <w:t>"2.</w:t>
      </w:r>
      <w:r w:rsidRPr="00927CFF">
        <w:tab/>
        <w:t>Protokol nr. 7 vedrørende Den Europæiske Unions privilegier og immuniteter, der er knyttet som bilag til traktaterne, finder anvendelse på centret og dets vedtægtsomfattede personale."</w:t>
      </w:r>
    </w:p>
    <w:p w14:paraId="6D223471" w14:textId="77777777" w:rsidR="00B50935" w:rsidRPr="00927CFF" w:rsidRDefault="00B50935" w:rsidP="00B50935">
      <w:pPr>
        <w:pStyle w:val="Point0"/>
      </w:pPr>
      <w:r w:rsidRPr="00927CFF">
        <w:t>26)</w:t>
      </w:r>
      <w:r w:rsidRPr="00927CFF">
        <w:tab/>
        <w:t>Artikel 27, stk. 1, affattes således:</w:t>
      </w:r>
    </w:p>
    <w:p w14:paraId="5442B79B" w14:textId="77777777" w:rsidR="00B50935" w:rsidRPr="00927CFF" w:rsidRDefault="00B50935" w:rsidP="00B50935">
      <w:pPr>
        <w:pStyle w:val="Point1"/>
      </w:pPr>
      <w:r w:rsidRPr="00927CFF">
        <w:t>"1.</w:t>
      </w:r>
      <w:r w:rsidRPr="00927CFF">
        <w:tab/>
        <w:t>Centrets ansvar i kontraktforhold bestemmes af den lovgivning, der finder anvendelse på den pågældende aftale. Domstolen har kompetence til at træffe afgørelse i henhold til en voldgiftsbestemmelse, som indeholdes i en af centret indgået aftale."</w:t>
      </w:r>
    </w:p>
    <w:p w14:paraId="1E8A8629" w14:textId="77777777" w:rsidR="00B50935" w:rsidRPr="00927CFF" w:rsidRDefault="00B50935" w:rsidP="00B50935">
      <w:pPr>
        <w:pStyle w:val="Point0"/>
      </w:pPr>
      <w:r w:rsidRPr="00927CFF">
        <w:t>27)</w:t>
      </w:r>
      <w:r w:rsidRPr="00927CFF">
        <w:tab/>
        <w:t>Artikel 28 affattes således:</w:t>
      </w:r>
    </w:p>
    <w:p w14:paraId="434985FF" w14:textId="77777777" w:rsidR="00B50935" w:rsidRPr="00927CFF" w:rsidRDefault="00B50935" w:rsidP="00B50935">
      <w:pPr>
        <w:pStyle w:val="Titrearticle"/>
        <w:rPr>
          <w:iCs/>
        </w:rPr>
      </w:pPr>
      <w:r w:rsidRPr="00927CFF">
        <w:t>"Artikel 28</w:t>
      </w:r>
    </w:p>
    <w:p w14:paraId="76A65CD4" w14:textId="77777777" w:rsidR="00B50935" w:rsidRPr="00927CFF" w:rsidRDefault="00B50935" w:rsidP="00B50935">
      <w:pPr>
        <w:jc w:val="center"/>
        <w:rPr>
          <w:b/>
        </w:rPr>
      </w:pPr>
      <w:r w:rsidRPr="00927CFF">
        <w:rPr>
          <w:b/>
        </w:rPr>
        <w:t>Prøvelse af lovligheden</w:t>
      </w:r>
    </w:p>
    <w:p w14:paraId="67441F02" w14:textId="1EE0D351" w:rsidR="00B50935" w:rsidRPr="00927CFF" w:rsidRDefault="00B50935" w:rsidP="00B50935">
      <w:pPr>
        <w:pStyle w:val="Point1"/>
      </w:pPr>
      <w:r w:rsidRPr="00927CFF">
        <w:t>1.</w:t>
      </w:r>
      <w:r w:rsidRPr="00927CFF">
        <w:tab/>
        <w:t>Enhver udtrykkelig eller stiltiende disposition fra centret kan forelægges Kommissionen af enhver medlemsstat, ethvert medlem af bestyrelsen eller enhver tredjeperson, som umiddelbart og individuelt berøres deraf, med henblik på prøvelse af denne dispositions lovlighed ("administrativ klage").</w:t>
      </w:r>
    </w:p>
    <w:p w14:paraId="3B668271" w14:textId="77777777" w:rsidR="00B50935" w:rsidRPr="00927CFF" w:rsidRDefault="00B50935" w:rsidP="00B50935">
      <w:pPr>
        <w:pStyle w:val="Point1"/>
      </w:pPr>
      <w:r w:rsidRPr="00927CFF">
        <w:t>2.</w:t>
      </w:r>
      <w:r w:rsidRPr="00927CFF">
        <w:tab/>
        <w:t>Den administrative klage skal forelægges for Kommissionen inden for en frist på 15 dage fra den dag, da vedkommende fik kendskab til den pågældende disposition.</w:t>
      </w:r>
    </w:p>
    <w:p w14:paraId="66A70669" w14:textId="77777777" w:rsidR="00B50935" w:rsidRPr="00927CFF" w:rsidRDefault="00B50935" w:rsidP="00B50935">
      <w:pPr>
        <w:pStyle w:val="Point1"/>
      </w:pPr>
      <w:r w:rsidRPr="00927CFF">
        <w:t>3.</w:t>
      </w:r>
      <w:r w:rsidRPr="00927CFF">
        <w:tab/>
        <w:t>Kommissionen træffer afgørelse inden for en frist på en måned. Foreligger der ingen afgørelse ved denne frists udløb, anses den administrative klage for forkastet.</w:t>
      </w:r>
    </w:p>
    <w:p w14:paraId="30ADD06C" w14:textId="26B55765" w:rsidR="00B50935" w:rsidRPr="00927CFF" w:rsidRDefault="00B50935" w:rsidP="00B50935">
      <w:pPr>
        <w:pStyle w:val="Point1"/>
      </w:pPr>
      <w:r w:rsidRPr="00927CFF">
        <w:t>4.</w:t>
      </w:r>
      <w:r w:rsidRPr="00927CFF">
        <w:tab/>
        <w:t>Der kan anlægges sag ved Domstolen i henhold til artikel 263 i TEUF med påstand om annullation af Kommissionens udtrykkelige eller stiltiende afgørelse som omhandlet i stk. 3 om at forkaste den administrative klage."</w:t>
      </w:r>
    </w:p>
    <w:p w14:paraId="172196C1" w14:textId="77777777" w:rsidR="00B50935" w:rsidRPr="00927CFF" w:rsidRDefault="00B50935" w:rsidP="00B50935">
      <w:pPr>
        <w:pStyle w:val="Point0"/>
      </w:pPr>
      <w:r w:rsidRPr="00927CFF">
        <w:t>28)</w:t>
      </w:r>
      <w:r w:rsidRPr="00927CFF">
        <w:tab/>
        <w:t>Artikel 31 affattes således:</w:t>
      </w:r>
    </w:p>
    <w:p w14:paraId="7EA12394" w14:textId="77777777" w:rsidR="00B50935" w:rsidRPr="00927CFF" w:rsidRDefault="00B50935" w:rsidP="00B50935">
      <w:pPr>
        <w:pStyle w:val="Titrearticle"/>
        <w:rPr>
          <w:iCs/>
        </w:rPr>
      </w:pPr>
      <w:r w:rsidRPr="00927CFF">
        <w:t>"Artikel 31</w:t>
      </w:r>
    </w:p>
    <w:p w14:paraId="06DEF12F" w14:textId="77777777" w:rsidR="00B50935" w:rsidRPr="00927CFF" w:rsidRDefault="00B50935" w:rsidP="00B50935">
      <w:pPr>
        <w:jc w:val="center"/>
        <w:rPr>
          <w:b/>
        </w:rPr>
      </w:pPr>
      <w:r w:rsidRPr="00927CFF">
        <w:rPr>
          <w:b/>
        </w:rPr>
        <w:t>Revisionsklausul</w:t>
      </w:r>
    </w:p>
    <w:p w14:paraId="31D75AD6" w14:textId="2384999A" w:rsidR="00B50935" w:rsidRPr="00927CFF" w:rsidRDefault="00B50935" w:rsidP="00B50935">
      <w:pPr>
        <w:pStyle w:val="Point1"/>
      </w:pPr>
      <w:r w:rsidRPr="00927CFF">
        <w:t>1.</w:t>
      </w:r>
      <w:r w:rsidRPr="00927CFF">
        <w:tab/>
        <w:t>Senest den [</w:t>
      </w:r>
      <w:r w:rsidRPr="00927CFF">
        <w:rPr>
          <w:i/>
          <w:iCs/>
        </w:rPr>
        <w:t>indsæt tre år efter ikrafttrædelsesdatoen</w:t>
      </w:r>
      <w:r w:rsidRPr="00927CFF">
        <w:t>] 2023 forelægger Kommissionen Europa-Parlamentet, Rådet og bestyrelsen en rapport om centrets aktiviteter, herunder en vurdering af:</w:t>
      </w:r>
    </w:p>
    <w:p w14:paraId="2DC49783" w14:textId="77777777" w:rsidR="00B50935" w:rsidRPr="00927CFF" w:rsidRDefault="00B50935" w:rsidP="00B50935">
      <w:pPr>
        <w:pStyle w:val="Point2"/>
      </w:pPr>
      <w:r w:rsidRPr="00927CFF">
        <w:t>a)</w:t>
      </w:r>
      <w:r w:rsidRPr="00927CFF">
        <w:tab/>
        <w:t>hvordan centret har gjort fremskridt med hensyn til gennemførelsen af det ændrede mandat i lyset af covid-19-pandemien</w:t>
      </w:r>
    </w:p>
    <w:p w14:paraId="69F55946" w14:textId="4AAFD17A" w:rsidR="00B50935" w:rsidRPr="00927CFF" w:rsidRDefault="00B50935" w:rsidP="00B50935">
      <w:pPr>
        <w:pStyle w:val="Point2"/>
      </w:pPr>
      <w:r w:rsidRPr="00927CFF">
        <w:t>b)</w:t>
      </w:r>
      <w:r w:rsidRPr="00927CFF">
        <w:tab/>
        <w:t>hvordan centret opfylder de forpligtelser, der er fastsat i forordning (EU).../... [</w:t>
      </w:r>
      <w:r w:rsidRPr="00927CFF">
        <w:rPr>
          <w:i/>
          <w:iCs/>
        </w:rPr>
        <w:t>EUT</w:t>
      </w:r>
      <w:r w:rsidRPr="00927CFF">
        <w:t>:</w:t>
      </w:r>
      <w:r w:rsidRPr="00927CFF">
        <w:rPr>
          <w:i/>
          <w:color w:val="FF0000"/>
        </w:rPr>
        <w:t xml:space="preserve"> Indsæt nummeret på forordning SCBTH </w:t>
      </w:r>
      <w:r w:rsidRPr="00927CFF">
        <w:rPr>
          <w:color w:val="FF0000"/>
        </w:rPr>
        <w:t>[ISC/2020/12524]]</w:t>
      </w:r>
      <w:r w:rsidRPr="00927CFF">
        <w:t xml:space="preserve"> og anden relevant EU-lovgivning</w:t>
      </w:r>
    </w:p>
    <w:p w14:paraId="046EC6B9" w14:textId="77777777" w:rsidR="00B50935" w:rsidRPr="00927CFF" w:rsidRDefault="00B50935" w:rsidP="00B50935">
      <w:pPr>
        <w:pStyle w:val="Point2"/>
      </w:pPr>
      <w:r w:rsidRPr="00927CFF">
        <w:t>c)</w:t>
      </w:r>
      <w:r w:rsidRPr="00927CFF">
        <w:tab/>
        <w:t xml:space="preserve">hvor effektivt centrets aktiviteter håndterer internationale eller nationale sundhedsprioriteter eller EU-sundhedsprioriteter </w:t>
      </w:r>
    </w:p>
    <w:p w14:paraId="28CA5717" w14:textId="77777777" w:rsidR="00B50935" w:rsidRPr="00927CFF" w:rsidRDefault="00B50935" w:rsidP="00B50935">
      <w:pPr>
        <w:pStyle w:val="Point2"/>
      </w:pPr>
      <w:r w:rsidRPr="00927CFF">
        <w:t>d)</w:t>
      </w:r>
      <w:r w:rsidRPr="00927CFF">
        <w:tab/>
        <w:t>hvordan centrets arbejde har fokus på og påvirker medlemsstaternes kapaciteter.</w:t>
      </w:r>
    </w:p>
    <w:p w14:paraId="757BC373" w14:textId="77777777" w:rsidR="00B50935" w:rsidRPr="00927CFF" w:rsidRDefault="00B50935" w:rsidP="00B50935">
      <w:pPr>
        <w:pStyle w:val="Text2"/>
      </w:pPr>
      <w:r w:rsidRPr="00927CFF">
        <w:t>Rapporten skal afspejle de berørte parters synspunkter, både på EU-plan og på nationalt plan.</w:t>
      </w:r>
    </w:p>
    <w:p w14:paraId="28061887" w14:textId="560402DF" w:rsidR="00B50935" w:rsidRPr="00927CFF" w:rsidRDefault="00B50935" w:rsidP="00B50935">
      <w:pPr>
        <w:pStyle w:val="Text2"/>
      </w:pPr>
      <w:r w:rsidRPr="00927CFF">
        <w:t>Rapporten skal ledsages af en uafhængig undersøgelse, der er bestilt af Kommissionen.</w:t>
      </w:r>
    </w:p>
    <w:p w14:paraId="0CE7AF5D" w14:textId="55B0E2FF" w:rsidR="00B50935" w:rsidRPr="00927CFF" w:rsidRDefault="00B50935" w:rsidP="00B50935">
      <w:pPr>
        <w:pStyle w:val="Point1"/>
      </w:pPr>
      <w:r w:rsidRPr="00927CFF">
        <w:t>2.</w:t>
      </w:r>
      <w:r w:rsidRPr="00927CFF">
        <w:tab/>
        <w:t>Senest den [</w:t>
      </w:r>
      <w:r w:rsidRPr="00927CFF">
        <w:rPr>
          <w:i/>
          <w:iCs/>
        </w:rPr>
        <w:t>indsæt tre år efter ikrafttrædelsesdatoen</w:t>
      </w:r>
      <w:r w:rsidRPr="00927CFF">
        <w:t>] 2028 og derefter hvert 5. år vurderer Kommissionen centrets resultater i forhold til dets mål, mandat, opgaver, procedure og beliggenhed. Der skal ved evalueringen navnlig ses på et eventuelt behov for at ændre centrets mandat og de finansielle konsekvenser af en sådan ændring.</w:t>
      </w:r>
    </w:p>
    <w:p w14:paraId="2F3F3EBB" w14:textId="77777777" w:rsidR="00B50935" w:rsidRPr="00927CFF" w:rsidRDefault="00B50935" w:rsidP="00B50935">
      <w:pPr>
        <w:pStyle w:val="Point1"/>
      </w:pPr>
      <w:r w:rsidRPr="00927CFF">
        <w:t>3.</w:t>
      </w:r>
      <w:r w:rsidRPr="00927CFF">
        <w:tab/>
        <w:t xml:space="preserve">Hvis Kommissionen finder, at der ikke længere er grund til at videreføre centret med de målsætninger, det mandat og de opgaver, der er tillagt centret, kan den foreslå, at de relevante bestemmelser i denne forordning ændres eller ophæves. </w:t>
      </w:r>
    </w:p>
    <w:p w14:paraId="28564B66" w14:textId="0E571587" w:rsidR="00B50935" w:rsidRPr="00927CFF" w:rsidRDefault="00B50935" w:rsidP="00B50935">
      <w:pPr>
        <w:pStyle w:val="Point1"/>
      </w:pPr>
      <w:r w:rsidRPr="00927CFF">
        <w:t>4.</w:t>
      </w:r>
      <w:r w:rsidRPr="00927CFF">
        <w:tab/>
        <w:t xml:space="preserve">Kommissionen aflægger rapport til Europa-Parlamentet, Rådet og bestyrelsen om resultaterne af dens revision og evalueringer gennemført i henhold til stk. 2. Disse resultater offentliggøres." </w:t>
      </w:r>
    </w:p>
    <w:p w14:paraId="11975C21" w14:textId="77777777" w:rsidR="00B50935" w:rsidRPr="00927CFF" w:rsidRDefault="00B50935" w:rsidP="00B50935">
      <w:pPr>
        <w:pStyle w:val="Titrearticle"/>
      </w:pPr>
      <w:r w:rsidRPr="00927CFF">
        <w:t>Artikel 2</w:t>
      </w:r>
    </w:p>
    <w:p w14:paraId="76B609D1" w14:textId="77777777" w:rsidR="00B50935" w:rsidRPr="00927CFF" w:rsidRDefault="00B50935" w:rsidP="00B50935">
      <w:r w:rsidRPr="00927CFF">
        <w:t xml:space="preserve">Denne forordning træder i kraft på tyvendedagen efter offentliggørelsen i </w:t>
      </w:r>
      <w:r w:rsidRPr="00927CFF">
        <w:rPr>
          <w:i/>
          <w:iCs/>
        </w:rPr>
        <w:t>Den Europæiske Unions Tidende</w:t>
      </w:r>
      <w:r w:rsidRPr="00927CFF">
        <w:t>.</w:t>
      </w:r>
    </w:p>
    <w:p w14:paraId="40A3A118" w14:textId="77777777" w:rsidR="00B50935" w:rsidRPr="00927CFF" w:rsidRDefault="00B50935" w:rsidP="00B50935">
      <w:pPr>
        <w:pStyle w:val="Applicationdirecte"/>
      </w:pPr>
      <w:r w:rsidRPr="00927CFF">
        <w:t>Denne forordning er bindende i alle enkeltheder og gælder umiddelbart i hver medlemsstat.</w:t>
      </w:r>
    </w:p>
    <w:p w14:paraId="6067ED75" w14:textId="650746DB" w:rsidR="00B50935" w:rsidRPr="00927CFF" w:rsidRDefault="00927CFF" w:rsidP="00927CFF">
      <w:pPr>
        <w:pStyle w:val="Fait"/>
      </w:pPr>
      <w:r w:rsidRPr="00927CFF">
        <w:t xml:space="preserve">Udfærdiget i Bruxelles, den </w:t>
      </w:r>
      <w:r w:rsidRPr="00927CFF">
        <w:rPr>
          <w:rStyle w:val="Marker"/>
        </w:rPr>
        <w:t>[…]</w:t>
      </w:r>
      <w:r w:rsidRPr="00927CFF">
        <w:t>.</w:t>
      </w:r>
    </w:p>
    <w:p w14:paraId="0E0D963F" w14:textId="77777777" w:rsidR="00B50935" w:rsidRPr="00927CFF" w:rsidRDefault="00B50935" w:rsidP="00B50935">
      <w:pPr>
        <w:pStyle w:val="Institutionquisigne"/>
      </w:pPr>
      <w:r w:rsidRPr="00927CFF">
        <w:t>På Europa-Parlamentets vegne</w:t>
      </w:r>
      <w:r w:rsidRPr="00927CFF">
        <w:tab/>
        <w:t>På Rådets vegne</w:t>
      </w:r>
    </w:p>
    <w:p w14:paraId="3A49A237" w14:textId="04BA353D" w:rsidR="00B50935" w:rsidRPr="00927CFF" w:rsidRDefault="00B81D7C" w:rsidP="00B50935">
      <w:pPr>
        <w:pStyle w:val="Personnequisigne"/>
      </w:pPr>
      <w:r>
        <w:br/>
      </w:r>
      <w:r w:rsidR="00B50935" w:rsidRPr="00927CFF">
        <w:t>Formand</w:t>
      </w:r>
      <w:r w:rsidR="00B50935" w:rsidRPr="00927CFF">
        <w:tab/>
        <w:t>Formand</w:t>
      </w:r>
    </w:p>
    <w:p w14:paraId="35E0DBB7" w14:textId="77777777" w:rsidR="00B50935" w:rsidRPr="00927CFF" w:rsidRDefault="00B50935" w:rsidP="00B50935">
      <w:pPr>
        <w:sectPr w:rsidR="00B50935" w:rsidRPr="00927CFF" w:rsidSect="00BE6028">
          <w:pgSz w:w="11907" w:h="16839"/>
          <w:pgMar w:top="1134" w:right="1417" w:bottom="1134" w:left="1417" w:header="709" w:footer="709" w:gutter="0"/>
          <w:cols w:space="708"/>
          <w:docGrid w:linePitch="360"/>
        </w:sectPr>
      </w:pPr>
    </w:p>
    <w:p w14:paraId="0E59DD1E" w14:textId="77777777" w:rsidR="00B50935" w:rsidRPr="00927CFF" w:rsidRDefault="00B50935" w:rsidP="00427764">
      <w:pPr>
        <w:pStyle w:val="Fichefinanciretitre"/>
        <w:rPr>
          <w:noProof/>
        </w:rPr>
      </w:pPr>
      <w:r w:rsidRPr="00927CFF">
        <w:t>FINANSIERINGSOVERSIGT</w:t>
      </w:r>
    </w:p>
    <w:sdt>
      <w:sdtPr>
        <w:rPr>
          <w:b/>
        </w:rPr>
        <w:id w:val="1138923797"/>
        <w:docPartObj>
          <w:docPartGallery w:val="Table of Contents"/>
          <w:docPartUnique/>
        </w:docPartObj>
      </w:sdtPr>
      <w:sdtEndPr>
        <w:rPr>
          <w:b w:val="0"/>
          <w:bCs/>
          <w:noProof/>
        </w:rPr>
      </w:sdtEndPr>
      <w:sdtContent>
        <w:p w14:paraId="28846F03" w14:textId="77777777" w:rsidR="00B50935" w:rsidRPr="00927CFF" w:rsidRDefault="00B50935" w:rsidP="00B50935">
          <w:pPr>
            <w:spacing w:before="0" w:after="200" w:line="276" w:lineRule="auto"/>
            <w:jc w:val="center"/>
            <w:rPr>
              <w:b/>
            </w:rPr>
          </w:pPr>
          <w:r w:rsidRPr="00927CFF">
            <w:rPr>
              <w:b/>
            </w:rPr>
            <w:t>Indholdsfortegnelse</w:t>
          </w:r>
        </w:p>
        <w:p w14:paraId="2FF4C311" w14:textId="358EEDFD" w:rsidR="00927CFF" w:rsidRDefault="00B50935">
          <w:pPr>
            <w:pStyle w:val="TOC1"/>
            <w:rPr>
              <w:rFonts w:asciiTheme="minorHAnsi" w:eastAsiaTheme="minorEastAsia" w:hAnsiTheme="minorHAnsi" w:cstheme="minorBidi"/>
              <w:noProof/>
              <w:sz w:val="22"/>
              <w:lang w:val="en-US"/>
            </w:rPr>
          </w:pPr>
          <w:r w:rsidRPr="00927CFF">
            <w:rPr>
              <w:b/>
              <w:bCs/>
            </w:rPr>
            <w:fldChar w:fldCharType="begin"/>
          </w:r>
          <w:r w:rsidRPr="00927CFF">
            <w:rPr>
              <w:b/>
              <w:bCs/>
            </w:rPr>
            <w:instrText xml:space="preserve"> TOC \o "1-3" \h \z \u </w:instrText>
          </w:r>
          <w:r w:rsidRPr="00927CFF">
            <w:rPr>
              <w:b/>
              <w:bCs/>
            </w:rPr>
            <w:fldChar w:fldCharType="separate"/>
          </w:r>
          <w:hyperlink w:anchor="_Toc57735179" w:history="1">
            <w:r w:rsidR="00927CFF" w:rsidRPr="00804739">
              <w:rPr>
                <w:rStyle w:val="Hyperlink"/>
                <w:noProof/>
              </w:rPr>
              <w:t>1.</w:t>
            </w:r>
            <w:r w:rsidR="00927CFF">
              <w:rPr>
                <w:rFonts w:asciiTheme="minorHAnsi" w:eastAsiaTheme="minorEastAsia" w:hAnsiTheme="minorHAnsi" w:cstheme="minorBidi"/>
                <w:noProof/>
                <w:sz w:val="22"/>
                <w:lang w:val="en-US"/>
              </w:rPr>
              <w:tab/>
            </w:r>
            <w:r w:rsidR="00927CFF" w:rsidRPr="00804739">
              <w:rPr>
                <w:rStyle w:val="Hyperlink"/>
                <w:noProof/>
              </w:rPr>
              <w:t>BAGGRUND FOR FORSLAGET</w:t>
            </w:r>
            <w:r w:rsidR="00927CFF">
              <w:rPr>
                <w:noProof/>
                <w:webHidden/>
              </w:rPr>
              <w:tab/>
            </w:r>
            <w:r w:rsidR="00927CFF">
              <w:rPr>
                <w:noProof/>
                <w:webHidden/>
              </w:rPr>
              <w:fldChar w:fldCharType="begin"/>
            </w:r>
            <w:r w:rsidR="00927CFF">
              <w:rPr>
                <w:noProof/>
                <w:webHidden/>
              </w:rPr>
              <w:instrText xml:space="preserve"> PAGEREF _Toc57735179 \h </w:instrText>
            </w:r>
            <w:r w:rsidR="00927CFF">
              <w:rPr>
                <w:noProof/>
                <w:webHidden/>
              </w:rPr>
            </w:r>
            <w:r w:rsidR="00927CFF">
              <w:rPr>
                <w:noProof/>
                <w:webHidden/>
              </w:rPr>
              <w:fldChar w:fldCharType="separate"/>
            </w:r>
            <w:r w:rsidR="00BE6028">
              <w:rPr>
                <w:noProof/>
                <w:webHidden/>
              </w:rPr>
              <w:t>1</w:t>
            </w:r>
            <w:r w:rsidR="00927CFF">
              <w:rPr>
                <w:noProof/>
                <w:webHidden/>
              </w:rPr>
              <w:fldChar w:fldCharType="end"/>
            </w:r>
          </w:hyperlink>
        </w:p>
        <w:p w14:paraId="5BEC3A64" w14:textId="4C923372" w:rsidR="00927CFF" w:rsidRDefault="00B222E5">
          <w:pPr>
            <w:pStyle w:val="TOC2"/>
            <w:rPr>
              <w:rFonts w:asciiTheme="minorHAnsi" w:eastAsiaTheme="minorEastAsia" w:hAnsiTheme="minorHAnsi" w:cstheme="minorBidi"/>
              <w:noProof/>
              <w:sz w:val="22"/>
              <w:lang w:val="en-US"/>
            </w:rPr>
          </w:pPr>
          <w:hyperlink w:anchor="_Toc57735180"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rPr>
              <w:t>Forslagets begrundelse og formål</w:t>
            </w:r>
            <w:r w:rsidR="00927CFF">
              <w:rPr>
                <w:noProof/>
                <w:webHidden/>
              </w:rPr>
              <w:tab/>
            </w:r>
            <w:r w:rsidR="00927CFF">
              <w:rPr>
                <w:noProof/>
                <w:webHidden/>
              </w:rPr>
              <w:fldChar w:fldCharType="begin"/>
            </w:r>
            <w:r w:rsidR="00927CFF">
              <w:rPr>
                <w:noProof/>
                <w:webHidden/>
              </w:rPr>
              <w:instrText xml:space="preserve"> PAGEREF _Toc57735180 \h </w:instrText>
            </w:r>
            <w:r w:rsidR="00927CFF">
              <w:rPr>
                <w:noProof/>
                <w:webHidden/>
              </w:rPr>
            </w:r>
            <w:r w:rsidR="00927CFF">
              <w:rPr>
                <w:noProof/>
                <w:webHidden/>
              </w:rPr>
              <w:fldChar w:fldCharType="separate"/>
            </w:r>
            <w:r w:rsidR="00BE6028">
              <w:rPr>
                <w:noProof/>
                <w:webHidden/>
              </w:rPr>
              <w:t>1</w:t>
            </w:r>
            <w:r w:rsidR="00927CFF">
              <w:rPr>
                <w:noProof/>
                <w:webHidden/>
              </w:rPr>
              <w:fldChar w:fldCharType="end"/>
            </w:r>
          </w:hyperlink>
        </w:p>
        <w:p w14:paraId="1088F8A8" w14:textId="0304B902" w:rsidR="00927CFF" w:rsidRDefault="00B222E5">
          <w:pPr>
            <w:pStyle w:val="TOC2"/>
            <w:rPr>
              <w:rFonts w:asciiTheme="minorHAnsi" w:eastAsiaTheme="minorEastAsia" w:hAnsiTheme="minorHAnsi" w:cstheme="minorBidi"/>
              <w:noProof/>
              <w:sz w:val="22"/>
              <w:lang w:val="en-US"/>
            </w:rPr>
          </w:pPr>
          <w:hyperlink w:anchor="_Toc57735181"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rPr>
              <w:t>Sammenhæng med eksisterende EU-foranstaltninger på dette område</w:t>
            </w:r>
            <w:r w:rsidR="00927CFF">
              <w:rPr>
                <w:noProof/>
                <w:webHidden/>
              </w:rPr>
              <w:tab/>
            </w:r>
            <w:r w:rsidR="00927CFF">
              <w:rPr>
                <w:noProof/>
                <w:webHidden/>
              </w:rPr>
              <w:fldChar w:fldCharType="begin"/>
            </w:r>
            <w:r w:rsidR="00927CFF">
              <w:rPr>
                <w:noProof/>
                <w:webHidden/>
              </w:rPr>
              <w:instrText xml:space="preserve"> PAGEREF _Toc57735181 \h </w:instrText>
            </w:r>
            <w:r w:rsidR="00927CFF">
              <w:rPr>
                <w:noProof/>
                <w:webHidden/>
              </w:rPr>
            </w:r>
            <w:r w:rsidR="00927CFF">
              <w:rPr>
                <w:noProof/>
                <w:webHidden/>
              </w:rPr>
              <w:fldChar w:fldCharType="separate"/>
            </w:r>
            <w:r w:rsidR="00BE6028">
              <w:rPr>
                <w:noProof/>
                <w:webHidden/>
              </w:rPr>
              <w:t>1</w:t>
            </w:r>
            <w:r w:rsidR="00927CFF">
              <w:rPr>
                <w:noProof/>
                <w:webHidden/>
              </w:rPr>
              <w:fldChar w:fldCharType="end"/>
            </w:r>
          </w:hyperlink>
        </w:p>
        <w:p w14:paraId="71B7EED7" w14:textId="1EAF926C" w:rsidR="00927CFF" w:rsidRDefault="00B222E5">
          <w:pPr>
            <w:pStyle w:val="TOC2"/>
            <w:rPr>
              <w:rFonts w:asciiTheme="minorHAnsi" w:eastAsiaTheme="minorEastAsia" w:hAnsiTheme="minorHAnsi" w:cstheme="minorBidi"/>
              <w:noProof/>
              <w:sz w:val="22"/>
              <w:lang w:val="en-US"/>
            </w:rPr>
          </w:pPr>
          <w:hyperlink w:anchor="_Toc57735182"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rPr>
              <w:t>Sammenhæng med Unionens politik på andre områder</w:t>
            </w:r>
            <w:r w:rsidR="00927CFF">
              <w:rPr>
                <w:noProof/>
                <w:webHidden/>
              </w:rPr>
              <w:tab/>
            </w:r>
            <w:r w:rsidR="00927CFF">
              <w:rPr>
                <w:noProof/>
                <w:webHidden/>
              </w:rPr>
              <w:fldChar w:fldCharType="begin"/>
            </w:r>
            <w:r w:rsidR="00927CFF">
              <w:rPr>
                <w:noProof/>
                <w:webHidden/>
              </w:rPr>
              <w:instrText xml:space="preserve"> PAGEREF _Toc57735182 \h </w:instrText>
            </w:r>
            <w:r w:rsidR="00927CFF">
              <w:rPr>
                <w:noProof/>
                <w:webHidden/>
              </w:rPr>
            </w:r>
            <w:r w:rsidR="00927CFF">
              <w:rPr>
                <w:noProof/>
                <w:webHidden/>
              </w:rPr>
              <w:fldChar w:fldCharType="separate"/>
            </w:r>
            <w:r w:rsidR="00BE6028">
              <w:rPr>
                <w:noProof/>
                <w:webHidden/>
              </w:rPr>
              <w:t>1</w:t>
            </w:r>
            <w:r w:rsidR="00927CFF">
              <w:rPr>
                <w:noProof/>
                <w:webHidden/>
              </w:rPr>
              <w:fldChar w:fldCharType="end"/>
            </w:r>
          </w:hyperlink>
        </w:p>
        <w:p w14:paraId="38529595" w14:textId="1A735E2C" w:rsidR="00927CFF" w:rsidRDefault="00B222E5">
          <w:pPr>
            <w:pStyle w:val="TOC1"/>
            <w:rPr>
              <w:rFonts w:asciiTheme="minorHAnsi" w:eastAsiaTheme="minorEastAsia" w:hAnsiTheme="minorHAnsi" w:cstheme="minorBidi"/>
              <w:noProof/>
              <w:sz w:val="22"/>
              <w:lang w:val="en-US"/>
            </w:rPr>
          </w:pPr>
          <w:hyperlink w:anchor="_Toc57735183" w:history="1">
            <w:r w:rsidR="00927CFF" w:rsidRPr="00804739">
              <w:rPr>
                <w:rStyle w:val="Hyperlink"/>
                <w:noProof/>
              </w:rPr>
              <w:t>2.</w:t>
            </w:r>
            <w:r w:rsidR="00927CFF">
              <w:rPr>
                <w:rFonts w:asciiTheme="minorHAnsi" w:eastAsiaTheme="minorEastAsia" w:hAnsiTheme="minorHAnsi" w:cstheme="minorBidi"/>
                <w:noProof/>
                <w:sz w:val="22"/>
                <w:lang w:val="en-US"/>
              </w:rPr>
              <w:tab/>
            </w:r>
            <w:r w:rsidR="00927CFF" w:rsidRPr="00804739">
              <w:rPr>
                <w:rStyle w:val="Hyperlink"/>
                <w:noProof/>
              </w:rPr>
              <w:t>RETSGRUNDLAG, NÆRHEDSPRINCIPPET OG PROPORTIONALITETSPRINCIPPET</w:t>
            </w:r>
            <w:r w:rsidR="00927CFF">
              <w:rPr>
                <w:noProof/>
                <w:webHidden/>
              </w:rPr>
              <w:tab/>
            </w:r>
            <w:r w:rsidR="00927CFF">
              <w:rPr>
                <w:noProof/>
                <w:webHidden/>
              </w:rPr>
              <w:fldChar w:fldCharType="begin"/>
            </w:r>
            <w:r w:rsidR="00927CFF">
              <w:rPr>
                <w:noProof/>
                <w:webHidden/>
              </w:rPr>
              <w:instrText xml:space="preserve"> PAGEREF _Toc57735183 \h </w:instrText>
            </w:r>
            <w:r w:rsidR="00927CFF">
              <w:rPr>
                <w:noProof/>
                <w:webHidden/>
              </w:rPr>
            </w:r>
            <w:r w:rsidR="00927CFF">
              <w:rPr>
                <w:noProof/>
                <w:webHidden/>
              </w:rPr>
              <w:fldChar w:fldCharType="separate"/>
            </w:r>
            <w:r w:rsidR="00BE6028">
              <w:rPr>
                <w:noProof/>
                <w:webHidden/>
              </w:rPr>
              <w:t>2</w:t>
            </w:r>
            <w:r w:rsidR="00927CFF">
              <w:rPr>
                <w:noProof/>
                <w:webHidden/>
              </w:rPr>
              <w:fldChar w:fldCharType="end"/>
            </w:r>
          </w:hyperlink>
        </w:p>
        <w:p w14:paraId="5341491F" w14:textId="0360D570" w:rsidR="00927CFF" w:rsidRDefault="00B222E5">
          <w:pPr>
            <w:pStyle w:val="TOC2"/>
            <w:rPr>
              <w:rFonts w:asciiTheme="minorHAnsi" w:eastAsiaTheme="minorEastAsia" w:hAnsiTheme="minorHAnsi" w:cstheme="minorBidi"/>
              <w:noProof/>
              <w:sz w:val="22"/>
              <w:lang w:val="en-US"/>
            </w:rPr>
          </w:pPr>
          <w:hyperlink w:anchor="_Toc57735184"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Retsgrundlag</w:t>
            </w:r>
            <w:r w:rsidR="00927CFF">
              <w:rPr>
                <w:noProof/>
                <w:webHidden/>
              </w:rPr>
              <w:tab/>
            </w:r>
            <w:r w:rsidR="00927CFF">
              <w:rPr>
                <w:noProof/>
                <w:webHidden/>
              </w:rPr>
              <w:fldChar w:fldCharType="begin"/>
            </w:r>
            <w:r w:rsidR="00927CFF">
              <w:rPr>
                <w:noProof/>
                <w:webHidden/>
              </w:rPr>
              <w:instrText xml:space="preserve"> PAGEREF _Toc57735184 \h </w:instrText>
            </w:r>
            <w:r w:rsidR="00927CFF">
              <w:rPr>
                <w:noProof/>
                <w:webHidden/>
              </w:rPr>
            </w:r>
            <w:r w:rsidR="00927CFF">
              <w:rPr>
                <w:noProof/>
                <w:webHidden/>
              </w:rPr>
              <w:fldChar w:fldCharType="separate"/>
            </w:r>
            <w:r w:rsidR="00BE6028">
              <w:rPr>
                <w:noProof/>
                <w:webHidden/>
              </w:rPr>
              <w:t>2</w:t>
            </w:r>
            <w:r w:rsidR="00927CFF">
              <w:rPr>
                <w:noProof/>
                <w:webHidden/>
              </w:rPr>
              <w:fldChar w:fldCharType="end"/>
            </w:r>
          </w:hyperlink>
        </w:p>
        <w:p w14:paraId="0A9F1BDB" w14:textId="089BB857" w:rsidR="00927CFF" w:rsidRDefault="00B222E5">
          <w:pPr>
            <w:pStyle w:val="TOC2"/>
            <w:rPr>
              <w:rFonts w:asciiTheme="minorHAnsi" w:eastAsiaTheme="minorEastAsia" w:hAnsiTheme="minorHAnsi" w:cstheme="minorBidi"/>
              <w:noProof/>
              <w:sz w:val="22"/>
              <w:lang w:val="en-US"/>
            </w:rPr>
          </w:pPr>
          <w:hyperlink w:anchor="_Toc57735185"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Nærhedsprincippet (for områder, der ikke er omfattet af enekompetence)</w:t>
            </w:r>
            <w:r w:rsidR="00927CFF">
              <w:rPr>
                <w:noProof/>
                <w:webHidden/>
              </w:rPr>
              <w:tab/>
            </w:r>
            <w:r w:rsidR="00927CFF">
              <w:rPr>
                <w:noProof/>
                <w:webHidden/>
              </w:rPr>
              <w:fldChar w:fldCharType="begin"/>
            </w:r>
            <w:r w:rsidR="00927CFF">
              <w:rPr>
                <w:noProof/>
                <w:webHidden/>
              </w:rPr>
              <w:instrText xml:space="preserve"> PAGEREF _Toc57735185 \h </w:instrText>
            </w:r>
            <w:r w:rsidR="00927CFF">
              <w:rPr>
                <w:noProof/>
                <w:webHidden/>
              </w:rPr>
            </w:r>
            <w:r w:rsidR="00927CFF">
              <w:rPr>
                <w:noProof/>
                <w:webHidden/>
              </w:rPr>
              <w:fldChar w:fldCharType="separate"/>
            </w:r>
            <w:r w:rsidR="00BE6028">
              <w:rPr>
                <w:noProof/>
                <w:webHidden/>
              </w:rPr>
              <w:t>2</w:t>
            </w:r>
            <w:r w:rsidR="00927CFF">
              <w:rPr>
                <w:noProof/>
                <w:webHidden/>
              </w:rPr>
              <w:fldChar w:fldCharType="end"/>
            </w:r>
          </w:hyperlink>
        </w:p>
        <w:p w14:paraId="14FC6220" w14:textId="59178FBC" w:rsidR="00927CFF" w:rsidRDefault="00B222E5">
          <w:pPr>
            <w:pStyle w:val="TOC2"/>
            <w:rPr>
              <w:rFonts w:asciiTheme="minorHAnsi" w:eastAsiaTheme="minorEastAsia" w:hAnsiTheme="minorHAnsi" w:cstheme="minorBidi"/>
              <w:noProof/>
              <w:sz w:val="22"/>
              <w:lang w:val="en-US"/>
            </w:rPr>
          </w:pPr>
          <w:hyperlink w:anchor="_Toc57735186"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Proportionalitetsprincippet</w:t>
            </w:r>
            <w:r w:rsidR="00927CFF">
              <w:rPr>
                <w:noProof/>
                <w:webHidden/>
              </w:rPr>
              <w:tab/>
            </w:r>
            <w:r w:rsidR="00927CFF">
              <w:rPr>
                <w:noProof/>
                <w:webHidden/>
              </w:rPr>
              <w:fldChar w:fldCharType="begin"/>
            </w:r>
            <w:r w:rsidR="00927CFF">
              <w:rPr>
                <w:noProof/>
                <w:webHidden/>
              </w:rPr>
              <w:instrText xml:space="preserve"> PAGEREF _Toc57735186 \h </w:instrText>
            </w:r>
            <w:r w:rsidR="00927CFF">
              <w:rPr>
                <w:noProof/>
                <w:webHidden/>
              </w:rPr>
            </w:r>
            <w:r w:rsidR="00927CFF">
              <w:rPr>
                <w:noProof/>
                <w:webHidden/>
              </w:rPr>
              <w:fldChar w:fldCharType="separate"/>
            </w:r>
            <w:r w:rsidR="00BE6028">
              <w:rPr>
                <w:noProof/>
                <w:webHidden/>
              </w:rPr>
              <w:t>2</w:t>
            </w:r>
            <w:r w:rsidR="00927CFF">
              <w:rPr>
                <w:noProof/>
                <w:webHidden/>
              </w:rPr>
              <w:fldChar w:fldCharType="end"/>
            </w:r>
          </w:hyperlink>
        </w:p>
        <w:p w14:paraId="314D16A1" w14:textId="590BF143" w:rsidR="00927CFF" w:rsidRDefault="00B222E5">
          <w:pPr>
            <w:pStyle w:val="TOC2"/>
            <w:rPr>
              <w:rFonts w:asciiTheme="minorHAnsi" w:eastAsiaTheme="minorEastAsia" w:hAnsiTheme="minorHAnsi" w:cstheme="minorBidi"/>
              <w:noProof/>
              <w:sz w:val="22"/>
              <w:lang w:val="en-US"/>
            </w:rPr>
          </w:pPr>
          <w:hyperlink w:anchor="_Toc57735187"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Valg af retsakt</w:t>
            </w:r>
            <w:r w:rsidR="00927CFF">
              <w:rPr>
                <w:noProof/>
                <w:webHidden/>
              </w:rPr>
              <w:tab/>
            </w:r>
            <w:r w:rsidR="00927CFF">
              <w:rPr>
                <w:noProof/>
                <w:webHidden/>
              </w:rPr>
              <w:fldChar w:fldCharType="begin"/>
            </w:r>
            <w:r w:rsidR="00927CFF">
              <w:rPr>
                <w:noProof/>
                <w:webHidden/>
              </w:rPr>
              <w:instrText xml:space="preserve"> PAGEREF _Toc57735187 \h </w:instrText>
            </w:r>
            <w:r w:rsidR="00927CFF">
              <w:rPr>
                <w:noProof/>
                <w:webHidden/>
              </w:rPr>
            </w:r>
            <w:r w:rsidR="00927CFF">
              <w:rPr>
                <w:noProof/>
                <w:webHidden/>
              </w:rPr>
              <w:fldChar w:fldCharType="separate"/>
            </w:r>
            <w:r w:rsidR="00BE6028">
              <w:rPr>
                <w:noProof/>
                <w:webHidden/>
              </w:rPr>
              <w:t>2</w:t>
            </w:r>
            <w:r w:rsidR="00927CFF">
              <w:rPr>
                <w:noProof/>
                <w:webHidden/>
              </w:rPr>
              <w:fldChar w:fldCharType="end"/>
            </w:r>
          </w:hyperlink>
        </w:p>
        <w:p w14:paraId="7569F062" w14:textId="3E22A6EC" w:rsidR="00927CFF" w:rsidRDefault="00B222E5">
          <w:pPr>
            <w:pStyle w:val="TOC1"/>
            <w:rPr>
              <w:rFonts w:asciiTheme="minorHAnsi" w:eastAsiaTheme="minorEastAsia" w:hAnsiTheme="minorHAnsi" w:cstheme="minorBidi"/>
              <w:noProof/>
              <w:sz w:val="22"/>
              <w:lang w:val="en-US"/>
            </w:rPr>
          </w:pPr>
          <w:hyperlink w:anchor="_Toc57735188" w:history="1">
            <w:r w:rsidR="00927CFF" w:rsidRPr="00804739">
              <w:rPr>
                <w:rStyle w:val="Hyperlink"/>
                <w:noProof/>
              </w:rPr>
              <w:t>3.</w:t>
            </w:r>
            <w:r w:rsidR="00927CFF">
              <w:rPr>
                <w:rFonts w:asciiTheme="minorHAnsi" w:eastAsiaTheme="minorEastAsia" w:hAnsiTheme="minorHAnsi" w:cstheme="minorBidi"/>
                <w:noProof/>
                <w:sz w:val="22"/>
                <w:lang w:val="en-US"/>
              </w:rPr>
              <w:tab/>
            </w:r>
            <w:r w:rsidR="00927CFF" w:rsidRPr="00804739">
              <w:rPr>
                <w:rStyle w:val="Hyperlink"/>
                <w:noProof/>
              </w:rPr>
              <w:t>RESULTATER AF EFTERFØLGENDE EVALUERINGER, HØRINGER AF INTERESSEREDE PARTER OG KONSEKVENSANALYSER</w:t>
            </w:r>
            <w:r w:rsidR="00927CFF">
              <w:rPr>
                <w:noProof/>
                <w:webHidden/>
              </w:rPr>
              <w:tab/>
            </w:r>
            <w:r w:rsidR="00927CFF">
              <w:rPr>
                <w:noProof/>
                <w:webHidden/>
              </w:rPr>
              <w:fldChar w:fldCharType="begin"/>
            </w:r>
            <w:r w:rsidR="00927CFF">
              <w:rPr>
                <w:noProof/>
                <w:webHidden/>
              </w:rPr>
              <w:instrText xml:space="preserve"> PAGEREF _Toc57735188 \h </w:instrText>
            </w:r>
            <w:r w:rsidR="00927CFF">
              <w:rPr>
                <w:noProof/>
                <w:webHidden/>
              </w:rPr>
            </w:r>
            <w:r w:rsidR="00927CFF">
              <w:rPr>
                <w:noProof/>
                <w:webHidden/>
              </w:rPr>
              <w:fldChar w:fldCharType="separate"/>
            </w:r>
            <w:r w:rsidR="00BE6028">
              <w:rPr>
                <w:noProof/>
                <w:webHidden/>
              </w:rPr>
              <w:t>3</w:t>
            </w:r>
            <w:r w:rsidR="00927CFF">
              <w:rPr>
                <w:noProof/>
                <w:webHidden/>
              </w:rPr>
              <w:fldChar w:fldCharType="end"/>
            </w:r>
          </w:hyperlink>
        </w:p>
        <w:p w14:paraId="7C37CDE5" w14:textId="4DA6A9D9" w:rsidR="00927CFF" w:rsidRDefault="00B222E5">
          <w:pPr>
            <w:pStyle w:val="TOC2"/>
            <w:rPr>
              <w:rFonts w:asciiTheme="minorHAnsi" w:eastAsiaTheme="minorEastAsia" w:hAnsiTheme="minorHAnsi" w:cstheme="minorBidi"/>
              <w:noProof/>
              <w:sz w:val="22"/>
              <w:lang w:val="en-US"/>
            </w:rPr>
          </w:pPr>
          <w:hyperlink w:anchor="_Toc57735189"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Efterfølgende evalueringer/kvalitetskontrol af gældende lovgivning</w:t>
            </w:r>
            <w:r w:rsidR="00927CFF">
              <w:rPr>
                <w:noProof/>
                <w:webHidden/>
              </w:rPr>
              <w:tab/>
            </w:r>
            <w:r w:rsidR="00927CFF">
              <w:rPr>
                <w:noProof/>
                <w:webHidden/>
              </w:rPr>
              <w:fldChar w:fldCharType="begin"/>
            </w:r>
            <w:r w:rsidR="00927CFF">
              <w:rPr>
                <w:noProof/>
                <w:webHidden/>
              </w:rPr>
              <w:instrText xml:space="preserve"> PAGEREF _Toc57735189 \h </w:instrText>
            </w:r>
            <w:r w:rsidR="00927CFF">
              <w:rPr>
                <w:noProof/>
                <w:webHidden/>
              </w:rPr>
            </w:r>
            <w:r w:rsidR="00927CFF">
              <w:rPr>
                <w:noProof/>
                <w:webHidden/>
              </w:rPr>
              <w:fldChar w:fldCharType="separate"/>
            </w:r>
            <w:r w:rsidR="00BE6028">
              <w:rPr>
                <w:noProof/>
                <w:webHidden/>
              </w:rPr>
              <w:t>3</w:t>
            </w:r>
            <w:r w:rsidR="00927CFF">
              <w:rPr>
                <w:noProof/>
                <w:webHidden/>
              </w:rPr>
              <w:fldChar w:fldCharType="end"/>
            </w:r>
          </w:hyperlink>
        </w:p>
        <w:p w14:paraId="03E2B26C" w14:textId="6F7329B1" w:rsidR="00927CFF" w:rsidRDefault="00B222E5">
          <w:pPr>
            <w:pStyle w:val="TOC2"/>
            <w:rPr>
              <w:rFonts w:asciiTheme="minorHAnsi" w:eastAsiaTheme="minorEastAsia" w:hAnsiTheme="minorHAnsi" w:cstheme="minorBidi"/>
              <w:noProof/>
              <w:sz w:val="22"/>
              <w:lang w:val="en-US"/>
            </w:rPr>
          </w:pPr>
          <w:hyperlink w:anchor="_Toc57735190"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Høringer af interesserede parter</w:t>
            </w:r>
            <w:r w:rsidR="00927CFF">
              <w:rPr>
                <w:noProof/>
                <w:webHidden/>
              </w:rPr>
              <w:tab/>
            </w:r>
            <w:r w:rsidR="00927CFF">
              <w:rPr>
                <w:noProof/>
                <w:webHidden/>
              </w:rPr>
              <w:fldChar w:fldCharType="begin"/>
            </w:r>
            <w:r w:rsidR="00927CFF">
              <w:rPr>
                <w:noProof/>
                <w:webHidden/>
              </w:rPr>
              <w:instrText xml:space="preserve"> PAGEREF _Toc57735190 \h </w:instrText>
            </w:r>
            <w:r w:rsidR="00927CFF">
              <w:rPr>
                <w:noProof/>
                <w:webHidden/>
              </w:rPr>
            </w:r>
            <w:r w:rsidR="00927CFF">
              <w:rPr>
                <w:noProof/>
                <w:webHidden/>
              </w:rPr>
              <w:fldChar w:fldCharType="separate"/>
            </w:r>
            <w:r w:rsidR="00BE6028">
              <w:rPr>
                <w:noProof/>
                <w:webHidden/>
              </w:rPr>
              <w:t>3</w:t>
            </w:r>
            <w:r w:rsidR="00927CFF">
              <w:rPr>
                <w:noProof/>
                <w:webHidden/>
              </w:rPr>
              <w:fldChar w:fldCharType="end"/>
            </w:r>
          </w:hyperlink>
        </w:p>
        <w:p w14:paraId="2AE37FD3" w14:textId="13DB5ED1" w:rsidR="00927CFF" w:rsidRDefault="00B222E5">
          <w:pPr>
            <w:pStyle w:val="TOC2"/>
            <w:rPr>
              <w:rFonts w:asciiTheme="minorHAnsi" w:eastAsiaTheme="minorEastAsia" w:hAnsiTheme="minorHAnsi" w:cstheme="minorBidi"/>
              <w:noProof/>
              <w:sz w:val="22"/>
              <w:lang w:val="en-US"/>
            </w:rPr>
          </w:pPr>
          <w:hyperlink w:anchor="_Toc57735191"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Konsekvensanalyse</w:t>
            </w:r>
            <w:r w:rsidR="00927CFF">
              <w:rPr>
                <w:noProof/>
                <w:webHidden/>
              </w:rPr>
              <w:tab/>
            </w:r>
            <w:r w:rsidR="00927CFF">
              <w:rPr>
                <w:noProof/>
                <w:webHidden/>
              </w:rPr>
              <w:fldChar w:fldCharType="begin"/>
            </w:r>
            <w:r w:rsidR="00927CFF">
              <w:rPr>
                <w:noProof/>
                <w:webHidden/>
              </w:rPr>
              <w:instrText xml:space="preserve"> PAGEREF _Toc57735191 \h </w:instrText>
            </w:r>
            <w:r w:rsidR="00927CFF">
              <w:rPr>
                <w:noProof/>
                <w:webHidden/>
              </w:rPr>
            </w:r>
            <w:r w:rsidR="00927CFF">
              <w:rPr>
                <w:noProof/>
                <w:webHidden/>
              </w:rPr>
              <w:fldChar w:fldCharType="separate"/>
            </w:r>
            <w:r w:rsidR="00BE6028">
              <w:rPr>
                <w:noProof/>
                <w:webHidden/>
              </w:rPr>
              <w:t>3</w:t>
            </w:r>
            <w:r w:rsidR="00927CFF">
              <w:rPr>
                <w:noProof/>
                <w:webHidden/>
              </w:rPr>
              <w:fldChar w:fldCharType="end"/>
            </w:r>
          </w:hyperlink>
        </w:p>
        <w:p w14:paraId="74AB8A08" w14:textId="25F54EA0" w:rsidR="00927CFF" w:rsidRDefault="00B222E5">
          <w:pPr>
            <w:pStyle w:val="TOC2"/>
            <w:rPr>
              <w:rFonts w:asciiTheme="minorHAnsi" w:eastAsiaTheme="minorEastAsia" w:hAnsiTheme="minorHAnsi" w:cstheme="minorBidi"/>
              <w:noProof/>
              <w:sz w:val="22"/>
              <w:lang w:val="en-US"/>
            </w:rPr>
          </w:pPr>
          <w:hyperlink w:anchor="_Toc57735192"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Grundlæggende rettigheder</w:t>
            </w:r>
            <w:r w:rsidR="00927CFF">
              <w:rPr>
                <w:noProof/>
                <w:webHidden/>
              </w:rPr>
              <w:tab/>
            </w:r>
            <w:r w:rsidR="00927CFF">
              <w:rPr>
                <w:noProof/>
                <w:webHidden/>
              </w:rPr>
              <w:fldChar w:fldCharType="begin"/>
            </w:r>
            <w:r w:rsidR="00927CFF">
              <w:rPr>
                <w:noProof/>
                <w:webHidden/>
              </w:rPr>
              <w:instrText xml:space="preserve"> PAGEREF _Toc57735192 \h </w:instrText>
            </w:r>
            <w:r w:rsidR="00927CFF">
              <w:rPr>
                <w:noProof/>
                <w:webHidden/>
              </w:rPr>
            </w:r>
            <w:r w:rsidR="00927CFF">
              <w:rPr>
                <w:noProof/>
                <w:webHidden/>
              </w:rPr>
              <w:fldChar w:fldCharType="separate"/>
            </w:r>
            <w:r w:rsidR="00BE6028">
              <w:rPr>
                <w:noProof/>
                <w:webHidden/>
              </w:rPr>
              <w:t>4</w:t>
            </w:r>
            <w:r w:rsidR="00927CFF">
              <w:rPr>
                <w:noProof/>
                <w:webHidden/>
              </w:rPr>
              <w:fldChar w:fldCharType="end"/>
            </w:r>
          </w:hyperlink>
        </w:p>
        <w:p w14:paraId="73DB4093" w14:textId="1ED22423" w:rsidR="00927CFF" w:rsidRDefault="00B222E5">
          <w:pPr>
            <w:pStyle w:val="TOC1"/>
            <w:rPr>
              <w:rFonts w:asciiTheme="minorHAnsi" w:eastAsiaTheme="minorEastAsia" w:hAnsiTheme="minorHAnsi" w:cstheme="minorBidi"/>
              <w:noProof/>
              <w:sz w:val="22"/>
              <w:lang w:val="en-US"/>
            </w:rPr>
          </w:pPr>
          <w:hyperlink w:anchor="_Toc57735193" w:history="1">
            <w:r w:rsidR="00927CFF" w:rsidRPr="00804739">
              <w:rPr>
                <w:rStyle w:val="Hyperlink"/>
                <w:noProof/>
              </w:rPr>
              <w:t>4.</w:t>
            </w:r>
            <w:r w:rsidR="00927CFF">
              <w:rPr>
                <w:rFonts w:asciiTheme="minorHAnsi" w:eastAsiaTheme="minorEastAsia" w:hAnsiTheme="minorHAnsi" w:cstheme="minorBidi"/>
                <w:noProof/>
                <w:sz w:val="22"/>
                <w:lang w:val="en-US"/>
              </w:rPr>
              <w:tab/>
            </w:r>
            <w:r w:rsidR="00927CFF" w:rsidRPr="00804739">
              <w:rPr>
                <w:rStyle w:val="Hyperlink"/>
                <w:noProof/>
              </w:rPr>
              <w:t>VIRKNINGER FOR BUDGETTET</w:t>
            </w:r>
            <w:r w:rsidR="00927CFF">
              <w:rPr>
                <w:noProof/>
                <w:webHidden/>
              </w:rPr>
              <w:tab/>
            </w:r>
            <w:r w:rsidR="00927CFF">
              <w:rPr>
                <w:noProof/>
                <w:webHidden/>
              </w:rPr>
              <w:fldChar w:fldCharType="begin"/>
            </w:r>
            <w:r w:rsidR="00927CFF">
              <w:rPr>
                <w:noProof/>
                <w:webHidden/>
              </w:rPr>
              <w:instrText xml:space="preserve"> PAGEREF _Toc57735193 \h </w:instrText>
            </w:r>
            <w:r w:rsidR="00927CFF">
              <w:rPr>
                <w:noProof/>
                <w:webHidden/>
              </w:rPr>
            </w:r>
            <w:r w:rsidR="00927CFF">
              <w:rPr>
                <w:noProof/>
                <w:webHidden/>
              </w:rPr>
              <w:fldChar w:fldCharType="separate"/>
            </w:r>
            <w:r w:rsidR="00BE6028">
              <w:rPr>
                <w:noProof/>
                <w:webHidden/>
              </w:rPr>
              <w:t>4</w:t>
            </w:r>
            <w:r w:rsidR="00927CFF">
              <w:rPr>
                <w:noProof/>
                <w:webHidden/>
              </w:rPr>
              <w:fldChar w:fldCharType="end"/>
            </w:r>
          </w:hyperlink>
        </w:p>
        <w:p w14:paraId="3D49485B" w14:textId="6A90AFF0" w:rsidR="00927CFF" w:rsidRDefault="00B222E5">
          <w:pPr>
            <w:pStyle w:val="TOC1"/>
            <w:rPr>
              <w:rFonts w:asciiTheme="minorHAnsi" w:eastAsiaTheme="minorEastAsia" w:hAnsiTheme="minorHAnsi" w:cstheme="minorBidi"/>
              <w:noProof/>
              <w:sz w:val="22"/>
              <w:lang w:val="en-US"/>
            </w:rPr>
          </w:pPr>
          <w:hyperlink w:anchor="_Toc57735194" w:history="1">
            <w:r w:rsidR="00927CFF" w:rsidRPr="00804739">
              <w:rPr>
                <w:rStyle w:val="Hyperlink"/>
                <w:noProof/>
              </w:rPr>
              <w:t>5.</w:t>
            </w:r>
            <w:r w:rsidR="00927CFF">
              <w:rPr>
                <w:rFonts w:asciiTheme="minorHAnsi" w:eastAsiaTheme="minorEastAsia" w:hAnsiTheme="minorHAnsi" w:cstheme="minorBidi"/>
                <w:noProof/>
                <w:sz w:val="22"/>
                <w:lang w:val="en-US"/>
              </w:rPr>
              <w:tab/>
            </w:r>
            <w:r w:rsidR="00927CFF" w:rsidRPr="00804739">
              <w:rPr>
                <w:rStyle w:val="Hyperlink"/>
                <w:noProof/>
              </w:rPr>
              <w:t>ANDRE FORHOLD</w:t>
            </w:r>
            <w:r w:rsidR="00927CFF">
              <w:rPr>
                <w:noProof/>
                <w:webHidden/>
              </w:rPr>
              <w:tab/>
            </w:r>
            <w:r w:rsidR="00927CFF">
              <w:rPr>
                <w:noProof/>
                <w:webHidden/>
              </w:rPr>
              <w:fldChar w:fldCharType="begin"/>
            </w:r>
            <w:r w:rsidR="00927CFF">
              <w:rPr>
                <w:noProof/>
                <w:webHidden/>
              </w:rPr>
              <w:instrText xml:space="preserve"> PAGEREF _Toc57735194 \h </w:instrText>
            </w:r>
            <w:r w:rsidR="00927CFF">
              <w:rPr>
                <w:noProof/>
                <w:webHidden/>
              </w:rPr>
            </w:r>
            <w:r w:rsidR="00927CFF">
              <w:rPr>
                <w:noProof/>
                <w:webHidden/>
              </w:rPr>
              <w:fldChar w:fldCharType="separate"/>
            </w:r>
            <w:r w:rsidR="00BE6028">
              <w:rPr>
                <w:noProof/>
                <w:webHidden/>
              </w:rPr>
              <w:t>4</w:t>
            </w:r>
            <w:r w:rsidR="00927CFF">
              <w:rPr>
                <w:noProof/>
                <w:webHidden/>
              </w:rPr>
              <w:fldChar w:fldCharType="end"/>
            </w:r>
          </w:hyperlink>
        </w:p>
        <w:p w14:paraId="3F6995C3" w14:textId="55B26C4F" w:rsidR="00927CFF" w:rsidRDefault="00B222E5">
          <w:pPr>
            <w:pStyle w:val="TOC2"/>
            <w:rPr>
              <w:rFonts w:asciiTheme="minorHAnsi" w:eastAsiaTheme="minorEastAsia" w:hAnsiTheme="minorHAnsi" w:cstheme="minorBidi"/>
              <w:noProof/>
              <w:sz w:val="22"/>
              <w:lang w:val="en-US"/>
            </w:rPr>
          </w:pPr>
          <w:hyperlink w:anchor="_Toc57735195" w:history="1">
            <w:r w:rsidR="00927CFF" w:rsidRPr="00804739">
              <w:rPr>
                <w:rStyle w:val="Hyperlink"/>
                <w:noProof/>
                <w:u w:color="000000"/>
                <w:bdr w:val="nil"/>
              </w:rPr>
              <w:t>•</w:t>
            </w:r>
            <w:r w:rsidR="00927CFF">
              <w:rPr>
                <w:rFonts w:asciiTheme="minorHAnsi" w:eastAsiaTheme="minorEastAsia" w:hAnsiTheme="minorHAnsi" w:cstheme="minorBidi"/>
                <w:noProof/>
                <w:sz w:val="22"/>
                <w:lang w:val="en-US"/>
              </w:rPr>
              <w:tab/>
            </w:r>
            <w:r w:rsidR="00927CFF" w:rsidRPr="00804739">
              <w:rPr>
                <w:rStyle w:val="Hyperlink"/>
                <w:noProof/>
                <w:u w:color="000000"/>
                <w:bdr w:val="nil"/>
              </w:rPr>
              <w:t>Nærmere redegørelse for de enkelte bestemmelser i forslaget</w:t>
            </w:r>
            <w:r w:rsidR="00927CFF">
              <w:rPr>
                <w:noProof/>
                <w:webHidden/>
              </w:rPr>
              <w:tab/>
            </w:r>
            <w:r w:rsidR="00927CFF">
              <w:rPr>
                <w:noProof/>
                <w:webHidden/>
              </w:rPr>
              <w:fldChar w:fldCharType="begin"/>
            </w:r>
            <w:r w:rsidR="00927CFF">
              <w:rPr>
                <w:noProof/>
                <w:webHidden/>
              </w:rPr>
              <w:instrText xml:space="preserve"> PAGEREF _Toc57735195 \h </w:instrText>
            </w:r>
            <w:r w:rsidR="00927CFF">
              <w:rPr>
                <w:noProof/>
                <w:webHidden/>
              </w:rPr>
            </w:r>
            <w:r w:rsidR="00927CFF">
              <w:rPr>
                <w:noProof/>
                <w:webHidden/>
              </w:rPr>
              <w:fldChar w:fldCharType="separate"/>
            </w:r>
            <w:r w:rsidR="00BE6028">
              <w:rPr>
                <w:noProof/>
                <w:webHidden/>
              </w:rPr>
              <w:t>4</w:t>
            </w:r>
            <w:r w:rsidR="00927CFF">
              <w:rPr>
                <w:noProof/>
                <w:webHidden/>
              </w:rPr>
              <w:fldChar w:fldCharType="end"/>
            </w:r>
          </w:hyperlink>
        </w:p>
        <w:p w14:paraId="50A3375A" w14:textId="30ADC0CB" w:rsidR="00927CFF" w:rsidRDefault="00B222E5">
          <w:pPr>
            <w:pStyle w:val="TOC1"/>
            <w:rPr>
              <w:rFonts w:asciiTheme="minorHAnsi" w:eastAsiaTheme="minorEastAsia" w:hAnsiTheme="minorHAnsi" w:cstheme="minorBidi"/>
              <w:noProof/>
              <w:sz w:val="22"/>
              <w:lang w:val="en-US"/>
            </w:rPr>
          </w:pPr>
          <w:hyperlink w:anchor="_Toc57735196" w:history="1">
            <w:r w:rsidR="00927CFF" w:rsidRPr="00804739">
              <w:rPr>
                <w:rStyle w:val="Hyperlink"/>
                <w:noProof/>
              </w:rPr>
              <w:t>1.</w:t>
            </w:r>
            <w:r w:rsidR="00927CFF">
              <w:rPr>
                <w:rFonts w:asciiTheme="minorHAnsi" w:eastAsiaTheme="minorEastAsia" w:hAnsiTheme="minorHAnsi" w:cstheme="minorBidi"/>
                <w:noProof/>
                <w:sz w:val="22"/>
                <w:lang w:val="en-US"/>
              </w:rPr>
              <w:tab/>
            </w:r>
            <w:r w:rsidR="00927CFF" w:rsidRPr="00804739">
              <w:rPr>
                <w:rStyle w:val="Hyperlink"/>
                <w:noProof/>
              </w:rPr>
              <w:t>FORSLAGETS/INITIATIVETS RAMME</w:t>
            </w:r>
            <w:r w:rsidR="00927CFF">
              <w:rPr>
                <w:noProof/>
                <w:webHidden/>
              </w:rPr>
              <w:tab/>
            </w:r>
            <w:r w:rsidR="00927CFF">
              <w:rPr>
                <w:noProof/>
                <w:webHidden/>
              </w:rPr>
              <w:fldChar w:fldCharType="begin"/>
            </w:r>
            <w:r w:rsidR="00927CFF">
              <w:rPr>
                <w:noProof/>
                <w:webHidden/>
              </w:rPr>
              <w:instrText xml:space="preserve"> PAGEREF _Toc57735196 \h </w:instrText>
            </w:r>
            <w:r w:rsidR="00927CFF">
              <w:rPr>
                <w:noProof/>
                <w:webHidden/>
              </w:rPr>
            </w:r>
            <w:r w:rsidR="00927CFF">
              <w:rPr>
                <w:noProof/>
                <w:webHidden/>
              </w:rPr>
              <w:fldChar w:fldCharType="separate"/>
            </w:r>
            <w:r w:rsidR="00BE6028">
              <w:rPr>
                <w:noProof/>
                <w:webHidden/>
              </w:rPr>
              <w:t>32</w:t>
            </w:r>
            <w:r w:rsidR="00927CFF">
              <w:rPr>
                <w:noProof/>
                <w:webHidden/>
              </w:rPr>
              <w:fldChar w:fldCharType="end"/>
            </w:r>
          </w:hyperlink>
        </w:p>
        <w:p w14:paraId="208F458C" w14:textId="638FC869" w:rsidR="00927CFF" w:rsidRDefault="00B222E5">
          <w:pPr>
            <w:pStyle w:val="TOC2"/>
            <w:rPr>
              <w:rFonts w:asciiTheme="minorHAnsi" w:eastAsiaTheme="minorEastAsia" w:hAnsiTheme="minorHAnsi" w:cstheme="minorBidi"/>
              <w:noProof/>
              <w:sz w:val="22"/>
              <w:lang w:val="en-US"/>
            </w:rPr>
          </w:pPr>
          <w:hyperlink w:anchor="_Toc57735197" w:history="1">
            <w:r w:rsidR="00927CFF" w:rsidRPr="00804739">
              <w:rPr>
                <w:rStyle w:val="Hyperlink"/>
                <w:noProof/>
              </w:rPr>
              <w:t>1.1.</w:t>
            </w:r>
            <w:r w:rsidR="00927CFF">
              <w:rPr>
                <w:rFonts w:asciiTheme="minorHAnsi" w:eastAsiaTheme="minorEastAsia" w:hAnsiTheme="minorHAnsi" w:cstheme="minorBidi"/>
                <w:noProof/>
                <w:sz w:val="22"/>
                <w:lang w:val="en-US"/>
              </w:rPr>
              <w:tab/>
            </w:r>
            <w:r w:rsidR="00927CFF" w:rsidRPr="00804739">
              <w:rPr>
                <w:rStyle w:val="Hyperlink"/>
                <w:noProof/>
              </w:rPr>
              <w:t>Forslagets/initiativets betegnelse</w:t>
            </w:r>
            <w:r w:rsidR="00927CFF">
              <w:rPr>
                <w:noProof/>
                <w:webHidden/>
              </w:rPr>
              <w:tab/>
            </w:r>
            <w:r w:rsidR="00927CFF">
              <w:rPr>
                <w:noProof/>
                <w:webHidden/>
              </w:rPr>
              <w:fldChar w:fldCharType="begin"/>
            </w:r>
            <w:r w:rsidR="00927CFF">
              <w:rPr>
                <w:noProof/>
                <w:webHidden/>
              </w:rPr>
              <w:instrText xml:space="preserve"> PAGEREF _Toc57735197 \h </w:instrText>
            </w:r>
            <w:r w:rsidR="00927CFF">
              <w:rPr>
                <w:noProof/>
                <w:webHidden/>
              </w:rPr>
            </w:r>
            <w:r w:rsidR="00927CFF">
              <w:rPr>
                <w:noProof/>
                <w:webHidden/>
              </w:rPr>
              <w:fldChar w:fldCharType="separate"/>
            </w:r>
            <w:r w:rsidR="00BE6028">
              <w:rPr>
                <w:noProof/>
                <w:webHidden/>
              </w:rPr>
              <w:t>32</w:t>
            </w:r>
            <w:r w:rsidR="00927CFF">
              <w:rPr>
                <w:noProof/>
                <w:webHidden/>
              </w:rPr>
              <w:fldChar w:fldCharType="end"/>
            </w:r>
          </w:hyperlink>
        </w:p>
        <w:p w14:paraId="336BDB22" w14:textId="5FA57486" w:rsidR="00927CFF" w:rsidRDefault="00B222E5">
          <w:pPr>
            <w:pStyle w:val="TOC2"/>
            <w:rPr>
              <w:rFonts w:asciiTheme="minorHAnsi" w:eastAsiaTheme="minorEastAsia" w:hAnsiTheme="minorHAnsi" w:cstheme="minorBidi"/>
              <w:noProof/>
              <w:sz w:val="22"/>
              <w:lang w:val="en-US"/>
            </w:rPr>
          </w:pPr>
          <w:hyperlink w:anchor="_Toc57735198" w:history="1">
            <w:r w:rsidR="00927CFF" w:rsidRPr="00804739">
              <w:rPr>
                <w:rStyle w:val="Hyperlink"/>
                <w:noProof/>
              </w:rPr>
              <w:t>1.2.</w:t>
            </w:r>
            <w:r w:rsidR="00927CFF">
              <w:rPr>
                <w:rFonts w:asciiTheme="minorHAnsi" w:eastAsiaTheme="minorEastAsia" w:hAnsiTheme="minorHAnsi" w:cstheme="minorBidi"/>
                <w:noProof/>
                <w:sz w:val="22"/>
                <w:lang w:val="en-US"/>
              </w:rPr>
              <w:tab/>
            </w:r>
            <w:r w:rsidR="00927CFF" w:rsidRPr="00804739">
              <w:rPr>
                <w:rStyle w:val="Hyperlink"/>
                <w:noProof/>
              </w:rPr>
              <w:t>Berørt(e) politikområde(r)</w:t>
            </w:r>
            <w:r w:rsidR="00927CFF">
              <w:rPr>
                <w:noProof/>
                <w:webHidden/>
              </w:rPr>
              <w:tab/>
            </w:r>
            <w:r w:rsidR="00927CFF">
              <w:rPr>
                <w:noProof/>
                <w:webHidden/>
              </w:rPr>
              <w:fldChar w:fldCharType="begin"/>
            </w:r>
            <w:r w:rsidR="00927CFF">
              <w:rPr>
                <w:noProof/>
                <w:webHidden/>
              </w:rPr>
              <w:instrText xml:space="preserve"> PAGEREF _Toc57735198 \h </w:instrText>
            </w:r>
            <w:r w:rsidR="00927CFF">
              <w:rPr>
                <w:noProof/>
                <w:webHidden/>
              </w:rPr>
            </w:r>
            <w:r w:rsidR="00927CFF">
              <w:rPr>
                <w:noProof/>
                <w:webHidden/>
              </w:rPr>
              <w:fldChar w:fldCharType="separate"/>
            </w:r>
            <w:r w:rsidR="00BE6028">
              <w:rPr>
                <w:noProof/>
                <w:webHidden/>
              </w:rPr>
              <w:t>32</w:t>
            </w:r>
            <w:r w:rsidR="00927CFF">
              <w:rPr>
                <w:noProof/>
                <w:webHidden/>
              </w:rPr>
              <w:fldChar w:fldCharType="end"/>
            </w:r>
          </w:hyperlink>
        </w:p>
        <w:p w14:paraId="4BC287EF" w14:textId="666A8F2C" w:rsidR="00927CFF" w:rsidRDefault="00B222E5">
          <w:pPr>
            <w:pStyle w:val="TOC2"/>
            <w:rPr>
              <w:rFonts w:asciiTheme="minorHAnsi" w:eastAsiaTheme="minorEastAsia" w:hAnsiTheme="minorHAnsi" w:cstheme="minorBidi"/>
              <w:noProof/>
              <w:sz w:val="22"/>
              <w:lang w:val="en-US"/>
            </w:rPr>
          </w:pPr>
          <w:hyperlink w:anchor="_Toc57735199" w:history="1">
            <w:r w:rsidR="00927CFF" w:rsidRPr="00804739">
              <w:rPr>
                <w:rStyle w:val="Hyperlink"/>
                <w:noProof/>
              </w:rPr>
              <w:t>1.3.</w:t>
            </w:r>
            <w:r w:rsidR="00927CFF">
              <w:rPr>
                <w:rFonts w:asciiTheme="minorHAnsi" w:eastAsiaTheme="minorEastAsia" w:hAnsiTheme="minorHAnsi" w:cstheme="minorBidi"/>
                <w:noProof/>
                <w:sz w:val="22"/>
                <w:lang w:val="en-US"/>
              </w:rPr>
              <w:tab/>
            </w:r>
            <w:r w:rsidR="00927CFF" w:rsidRPr="00804739">
              <w:rPr>
                <w:rStyle w:val="Hyperlink"/>
                <w:noProof/>
              </w:rPr>
              <w:t>Forslaget vedrører</w:t>
            </w:r>
            <w:r w:rsidR="00927CFF">
              <w:rPr>
                <w:noProof/>
                <w:webHidden/>
              </w:rPr>
              <w:tab/>
            </w:r>
            <w:r w:rsidR="00927CFF">
              <w:rPr>
                <w:noProof/>
                <w:webHidden/>
              </w:rPr>
              <w:fldChar w:fldCharType="begin"/>
            </w:r>
            <w:r w:rsidR="00927CFF">
              <w:rPr>
                <w:noProof/>
                <w:webHidden/>
              </w:rPr>
              <w:instrText xml:space="preserve"> PAGEREF _Toc57735199 \h </w:instrText>
            </w:r>
            <w:r w:rsidR="00927CFF">
              <w:rPr>
                <w:noProof/>
                <w:webHidden/>
              </w:rPr>
            </w:r>
            <w:r w:rsidR="00927CFF">
              <w:rPr>
                <w:noProof/>
                <w:webHidden/>
              </w:rPr>
              <w:fldChar w:fldCharType="separate"/>
            </w:r>
            <w:r w:rsidR="00BE6028">
              <w:rPr>
                <w:noProof/>
                <w:webHidden/>
              </w:rPr>
              <w:t>32</w:t>
            </w:r>
            <w:r w:rsidR="00927CFF">
              <w:rPr>
                <w:noProof/>
                <w:webHidden/>
              </w:rPr>
              <w:fldChar w:fldCharType="end"/>
            </w:r>
          </w:hyperlink>
        </w:p>
        <w:p w14:paraId="00E5BAD6" w14:textId="7AFB6ACE" w:rsidR="00927CFF" w:rsidRDefault="00B222E5">
          <w:pPr>
            <w:pStyle w:val="TOC2"/>
            <w:rPr>
              <w:rFonts w:asciiTheme="minorHAnsi" w:eastAsiaTheme="minorEastAsia" w:hAnsiTheme="minorHAnsi" w:cstheme="minorBidi"/>
              <w:noProof/>
              <w:sz w:val="22"/>
              <w:lang w:val="en-US"/>
            </w:rPr>
          </w:pPr>
          <w:hyperlink w:anchor="_Toc57735200" w:history="1">
            <w:r w:rsidR="00927CFF" w:rsidRPr="00804739">
              <w:rPr>
                <w:rStyle w:val="Hyperlink"/>
                <w:noProof/>
              </w:rPr>
              <w:t>1.4.</w:t>
            </w:r>
            <w:r w:rsidR="00927CFF">
              <w:rPr>
                <w:rFonts w:asciiTheme="minorHAnsi" w:eastAsiaTheme="minorEastAsia" w:hAnsiTheme="minorHAnsi" w:cstheme="minorBidi"/>
                <w:noProof/>
                <w:sz w:val="22"/>
                <w:lang w:val="en-US"/>
              </w:rPr>
              <w:tab/>
            </w:r>
            <w:r w:rsidR="00927CFF" w:rsidRPr="00804739">
              <w:rPr>
                <w:rStyle w:val="Hyperlink"/>
                <w:noProof/>
              </w:rPr>
              <w:t>Mål</w:t>
            </w:r>
            <w:r w:rsidR="00927CFF">
              <w:rPr>
                <w:noProof/>
                <w:webHidden/>
              </w:rPr>
              <w:tab/>
            </w:r>
            <w:r w:rsidR="00927CFF">
              <w:rPr>
                <w:noProof/>
                <w:webHidden/>
              </w:rPr>
              <w:fldChar w:fldCharType="begin"/>
            </w:r>
            <w:r w:rsidR="00927CFF">
              <w:rPr>
                <w:noProof/>
                <w:webHidden/>
              </w:rPr>
              <w:instrText xml:space="preserve"> PAGEREF _Toc57735200 \h </w:instrText>
            </w:r>
            <w:r w:rsidR="00927CFF">
              <w:rPr>
                <w:noProof/>
                <w:webHidden/>
              </w:rPr>
            </w:r>
            <w:r w:rsidR="00927CFF">
              <w:rPr>
                <w:noProof/>
                <w:webHidden/>
              </w:rPr>
              <w:fldChar w:fldCharType="separate"/>
            </w:r>
            <w:r w:rsidR="00BE6028">
              <w:rPr>
                <w:noProof/>
                <w:webHidden/>
              </w:rPr>
              <w:t>32</w:t>
            </w:r>
            <w:r w:rsidR="00927CFF">
              <w:rPr>
                <w:noProof/>
                <w:webHidden/>
              </w:rPr>
              <w:fldChar w:fldCharType="end"/>
            </w:r>
          </w:hyperlink>
        </w:p>
        <w:p w14:paraId="083D6383" w14:textId="3F4E84EF" w:rsidR="00927CFF" w:rsidRDefault="00B222E5">
          <w:pPr>
            <w:pStyle w:val="TOC3"/>
            <w:rPr>
              <w:rFonts w:asciiTheme="minorHAnsi" w:eastAsiaTheme="minorEastAsia" w:hAnsiTheme="minorHAnsi" w:cstheme="minorBidi"/>
              <w:noProof/>
              <w:sz w:val="22"/>
              <w:lang w:val="en-US"/>
            </w:rPr>
          </w:pPr>
          <w:hyperlink w:anchor="_Toc57735201" w:history="1">
            <w:r w:rsidR="00927CFF" w:rsidRPr="00804739">
              <w:rPr>
                <w:rStyle w:val="Hyperlink"/>
                <w:noProof/>
              </w:rPr>
              <w:t>1.4.1.</w:t>
            </w:r>
            <w:r w:rsidR="00927CFF">
              <w:rPr>
                <w:rFonts w:asciiTheme="minorHAnsi" w:eastAsiaTheme="minorEastAsia" w:hAnsiTheme="minorHAnsi" w:cstheme="minorBidi"/>
                <w:noProof/>
                <w:sz w:val="22"/>
                <w:lang w:val="en-US"/>
              </w:rPr>
              <w:tab/>
            </w:r>
            <w:r w:rsidR="00927CFF" w:rsidRPr="00804739">
              <w:rPr>
                <w:rStyle w:val="Hyperlink"/>
                <w:noProof/>
              </w:rPr>
              <w:t>Generelle mål</w:t>
            </w:r>
            <w:r w:rsidR="00927CFF">
              <w:rPr>
                <w:noProof/>
                <w:webHidden/>
              </w:rPr>
              <w:tab/>
            </w:r>
            <w:r w:rsidR="00927CFF">
              <w:rPr>
                <w:noProof/>
                <w:webHidden/>
              </w:rPr>
              <w:fldChar w:fldCharType="begin"/>
            </w:r>
            <w:r w:rsidR="00927CFF">
              <w:rPr>
                <w:noProof/>
                <w:webHidden/>
              </w:rPr>
              <w:instrText xml:space="preserve"> PAGEREF _Toc57735201 \h </w:instrText>
            </w:r>
            <w:r w:rsidR="00927CFF">
              <w:rPr>
                <w:noProof/>
                <w:webHidden/>
              </w:rPr>
            </w:r>
            <w:r w:rsidR="00927CFF">
              <w:rPr>
                <w:noProof/>
                <w:webHidden/>
              </w:rPr>
              <w:fldChar w:fldCharType="separate"/>
            </w:r>
            <w:r w:rsidR="00BE6028">
              <w:rPr>
                <w:noProof/>
                <w:webHidden/>
              </w:rPr>
              <w:t>32</w:t>
            </w:r>
            <w:r w:rsidR="00927CFF">
              <w:rPr>
                <w:noProof/>
                <w:webHidden/>
              </w:rPr>
              <w:fldChar w:fldCharType="end"/>
            </w:r>
          </w:hyperlink>
        </w:p>
        <w:p w14:paraId="361F3BCF" w14:textId="50FAB751" w:rsidR="00927CFF" w:rsidRDefault="00B222E5">
          <w:pPr>
            <w:pStyle w:val="TOC3"/>
            <w:rPr>
              <w:rFonts w:asciiTheme="minorHAnsi" w:eastAsiaTheme="minorEastAsia" w:hAnsiTheme="minorHAnsi" w:cstheme="minorBidi"/>
              <w:noProof/>
              <w:sz w:val="22"/>
              <w:lang w:val="en-US"/>
            </w:rPr>
          </w:pPr>
          <w:hyperlink w:anchor="_Toc57735202" w:history="1">
            <w:r w:rsidR="00927CFF" w:rsidRPr="00804739">
              <w:rPr>
                <w:rStyle w:val="Hyperlink"/>
                <w:noProof/>
              </w:rPr>
              <w:t>1.4.2.</w:t>
            </w:r>
            <w:r w:rsidR="00927CFF">
              <w:rPr>
                <w:rFonts w:asciiTheme="minorHAnsi" w:eastAsiaTheme="minorEastAsia" w:hAnsiTheme="minorHAnsi" w:cstheme="minorBidi"/>
                <w:noProof/>
                <w:sz w:val="22"/>
                <w:lang w:val="en-US"/>
              </w:rPr>
              <w:tab/>
            </w:r>
            <w:r w:rsidR="00927CFF" w:rsidRPr="00804739">
              <w:rPr>
                <w:rStyle w:val="Hyperlink"/>
                <w:noProof/>
              </w:rPr>
              <w:t>Specifikke mål</w:t>
            </w:r>
            <w:r w:rsidR="00927CFF">
              <w:rPr>
                <w:noProof/>
                <w:webHidden/>
              </w:rPr>
              <w:tab/>
            </w:r>
            <w:r w:rsidR="00927CFF">
              <w:rPr>
                <w:noProof/>
                <w:webHidden/>
              </w:rPr>
              <w:fldChar w:fldCharType="begin"/>
            </w:r>
            <w:r w:rsidR="00927CFF">
              <w:rPr>
                <w:noProof/>
                <w:webHidden/>
              </w:rPr>
              <w:instrText xml:space="preserve"> PAGEREF _Toc57735202 \h </w:instrText>
            </w:r>
            <w:r w:rsidR="00927CFF">
              <w:rPr>
                <w:noProof/>
                <w:webHidden/>
              </w:rPr>
            </w:r>
            <w:r w:rsidR="00927CFF">
              <w:rPr>
                <w:noProof/>
                <w:webHidden/>
              </w:rPr>
              <w:fldChar w:fldCharType="separate"/>
            </w:r>
            <w:r w:rsidR="00BE6028">
              <w:rPr>
                <w:noProof/>
                <w:webHidden/>
              </w:rPr>
              <w:t>32</w:t>
            </w:r>
            <w:r w:rsidR="00927CFF">
              <w:rPr>
                <w:noProof/>
                <w:webHidden/>
              </w:rPr>
              <w:fldChar w:fldCharType="end"/>
            </w:r>
          </w:hyperlink>
        </w:p>
        <w:p w14:paraId="67464169" w14:textId="4D74420F" w:rsidR="00927CFF" w:rsidRDefault="00B222E5">
          <w:pPr>
            <w:pStyle w:val="TOC3"/>
            <w:rPr>
              <w:rFonts w:asciiTheme="minorHAnsi" w:eastAsiaTheme="minorEastAsia" w:hAnsiTheme="minorHAnsi" w:cstheme="minorBidi"/>
              <w:noProof/>
              <w:sz w:val="22"/>
              <w:lang w:val="en-US"/>
            </w:rPr>
          </w:pPr>
          <w:hyperlink w:anchor="_Toc57735203" w:history="1">
            <w:r w:rsidR="00927CFF" w:rsidRPr="00804739">
              <w:rPr>
                <w:rStyle w:val="Hyperlink"/>
                <w:noProof/>
              </w:rPr>
              <w:t>1.4.3.</w:t>
            </w:r>
            <w:r w:rsidR="00927CFF">
              <w:rPr>
                <w:rFonts w:asciiTheme="minorHAnsi" w:eastAsiaTheme="minorEastAsia" w:hAnsiTheme="minorHAnsi" w:cstheme="minorBidi"/>
                <w:noProof/>
                <w:sz w:val="22"/>
                <w:lang w:val="en-US"/>
              </w:rPr>
              <w:tab/>
            </w:r>
            <w:r w:rsidR="00927CFF" w:rsidRPr="00804739">
              <w:rPr>
                <w:rStyle w:val="Hyperlink"/>
                <w:noProof/>
              </w:rPr>
              <w:t>Forventede resultater og virkninger</w:t>
            </w:r>
            <w:r w:rsidR="00927CFF">
              <w:rPr>
                <w:noProof/>
                <w:webHidden/>
              </w:rPr>
              <w:tab/>
            </w:r>
            <w:r w:rsidR="00927CFF">
              <w:rPr>
                <w:noProof/>
                <w:webHidden/>
              </w:rPr>
              <w:fldChar w:fldCharType="begin"/>
            </w:r>
            <w:r w:rsidR="00927CFF">
              <w:rPr>
                <w:noProof/>
                <w:webHidden/>
              </w:rPr>
              <w:instrText xml:space="preserve"> PAGEREF _Toc57735203 \h </w:instrText>
            </w:r>
            <w:r w:rsidR="00927CFF">
              <w:rPr>
                <w:noProof/>
                <w:webHidden/>
              </w:rPr>
            </w:r>
            <w:r w:rsidR="00927CFF">
              <w:rPr>
                <w:noProof/>
                <w:webHidden/>
              </w:rPr>
              <w:fldChar w:fldCharType="separate"/>
            </w:r>
            <w:r w:rsidR="00BE6028">
              <w:rPr>
                <w:noProof/>
                <w:webHidden/>
              </w:rPr>
              <w:t>33</w:t>
            </w:r>
            <w:r w:rsidR="00927CFF">
              <w:rPr>
                <w:noProof/>
                <w:webHidden/>
              </w:rPr>
              <w:fldChar w:fldCharType="end"/>
            </w:r>
          </w:hyperlink>
        </w:p>
        <w:p w14:paraId="0D484D23" w14:textId="68B461EA" w:rsidR="00927CFF" w:rsidRDefault="00B222E5">
          <w:pPr>
            <w:pStyle w:val="TOC3"/>
            <w:rPr>
              <w:rFonts w:asciiTheme="minorHAnsi" w:eastAsiaTheme="minorEastAsia" w:hAnsiTheme="minorHAnsi" w:cstheme="minorBidi"/>
              <w:noProof/>
              <w:sz w:val="22"/>
              <w:lang w:val="en-US"/>
            </w:rPr>
          </w:pPr>
          <w:hyperlink w:anchor="_Toc57735204" w:history="1">
            <w:r w:rsidR="00927CFF" w:rsidRPr="00804739">
              <w:rPr>
                <w:rStyle w:val="Hyperlink"/>
                <w:noProof/>
              </w:rPr>
              <w:t>1.4.4.</w:t>
            </w:r>
            <w:r w:rsidR="00927CFF">
              <w:rPr>
                <w:rFonts w:asciiTheme="minorHAnsi" w:eastAsiaTheme="minorEastAsia" w:hAnsiTheme="minorHAnsi" w:cstheme="minorBidi"/>
                <w:noProof/>
                <w:sz w:val="22"/>
                <w:lang w:val="en-US"/>
              </w:rPr>
              <w:tab/>
            </w:r>
            <w:r w:rsidR="00927CFF" w:rsidRPr="00804739">
              <w:rPr>
                <w:rStyle w:val="Hyperlink"/>
                <w:noProof/>
              </w:rPr>
              <w:t>Resultatindikatorer</w:t>
            </w:r>
            <w:r w:rsidR="00927CFF">
              <w:rPr>
                <w:noProof/>
                <w:webHidden/>
              </w:rPr>
              <w:tab/>
            </w:r>
            <w:r w:rsidR="00927CFF">
              <w:rPr>
                <w:noProof/>
                <w:webHidden/>
              </w:rPr>
              <w:fldChar w:fldCharType="begin"/>
            </w:r>
            <w:r w:rsidR="00927CFF">
              <w:rPr>
                <w:noProof/>
                <w:webHidden/>
              </w:rPr>
              <w:instrText xml:space="preserve"> PAGEREF _Toc57735204 \h </w:instrText>
            </w:r>
            <w:r w:rsidR="00927CFF">
              <w:rPr>
                <w:noProof/>
                <w:webHidden/>
              </w:rPr>
            </w:r>
            <w:r w:rsidR="00927CFF">
              <w:rPr>
                <w:noProof/>
                <w:webHidden/>
              </w:rPr>
              <w:fldChar w:fldCharType="separate"/>
            </w:r>
            <w:r w:rsidR="00BE6028">
              <w:rPr>
                <w:noProof/>
                <w:webHidden/>
              </w:rPr>
              <w:t>33</w:t>
            </w:r>
            <w:r w:rsidR="00927CFF">
              <w:rPr>
                <w:noProof/>
                <w:webHidden/>
              </w:rPr>
              <w:fldChar w:fldCharType="end"/>
            </w:r>
          </w:hyperlink>
        </w:p>
        <w:p w14:paraId="29C3F216" w14:textId="518F5E83" w:rsidR="00927CFF" w:rsidRDefault="00B222E5">
          <w:pPr>
            <w:pStyle w:val="TOC2"/>
            <w:rPr>
              <w:rFonts w:asciiTheme="minorHAnsi" w:eastAsiaTheme="minorEastAsia" w:hAnsiTheme="minorHAnsi" w:cstheme="minorBidi"/>
              <w:noProof/>
              <w:sz w:val="22"/>
              <w:lang w:val="en-US"/>
            </w:rPr>
          </w:pPr>
          <w:hyperlink w:anchor="_Toc57735205" w:history="1">
            <w:r w:rsidR="00927CFF" w:rsidRPr="00804739">
              <w:rPr>
                <w:rStyle w:val="Hyperlink"/>
                <w:noProof/>
              </w:rPr>
              <w:t>1.5.</w:t>
            </w:r>
            <w:r w:rsidR="00927CFF">
              <w:rPr>
                <w:rFonts w:asciiTheme="minorHAnsi" w:eastAsiaTheme="minorEastAsia" w:hAnsiTheme="minorHAnsi" w:cstheme="minorBidi"/>
                <w:noProof/>
                <w:sz w:val="22"/>
                <w:lang w:val="en-US"/>
              </w:rPr>
              <w:tab/>
            </w:r>
            <w:r w:rsidR="00927CFF" w:rsidRPr="00804739">
              <w:rPr>
                <w:rStyle w:val="Hyperlink"/>
                <w:noProof/>
              </w:rPr>
              <w:t>Forslagets/initiativets begrundelse</w:t>
            </w:r>
            <w:r w:rsidR="00927CFF">
              <w:rPr>
                <w:noProof/>
                <w:webHidden/>
              </w:rPr>
              <w:tab/>
            </w:r>
            <w:r w:rsidR="00927CFF">
              <w:rPr>
                <w:noProof/>
                <w:webHidden/>
              </w:rPr>
              <w:fldChar w:fldCharType="begin"/>
            </w:r>
            <w:r w:rsidR="00927CFF">
              <w:rPr>
                <w:noProof/>
                <w:webHidden/>
              </w:rPr>
              <w:instrText xml:space="preserve"> PAGEREF _Toc57735205 \h </w:instrText>
            </w:r>
            <w:r w:rsidR="00927CFF">
              <w:rPr>
                <w:noProof/>
                <w:webHidden/>
              </w:rPr>
            </w:r>
            <w:r w:rsidR="00927CFF">
              <w:rPr>
                <w:noProof/>
                <w:webHidden/>
              </w:rPr>
              <w:fldChar w:fldCharType="separate"/>
            </w:r>
            <w:r w:rsidR="00BE6028">
              <w:rPr>
                <w:noProof/>
                <w:webHidden/>
              </w:rPr>
              <w:t>33</w:t>
            </w:r>
            <w:r w:rsidR="00927CFF">
              <w:rPr>
                <w:noProof/>
                <w:webHidden/>
              </w:rPr>
              <w:fldChar w:fldCharType="end"/>
            </w:r>
          </w:hyperlink>
        </w:p>
        <w:p w14:paraId="5D2AFC93" w14:textId="6A15D738" w:rsidR="00927CFF" w:rsidRDefault="00B222E5">
          <w:pPr>
            <w:pStyle w:val="TOC3"/>
            <w:rPr>
              <w:rFonts w:asciiTheme="minorHAnsi" w:eastAsiaTheme="minorEastAsia" w:hAnsiTheme="minorHAnsi" w:cstheme="minorBidi"/>
              <w:noProof/>
              <w:sz w:val="22"/>
              <w:lang w:val="en-US"/>
            </w:rPr>
          </w:pPr>
          <w:hyperlink w:anchor="_Toc57735206" w:history="1">
            <w:r w:rsidR="00927CFF" w:rsidRPr="00804739">
              <w:rPr>
                <w:rStyle w:val="Hyperlink"/>
                <w:noProof/>
              </w:rPr>
              <w:t>1.5.1.</w:t>
            </w:r>
            <w:r w:rsidR="00927CFF">
              <w:rPr>
                <w:rFonts w:asciiTheme="minorHAnsi" w:eastAsiaTheme="minorEastAsia" w:hAnsiTheme="minorHAnsi" w:cstheme="minorBidi"/>
                <w:noProof/>
                <w:sz w:val="22"/>
                <w:lang w:val="en-US"/>
              </w:rPr>
              <w:tab/>
            </w:r>
            <w:r w:rsidR="00927CFF" w:rsidRPr="00804739">
              <w:rPr>
                <w:rStyle w:val="Hyperlink"/>
                <w:noProof/>
              </w:rPr>
              <w:t>Behov, der skal opfyldes på kort eller lang sigt, herunder en detaljeret tidsplan for iværksættelsen af initiativet</w:t>
            </w:r>
            <w:r w:rsidR="00927CFF">
              <w:rPr>
                <w:noProof/>
                <w:webHidden/>
              </w:rPr>
              <w:tab/>
            </w:r>
            <w:r w:rsidR="00927CFF">
              <w:rPr>
                <w:noProof/>
                <w:webHidden/>
              </w:rPr>
              <w:fldChar w:fldCharType="begin"/>
            </w:r>
            <w:r w:rsidR="00927CFF">
              <w:rPr>
                <w:noProof/>
                <w:webHidden/>
              </w:rPr>
              <w:instrText xml:space="preserve"> PAGEREF _Toc57735206 \h </w:instrText>
            </w:r>
            <w:r w:rsidR="00927CFF">
              <w:rPr>
                <w:noProof/>
                <w:webHidden/>
              </w:rPr>
            </w:r>
            <w:r w:rsidR="00927CFF">
              <w:rPr>
                <w:noProof/>
                <w:webHidden/>
              </w:rPr>
              <w:fldChar w:fldCharType="separate"/>
            </w:r>
            <w:r w:rsidR="00BE6028">
              <w:rPr>
                <w:noProof/>
                <w:webHidden/>
              </w:rPr>
              <w:t>33</w:t>
            </w:r>
            <w:r w:rsidR="00927CFF">
              <w:rPr>
                <w:noProof/>
                <w:webHidden/>
              </w:rPr>
              <w:fldChar w:fldCharType="end"/>
            </w:r>
          </w:hyperlink>
        </w:p>
        <w:p w14:paraId="55287149" w14:textId="327D61A9" w:rsidR="00927CFF" w:rsidRDefault="00B222E5">
          <w:pPr>
            <w:pStyle w:val="TOC3"/>
            <w:rPr>
              <w:rFonts w:asciiTheme="minorHAnsi" w:eastAsiaTheme="minorEastAsia" w:hAnsiTheme="minorHAnsi" w:cstheme="minorBidi"/>
              <w:noProof/>
              <w:sz w:val="22"/>
              <w:lang w:val="en-US"/>
            </w:rPr>
          </w:pPr>
          <w:hyperlink w:anchor="_Toc57735207" w:history="1">
            <w:r w:rsidR="00927CFF" w:rsidRPr="00804739">
              <w:rPr>
                <w:rStyle w:val="Hyperlink"/>
                <w:noProof/>
              </w:rPr>
              <w:t>1.5.2.</w:t>
            </w:r>
            <w:r w:rsidR="00927CFF">
              <w:rPr>
                <w:rFonts w:asciiTheme="minorHAnsi" w:eastAsiaTheme="minorEastAsia" w:hAnsiTheme="minorHAnsi" w:cstheme="minorBidi"/>
                <w:noProof/>
                <w:sz w:val="22"/>
                <w:lang w:val="en-US"/>
              </w:rPr>
              <w:tab/>
            </w:r>
            <w:r w:rsidR="00927CFF" w:rsidRPr="00804739">
              <w:rPr>
                <w:rStyle w:val="Hyperlink"/>
                <w:noProof/>
              </w:rPr>
              <w:t>Merværdi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r w:rsidR="00927CFF">
              <w:rPr>
                <w:noProof/>
                <w:webHidden/>
              </w:rPr>
              <w:tab/>
            </w:r>
            <w:r w:rsidR="00927CFF">
              <w:rPr>
                <w:noProof/>
                <w:webHidden/>
              </w:rPr>
              <w:fldChar w:fldCharType="begin"/>
            </w:r>
            <w:r w:rsidR="00927CFF">
              <w:rPr>
                <w:noProof/>
                <w:webHidden/>
              </w:rPr>
              <w:instrText xml:space="preserve"> PAGEREF _Toc57735207 \h </w:instrText>
            </w:r>
            <w:r w:rsidR="00927CFF">
              <w:rPr>
                <w:noProof/>
                <w:webHidden/>
              </w:rPr>
            </w:r>
            <w:r w:rsidR="00927CFF">
              <w:rPr>
                <w:noProof/>
                <w:webHidden/>
              </w:rPr>
              <w:fldChar w:fldCharType="separate"/>
            </w:r>
            <w:r w:rsidR="00BE6028">
              <w:rPr>
                <w:noProof/>
                <w:webHidden/>
              </w:rPr>
              <w:t>33</w:t>
            </w:r>
            <w:r w:rsidR="00927CFF">
              <w:rPr>
                <w:noProof/>
                <w:webHidden/>
              </w:rPr>
              <w:fldChar w:fldCharType="end"/>
            </w:r>
          </w:hyperlink>
        </w:p>
        <w:p w14:paraId="0B8EEE37" w14:textId="023B8A32" w:rsidR="00927CFF" w:rsidRDefault="00B222E5">
          <w:pPr>
            <w:pStyle w:val="TOC3"/>
            <w:rPr>
              <w:rFonts w:asciiTheme="minorHAnsi" w:eastAsiaTheme="minorEastAsia" w:hAnsiTheme="minorHAnsi" w:cstheme="minorBidi"/>
              <w:noProof/>
              <w:sz w:val="22"/>
              <w:lang w:val="en-US"/>
            </w:rPr>
          </w:pPr>
          <w:hyperlink w:anchor="_Toc57735208" w:history="1">
            <w:r w:rsidR="00927CFF" w:rsidRPr="00804739">
              <w:rPr>
                <w:rStyle w:val="Hyperlink"/>
                <w:noProof/>
              </w:rPr>
              <w:t>1.5.3.</w:t>
            </w:r>
            <w:r w:rsidR="00927CFF">
              <w:rPr>
                <w:rFonts w:asciiTheme="minorHAnsi" w:eastAsiaTheme="minorEastAsia" w:hAnsiTheme="minorHAnsi" w:cstheme="minorBidi"/>
                <w:noProof/>
                <w:sz w:val="22"/>
                <w:lang w:val="en-US"/>
              </w:rPr>
              <w:tab/>
            </w:r>
            <w:r w:rsidR="00927CFF" w:rsidRPr="00804739">
              <w:rPr>
                <w:rStyle w:val="Hyperlink"/>
                <w:noProof/>
              </w:rPr>
              <w:t>Erfaringer fra lignende foranstaltninger</w:t>
            </w:r>
            <w:r w:rsidR="00927CFF">
              <w:rPr>
                <w:noProof/>
                <w:webHidden/>
              </w:rPr>
              <w:tab/>
            </w:r>
            <w:r w:rsidR="00927CFF">
              <w:rPr>
                <w:noProof/>
                <w:webHidden/>
              </w:rPr>
              <w:fldChar w:fldCharType="begin"/>
            </w:r>
            <w:r w:rsidR="00927CFF">
              <w:rPr>
                <w:noProof/>
                <w:webHidden/>
              </w:rPr>
              <w:instrText xml:space="preserve"> PAGEREF _Toc57735208 \h </w:instrText>
            </w:r>
            <w:r w:rsidR="00927CFF">
              <w:rPr>
                <w:noProof/>
                <w:webHidden/>
              </w:rPr>
            </w:r>
            <w:r w:rsidR="00927CFF">
              <w:rPr>
                <w:noProof/>
                <w:webHidden/>
              </w:rPr>
              <w:fldChar w:fldCharType="separate"/>
            </w:r>
            <w:r w:rsidR="00BE6028">
              <w:rPr>
                <w:noProof/>
                <w:webHidden/>
              </w:rPr>
              <w:t>34</w:t>
            </w:r>
            <w:r w:rsidR="00927CFF">
              <w:rPr>
                <w:noProof/>
                <w:webHidden/>
              </w:rPr>
              <w:fldChar w:fldCharType="end"/>
            </w:r>
          </w:hyperlink>
        </w:p>
        <w:p w14:paraId="05556EA7" w14:textId="3EB307B1" w:rsidR="00927CFF" w:rsidRDefault="00B222E5">
          <w:pPr>
            <w:pStyle w:val="TOC3"/>
            <w:rPr>
              <w:rFonts w:asciiTheme="minorHAnsi" w:eastAsiaTheme="minorEastAsia" w:hAnsiTheme="minorHAnsi" w:cstheme="minorBidi"/>
              <w:noProof/>
              <w:sz w:val="22"/>
              <w:lang w:val="en-US"/>
            </w:rPr>
          </w:pPr>
          <w:hyperlink w:anchor="_Toc57735209" w:history="1">
            <w:r w:rsidR="00927CFF" w:rsidRPr="00804739">
              <w:rPr>
                <w:rStyle w:val="Hyperlink"/>
                <w:noProof/>
              </w:rPr>
              <w:t>1.5.4.</w:t>
            </w:r>
            <w:r w:rsidR="00927CFF">
              <w:rPr>
                <w:rFonts w:asciiTheme="minorHAnsi" w:eastAsiaTheme="minorEastAsia" w:hAnsiTheme="minorHAnsi" w:cstheme="minorBidi"/>
                <w:noProof/>
                <w:sz w:val="22"/>
                <w:lang w:val="en-US"/>
              </w:rPr>
              <w:tab/>
            </w:r>
            <w:r w:rsidR="00927CFF" w:rsidRPr="00804739">
              <w:rPr>
                <w:rStyle w:val="Hyperlink"/>
                <w:noProof/>
              </w:rPr>
              <w:t>Sammenhæng med den flerårige finansielle ramme og eventuelle synergivirkninger med andre relevante instrumenter</w:t>
            </w:r>
            <w:r w:rsidR="00927CFF">
              <w:rPr>
                <w:noProof/>
                <w:webHidden/>
              </w:rPr>
              <w:tab/>
            </w:r>
            <w:r w:rsidR="00927CFF">
              <w:rPr>
                <w:noProof/>
                <w:webHidden/>
              </w:rPr>
              <w:fldChar w:fldCharType="begin"/>
            </w:r>
            <w:r w:rsidR="00927CFF">
              <w:rPr>
                <w:noProof/>
                <w:webHidden/>
              </w:rPr>
              <w:instrText xml:space="preserve"> PAGEREF _Toc57735209 \h </w:instrText>
            </w:r>
            <w:r w:rsidR="00927CFF">
              <w:rPr>
                <w:noProof/>
                <w:webHidden/>
              </w:rPr>
            </w:r>
            <w:r w:rsidR="00927CFF">
              <w:rPr>
                <w:noProof/>
                <w:webHidden/>
              </w:rPr>
              <w:fldChar w:fldCharType="separate"/>
            </w:r>
            <w:r w:rsidR="00BE6028">
              <w:rPr>
                <w:noProof/>
                <w:webHidden/>
              </w:rPr>
              <w:t>34</w:t>
            </w:r>
            <w:r w:rsidR="00927CFF">
              <w:rPr>
                <w:noProof/>
                <w:webHidden/>
              </w:rPr>
              <w:fldChar w:fldCharType="end"/>
            </w:r>
          </w:hyperlink>
        </w:p>
        <w:p w14:paraId="3982B8C3" w14:textId="1FC8CAA5" w:rsidR="00927CFF" w:rsidRDefault="00B222E5">
          <w:pPr>
            <w:pStyle w:val="TOC3"/>
            <w:rPr>
              <w:rFonts w:asciiTheme="minorHAnsi" w:eastAsiaTheme="minorEastAsia" w:hAnsiTheme="minorHAnsi" w:cstheme="minorBidi"/>
              <w:noProof/>
              <w:sz w:val="22"/>
              <w:lang w:val="en-US"/>
            </w:rPr>
          </w:pPr>
          <w:hyperlink w:anchor="_Toc57735210" w:history="1">
            <w:r w:rsidR="00927CFF" w:rsidRPr="00804739">
              <w:rPr>
                <w:rStyle w:val="Hyperlink"/>
                <w:noProof/>
              </w:rPr>
              <w:t>1.5.5.</w:t>
            </w:r>
            <w:r w:rsidR="00927CFF">
              <w:rPr>
                <w:rFonts w:asciiTheme="minorHAnsi" w:eastAsiaTheme="minorEastAsia" w:hAnsiTheme="minorHAnsi" w:cstheme="minorBidi"/>
                <w:noProof/>
                <w:sz w:val="22"/>
                <w:lang w:val="en-US"/>
              </w:rPr>
              <w:tab/>
            </w:r>
            <w:r w:rsidR="00927CFF" w:rsidRPr="00804739">
              <w:rPr>
                <w:rStyle w:val="Hyperlink"/>
                <w:noProof/>
              </w:rPr>
              <w:t>Vurdering af de forskellige tilgængelige finansieringsmuligheder, herunder muligheden for omfordeling</w:t>
            </w:r>
            <w:r w:rsidR="00927CFF">
              <w:rPr>
                <w:noProof/>
                <w:webHidden/>
              </w:rPr>
              <w:tab/>
            </w:r>
            <w:r w:rsidR="00927CFF">
              <w:rPr>
                <w:noProof/>
                <w:webHidden/>
              </w:rPr>
              <w:fldChar w:fldCharType="begin"/>
            </w:r>
            <w:r w:rsidR="00927CFF">
              <w:rPr>
                <w:noProof/>
                <w:webHidden/>
              </w:rPr>
              <w:instrText xml:space="preserve"> PAGEREF _Toc57735210 \h </w:instrText>
            </w:r>
            <w:r w:rsidR="00927CFF">
              <w:rPr>
                <w:noProof/>
                <w:webHidden/>
              </w:rPr>
            </w:r>
            <w:r w:rsidR="00927CFF">
              <w:rPr>
                <w:noProof/>
                <w:webHidden/>
              </w:rPr>
              <w:fldChar w:fldCharType="separate"/>
            </w:r>
            <w:r w:rsidR="00BE6028">
              <w:rPr>
                <w:noProof/>
                <w:webHidden/>
              </w:rPr>
              <w:t>34</w:t>
            </w:r>
            <w:r w:rsidR="00927CFF">
              <w:rPr>
                <w:noProof/>
                <w:webHidden/>
              </w:rPr>
              <w:fldChar w:fldCharType="end"/>
            </w:r>
          </w:hyperlink>
        </w:p>
        <w:p w14:paraId="66F6DE3D" w14:textId="312197AE" w:rsidR="00927CFF" w:rsidRDefault="00B222E5">
          <w:pPr>
            <w:pStyle w:val="TOC2"/>
            <w:rPr>
              <w:rFonts w:asciiTheme="minorHAnsi" w:eastAsiaTheme="minorEastAsia" w:hAnsiTheme="minorHAnsi" w:cstheme="minorBidi"/>
              <w:noProof/>
              <w:sz w:val="22"/>
              <w:lang w:val="en-US"/>
            </w:rPr>
          </w:pPr>
          <w:hyperlink w:anchor="_Toc57735211" w:history="1">
            <w:r w:rsidR="00927CFF" w:rsidRPr="00804739">
              <w:rPr>
                <w:rStyle w:val="Hyperlink"/>
                <w:noProof/>
              </w:rPr>
              <w:t>1.6.</w:t>
            </w:r>
            <w:r w:rsidR="00927CFF">
              <w:rPr>
                <w:rFonts w:asciiTheme="minorHAnsi" w:eastAsiaTheme="minorEastAsia" w:hAnsiTheme="minorHAnsi" w:cstheme="minorBidi"/>
                <w:noProof/>
                <w:sz w:val="22"/>
                <w:lang w:val="en-US"/>
              </w:rPr>
              <w:tab/>
            </w:r>
            <w:r w:rsidR="00927CFF" w:rsidRPr="00804739">
              <w:rPr>
                <w:rStyle w:val="Hyperlink"/>
                <w:noProof/>
              </w:rPr>
              <w:t>Forslagets/initiativets varighed og finansielle virkninger</w:t>
            </w:r>
            <w:r w:rsidR="00927CFF">
              <w:rPr>
                <w:noProof/>
                <w:webHidden/>
              </w:rPr>
              <w:tab/>
            </w:r>
            <w:r w:rsidR="00927CFF">
              <w:rPr>
                <w:noProof/>
                <w:webHidden/>
              </w:rPr>
              <w:fldChar w:fldCharType="begin"/>
            </w:r>
            <w:r w:rsidR="00927CFF">
              <w:rPr>
                <w:noProof/>
                <w:webHidden/>
              </w:rPr>
              <w:instrText xml:space="preserve"> PAGEREF _Toc57735211 \h </w:instrText>
            </w:r>
            <w:r w:rsidR="00927CFF">
              <w:rPr>
                <w:noProof/>
                <w:webHidden/>
              </w:rPr>
            </w:r>
            <w:r w:rsidR="00927CFF">
              <w:rPr>
                <w:noProof/>
                <w:webHidden/>
              </w:rPr>
              <w:fldChar w:fldCharType="separate"/>
            </w:r>
            <w:r w:rsidR="00BE6028">
              <w:rPr>
                <w:noProof/>
                <w:webHidden/>
              </w:rPr>
              <w:t>35</w:t>
            </w:r>
            <w:r w:rsidR="00927CFF">
              <w:rPr>
                <w:noProof/>
                <w:webHidden/>
              </w:rPr>
              <w:fldChar w:fldCharType="end"/>
            </w:r>
          </w:hyperlink>
        </w:p>
        <w:p w14:paraId="27B8BC5A" w14:textId="34B920FB" w:rsidR="00927CFF" w:rsidRDefault="00B222E5">
          <w:pPr>
            <w:pStyle w:val="TOC2"/>
            <w:rPr>
              <w:rFonts w:asciiTheme="minorHAnsi" w:eastAsiaTheme="minorEastAsia" w:hAnsiTheme="minorHAnsi" w:cstheme="minorBidi"/>
              <w:noProof/>
              <w:sz w:val="22"/>
              <w:lang w:val="en-US"/>
            </w:rPr>
          </w:pPr>
          <w:hyperlink w:anchor="_Toc57735212" w:history="1">
            <w:r w:rsidR="00927CFF" w:rsidRPr="00804739">
              <w:rPr>
                <w:rStyle w:val="Hyperlink"/>
                <w:noProof/>
              </w:rPr>
              <w:t>1.7.</w:t>
            </w:r>
            <w:r w:rsidR="00927CFF">
              <w:rPr>
                <w:rFonts w:asciiTheme="minorHAnsi" w:eastAsiaTheme="minorEastAsia" w:hAnsiTheme="minorHAnsi" w:cstheme="minorBidi"/>
                <w:noProof/>
                <w:sz w:val="22"/>
                <w:lang w:val="en-US"/>
              </w:rPr>
              <w:tab/>
            </w:r>
            <w:r w:rsidR="00927CFF" w:rsidRPr="00804739">
              <w:rPr>
                <w:rStyle w:val="Hyperlink"/>
                <w:noProof/>
              </w:rPr>
              <w:t>Påtænkt(e) forvaltningsmetode(r)</w:t>
            </w:r>
            <w:r w:rsidR="00927CFF">
              <w:rPr>
                <w:noProof/>
                <w:webHidden/>
              </w:rPr>
              <w:tab/>
            </w:r>
            <w:r w:rsidR="00927CFF">
              <w:rPr>
                <w:noProof/>
                <w:webHidden/>
              </w:rPr>
              <w:fldChar w:fldCharType="begin"/>
            </w:r>
            <w:r w:rsidR="00927CFF">
              <w:rPr>
                <w:noProof/>
                <w:webHidden/>
              </w:rPr>
              <w:instrText xml:space="preserve"> PAGEREF _Toc57735212 \h </w:instrText>
            </w:r>
            <w:r w:rsidR="00927CFF">
              <w:rPr>
                <w:noProof/>
                <w:webHidden/>
              </w:rPr>
            </w:r>
            <w:r w:rsidR="00927CFF">
              <w:rPr>
                <w:noProof/>
                <w:webHidden/>
              </w:rPr>
              <w:fldChar w:fldCharType="separate"/>
            </w:r>
            <w:r w:rsidR="00BE6028">
              <w:rPr>
                <w:noProof/>
                <w:webHidden/>
              </w:rPr>
              <w:t>35</w:t>
            </w:r>
            <w:r w:rsidR="00927CFF">
              <w:rPr>
                <w:noProof/>
                <w:webHidden/>
              </w:rPr>
              <w:fldChar w:fldCharType="end"/>
            </w:r>
          </w:hyperlink>
        </w:p>
        <w:p w14:paraId="751E9BA3" w14:textId="72EC6CED" w:rsidR="00927CFF" w:rsidRDefault="00B222E5">
          <w:pPr>
            <w:pStyle w:val="TOC1"/>
            <w:rPr>
              <w:rFonts w:asciiTheme="minorHAnsi" w:eastAsiaTheme="minorEastAsia" w:hAnsiTheme="minorHAnsi" w:cstheme="minorBidi"/>
              <w:noProof/>
              <w:sz w:val="22"/>
              <w:lang w:val="en-US"/>
            </w:rPr>
          </w:pPr>
          <w:hyperlink w:anchor="_Toc57735213" w:history="1">
            <w:r w:rsidR="00927CFF" w:rsidRPr="00804739">
              <w:rPr>
                <w:rStyle w:val="Hyperlink"/>
                <w:noProof/>
              </w:rPr>
              <w:t>2.</w:t>
            </w:r>
            <w:r w:rsidR="00927CFF">
              <w:rPr>
                <w:rFonts w:asciiTheme="minorHAnsi" w:eastAsiaTheme="minorEastAsia" w:hAnsiTheme="minorHAnsi" w:cstheme="minorBidi"/>
                <w:noProof/>
                <w:sz w:val="22"/>
                <w:lang w:val="en-US"/>
              </w:rPr>
              <w:tab/>
            </w:r>
            <w:r w:rsidR="00927CFF" w:rsidRPr="00804739">
              <w:rPr>
                <w:rStyle w:val="Hyperlink"/>
                <w:noProof/>
              </w:rPr>
              <w:t>FORVALTNINGSFORANSTALTNINGER</w:t>
            </w:r>
            <w:r w:rsidR="00927CFF">
              <w:rPr>
                <w:noProof/>
                <w:webHidden/>
              </w:rPr>
              <w:tab/>
            </w:r>
            <w:r w:rsidR="00927CFF">
              <w:rPr>
                <w:noProof/>
                <w:webHidden/>
              </w:rPr>
              <w:fldChar w:fldCharType="begin"/>
            </w:r>
            <w:r w:rsidR="00927CFF">
              <w:rPr>
                <w:noProof/>
                <w:webHidden/>
              </w:rPr>
              <w:instrText xml:space="preserve"> PAGEREF _Toc57735213 \h </w:instrText>
            </w:r>
            <w:r w:rsidR="00927CFF">
              <w:rPr>
                <w:noProof/>
                <w:webHidden/>
              </w:rPr>
            </w:r>
            <w:r w:rsidR="00927CFF">
              <w:rPr>
                <w:noProof/>
                <w:webHidden/>
              </w:rPr>
              <w:fldChar w:fldCharType="separate"/>
            </w:r>
            <w:r w:rsidR="00BE6028">
              <w:rPr>
                <w:noProof/>
                <w:webHidden/>
              </w:rPr>
              <w:t>36</w:t>
            </w:r>
            <w:r w:rsidR="00927CFF">
              <w:rPr>
                <w:noProof/>
                <w:webHidden/>
              </w:rPr>
              <w:fldChar w:fldCharType="end"/>
            </w:r>
          </w:hyperlink>
        </w:p>
        <w:p w14:paraId="3245BF57" w14:textId="5B411D07" w:rsidR="00927CFF" w:rsidRDefault="00B222E5">
          <w:pPr>
            <w:pStyle w:val="TOC2"/>
            <w:rPr>
              <w:rFonts w:asciiTheme="minorHAnsi" w:eastAsiaTheme="minorEastAsia" w:hAnsiTheme="minorHAnsi" w:cstheme="minorBidi"/>
              <w:noProof/>
              <w:sz w:val="22"/>
              <w:lang w:val="en-US"/>
            </w:rPr>
          </w:pPr>
          <w:hyperlink w:anchor="_Toc57735214" w:history="1">
            <w:r w:rsidR="00927CFF" w:rsidRPr="00804739">
              <w:rPr>
                <w:rStyle w:val="Hyperlink"/>
                <w:noProof/>
              </w:rPr>
              <w:t>2.1.</w:t>
            </w:r>
            <w:r w:rsidR="00927CFF">
              <w:rPr>
                <w:rFonts w:asciiTheme="minorHAnsi" w:eastAsiaTheme="minorEastAsia" w:hAnsiTheme="minorHAnsi" w:cstheme="minorBidi"/>
                <w:noProof/>
                <w:sz w:val="22"/>
                <w:lang w:val="en-US"/>
              </w:rPr>
              <w:tab/>
            </w:r>
            <w:r w:rsidR="00927CFF" w:rsidRPr="00804739">
              <w:rPr>
                <w:rStyle w:val="Hyperlink"/>
                <w:noProof/>
              </w:rPr>
              <w:t>Bestemmelser om kontrol og rapportering</w:t>
            </w:r>
            <w:r w:rsidR="00927CFF">
              <w:rPr>
                <w:noProof/>
                <w:webHidden/>
              </w:rPr>
              <w:tab/>
            </w:r>
            <w:r w:rsidR="00927CFF">
              <w:rPr>
                <w:noProof/>
                <w:webHidden/>
              </w:rPr>
              <w:fldChar w:fldCharType="begin"/>
            </w:r>
            <w:r w:rsidR="00927CFF">
              <w:rPr>
                <w:noProof/>
                <w:webHidden/>
              </w:rPr>
              <w:instrText xml:space="preserve"> PAGEREF _Toc57735214 \h </w:instrText>
            </w:r>
            <w:r w:rsidR="00927CFF">
              <w:rPr>
                <w:noProof/>
                <w:webHidden/>
              </w:rPr>
            </w:r>
            <w:r w:rsidR="00927CFF">
              <w:rPr>
                <w:noProof/>
                <w:webHidden/>
              </w:rPr>
              <w:fldChar w:fldCharType="separate"/>
            </w:r>
            <w:r w:rsidR="00BE6028">
              <w:rPr>
                <w:noProof/>
                <w:webHidden/>
              </w:rPr>
              <w:t>36</w:t>
            </w:r>
            <w:r w:rsidR="00927CFF">
              <w:rPr>
                <w:noProof/>
                <w:webHidden/>
              </w:rPr>
              <w:fldChar w:fldCharType="end"/>
            </w:r>
          </w:hyperlink>
        </w:p>
        <w:p w14:paraId="38CA41A6" w14:textId="2DB53B72" w:rsidR="00927CFF" w:rsidRDefault="00B222E5">
          <w:pPr>
            <w:pStyle w:val="TOC2"/>
            <w:rPr>
              <w:rFonts w:asciiTheme="minorHAnsi" w:eastAsiaTheme="minorEastAsia" w:hAnsiTheme="minorHAnsi" w:cstheme="minorBidi"/>
              <w:noProof/>
              <w:sz w:val="22"/>
              <w:lang w:val="en-US"/>
            </w:rPr>
          </w:pPr>
          <w:hyperlink w:anchor="_Toc57735215" w:history="1">
            <w:r w:rsidR="00927CFF" w:rsidRPr="00804739">
              <w:rPr>
                <w:rStyle w:val="Hyperlink"/>
                <w:noProof/>
              </w:rPr>
              <w:t>2.2.</w:t>
            </w:r>
            <w:r w:rsidR="00927CFF">
              <w:rPr>
                <w:rFonts w:asciiTheme="minorHAnsi" w:eastAsiaTheme="minorEastAsia" w:hAnsiTheme="minorHAnsi" w:cstheme="minorBidi"/>
                <w:noProof/>
                <w:sz w:val="22"/>
                <w:lang w:val="en-US"/>
              </w:rPr>
              <w:tab/>
            </w:r>
            <w:r w:rsidR="00927CFF" w:rsidRPr="00804739">
              <w:rPr>
                <w:rStyle w:val="Hyperlink"/>
                <w:noProof/>
              </w:rPr>
              <w:t>Forvaltnings- og kontrolsystem(er)</w:t>
            </w:r>
            <w:r w:rsidR="00927CFF">
              <w:rPr>
                <w:noProof/>
                <w:webHidden/>
              </w:rPr>
              <w:tab/>
            </w:r>
            <w:r w:rsidR="00927CFF">
              <w:rPr>
                <w:noProof/>
                <w:webHidden/>
              </w:rPr>
              <w:fldChar w:fldCharType="begin"/>
            </w:r>
            <w:r w:rsidR="00927CFF">
              <w:rPr>
                <w:noProof/>
                <w:webHidden/>
              </w:rPr>
              <w:instrText xml:space="preserve"> PAGEREF _Toc57735215 \h </w:instrText>
            </w:r>
            <w:r w:rsidR="00927CFF">
              <w:rPr>
                <w:noProof/>
                <w:webHidden/>
              </w:rPr>
            </w:r>
            <w:r w:rsidR="00927CFF">
              <w:rPr>
                <w:noProof/>
                <w:webHidden/>
              </w:rPr>
              <w:fldChar w:fldCharType="separate"/>
            </w:r>
            <w:r w:rsidR="00BE6028">
              <w:rPr>
                <w:noProof/>
                <w:webHidden/>
              </w:rPr>
              <w:t>36</w:t>
            </w:r>
            <w:r w:rsidR="00927CFF">
              <w:rPr>
                <w:noProof/>
                <w:webHidden/>
              </w:rPr>
              <w:fldChar w:fldCharType="end"/>
            </w:r>
          </w:hyperlink>
        </w:p>
        <w:p w14:paraId="42455D5D" w14:textId="4560806D" w:rsidR="00927CFF" w:rsidRDefault="00B222E5">
          <w:pPr>
            <w:pStyle w:val="TOC3"/>
            <w:rPr>
              <w:rFonts w:asciiTheme="minorHAnsi" w:eastAsiaTheme="minorEastAsia" w:hAnsiTheme="minorHAnsi" w:cstheme="minorBidi"/>
              <w:noProof/>
              <w:sz w:val="22"/>
              <w:lang w:val="en-US"/>
            </w:rPr>
          </w:pPr>
          <w:hyperlink w:anchor="_Toc57735216" w:history="1">
            <w:r w:rsidR="00927CFF" w:rsidRPr="00804739">
              <w:rPr>
                <w:rStyle w:val="Hyperlink"/>
                <w:noProof/>
              </w:rPr>
              <w:t>2.2.1.</w:t>
            </w:r>
            <w:r w:rsidR="00927CFF">
              <w:rPr>
                <w:rFonts w:asciiTheme="minorHAnsi" w:eastAsiaTheme="minorEastAsia" w:hAnsiTheme="minorHAnsi" w:cstheme="minorBidi"/>
                <w:noProof/>
                <w:sz w:val="22"/>
                <w:lang w:val="en-US"/>
              </w:rPr>
              <w:tab/>
            </w:r>
            <w:r w:rsidR="00927CFF" w:rsidRPr="00804739">
              <w:rPr>
                <w:rStyle w:val="Hyperlink"/>
                <w:noProof/>
              </w:rPr>
              <w:t>Begrundelse for den/de påtænkte forvaltningsmetode(r), finansieringsmekanisme(r), betalingsvilkår og kontrolstrategi</w:t>
            </w:r>
            <w:r w:rsidR="00927CFF">
              <w:rPr>
                <w:noProof/>
                <w:webHidden/>
              </w:rPr>
              <w:tab/>
            </w:r>
            <w:r w:rsidR="00927CFF">
              <w:rPr>
                <w:noProof/>
                <w:webHidden/>
              </w:rPr>
              <w:fldChar w:fldCharType="begin"/>
            </w:r>
            <w:r w:rsidR="00927CFF">
              <w:rPr>
                <w:noProof/>
                <w:webHidden/>
              </w:rPr>
              <w:instrText xml:space="preserve"> PAGEREF _Toc57735216 \h </w:instrText>
            </w:r>
            <w:r w:rsidR="00927CFF">
              <w:rPr>
                <w:noProof/>
                <w:webHidden/>
              </w:rPr>
            </w:r>
            <w:r w:rsidR="00927CFF">
              <w:rPr>
                <w:noProof/>
                <w:webHidden/>
              </w:rPr>
              <w:fldChar w:fldCharType="separate"/>
            </w:r>
            <w:r w:rsidR="00BE6028">
              <w:rPr>
                <w:noProof/>
                <w:webHidden/>
              </w:rPr>
              <w:t>36</w:t>
            </w:r>
            <w:r w:rsidR="00927CFF">
              <w:rPr>
                <w:noProof/>
                <w:webHidden/>
              </w:rPr>
              <w:fldChar w:fldCharType="end"/>
            </w:r>
          </w:hyperlink>
        </w:p>
        <w:p w14:paraId="7A1B8D60" w14:textId="08F7AA59" w:rsidR="00927CFF" w:rsidRDefault="00B222E5">
          <w:pPr>
            <w:pStyle w:val="TOC3"/>
            <w:rPr>
              <w:rFonts w:asciiTheme="minorHAnsi" w:eastAsiaTheme="minorEastAsia" w:hAnsiTheme="minorHAnsi" w:cstheme="minorBidi"/>
              <w:noProof/>
              <w:sz w:val="22"/>
              <w:lang w:val="en-US"/>
            </w:rPr>
          </w:pPr>
          <w:hyperlink w:anchor="_Toc57735217" w:history="1">
            <w:r w:rsidR="00927CFF" w:rsidRPr="00804739">
              <w:rPr>
                <w:rStyle w:val="Hyperlink"/>
                <w:noProof/>
              </w:rPr>
              <w:t>2.2.2.</w:t>
            </w:r>
            <w:r w:rsidR="00927CFF">
              <w:rPr>
                <w:rFonts w:asciiTheme="minorHAnsi" w:eastAsiaTheme="minorEastAsia" w:hAnsiTheme="minorHAnsi" w:cstheme="minorBidi"/>
                <w:noProof/>
                <w:sz w:val="22"/>
                <w:lang w:val="en-US"/>
              </w:rPr>
              <w:tab/>
            </w:r>
            <w:r w:rsidR="00927CFF" w:rsidRPr="00804739">
              <w:rPr>
                <w:rStyle w:val="Hyperlink"/>
                <w:noProof/>
              </w:rPr>
              <w:t>Oplysninger om de udpegede risici og det/de interne kontrolsystem(er), der etableres for at afbøde dem</w:t>
            </w:r>
            <w:r w:rsidR="00927CFF">
              <w:rPr>
                <w:noProof/>
                <w:webHidden/>
              </w:rPr>
              <w:tab/>
            </w:r>
            <w:r w:rsidR="00927CFF">
              <w:rPr>
                <w:noProof/>
                <w:webHidden/>
              </w:rPr>
              <w:fldChar w:fldCharType="begin"/>
            </w:r>
            <w:r w:rsidR="00927CFF">
              <w:rPr>
                <w:noProof/>
                <w:webHidden/>
              </w:rPr>
              <w:instrText xml:space="preserve"> PAGEREF _Toc57735217 \h </w:instrText>
            </w:r>
            <w:r w:rsidR="00927CFF">
              <w:rPr>
                <w:noProof/>
                <w:webHidden/>
              </w:rPr>
            </w:r>
            <w:r w:rsidR="00927CFF">
              <w:rPr>
                <w:noProof/>
                <w:webHidden/>
              </w:rPr>
              <w:fldChar w:fldCharType="separate"/>
            </w:r>
            <w:r w:rsidR="00BE6028">
              <w:rPr>
                <w:noProof/>
                <w:webHidden/>
              </w:rPr>
              <w:t>36</w:t>
            </w:r>
            <w:r w:rsidR="00927CFF">
              <w:rPr>
                <w:noProof/>
                <w:webHidden/>
              </w:rPr>
              <w:fldChar w:fldCharType="end"/>
            </w:r>
          </w:hyperlink>
        </w:p>
        <w:p w14:paraId="0E0B9EDA" w14:textId="6875ED29" w:rsidR="00927CFF" w:rsidRDefault="00B222E5">
          <w:pPr>
            <w:pStyle w:val="TOC2"/>
            <w:rPr>
              <w:rFonts w:asciiTheme="minorHAnsi" w:eastAsiaTheme="minorEastAsia" w:hAnsiTheme="minorHAnsi" w:cstheme="minorBidi"/>
              <w:noProof/>
              <w:sz w:val="22"/>
              <w:lang w:val="en-US"/>
            </w:rPr>
          </w:pPr>
          <w:hyperlink w:anchor="_Toc57735218" w:history="1">
            <w:r w:rsidR="00927CFF" w:rsidRPr="00804739">
              <w:rPr>
                <w:rStyle w:val="Hyperlink"/>
                <w:noProof/>
              </w:rPr>
              <w:t>2.3.</w:t>
            </w:r>
            <w:r w:rsidR="00927CFF">
              <w:rPr>
                <w:rFonts w:asciiTheme="minorHAnsi" w:eastAsiaTheme="minorEastAsia" w:hAnsiTheme="minorHAnsi" w:cstheme="minorBidi"/>
                <w:noProof/>
                <w:sz w:val="22"/>
                <w:lang w:val="en-US"/>
              </w:rPr>
              <w:tab/>
            </w:r>
            <w:r w:rsidR="00927CFF" w:rsidRPr="00804739">
              <w:rPr>
                <w:rStyle w:val="Hyperlink"/>
                <w:noProof/>
              </w:rPr>
              <w:t>Foranstaltninger til forebyggelse af svig og uregelmæssigheder</w:t>
            </w:r>
            <w:r w:rsidR="00927CFF">
              <w:rPr>
                <w:noProof/>
                <w:webHidden/>
              </w:rPr>
              <w:tab/>
            </w:r>
            <w:r w:rsidR="00927CFF">
              <w:rPr>
                <w:noProof/>
                <w:webHidden/>
              </w:rPr>
              <w:fldChar w:fldCharType="begin"/>
            </w:r>
            <w:r w:rsidR="00927CFF">
              <w:rPr>
                <w:noProof/>
                <w:webHidden/>
              </w:rPr>
              <w:instrText xml:space="preserve"> PAGEREF _Toc57735218 \h </w:instrText>
            </w:r>
            <w:r w:rsidR="00927CFF">
              <w:rPr>
                <w:noProof/>
                <w:webHidden/>
              </w:rPr>
            </w:r>
            <w:r w:rsidR="00927CFF">
              <w:rPr>
                <w:noProof/>
                <w:webHidden/>
              </w:rPr>
              <w:fldChar w:fldCharType="separate"/>
            </w:r>
            <w:r w:rsidR="00BE6028">
              <w:rPr>
                <w:noProof/>
                <w:webHidden/>
              </w:rPr>
              <w:t>37</w:t>
            </w:r>
            <w:r w:rsidR="00927CFF">
              <w:rPr>
                <w:noProof/>
                <w:webHidden/>
              </w:rPr>
              <w:fldChar w:fldCharType="end"/>
            </w:r>
          </w:hyperlink>
        </w:p>
        <w:p w14:paraId="6ED9D826" w14:textId="11120ED5" w:rsidR="00927CFF" w:rsidRDefault="00B222E5">
          <w:pPr>
            <w:pStyle w:val="TOC1"/>
            <w:rPr>
              <w:rFonts w:asciiTheme="minorHAnsi" w:eastAsiaTheme="minorEastAsia" w:hAnsiTheme="minorHAnsi" w:cstheme="minorBidi"/>
              <w:noProof/>
              <w:sz w:val="22"/>
              <w:lang w:val="en-US"/>
            </w:rPr>
          </w:pPr>
          <w:hyperlink w:anchor="_Toc57735219" w:history="1">
            <w:r w:rsidR="00927CFF" w:rsidRPr="00804739">
              <w:rPr>
                <w:rStyle w:val="Hyperlink"/>
                <w:noProof/>
              </w:rPr>
              <w:t>3.</w:t>
            </w:r>
            <w:r w:rsidR="00927CFF">
              <w:rPr>
                <w:rFonts w:asciiTheme="minorHAnsi" w:eastAsiaTheme="minorEastAsia" w:hAnsiTheme="minorHAnsi" w:cstheme="minorBidi"/>
                <w:noProof/>
                <w:sz w:val="22"/>
                <w:lang w:val="en-US"/>
              </w:rPr>
              <w:tab/>
            </w:r>
            <w:r w:rsidR="00927CFF" w:rsidRPr="00804739">
              <w:rPr>
                <w:rStyle w:val="Hyperlink"/>
                <w:noProof/>
              </w:rPr>
              <w:t>FORSLAGETS/INITIATIVETS ANSLÅEDE FINANSIELLE VIRKNINGER</w:t>
            </w:r>
            <w:r w:rsidR="00927CFF">
              <w:rPr>
                <w:noProof/>
                <w:webHidden/>
              </w:rPr>
              <w:tab/>
            </w:r>
            <w:r w:rsidR="00927CFF">
              <w:rPr>
                <w:noProof/>
                <w:webHidden/>
              </w:rPr>
              <w:fldChar w:fldCharType="begin"/>
            </w:r>
            <w:r w:rsidR="00927CFF">
              <w:rPr>
                <w:noProof/>
                <w:webHidden/>
              </w:rPr>
              <w:instrText xml:space="preserve"> PAGEREF _Toc57735219 \h </w:instrText>
            </w:r>
            <w:r w:rsidR="00927CFF">
              <w:rPr>
                <w:noProof/>
                <w:webHidden/>
              </w:rPr>
            </w:r>
            <w:r w:rsidR="00927CFF">
              <w:rPr>
                <w:noProof/>
                <w:webHidden/>
              </w:rPr>
              <w:fldChar w:fldCharType="separate"/>
            </w:r>
            <w:r w:rsidR="00BE6028">
              <w:rPr>
                <w:noProof/>
                <w:webHidden/>
              </w:rPr>
              <w:t>37</w:t>
            </w:r>
            <w:r w:rsidR="00927CFF">
              <w:rPr>
                <w:noProof/>
                <w:webHidden/>
              </w:rPr>
              <w:fldChar w:fldCharType="end"/>
            </w:r>
          </w:hyperlink>
        </w:p>
        <w:p w14:paraId="36462A88" w14:textId="77367BDB" w:rsidR="00927CFF" w:rsidRDefault="00B222E5">
          <w:pPr>
            <w:pStyle w:val="TOC2"/>
            <w:rPr>
              <w:rFonts w:asciiTheme="minorHAnsi" w:eastAsiaTheme="minorEastAsia" w:hAnsiTheme="minorHAnsi" w:cstheme="minorBidi"/>
              <w:noProof/>
              <w:sz w:val="22"/>
              <w:lang w:val="en-US"/>
            </w:rPr>
          </w:pPr>
          <w:hyperlink w:anchor="_Toc57735220" w:history="1">
            <w:r w:rsidR="00927CFF" w:rsidRPr="00804739">
              <w:rPr>
                <w:rStyle w:val="Hyperlink"/>
                <w:noProof/>
              </w:rPr>
              <w:t>3.1.</w:t>
            </w:r>
            <w:r w:rsidR="00927CFF">
              <w:rPr>
                <w:rFonts w:asciiTheme="minorHAnsi" w:eastAsiaTheme="minorEastAsia" w:hAnsiTheme="minorHAnsi" w:cstheme="minorBidi"/>
                <w:noProof/>
                <w:sz w:val="22"/>
                <w:lang w:val="en-US"/>
              </w:rPr>
              <w:tab/>
            </w:r>
            <w:r w:rsidR="00927CFF" w:rsidRPr="00804739">
              <w:rPr>
                <w:rStyle w:val="Hyperlink"/>
                <w:noProof/>
              </w:rPr>
              <w:t>Berørt(e) udgiftspost(er) på budgettet og udgiftsområde(r) i den flerårige finansielle ramme</w:t>
            </w:r>
            <w:r w:rsidR="00927CFF">
              <w:rPr>
                <w:noProof/>
                <w:webHidden/>
              </w:rPr>
              <w:tab/>
            </w:r>
            <w:r w:rsidR="00927CFF">
              <w:rPr>
                <w:noProof/>
                <w:webHidden/>
              </w:rPr>
              <w:fldChar w:fldCharType="begin"/>
            </w:r>
            <w:r w:rsidR="00927CFF">
              <w:rPr>
                <w:noProof/>
                <w:webHidden/>
              </w:rPr>
              <w:instrText xml:space="preserve"> PAGEREF _Toc57735220 \h </w:instrText>
            </w:r>
            <w:r w:rsidR="00927CFF">
              <w:rPr>
                <w:noProof/>
                <w:webHidden/>
              </w:rPr>
            </w:r>
            <w:r w:rsidR="00927CFF">
              <w:rPr>
                <w:noProof/>
                <w:webHidden/>
              </w:rPr>
              <w:fldChar w:fldCharType="separate"/>
            </w:r>
            <w:r w:rsidR="00BE6028">
              <w:rPr>
                <w:noProof/>
                <w:webHidden/>
              </w:rPr>
              <w:t>37</w:t>
            </w:r>
            <w:r w:rsidR="00927CFF">
              <w:rPr>
                <w:noProof/>
                <w:webHidden/>
              </w:rPr>
              <w:fldChar w:fldCharType="end"/>
            </w:r>
          </w:hyperlink>
        </w:p>
        <w:p w14:paraId="3CDA7FA5" w14:textId="278C6743" w:rsidR="00927CFF" w:rsidRDefault="00B222E5">
          <w:pPr>
            <w:pStyle w:val="TOC2"/>
            <w:rPr>
              <w:rFonts w:asciiTheme="minorHAnsi" w:eastAsiaTheme="minorEastAsia" w:hAnsiTheme="minorHAnsi" w:cstheme="minorBidi"/>
              <w:noProof/>
              <w:sz w:val="22"/>
              <w:lang w:val="en-US"/>
            </w:rPr>
          </w:pPr>
          <w:hyperlink w:anchor="_Toc57735221" w:history="1">
            <w:r w:rsidR="00927CFF" w:rsidRPr="00804739">
              <w:rPr>
                <w:rStyle w:val="Hyperlink"/>
                <w:noProof/>
              </w:rPr>
              <w:t>3.2.</w:t>
            </w:r>
            <w:r w:rsidR="00927CFF">
              <w:rPr>
                <w:rFonts w:asciiTheme="minorHAnsi" w:eastAsiaTheme="minorEastAsia" w:hAnsiTheme="minorHAnsi" w:cstheme="minorBidi"/>
                <w:noProof/>
                <w:sz w:val="22"/>
                <w:lang w:val="en-US"/>
              </w:rPr>
              <w:tab/>
            </w:r>
            <w:r w:rsidR="00927CFF" w:rsidRPr="00804739">
              <w:rPr>
                <w:rStyle w:val="Hyperlink"/>
                <w:noProof/>
              </w:rPr>
              <w:t>Anslåede virkninger for udgifterne</w:t>
            </w:r>
            <w:r w:rsidR="00927CFF">
              <w:rPr>
                <w:noProof/>
                <w:webHidden/>
              </w:rPr>
              <w:tab/>
            </w:r>
            <w:r w:rsidR="00927CFF">
              <w:rPr>
                <w:noProof/>
                <w:webHidden/>
              </w:rPr>
              <w:fldChar w:fldCharType="begin"/>
            </w:r>
            <w:r w:rsidR="00927CFF">
              <w:rPr>
                <w:noProof/>
                <w:webHidden/>
              </w:rPr>
              <w:instrText xml:space="preserve"> PAGEREF _Toc57735221 \h </w:instrText>
            </w:r>
            <w:r w:rsidR="00927CFF">
              <w:rPr>
                <w:noProof/>
                <w:webHidden/>
              </w:rPr>
            </w:r>
            <w:r w:rsidR="00927CFF">
              <w:rPr>
                <w:noProof/>
                <w:webHidden/>
              </w:rPr>
              <w:fldChar w:fldCharType="separate"/>
            </w:r>
            <w:r w:rsidR="00BE6028">
              <w:rPr>
                <w:noProof/>
                <w:webHidden/>
              </w:rPr>
              <w:t>39</w:t>
            </w:r>
            <w:r w:rsidR="00927CFF">
              <w:rPr>
                <w:noProof/>
                <w:webHidden/>
              </w:rPr>
              <w:fldChar w:fldCharType="end"/>
            </w:r>
          </w:hyperlink>
        </w:p>
        <w:p w14:paraId="255FA76C" w14:textId="036D40B3" w:rsidR="00927CFF" w:rsidRDefault="00B222E5">
          <w:pPr>
            <w:pStyle w:val="TOC3"/>
            <w:rPr>
              <w:rFonts w:asciiTheme="minorHAnsi" w:eastAsiaTheme="minorEastAsia" w:hAnsiTheme="minorHAnsi" w:cstheme="minorBidi"/>
              <w:noProof/>
              <w:sz w:val="22"/>
              <w:lang w:val="en-US"/>
            </w:rPr>
          </w:pPr>
          <w:hyperlink w:anchor="_Toc57735222" w:history="1">
            <w:r w:rsidR="00927CFF" w:rsidRPr="00804739">
              <w:rPr>
                <w:rStyle w:val="Hyperlink"/>
                <w:noProof/>
              </w:rPr>
              <w:t>3.2.1.</w:t>
            </w:r>
            <w:r w:rsidR="00927CFF">
              <w:rPr>
                <w:rFonts w:asciiTheme="minorHAnsi" w:eastAsiaTheme="minorEastAsia" w:hAnsiTheme="minorHAnsi" w:cstheme="minorBidi"/>
                <w:noProof/>
                <w:sz w:val="22"/>
                <w:lang w:val="en-US"/>
              </w:rPr>
              <w:tab/>
            </w:r>
            <w:r w:rsidR="00927CFF" w:rsidRPr="00804739">
              <w:rPr>
                <w:rStyle w:val="Hyperlink"/>
                <w:noProof/>
              </w:rPr>
              <w:t>Sammenfatning af de anslåede virkninger for udgifterne</w:t>
            </w:r>
            <w:r w:rsidR="00927CFF">
              <w:rPr>
                <w:noProof/>
                <w:webHidden/>
              </w:rPr>
              <w:tab/>
            </w:r>
            <w:r w:rsidR="00927CFF">
              <w:rPr>
                <w:noProof/>
                <w:webHidden/>
              </w:rPr>
              <w:fldChar w:fldCharType="begin"/>
            </w:r>
            <w:r w:rsidR="00927CFF">
              <w:rPr>
                <w:noProof/>
                <w:webHidden/>
              </w:rPr>
              <w:instrText xml:space="preserve"> PAGEREF _Toc57735222 \h </w:instrText>
            </w:r>
            <w:r w:rsidR="00927CFF">
              <w:rPr>
                <w:noProof/>
                <w:webHidden/>
              </w:rPr>
            </w:r>
            <w:r w:rsidR="00927CFF">
              <w:rPr>
                <w:noProof/>
                <w:webHidden/>
              </w:rPr>
              <w:fldChar w:fldCharType="separate"/>
            </w:r>
            <w:r w:rsidR="00BE6028">
              <w:rPr>
                <w:noProof/>
                <w:webHidden/>
              </w:rPr>
              <w:t>39</w:t>
            </w:r>
            <w:r w:rsidR="00927CFF">
              <w:rPr>
                <w:noProof/>
                <w:webHidden/>
              </w:rPr>
              <w:fldChar w:fldCharType="end"/>
            </w:r>
          </w:hyperlink>
        </w:p>
        <w:p w14:paraId="61A6A2D7" w14:textId="5C6085B6" w:rsidR="00927CFF" w:rsidRDefault="00B222E5">
          <w:pPr>
            <w:pStyle w:val="TOC3"/>
            <w:rPr>
              <w:rFonts w:asciiTheme="minorHAnsi" w:eastAsiaTheme="minorEastAsia" w:hAnsiTheme="minorHAnsi" w:cstheme="minorBidi"/>
              <w:noProof/>
              <w:sz w:val="22"/>
              <w:lang w:val="en-US"/>
            </w:rPr>
          </w:pPr>
          <w:hyperlink w:anchor="_Toc57735223" w:history="1">
            <w:r w:rsidR="00927CFF" w:rsidRPr="00804739">
              <w:rPr>
                <w:rStyle w:val="Hyperlink"/>
                <w:noProof/>
              </w:rPr>
              <w:t>3.2.2.</w:t>
            </w:r>
            <w:r w:rsidR="00927CFF">
              <w:rPr>
                <w:rFonts w:asciiTheme="minorHAnsi" w:eastAsiaTheme="minorEastAsia" w:hAnsiTheme="minorHAnsi" w:cstheme="minorBidi"/>
                <w:noProof/>
                <w:sz w:val="22"/>
                <w:lang w:val="en-US"/>
              </w:rPr>
              <w:tab/>
            </w:r>
            <w:r w:rsidR="00927CFF" w:rsidRPr="00804739">
              <w:rPr>
                <w:rStyle w:val="Hyperlink"/>
                <w:noProof/>
              </w:rPr>
              <w:t>Anslåede virkninger for ECDC's bevillinger</w:t>
            </w:r>
            <w:r w:rsidR="00927CFF">
              <w:rPr>
                <w:noProof/>
                <w:webHidden/>
              </w:rPr>
              <w:tab/>
            </w:r>
            <w:r w:rsidR="00927CFF">
              <w:rPr>
                <w:noProof/>
                <w:webHidden/>
              </w:rPr>
              <w:fldChar w:fldCharType="begin"/>
            </w:r>
            <w:r w:rsidR="00927CFF">
              <w:rPr>
                <w:noProof/>
                <w:webHidden/>
              </w:rPr>
              <w:instrText xml:space="preserve"> PAGEREF _Toc57735223 \h </w:instrText>
            </w:r>
            <w:r w:rsidR="00927CFF">
              <w:rPr>
                <w:noProof/>
                <w:webHidden/>
              </w:rPr>
            </w:r>
            <w:r w:rsidR="00927CFF">
              <w:rPr>
                <w:noProof/>
                <w:webHidden/>
              </w:rPr>
              <w:fldChar w:fldCharType="separate"/>
            </w:r>
            <w:r w:rsidR="00BE6028">
              <w:rPr>
                <w:noProof/>
                <w:webHidden/>
              </w:rPr>
              <w:t>41</w:t>
            </w:r>
            <w:r w:rsidR="00927CFF">
              <w:rPr>
                <w:noProof/>
                <w:webHidden/>
              </w:rPr>
              <w:fldChar w:fldCharType="end"/>
            </w:r>
          </w:hyperlink>
        </w:p>
        <w:p w14:paraId="50C1EC52" w14:textId="57359C12" w:rsidR="00927CFF" w:rsidRDefault="00B222E5">
          <w:pPr>
            <w:pStyle w:val="TOC3"/>
            <w:rPr>
              <w:rFonts w:asciiTheme="minorHAnsi" w:eastAsiaTheme="minorEastAsia" w:hAnsiTheme="minorHAnsi" w:cstheme="minorBidi"/>
              <w:noProof/>
              <w:sz w:val="22"/>
              <w:lang w:val="en-US"/>
            </w:rPr>
          </w:pPr>
          <w:hyperlink w:anchor="_Toc57735224" w:history="1">
            <w:r w:rsidR="00927CFF" w:rsidRPr="00804739">
              <w:rPr>
                <w:rStyle w:val="Hyperlink"/>
                <w:noProof/>
              </w:rPr>
              <w:t>3.2.3.</w:t>
            </w:r>
            <w:r w:rsidR="00927CFF">
              <w:rPr>
                <w:rFonts w:asciiTheme="minorHAnsi" w:eastAsiaTheme="minorEastAsia" w:hAnsiTheme="minorHAnsi" w:cstheme="minorBidi"/>
                <w:noProof/>
                <w:sz w:val="22"/>
                <w:lang w:val="en-US"/>
              </w:rPr>
              <w:tab/>
            </w:r>
            <w:r w:rsidR="00927CFF" w:rsidRPr="00804739">
              <w:rPr>
                <w:rStyle w:val="Hyperlink"/>
                <w:noProof/>
              </w:rPr>
              <w:t>Anslåede virkninger for [organet]s menneskelige ressourcer</w:t>
            </w:r>
            <w:r w:rsidR="00927CFF">
              <w:rPr>
                <w:noProof/>
                <w:webHidden/>
              </w:rPr>
              <w:tab/>
            </w:r>
            <w:r w:rsidR="00927CFF">
              <w:rPr>
                <w:noProof/>
                <w:webHidden/>
              </w:rPr>
              <w:fldChar w:fldCharType="begin"/>
            </w:r>
            <w:r w:rsidR="00927CFF">
              <w:rPr>
                <w:noProof/>
                <w:webHidden/>
              </w:rPr>
              <w:instrText xml:space="preserve"> PAGEREF _Toc57735224 \h </w:instrText>
            </w:r>
            <w:r w:rsidR="00927CFF">
              <w:rPr>
                <w:noProof/>
                <w:webHidden/>
              </w:rPr>
            </w:r>
            <w:r w:rsidR="00927CFF">
              <w:rPr>
                <w:noProof/>
                <w:webHidden/>
              </w:rPr>
              <w:fldChar w:fldCharType="separate"/>
            </w:r>
            <w:r w:rsidR="00BE6028">
              <w:rPr>
                <w:noProof/>
                <w:webHidden/>
              </w:rPr>
              <w:t>45</w:t>
            </w:r>
            <w:r w:rsidR="00927CFF">
              <w:rPr>
                <w:noProof/>
                <w:webHidden/>
              </w:rPr>
              <w:fldChar w:fldCharType="end"/>
            </w:r>
          </w:hyperlink>
        </w:p>
        <w:p w14:paraId="3A93D3F1" w14:textId="3115E6FC" w:rsidR="00927CFF" w:rsidRDefault="00B222E5">
          <w:pPr>
            <w:pStyle w:val="TOC3"/>
            <w:rPr>
              <w:rFonts w:asciiTheme="minorHAnsi" w:eastAsiaTheme="minorEastAsia" w:hAnsiTheme="minorHAnsi" w:cstheme="minorBidi"/>
              <w:noProof/>
              <w:sz w:val="22"/>
              <w:lang w:val="en-US"/>
            </w:rPr>
          </w:pPr>
          <w:hyperlink w:anchor="_Toc57735225" w:history="1">
            <w:r w:rsidR="00927CFF" w:rsidRPr="00804739">
              <w:rPr>
                <w:rStyle w:val="Hyperlink"/>
                <w:noProof/>
              </w:rPr>
              <w:t>3.2.4.</w:t>
            </w:r>
            <w:r w:rsidR="00927CFF">
              <w:rPr>
                <w:rFonts w:asciiTheme="minorHAnsi" w:eastAsiaTheme="minorEastAsia" w:hAnsiTheme="minorHAnsi" w:cstheme="minorBidi"/>
                <w:noProof/>
                <w:sz w:val="22"/>
                <w:lang w:val="en-US"/>
              </w:rPr>
              <w:tab/>
            </w:r>
            <w:r w:rsidR="00927CFF" w:rsidRPr="00804739">
              <w:rPr>
                <w:rStyle w:val="Hyperlink"/>
                <w:noProof/>
              </w:rPr>
              <w:t>Forenelighed med indeværende flerårige finansielle ramme</w:t>
            </w:r>
            <w:r w:rsidR="00927CFF">
              <w:rPr>
                <w:noProof/>
                <w:webHidden/>
              </w:rPr>
              <w:tab/>
            </w:r>
            <w:r w:rsidR="00927CFF">
              <w:rPr>
                <w:noProof/>
                <w:webHidden/>
              </w:rPr>
              <w:fldChar w:fldCharType="begin"/>
            </w:r>
            <w:r w:rsidR="00927CFF">
              <w:rPr>
                <w:noProof/>
                <w:webHidden/>
              </w:rPr>
              <w:instrText xml:space="preserve"> PAGEREF _Toc57735225 \h </w:instrText>
            </w:r>
            <w:r w:rsidR="00927CFF">
              <w:rPr>
                <w:noProof/>
                <w:webHidden/>
              </w:rPr>
            </w:r>
            <w:r w:rsidR="00927CFF">
              <w:rPr>
                <w:noProof/>
                <w:webHidden/>
              </w:rPr>
              <w:fldChar w:fldCharType="separate"/>
            </w:r>
            <w:r w:rsidR="00BE6028">
              <w:rPr>
                <w:noProof/>
                <w:webHidden/>
              </w:rPr>
              <w:t>48</w:t>
            </w:r>
            <w:r w:rsidR="00927CFF">
              <w:rPr>
                <w:noProof/>
                <w:webHidden/>
              </w:rPr>
              <w:fldChar w:fldCharType="end"/>
            </w:r>
          </w:hyperlink>
        </w:p>
        <w:p w14:paraId="54368956" w14:textId="51349C3C" w:rsidR="00927CFF" w:rsidRDefault="00B222E5">
          <w:pPr>
            <w:pStyle w:val="TOC3"/>
            <w:rPr>
              <w:rFonts w:asciiTheme="minorHAnsi" w:eastAsiaTheme="minorEastAsia" w:hAnsiTheme="minorHAnsi" w:cstheme="minorBidi"/>
              <w:noProof/>
              <w:sz w:val="22"/>
              <w:lang w:val="en-US"/>
            </w:rPr>
          </w:pPr>
          <w:hyperlink w:anchor="_Toc57735226" w:history="1">
            <w:r w:rsidR="00927CFF" w:rsidRPr="00804739">
              <w:rPr>
                <w:rStyle w:val="Hyperlink"/>
                <w:noProof/>
              </w:rPr>
              <w:t>3.2.5.</w:t>
            </w:r>
            <w:r w:rsidR="00927CFF">
              <w:rPr>
                <w:rFonts w:asciiTheme="minorHAnsi" w:eastAsiaTheme="minorEastAsia" w:hAnsiTheme="minorHAnsi" w:cstheme="minorBidi"/>
                <w:noProof/>
                <w:sz w:val="22"/>
                <w:lang w:val="en-US"/>
              </w:rPr>
              <w:tab/>
            </w:r>
            <w:r w:rsidR="00927CFF" w:rsidRPr="00804739">
              <w:rPr>
                <w:rStyle w:val="Hyperlink"/>
                <w:noProof/>
              </w:rPr>
              <w:t>Tredjemands bidrag til finansieringen</w:t>
            </w:r>
            <w:r w:rsidR="00927CFF">
              <w:rPr>
                <w:noProof/>
                <w:webHidden/>
              </w:rPr>
              <w:tab/>
            </w:r>
            <w:r w:rsidR="00927CFF">
              <w:rPr>
                <w:noProof/>
                <w:webHidden/>
              </w:rPr>
              <w:fldChar w:fldCharType="begin"/>
            </w:r>
            <w:r w:rsidR="00927CFF">
              <w:rPr>
                <w:noProof/>
                <w:webHidden/>
              </w:rPr>
              <w:instrText xml:space="preserve"> PAGEREF _Toc57735226 \h </w:instrText>
            </w:r>
            <w:r w:rsidR="00927CFF">
              <w:rPr>
                <w:noProof/>
                <w:webHidden/>
              </w:rPr>
            </w:r>
            <w:r w:rsidR="00927CFF">
              <w:rPr>
                <w:noProof/>
                <w:webHidden/>
              </w:rPr>
              <w:fldChar w:fldCharType="separate"/>
            </w:r>
            <w:r w:rsidR="00BE6028">
              <w:rPr>
                <w:noProof/>
                <w:webHidden/>
              </w:rPr>
              <w:t>48</w:t>
            </w:r>
            <w:r w:rsidR="00927CFF">
              <w:rPr>
                <w:noProof/>
                <w:webHidden/>
              </w:rPr>
              <w:fldChar w:fldCharType="end"/>
            </w:r>
          </w:hyperlink>
        </w:p>
        <w:p w14:paraId="4B3F7857" w14:textId="42D90003" w:rsidR="00927CFF" w:rsidRDefault="00B222E5">
          <w:pPr>
            <w:pStyle w:val="TOC2"/>
            <w:rPr>
              <w:rFonts w:asciiTheme="minorHAnsi" w:eastAsiaTheme="minorEastAsia" w:hAnsiTheme="minorHAnsi" w:cstheme="minorBidi"/>
              <w:noProof/>
              <w:sz w:val="22"/>
              <w:lang w:val="en-US"/>
            </w:rPr>
          </w:pPr>
          <w:hyperlink w:anchor="_Toc57735227" w:history="1">
            <w:r w:rsidR="00927CFF" w:rsidRPr="00804739">
              <w:rPr>
                <w:rStyle w:val="Hyperlink"/>
                <w:noProof/>
              </w:rPr>
              <w:t>3.3.</w:t>
            </w:r>
            <w:r w:rsidR="00927CFF">
              <w:rPr>
                <w:rFonts w:asciiTheme="minorHAnsi" w:eastAsiaTheme="minorEastAsia" w:hAnsiTheme="minorHAnsi" w:cstheme="minorBidi"/>
                <w:noProof/>
                <w:sz w:val="22"/>
                <w:lang w:val="en-US"/>
              </w:rPr>
              <w:tab/>
            </w:r>
            <w:r w:rsidR="00927CFF" w:rsidRPr="00804739">
              <w:rPr>
                <w:rStyle w:val="Hyperlink"/>
                <w:noProof/>
              </w:rPr>
              <w:t>Anslåede virkninger for indtægterne</w:t>
            </w:r>
            <w:r w:rsidR="00927CFF">
              <w:rPr>
                <w:noProof/>
                <w:webHidden/>
              </w:rPr>
              <w:tab/>
            </w:r>
            <w:r w:rsidR="00927CFF">
              <w:rPr>
                <w:noProof/>
                <w:webHidden/>
              </w:rPr>
              <w:fldChar w:fldCharType="begin"/>
            </w:r>
            <w:r w:rsidR="00927CFF">
              <w:rPr>
                <w:noProof/>
                <w:webHidden/>
              </w:rPr>
              <w:instrText xml:space="preserve"> PAGEREF _Toc57735227 \h </w:instrText>
            </w:r>
            <w:r w:rsidR="00927CFF">
              <w:rPr>
                <w:noProof/>
                <w:webHidden/>
              </w:rPr>
            </w:r>
            <w:r w:rsidR="00927CFF">
              <w:rPr>
                <w:noProof/>
                <w:webHidden/>
              </w:rPr>
              <w:fldChar w:fldCharType="separate"/>
            </w:r>
            <w:r w:rsidR="00BE6028">
              <w:rPr>
                <w:noProof/>
                <w:webHidden/>
              </w:rPr>
              <w:t>49</w:t>
            </w:r>
            <w:r w:rsidR="00927CFF">
              <w:rPr>
                <w:noProof/>
                <w:webHidden/>
              </w:rPr>
              <w:fldChar w:fldCharType="end"/>
            </w:r>
          </w:hyperlink>
        </w:p>
        <w:p w14:paraId="044BDD62" w14:textId="2A62EB97" w:rsidR="00B50935" w:rsidRPr="00927CFF" w:rsidRDefault="00B50935" w:rsidP="00B50935">
          <w:r w:rsidRPr="00927CFF">
            <w:rPr>
              <w:b/>
              <w:bCs/>
            </w:rPr>
            <w:fldChar w:fldCharType="end"/>
          </w:r>
        </w:p>
      </w:sdtContent>
    </w:sdt>
    <w:p w14:paraId="6D78990B" w14:textId="77777777" w:rsidR="00B50935" w:rsidRPr="00927CFF" w:rsidRDefault="00B50935" w:rsidP="00B50935">
      <w:pPr>
        <w:rPr>
          <w:noProof/>
        </w:rPr>
        <w:sectPr w:rsidR="00B50935" w:rsidRPr="00927CFF" w:rsidSect="00BE6028">
          <w:pgSz w:w="12240" w:h="15840"/>
          <w:pgMar w:top="794" w:right="907" w:bottom="851" w:left="1361" w:header="510" w:footer="454" w:gutter="0"/>
          <w:cols w:space="720"/>
          <w:docGrid w:linePitch="326"/>
        </w:sectPr>
      </w:pPr>
    </w:p>
    <w:p w14:paraId="46942DC9" w14:textId="77777777" w:rsidR="00B50935" w:rsidRPr="00927CFF" w:rsidRDefault="00B50935" w:rsidP="00B50935">
      <w:pPr>
        <w:jc w:val="center"/>
        <w:rPr>
          <w:b/>
          <w:noProof/>
          <w:u w:val="single"/>
        </w:rPr>
      </w:pPr>
      <w:r w:rsidRPr="00927CFF">
        <w:rPr>
          <w:b/>
          <w:u w:val="single"/>
        </w:rPr>
        <w:t>FINANSIERINGSOVERSIGT (AGENTURER)</w:t>
      </w:r>
    </w:p>
    <w:p w14:paraId="3DAD5C59" w14:textId="77777777" w:rsidR="00B50935" w:rsidRPr="00927CFF" w:rsidRDefault="00B50935" w:rsidP="00FA14F0">
      <w:pPr>
        <w:pStyle w:val="Heading1"/>
        <w:numPr>
          <w:ilvl w:val="0"/>
          <w:numId w:val="16"/>
        </w:numPr>
        <w:rPr>
          <w:bCs w:val="0"/>
          <w:noProof/>
          <w:szCs w:val="24"/>
        </w:rPr>
      </w:pPr>
      <w:bookmarkStart w:id="18" w:name="_Toc514938659"/>
      <w:bookmarkStart w:id="19" w:name="_Toc57735196"/>
      <w:r w:rsidRPr="00927CFF">
        <w:t>FORSLAGETS/INITIATIVETS RAMME</w:t>
      </w:r>
      <w:bookmarkEnd w:id="18"/>
      <w:bookmarkEnd w:id="19"/>
      <w:r w:rsidRPr="00927CFF">
        <w:t xml:space="preserve"> </w:t>
      </w:r>
    </w:p>
    <w:p w14:paraId="3EBCA47D" w14:textId="77777777" w:rsidR="00B50935" w:rsidRPr="00927CFF" w:rsidRDefault="00B50935" w:rsidP="00B50935">
      <w:pPr>
        <w:pStyle w:val="Heading2"/>
        <w:rPr>
          <w:bCs w:val="0"/>
          <w:noProof/>
          <w:szCs w:val="24"/>
        </w:rPr>
      </w:pPr>
      <w:bookmarkStart w:id="20" w:name="_Toc514938660"/>
      <w:bookmarkStart w:id="21" w:name="_Toc57735197"/>
      <w:r w:rsidRPr="00927CFF">
        <w:t>Forslagets/initiativets betegnelse</w:t>
      </w:r>
      <w:bookmarkEnd w:id="20"/>
      <w:bookmarkEnd w:id="21"/>
    </w:p>
    <w:p w14:paraId="65FF274D"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Forslag til Europa-Parlamentets og Rådets forordning (EU) XXX om ændring af (EF) nr. 851/2004 om oprettelse af et europæisk center for forebyggelse af og kontrol med sygdomme</w:t>
      </w:r>
    </w:p>
    <w:p w14:paraId="0893914A" w14:textId="77777777" w:rsidR="00B50935" w:rsidRPr="00927CFF" w:rsidRDefault="00B50935" w:rsidP="00B50935">
      <w:pPr>
        <w:pStyle w:val="Heading2"/>
        <w:rPr>
          <w:bCs w:val="0"/>
          <w:noProof/>
          <w:szCs w:val="24"/>
        </w:rPr>
      </w:pPr>
      <w:bookmarkStart w:id="22" w:name="_Toc514938661"/>
      <w:bookmarkStart w:id="23" w:name="_Toc57735198"/>
      <w:r w:rsidRPr="00927CFF">
        <w:t>Berørt(e) politikområde(r)</w:t>
      </w:r>
      <w:bookmarkEnd w:id="22"/>
      <w:bookmarkEnd w:id="23"/>
    </w:p>
    <w:p w14:paraId="20396EF8"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Politikområde: Genopretning og modstandsdygtighed</w:t>
      </w:r>
    </w:p>
    <w:p w14:paraId="5662E494"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 xml:space="preserve">Aktivitet: Sundhed </w:t>
      </w:r>
    </w:p>
    <w:p w14:paraId="2AE7DC5B" w14:textId="77777777" w:rsidR="00B50935" w:rsidRPr="00927CFF" w:rsidRDefault="00B50935" w:rsidP="00B50935">
      <w:pPr>
        <w:pStyle w:val="Heading2"/>
        <w:rPr>
          <w:bCs w:val="0"/>
          <w:noProof/>
          <w:szCs w:val="24"/>
        </w:rPr>
      </w:pPr>
      <w:bookmarkStart w:id="24" w:name="_Toc514938662"/>
      <w:bookmarkStart w:id="25" w:name="_Toc57735199"/>
      <w:r w:rsidRPr="00927CFF">
        <w:t>Forslaget vedrører</w:t>
      </w:r>
      <w:bookmarkEnd w:id="24"/>
      <w:bookmarkEnd w:id="25"/>
      <w:r w:rsidRPr="00927CFF">
        <w:t xml:space="preserve"> </w:t>
      </w:r>
    </w:p>
    <w:p w14:paraId="1BFD59B1" w14:textId="77777777" w:rsidR="00B50935" w:rsidRPr="00927CFF" w:rsidRDefault="00B50935" w:rsidP="00B50935">
      <w:pPr>
        <w:pStyle w:val="Text1"/>
        <w:rPr>
          <w:b/>
          <w:noProof/>
        </w:rPr>
      </w:pPr>
      <w:r w:rsidRPr="00927CFF">
        <w:t xml:space="preserve">X </w:t>
      </w:r>
      <w:r w:rsidRPr="00927CFF">
        <w:rPr>
          <w:b/>
          <w:bCs/>
        </w:rPr>
        <w:t>en ny foranstaltning</w:t>
      </w:r>
      <w:r w:rsidRPr="00927CFF">
        <w:rPr>
          <w:b/>
        </w:rPr>
        <w:t xml:space="preserve"> </w:t>
      </w:r>
    </w:p>
    <w:p w14:paraId="61668B7A" w14:textId="77777777" w:rsidR="00B50935" w:rsidRPr="00927CFF" w:rsidRDefault="00B50935" w:rsidP="00B50935">
      <w:pPr>
        <w:pStyle w:val="Text1"/>
        <w:rPr>
          <w:noProof/>
          <w:sz w:val="22"/>
        </w:rPr>
      </w:pPr>
      <w:r w:rsidRPr="00927CFF">
        <w:sym w:font="Wingdings" w:char="F0A8"/>
      </w:r>
      <w:r w:rsidRPr="00927CFF">
        <w:rPr>
          <w:i/>
        </w:rPr>
        <w:t xml:space="preserve"> </w:t>
      </w:r>
      <w:r w:rsidRPr="00927CFF">
        <w:rPr>
          <w:b/>
        </w:rPr>
        <w:t>en ny foranstaltning som opfølgning på et pilotprojekt/en forberedende foranstaltning</w:t>
      </w:r>
      <w:r w:rsidRPr="00927CFF">
        <w:rPr>
          <w:rStyle w:val="FootnoteReference"/>
          <w:b/>
          <w:noProof/>
        </w:rPr>
        <w:footnoteReference w:id="14"/>
      </w:r>
      <w:r w:rsidRPr="00927CFF">
        <w:rPr>
          <w:sz w:val="22"/>
        </w:rPr>
        <w:t xml:space="preserve"> </w:t>
      </w:r>
    </w:p>
    <w:p w14:paraId="3601BFA8" w14:textId="77777777" w:rsidR="00B50935" w:rsidRPr="00927CFF" w:rsidRDefault="00B50935" w:rsidP="00B50935">
      <w:pPr>
        <w:pStyle w:val="Text1"/>
        <w:rPr>
          <w:noProof/>
        </w:rPr>
      </w:pPr>
      <w:r w:rsidRPr="00927CFF">
        <w:t xml:space="preserve">X </w:t>
      </w:r>
      <w:r w:rsidRPr="00927CFF">
        <w:rPr>
          <w:b/>
          <w:bCs/>
        </w:rPr>
        <w:t>en forlængelse af en eksisterende foranstaltning</w:t>
      </w:r>
      <w:r w:rsidRPr="00927CFF">
        <w:t xml:space="preserve"> </w:t>
      </w:r>
    </w:p>
    <w:p w14:paraId="7C225EED" w14:textId="77777777" w:rsidR="00B50935" w:rsidRPr="00927CFF" w:rsidRDefault="00B50935" w:rsidP="00B50935">
      <w:pPr>
        <w:pStyle w:val="Text1"/>
        <w:rPr>
          <w:noProof/>
        </w:rPr>
      </w:pPr>
      <w:r w:rsidRPr="00927CFF">
        <w:sym w:font="Wingdings" w:char="F0A8"/>
      </w:r>
      <w:r w:rsidRPr="00927CFF">
        <w:rPr>
          <w:i/>
        </w:rPr>
        <w:t xml:space="preserve"> </w:t>
      </w:r>
      <w:r w:rsidRPr="00927CFF">
        <w:rPr>
          <w:b/>
          <w:bCs/>
        </w:rPr>
        <w:t>en sammenlægning af en eller flere foranstaltninger til en anden/en ny foranstaltning</w:t>
      </w:r>
      <w:r w:rsidRPr="00927CFF">
        <w:t xml:space="preserve"> </w:t>
      </w:r>
    </w:p>
    <w:p w14:paraId="293BEBEE" w14:textId="616C94DE" w:rsidR="00B50935" w:rsidRPr="00927CFF" w:rsidRDefault="00B50935" w:rsidP="00B50935">
      <w:pPr>
        <w:pStyle w:val="Heading2"/>
        <w:rPr>
          <w:bCs w:val="0"/>
          <w:noProof/>
          <w:szCs w:val="24"/>
        </w:rPr>
      </w:pPr>
      <w:bookmarkStart w:id="26" w:name="_Toc514938663"/>
      <w:bookmarkStart w:id="27" w:name="_Toc57735200"/>
      <w:r w:rsidRPr="00927CFF">
        <w:t>Mål</w:t>
      </w:r>
      <w:bookmarkEnd w:id="26"/>
      <w:bookmarkEnd w:id="27"/>
    </w:p>
    <w:p w14:paraId="7AD6C759" w14:textId="77777777" w:rsidR="00B50935" w:rsidRPr="00927CFF" w:rsidRDefault="00B50935" w:rsidP="00B50935">
      <w:pPr>
        <w:pStyle w:val="Heading3"/>
        <w:rPr>
          <w:bCs w:val="0"/>
          <w:noProof/>
          <w:szCs w:val="24"/>
        </w:rPr>
      </w:pPr>
      <w:bookmarkStart w:id="28" w:name="_Toc514938664"/>
      <w:bookmarkStart w:id="29" w:name="_Toc57735201"/>
      <w:r w:rsidRPr="00927CFF">
        <w:t>Generelle mål</w:t>
      </w:r>
      <w:bookmarkEnd w:id="28"/>
      <w:bookmarkEnd w:id="29"/>
      <w:r w:rsidRPr="00927CFF">
        <w:t xml:space="preserve"> </w:t>
      </w:r>
    </w:p>
    <w:p w14:paraId="1CAAA2E3"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bookmarkStart w:id="30" w:name="_Toc514938665"/>
      <w:r w:rsidRPr="00927CFF">
        <w:t>Det generelle mål med ECDC's arbejde er at vurdere og kommunikere om aktuelle og nye trusler mod menneskers sundhed fra overførbare sygdomme og give anbefalinger om indsatsen på EU-plan og nationalt plan.</w:t>
      </w:r>
    </w:p>
    <w:p w14:paraId="59379430" w14:textId="77777777" w:rsidR="00B50935" w:rsidRPr="00927CFF" w:rsidRDefault="00B50935" w:rsidP="00B50935">
      <w:pPr>
        <w:pStyle w:val="Heading3"/>
        <w:rPr>
          <w:bCs w:val="0"/>
          <w:noProof/>
          <w:szCs w:val="24"/>
        </w:rPr>
      </w:pPr>
      <w:bookmarkStart w:id="31" w:name="_Toc57735202"/>
      <w:r w:rsidRPr="00927CFF">
        <w:t>Specifikke mål</w:t>
      </w:r>
      <w:bookmarkEnd w:id="30"/>
      <w:bookmarkEnd w:id="31"/>
      <w:r w:rsidRPr="00927CFF">
        <w:t xml:space="preserve"> </w:t>
      </w:r>
    </w:p>
    <w:p w14:paraId="443CD858"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u w:val="single"/>
        </w:rPr>
      </w:pPr>
      <w:r w:rsidRPr="00927CFF">
        <w:rPr>
          <w:u w:val="single"/>
        </w:rPr>
        <w:t xml:space="preserve">Specifikke mål </w:t>
      </w:r>
    </w:p>
    <w:p w14:paraId="6D4478D0" w14:textId="364561C3" w:rsidR="00B50935" w:rsidRPr="00927CFF" w:rsidRDefault="00C823D2" w:rsidP="00B50935">
      <w:pPr>
        <w:pStyle w:val="Text1"/>
        <w:pBdr>
          <w:top w:val="single" w:sz="4" w:space="1" w:color="auto"/>
          <w:left w:val="single" w:sz="4" w:space="4" w:color="auto"/>
          <w:bottom w:val="single" w:sz="4" w:space="1" w:color="auto"/>
          <w:right w:val="single" w:sz="4" w:space="4" w:color="auto"/>
        </w:pBdr>
      </w:pPr>
      <w:r w:rsidRPr="00927CFF">
        <w:t>ECDC skal levere oplysninger rettidigt til Kommissionen, medlemsstaterne, EU-organer og -agenturer og internationale organisationer, der beskæftiger sig med folkesundhedsspørgsmål, herunder risikovurderinger.</w:t>
      </w:r>
    </w:p>
    <w:p w14:paraId="76DBC363" w14:textId="0B140374" w:rsidR="00B50935" w:rsidRPr="00927CFF" w:rsidRDefault="00C823D2" w:rsidP="00B50935">
      <w:pPr>
        <w:pStyle w:val="Text1"/>
        <w:pBdr>
          <w:top w:val="single" w:sz="4" w:space="1" w:color="auto"/>
          <w:left w:val="single" w:sz="4" w:space="4" w:color="auto"/>
          <w:bottom w:val="single" w:sz="4" w:space="1" w:color="auto"/>
          <w:right w:val="single" w:sz="4" w:space="4" w:color="auto"/>
        </w:pBdr>
      </w:pPr>
      <w:r w:rsidRPr="00927CFF">
        <w:t>ECDC skal yde videnskabelig og teknisk ekspertbistand til medlemsstaterne og Kommissionen vedrørende beredskabs- og indsatsplanlægning, herunder uddannelse.</w:t>
      </w:r>
    </w:p>
    <w:p w14:paraId="67E3A8AB" w14:textId="4662EDE1" w:rsidR="00B50935" w:rsidRPr="00927CFF" w:rsidRDefault="00C823D2" w:rsidP="00B50935">
      <w:pPr>
        <w:pStyle w:val="Text1"/>
        <w:pBdr>
          <w:top w:val="single" w:sz="4" w:space="1" w:color="auto"/>
          <w:left w:val="single" w:sz="4" w:space="4" w:color="auto"/>
          <w:bottom w:val="single" w:sz="4" w:space="1" w:color="auto"/>
          <w:right w:val="single" w:sz="4" w:space="4" w:color="auto"/>
        </w:pBdr>
      </w:pPr>
      <w:r w:rsidRPr="00927CFF">
        <w:t>ECDC skal koordinere dataindsamling, -validering, -analyse og -formidling på EU-plan og således etablere et robust europæisk overvågningssystem for overførbare sygdomme inden for rammerne af det europæiske sundhedsdataområde.</w:t>
      </w:r>
    </w:p>
    <w:p w14:paraId="23CAA421" w14:textId="46930E4A" w:rsidR="00B50935" w:rsidRPr="00927CFF" w:rsidRDefault="00C823D2" w:rsidP="00B50935">
      <w:pPr>
        <w:pStyle w:val="Text1"/>
        <w:pBdr>
          <w:top w:val="single" w:sz="4" w:space="1" w:color="auto"/>
          <w:left w:val="single" w:sz="4" w:space="4" w:color="auto"/>
          <w:bottom w:val="single" w:sz="4" w:space="1" w:color="auto"/>
          <w:right w:val="single" w:sz="4" w:space="4" w:color="auto"/>
        </w:pBdr>
      </w:pPr>
      <w:r w:rsidRPr="00927CFF">
        <w:t>ECDC skal drive specifikke net inden for overførbare sygdomme og stoffer af menneskelig oprindelse.</w:t>
      </w:r>
    </w:p>
    <w:p w14:paraId="30075111" w14:textId="165E4BD6" w:rsidR="00B50935" w:rsidRPr="00927CFF" w:rsidRDefault="00C823D2" w:rsidP="00B50935">
      <w:pPr>
        <w:pStyle w:val="Text1"/>
        <w:pBdr>
          <w:top w:val="single" w:sz="4" w:space="1" w:color="auto"/>
          <w:left w:val="single" w:sz="4" w:space="4" w:color="auto"/>
          <w:bottom w:val="single" w:sz="4" w:space="1" w:color="auto"/>
          <w:right w:val="single" w:sz="4" w:space="4" w:color="auto"/>
        </w:pBdr>
      </w:pPr>
      <w:r w:rsidRPr="00927CFF">
        <w:t>ECDC skal være vært for en "EU-sundhedstaskforce" for til stadighed at hjælpe landene med at styrke beredskabet og hurtigt gribe ind i en sundhedskrise</w:t>
      </w:r>
    </w:p>
    <w:p w14:paraId="23BDD32B"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ECDC skal forbedre det internationale samarbejde og indsamle regionale/nationale efterretninger.</w:t>
      </w:r>
    </w:p>
    <w:p w14:paraId="445AD1DE" w14:textId="77777777" w:rsidR="00B50935" w:rsidRPr="00927CFF" w:rsidRDefault="00B50935" w:rsidP="00B50935">
      <w:pPr>
        <w:pStyle w:val="Heading3"/>
        <w:rPr>
          <w:noProof/>
        </w:rPr>
      </w:pPr>
      <w:bookmarkStart w:id="32" w:name="_Toc514938666"/>
      <w:bookmarkStart w:id="33" w:name="_Toc57735203"/>
      <w:r w:rsidRPr="00927CFF">
        <w:t>Forventede resultater og virkninger</w:t>
      </w:r>
      <w:bookmarkEnd w:id="32"/>
      <w:bookmarkEnd w:id="33"/>
    </w:p>
    <w:p w14:paraId="6B3202CB" w14:textId="77777777" w:rsidR="00B50935" w:rsidRPr="00927CFF" w:rsidRDefault="00B50935" w:rsidP="00B50935">
      <w:pPr>
        <w:pStyle w:val="Text1"/>
        <w:rPr>
          <w:i/>
          <w:noProof/>
          <w:sz w:val="20"/>
        </w:rPr>
      </w:pPr>
      <w:r w:rsidRPr="00927CFF">
        <w:rPr>
          <w:i/>
          <w:sz w:val="20"/>
        </w:rPr>
        <w:t>Angiv, hvilke virkninger forslaget/initiativet forventes at få for modtagerne/målgruppen.</w:t>
      </w:r>
    </w:p>
    <w:p w14:paraId="78A21B15" w14:textId="77777777" w:rsidR="00B50935" w:rsidRPr="00927CFF" w:rsidRDefault="00B50935" w:rsidP="00F36FFA">
      <w:pPr>
        <w:pStyle w:val="Tiret1"/>
        <w:numPr>
          <w:ilvl w:val="0"/>
          <w:numId w:val="19"/>
        </w:numPr>
        <w:pBdr>
          <w:top w:val="single" w:sz="4" w:space="1" w:color="auto"/>
          <w:left w:val="single" w:sz="4" w:space="4" w:color="auto"/>
          <w:bottom w:val="single" w:sz="4" w:space="1" w:color="auto"/>
          <w:right w:val="single" w:sz="4" w:space="4" w:color="auto"/>
        </w:pBdr>
      </w:pPr>
      <w:bookmarkStart w:id="34" w:name="_Toc514938667"/>
      <w:r w:rsidRPr="00927CFF">
        <w:t>Ajourførte beredskabsplaner i alle EU's medlemsstater, herunder audit og korrigerende foranstaltninger</w:t>
      </w:r>
    </w:p>
    <w:p w14:paraId="7DF5DFD9" w14:textId="3A901620" w:rsidR="00B50935" w:rsidRPr="00927CFF" w:rsidRDefault="00447609" w:rsidP="00E215F2">
      <w:pPr>
        <w:pStyle w:val="Tiret1"/>
        <w:pBdr>
          <w:top w:val="single" w:sz="4" w:space="1" w:color="auto"/>
          <w:left w:val="single" w:sz="4" w:space="4" w:color="auto"/>
          <w:bottom w:val="single" w:sz="4" w:space="1" w:color="auto"/>
          <w:right w:val="single" w:sz="4" w:space="4" w:color="auto"/>
        </w:pBdr>
      </w:pPr>
      <w:r w:rsidRPr="00927CFF">
        <w:t>Ordentligt uddannede specialister i alle EU's medlemsstater til håndtering af folkesundhedskriser</w:t>
      </w:r>
    </w:p>
    <w:p w14:paraId="5C998556" w14:textId="77777777" w:rsidR="00B50935" w:rsidRPr="00927CFF" w:rsidRDefault="00B50935" w:rsidP="00E215F2">
      <w:pPr>
        <w:pStyle w:val="Tiret1"/>
        <w:pBdr>
          <w:top w:val="single" w:sz="4" w:space="1" w:color="auto"/>
          <w:left w:val="single" w:sz="4" w:space="4" w:color="auto"/>
          <w:bottom w:val="single" w:sz="4" w:space="1" w:color="auto"/>
          <w:right w:val="single" w:sz="4" w:space="4" w:color="auto"/>
        </w:pBdr>
      </w:pPr>
      <w:r w:rsidRPr="00927CFF">
        <w:t>Etablerede, fungerende europæiske netværk af specialister for alle vigtige overførbare sygdomme, herunder nye sygdomme</w:t>
      </w:r>
    </w:p>
    <w:p w14:paraId="089D17AD" w14:textId="2CAFF128" w:rsidR="00B50935" w:rsidRPr="00927CFF" w:rsidRDefault="00B50935" w:rsidP="00E215F2">
      <w:pPr>
        <w:pStyle w:val="Tiret1"/>
        <w:pBdr>
          <w:top w:val="single" w:sz="4" w:space="1" w:color="auto"/>
          <w:left w:val="single" w:sz="4" w:space="4" w:color="auto"/>
          <w:bottom w:val="single" w:sz="4" w:space="1" w:color="auto"/>
          <w:right w:val="single" w:sz="4" w:space="4" w:color="auto"/>
        </w:pBdr>
      </w:pPr>
      <w:r w:rsidRPr="00927CFF">
        <w:t>Rettidigt og proaktivt input og støtte fra ECDC til alle medlemsstaterne og Europa-Kommissionen om indsats over for sundhedskriser</w:t>
      </w:r>
    </w:p>
    <w:p w14:paraId="0DA1FCC0" w14:textId="7EA96409" w:rsidR="00B50935" w:rsidRPr="00927CFF" w:rsidRDefault="00B50935" w:rsidP="00E215F2">
      <w:pPr>
        <w:pStyle w:val="Tiret1"/>
        <w:pBdr>
          <w:top w:val="single" w:sz="4" w:space="1" w:color="auto"/>
          <w:left w:val="single" w:sz="4" w:space="4" w:color="auto"/>
          <w:bottom w:val="single" w:sz="4" w:space="1" w:color="auto"/>
          <w:right w:val="single" w:sz="4" w:space="4" w:color="auto"/>
        </w:pBdr>
      </w:pPr>
      <w:r w:rsidRPr="00927CFF">
        <w:t>Rettidig og målrettet støtte i tilfælde af en sundhedskrise via EU-sundhedstaskforcen</w:t>
      </w:r>
    </w:p>
    <w:p w14:paraId="1A6A0E5F" w14:textId="77777777" w:rsidR="00B50935" w:rsidRPr="00927CFF" w:rsidRDefault="00B50935" w:rsidP="00E215F2">
      <w:pPr>
        <w:pStyle w:val="Tiret1"/>
        <w:pBdr>
          <w:top w:val="single" w:sz="4" w:space="1" w:color="auto"/>
          <w:left w:val="single" w:sz="4" w:space="4" w:color="auto"/>
          <w:bottom w:val="single" w:sz="4" w:space="1" w:color="auto"/>
          <w:right w:val="single" w:sz="4" w:space="4" w:color="auto"/>
        </w:pBdr>
      </w:pPr>
      <w:r w:rsidRPr="00927CFF">
        <w:t>Aktuelle og ajourførte oplysninger og et gnidningsløst samarbejde med andre sygdomsagenturer og internationale sundhedsorganisationer.</w:t>
      </w:r>
    </w:p>
    <w:p w14:paraId="6EC2F012" w14:textId="1D97F512" w:rsidR="00B50935" w:rsidRPr="00927CFF" w:rsidRDefault="00B50935" w:rsidP="00B50935">
      <w:pPr>
        <w:pStyle w:val="Heading3"/>
        <w:rPr>
          <w:bCs w:val="0"/>
          <w:noProof/>
          <w:szCs w:val="24"/>
        </w:rPr>
      </w:pPr>
      <w:bookmarkStart w:id="35" w:name="_Toc57735204"/>
      <w:r w:rsidRPr="00927CFF">
        <w:t>Resultatindikatorer</w:t>
      </w:r>
      <w:bookmarkEnd w:id="34"/>
      <w:bookmarkEnd w:id="35"/>
      <w:r w:rsidRPr="00927CFF">
        <w:t xml:space="preserve"> </w:t>
      </w:r>
    </w:p>
    <w:p w14:paraId="4780DE8C" w14:textId="77777777" w:rsidR="00B50935" w:rsidRPr="00927CFF" w:rsidRDefault="00B50935" w:rsidP="00B50935">
      <w:pPr>
        <w:pStyle w:val="Text1"/>
        <w:rPr>
          <w:i/>
          <w:noProof/>
          <w:sz w:val="20"/>
        </w:rPr>
      </w:pPr>
      <w:r w:rsidRPr="00927CFF">
        <w:rPr>
          <w:i/>
          <w:sz w:val="20"/>
        </w:rPr>
        <w:t>Angiv indikatorerne til overvågning af fremskridt og resultater.</w:t>
      </w:r>
    </w:p>
    <w:p w14:paraId="35E66C03" w14:textId="77777777" w:rsidR="00B50935" w:rsidRPr="00927CFF" w:rsidRDefault="00B50935" w:rsidP="00B50935">
      <w:pPr>
        <w:pStyle w:val="Text1"/>
        <w:pBdr>
          <w:top w:val="single" w:sz="4" w:space="1" w:color="auto"/>
          <w:left w:val="single" w:sz="4" w:space="1" w:color="auto"/>
          <w:bottom w:val="single" w:sz="4" w:space="1" w:color="auto"/>
          <w:right w:val="single" w:sz="4" w:space="1" w:color="auto"/>
        </w:pBdr>
        <w:rPr>
          <w:sz w:val="23"/>
          <w:szCs w:val="23"/>
        </w:rPr>
      </w:pPr>
      <w:r w:rsidRPr="00927CFF">
        <w:rPr>
          <w:sz w:val="23"/>
          <w:szCs w:val="23"/>
        </w:rPr>
        <w:t xml:space="preserve">Detaljerede mål og forventede resultater, herunder resultatindikatorer, vil blive fastlagt af det årlige arbejdsprogram, mens det flerårige arbejdsprogram vil fastlægge de overordnede strategiske mål, forventede resultater og resultatindikatorer. </w:t>
      </w:r>
    </w:p>
    <w:p w14:paraId="63CA900C" w14:textId="4E469BF8" w:rsidR="00B50935" w:rsidRPr="00927CFF" w:rsidRDefault="00B50935" w:rsidP="00B50935">
      <w:pPr>
        <w:pStyle w:val="Text1"/>
        <w:pBdr>
          <w:top w:val="single" w:sz="4" w:space="1" w:color="auto"/>
          <w:left w:val="single" w:sz="4" w:space="1" w:color="auto"/>
          <w:bottom w:val="single" w:sz="4" w:space="1" w:color="auto"/>
          <w:right w:val="single" w:sz="4" w:space="1" w:color="auto"/>
        </w:pBdr>
        <w:rPr>
          <w:sz w:val="23"/>
          <w:szCs w:val="23"/>
        </w:rPr>
      </w:pPr>
      <w:r w:rsidRPr="00927CFF">
        <w:rPr>
          <w:sz w:val="23"/>
          <w:szCs w:val="23"/>
        </w:rPr>
        <w:t>For de specifikke opgaver og foranstaltninger, der fremlægges i nærværende forslag, foreslås følgende indikatorer:</w:t>
      </w:r>
    </w:p>
    <w:p w14:paraId="6D04F7D8" w14:textId="3565FBAD" w:rsidR="00B50935" w:rsidRPr="00927CFF" w:rsidRDefault="00B50935" w:rsidP="00B50935">
      <w:pPr>
        <w:pStyle w:val="Text1"/>
        <w:pBdr>
          <w:top w:val="single" w:sz="4" w:space="1" w:color="auto"/>
          <w:left w:val="single" w:sz="4" w:space="1" w:color="auto"/>
          <w:bottom w:val="single" w:sz="4" w:space="1" w:color="auto"/>
          <w:right w:val="single" w:sz="4" w:space="1" w:color="auto"/>
        </w:pBdr>
      </w:pPr>
      <w:r w:rsidRPr="00927CFF">
        <w:t xml:space="preserve">— Antal risikovurderinger på en proaktiv måde, hvis og når det er nødvendigt, eller efter anmodning fra Kommissionen eller Udvalget for Sundhedssikkerhed inden for 1-5 dage afhængigt af omfanget af udbruddet eller anden sundhedssikkerhedshændelse. </w:t>
      </w:r>
    </w:p>
    <w:p w14:paraId="72A5115A" w14:textId="77777777" w:rsidR="00B50935" w:rsidRPr="00927CFF" w:rsidRDefault="00B50935" w:rsidP="00B50935">
      <w:pPr>
        <w:pStyle w:val="Text1"/>
        <w:pBdr>
          <w:top w:val="single" w:sz="4" w:space="1" w:color="auto"/>
          <w:left w:val="single" w:sz="4" w:space="1" w:color="auto"/>
          <w:bottom w:val="single" w:sz="4" w:space="1" w:color="auto"/>
          <w:right w:val="single" w:sz="4" w:space="1" w:color="auto"/>
        </w:pBdr>
      </w:pPr>
      <w:r w:rsidRPr="00927CFF">
        <w:t>— Antal uddannelsesmoduler vedrørende beredskab.</w:t>
      </w:r>
    </w:p>
    <w:p w14:paraId="41979B83" w14:textId="77777777" w:rsidR="00B50935" w:rsidRPr="00927CFF" w:rsidRDefault="00B50935" w:rsidP="00B50935">
      <w:pPr>
        <w:pStyle w:val="Text1"/>
        <w:pBdr>
          <w:top w:val="single" w:sz="4" w:space="1" w:color="auto"/>
          <w:left w:val="single" w:sz="4" w:space="1" w:color="auto"/>
          <w:bottom w:val="single" w:sz="4" w:space="1" w:color="auto"/>
          <w:right w:val="single" w:sz="4" w:space="1" w:color="auto"/>
        </w:pBdr>
      </w:pPr>
      <w:r w:rsidRPr="00927CFF">
        <w:t>— Procentdel af forøgelsen af TESSy-kapaciteten og opskalering af systemet for tidlig varsling og reaktion, samtidig med at den hastighed, hvormed systemet udveksler informationer, bevares.</w:t>
      </w:r>
    </w:p>
    <w:p w14:paraId="7035C721" w14:textId="357728FE" w:rsidR="00B50935" w:rsidRPr="00927CFF" w:rsidRDefault="00B50935" w:rsidP="00B50935">
      <w:pPr>
        <w:pStyle w:val="Text1"/>
        <w:pBdr>
          <w:top w:val="single" w:sz="4" w:space="1" w:color="auto"/>
          <w:left w:val="single" w:sz="4" w:space="1" w:color="auto"/>
          <w:bottom w:val="single" w:sz="4" w:space="1" w:color="auto"/>
          <w:right w:val="single" w:sz="4" w:space="1" w:color="auto"/>
        </w:pBdr>
      </w:pPr>
      <w:r w:rsidRPr="00927CFF">
        <w:t>— Antal hurtige målrettede tiltag fra EU-sundhedstaskforcen.</w:t>
      </w:r>
    </w:p>
    <w:p w14:paraId="5A253552" w14:textId="77777777" w:rsidR="00B50935" w:rsidRPr="00927CFF" w:rsidRDefault="00B50935" w:rsidP="00B50935">
      <w:pPr>
        <w:pStyle w:val="Heading2"/>
        <w:rPr>
          <w:bCs w:val="0"/>
          <w:noProof/>
          <w:szCs w:val="24"/>
        </w:rPr>
      </w:pPr>
      <w:bookmarkStart w:id="36" w:name="_Toc514938668"/>
      <w:bookmarkStart w:id="37" w:name="_Toc57735205"/>
      <w:r w:rsidRPr="00927CFF">
        <w:t>Forslagets/initiativets begrundelse</w:t>
      </w:r>
      <w:bookmarkEnd w:id="36"/>
      <w:bookmarkEnd w:id="37"/>
      <w:r w:rsidRPr="00927CFF">
        <w:t xml:space="preserve"> </w:t>
      </w:r>
    </w:p>
    <w:p w14:paraId="607B8033" w14:textId="77777777" w:rsidR="00B50935" w:rsidRPr="00927CFF" w:rsidRDefault="00B50935" w:rsidP="00B50935">
      <w:pPr>
        <w:pStyle w:val="Heading3"/>
        <w:rPr>
          <w:noProof/>
        </w:rPr>
      </w:pPr>
      <w:bookmarkStart w:id="38" w:name="_Toc514938669"/>
      <w:bookmarkStart w:id="39" w:name="_Toc57735206"/>
      <w:r w:rsidRPr="00927CFF">
        <w:t>Behov, der skal opfyldes på kort eller lang sigt, herunder en detaljeret tidsplan for iværksættelsen af initiativet</w:t>
      </w:r>
      <w:bookmarkEnd w:id="38"/>
      <w:bookmarkEnd w:id="39"/>
    </w:p>
    <w:p w14:paraId="7CF21691"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En af de erfaringer, der er gjort under covid-19-pandemien, er, at EU's rammer for sundhedssikkerhed skal styrkes for at sikre en bedre EU-koordinering af beredskabet og indsatsen over for alvorlige grænseoverskridende sundhedstrusler. ECDC er en vigtig aktør inden for denne ramme og skal styrkes på en målrettet måde for at kunne gennemføre et stigende antal foranstaltninger.</w:t>
      </w:r>
    </w:p>
    <w:p w14:paraId="6E58A40C"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color w:val="0000FF"/>
        </w:rPr>
      </w:pPr>
      <w:r w:rsidRPr="00927CFF">
        <w:t>Revisionen af mandatet bør finde sted i begyndelsen af 2021 og gennemføres med det samme.</w:t>
      </w:r>
    </w:p>
    <w:p w14:paraId="599A4570" w14:textId="77777777" w:rsidR="00B50935" w:rsidRPr="00927CFF" w:rsidRDefault="00B50935" w:rsidP="00B50935">
      <w:pPr>
        <w:pStyle w:val="Heading3"/>
        <w:rPr>
          <w:bCs w:val="0"/>
          <w:noProof/>
          <w:szCs w:val="24"/>
        </w:rPr>
      </w:pPr>
      <w:bookmarkStart w:id="40" w:name="_Toc514938670"/>
      <w:bookmarkStart w:id="41" w:name="_Toc57735207"/>
      <w:r w:rsidRPr="00927CFF">
        <w:t>Merværdi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bookmarkEnd w:id="40"/>
      <w:bookmarkEnd w:id="41"/>
    </w:p>
    <w:p w14:paraId="0E66B4E1"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bookmarkStart w:id="42" w:name="_Toc514938671"/>
      <w:r w:rsidRPr="00927CFF">
        <w:t xml:space="preserve">Begrundelse for en indsats på EU-plan (forudgående): ECDC er et veletableret decentraliseret EU-agentur, og dets støtte til medlemsstaterne og videnskabelige publikationer er centrale elementer i beredskabsindsatsen over for grænseoverskridende sundhedstrusler. På grundlag af erfaringerne fra covid-19-pandemien er en revision af mandatet på tide for at styrke beredskabsarbejdet i Den Europæiske Union. </w:t>
      </w:r>
    </w:p>
    <w:p w14:paraId="1535D164"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Forventet merværdi på EU-plan (efterfølgende) — medlemsstaterne vil være bedre forberedt til at håndtere mulige fremtidige pandemier og andre grænseoverskridende sundhedstrusler.</w:t>
      </w:r>
    </w:p>
    <w:p w14:paraId="4CAE9EE7" w14:textId="77777777" w:rsidR="00B50935" w:rsidRPr="00927CFF" w:rsidRDefault="00B50935" w:rsidP="00B50935">
      <w:pPr>
        <w:pStyle w:val="Heading3"/>
        <w:rPr>
          <w:noProof/>
        </w:rPr>
      </w:pPr>
      <w:bookmarkStart w:id="43" w:name="_Toc57735208"/>
      <w:r w:rsidRPr="00927CFF">
        <w:t>Erfaringer fra lignende foranstaltninger</w:t>
      </w:r>
      <w:bookmarkEnd w:id="42"/>
      <w:bookmarkEnd w:id="43"/>
    </w:p>
    <w:p w14:paraId="6212D8E3"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bookmarkStart w:id="44" w:name="_Toc514938672"/>
      <w:r w:rsidRPr="00927CFF">
        <w:t>Selv om covid-19-pandemien stadig er i gang, bygger dette forslag på erfaringerne fra de seneste måneder af denne pandemi. Der er navnlig behov for bedre beredskab og monitorering.</w:t>
      </w:r>
    </w:p>
    <w:p w14:paraId="0817558F"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Der blev taget hensyn til erfaringerne fra tidligere revisioner af mandater for andre decentraliserede EU-agenturer, f.eks. EFSA.</w:t>
      </w:r>
    </w:p>
    <w:p w14:paraId="023A014E" w14:textId="77777777" w:rsidR="00B50935" w:rsidRPr="00927CFF" w:rsidRDefault="00B50935" w:rsidP="00B50935">
      <w:pPr>
        <w:pStyle w:val="Heading3"/>
        <w:rPr>
          <w:noProof/>
        </w:rPr>
      </w:pPr>
      <w:bookmarkStart w:id="45" w:name="_Toc57735209"/>
      <w:r w:rsidRPr="00927CFF">
        <w:t>Sammenhæng med den flerårige finansielle ramme og eventuelle synergivirkninger med andre relevante instrumenter</w:t>
      </w:r>
      <w:bookmarkEnd w:id="44"/>
      <w:bookmarkEnd w:id="45"/>
    </w:p>
    <w:p w14:paraId="0650C337" w14:textId="4994AD79" w:rsidR="00B50935" w:rsidRPr="00927CFF"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27CFF">
        <w:rPr>
          <w:sz w:val="23"/>
          <w:szCs w:val="23"/>
        </w:rPr>
        <w:t>Agenturet bør samarbejde og fremme synergier med andre EU-organer og -agenturer, som f.eks. Det Europæiske Lægemiddelagentur (EMA), Den Europæiske Fødevaresikkerhedsautoritet (EFSA), Det Europæiske Miljøagentur (EEA) og drage fuld fordel af og sikre sammenhæng med EU4Health-programmet og andre EU-programmer, der finansierer foranstaltninger inden for folkesundhed.</w:t>
      </w:r>
    </w:p>
    <w:p w14:paraId="635DB919" w14:textId="1971F574" w:rsidR="00B50935" w:rsidRPr="00927CFF" w:rsidRDefault="00B50935" w:rsidP="00B50935">
      <w:pPr>
        <w:pStyle w:val="Text1"/>
        <w:pBdr>
          <w:top w:val="single" w:sz="4" w:space="1" w:color="auto"/>
          <w:left w:val="single" w:sz="4" w:space="4" w:color="auto"/>
          <w:bottom w:val="single" w:sz="4" w:space="1" w:color="auto"/>
          <w:right w:val="single" w:sz="4" w:space="4" w:color="auto"/>
        </w:pBdr>
        <w:rPr>
          <w:sz w:val="23"/>
          <w:szCs w:val="23"/>
        </w:rPr>
      </w:pPr>
    </w:p>
    <w:p w14:paraId="1D92D3AF" w14:textId="77777777" w:rsidR="00B50935" w:rsidRPr="00927CFF" w:rsidRDefault="00B50935" w:rsidP="00B50935">
      <w:pPr>
        <w:pStyle w:val="Heading3"/>
        <w:rPr>
          <w:noProof/>
        </w:rPr>
      </w:pPr>
      <w:bookmarkStart w:id="46" w:name="_Toc514938673"/>
      <w:bookmarkStart w:id="47" w:name="_Toc57735210"/>
      <w:r w:rsidRPr="00927CFF">
        <w:t>Vurdering af de forskellige tilgængelige finansieringsmuligheder, herunder muligheden for omfordeling</w:t>
      </w:r>
      <w:bookmarkEnd w:id="46"/>
      <w:bookmarkEnd w:id="47"/>
    </w:p>
    <w:p w14:paraId="24CFA270"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27CFF">
        <w:rPr>
          <w:sz w:val="23"/>
          <w:szCs w:val="23"/>
        </w:rPr>
        <w:t>Ikke relevant</w:t>
      </w:r>
    </w:p>
    <w:p w14:paraId="4C976F90" w14:textId="24D3AC9E" w:rsidR="00B50935" w:rsidRPr="00927CFF" w:rsidRDefault="00B50935" w:rsidP="00B50935">
      <w:pPr>
        <w:pStyle w:val="Text1"/>
        <w:pBdr>
          <w:top w:val="single" w:sz="4" w:space="1" w:color="auto"/>
          <w:left w:val="single" w:sz="4" w:space="4" w:color="auto"/>
          <w:bottom w:val="single" w:sz="4" w:space="1" w:color="auto"/>
          <w:right w:val="single" w:sz="4" w:space="4" w:color="auto"/>
        </w:pBdr>
      </w:pPr>
    </w:p>
    <w:p w14:paraId="689FCF16" w14:textId="7E2B30FC" w:rsidR="00B50935" w:rsidRPr="00927CFF" w:rsidRDefault="00B50935" w:rsidP="00B50935">
      <w:pPr>
        <w:pStyle w:val="Text1"/>
      </w:pPr>
    </w:p>
    <w:p w14:paraId="55D86EC9" w14:textId="77777777" w:rsidR="00B50935" w:rsidRPr="00927CFF" w:rsidRDefault="00B50935" w:rsidP="00B50935">
      <w:pPr>
        <w:pStyle w:val="Heading2"/>
        <w:rPr>
          <w:bCs w:val="0"/>
          <w:noProof/>
          <w:szCs w:val="24"/>
        </w:rPr>
      </w:pPr>
      <w:r w:rsidRPr="00927CFF">
        <w:br w:type="page"/>
      </w:r>
      <w:bookmarkStart w:id="48" w:name="_Toc514938674"/>
      <w:bookmarkStart w:id="49" w:name="_Toc57735211"/>
      <w:r w:rsidRPr="00927CFF">
        <w:t>Forslagets/initiativets varighed og finansielle virkninger</w:t>
      </w:r>
      <w:bookmarkEnd w:id="48"/>
      <w:bookmarkEnd w:id="49"/>
    </w:p>
    <w:p w14:paraId="6B1EEF28" w14:textId="77777777" w:rsidR="00B50935" w:rsidRPr="00927CFF" w:rsidRDefault="00B50935" w:rsidP="00B50935">
      <w:pPr>
        <w:pStyle w:val="Text1"/>
        <w:rPr>
          <w:noProof/>
        </w:rPr>
      </w:pPr>
      <w:r w:rsidRPr="00927CFF">
        <w:sym w:font="Wingdings" w:char="F0A8"/>
      </w:r>
      <w:r w:rsidRPr="00927CFF">
        <w:rPr>
          <w:b/>
          <w:i/>
        </w:rPr>
        <w:t xml:space="preserve"> </w:t>
      </w:r>
      <w:r w:rsidRPr="00927CFF">
        <w:rPr>
          <w:b/>
        </w:rPr>
        <w:t xml:space="preserve">begrænset varighed </w:t>
      </w:r>
    </w:p>
    <w:p w14:paraId="1CC9BF14" w14:textId="77777777" w:rsidR="00B50935" w:rsidRPr="00927CFF" w:rsidRDefault="00B50935" w:rsidP="006F7C3E">
      <w:pPr>
        <w:pStyle w:val="ListDash2"/>
        <w:rPr>
          <w:noProof/>
        </w:rPr>
      </w:pPr>
      <w:r w:rsidRPr="00927CFF">
        <w:sym w:font="Wingdings" w:char="F0A8"/>
      </w:r>
      <w:r w:rsidRPr="00927CFF">
        <w:tab/>
        <w:t xml:space="preserve">Forslag/initiativ gældende fra [DD/MM]ÅÅÅÅ til [DD/MM]ÅÅÅÅ </w:t>
      </w:r>
    </w:p>
    <w:p w14:paraId="02B42B53" w14:textId="77777777" w:rsidR="00B50935" w:rsidRPr="00927CFF" w:rsidRDefault="00B50935" w:rsidP="006F7C3E">
      <w:pPr>
        <w:pStyle w:val="ListDash2"/>
        <w:rPr>
          <w:noProof/>
        </w:rPr>
      </w:pPr>
      <w:r w:rsidRPr="00927CFF">
        <w:sym w:font="Wingdings" w:char="F0A8"/>
      </w:r>
      <w:r w:rsidRPr="00927CFF">
        <w:tab/>
        <w:t>Finansielle virkninger fra ÅÅÅÅ til ÅÅÅÅ</w:t>
      </w:r>
    </w:p>
    <w:p w14:paraId="54EEC673" w14:textId="77777777" w:rsidR="00B50935" w:rsidRPr="00927CFF" w:rsidRDefault="00B50935" w:rsidP="00B50935">
      <w:pPr>
        <w:pStyle w:val="Text1"/>
        <w:rPr>
          <w:noProof/>
        </w:rPr>
      </w:pPr>
      <w:r w:rsidRPr="00927CFF">
        <w:t xml:space="preserve">X </w:t>
      </w:r>
      <w:r w:rsidRPr="00927CFF">
        <w:rPr>
          <w:b/>
          <w:bCs/>
        </w:rPr>
        <w:t>ubegrænset varighed</w:t>
      </w:r>
    </w:p>
    <w:p w14:paraId="67400591" w14:textId="77777777" w:rsidR="00B50935" w:rsidRPr="00927CFF" w:rsidRDefault="00B50935" w:rsidP="006F7C3E">
      <w:pPr>
        <w:pStyle w:val="ListDash1"/>
        <w:rPr>
          <w:noProof/>
        </w:rPr>
      </w:pPr>
      <w:r w:rsidRPr="00927CFF">
        <w:t>Iværksættelse med en indkøringsperiode fra januar 2021 til december 2023,</w:t>
      </w:r>
    </w:p>
    <w:p w14:paraId="1E2269B7" w14:textId="77777777" w:rsidR="00B50935" w:rsidRPr="00927CFF" w:rsidRDefault="00B50935" w:rsidP="006F7C3E">
      <w:pPr>
        <w:pStyle w:val="ListDash1"/>
        <w:rPr>
          <w:noProof/>
        </w:rPr>
      </w:pPr>
      <w:r w:rsidRPr="00927CFF">
        <w:t>derefter gennemførelse i fuldt omfang.</w:t>
      </w:r>
    </w:p>
    <w:p w14:paraId="293E4362" w14:textId="77777777" w:rsidR="00B50935" w:rsidRPr="00927CFF" w:rsidRDefault="00B50935" w:rsidP="00B50935">
      <w:pPr>
        <w:pStyle w:val="Heading2"/>
        <w:rPr>
          <w:bCs w:val="0"/>
          <w:noProof/>
          <w:szCs w:val="24"/>
        </w:rPr>
      </w:pPr>
      <w:bookmarkStart w:id="50" w:name="_Toc57735212"/>
      <w:bookmarkStart w:id="51" w:name="_Toc514938675"/>
      <w:r w:rsidRPr="00927CFF">
        <w:t>Påtænkt(e) forvaltningsmetode(r)</w:t>
      </w:r>
      <w:r w:rsidRPr="00927CFF">
        <w:rPr>
          <w:rStyle w:val="FootnoteReference"/>
          <w:bCs w:val="0"/>
          <w:noProof/>
        </w:rPr>
        <w:footnoteReference w:id="15"/>
      </w:r>
      <w:bookmarkEnd w:id="50"/>
      <w:r w:rsidRPr="00927CFF">
        <w:rPr>
          <w:rStyle w:val="FootnoteReference"/>
          <w:noProof/>
        </w:rPr>
        <w:t xml:space="preserve"> </w:t>
      </w:r>
      <w:bookmarkEnd w:id="51"/>
      <w:r w:rsidRPr="00927CFF">
        <w:rPr>
          <w:rStyle w:val="FootnoteReference"/>
        </w:rPr>
        <w:t xml:space="preserve"> </w:t>
      </w:r>
    </w:p>
    <w:p w14:paraId="54ABDF64" w14:textId="77777777" w:rsidR="00B50935" w:rsidRPr="00927CFF" w:rsidRDefault="00B50935" w:rsidP="00B50935">
      <w:pPr>
        <w:pStyle w:val="Text1"/>
        <w:rPr>
          <w:noProof/>
        </w:rPr>
      </w:pPr>
      <w:r w:rsidRPr="00927CFF">
        <w:sym w:font="Wingdings" w:char="F0A8"/>
      </w:r>
      <w:r w:rsidRPr="00927CFF">
        <w:rPr>
          <w:i/>
        </w:rPr>
        <w:t xml:space="preserve"> </w:t>
      </w:r>
      <w:r w:rsidRPr="00927CFF">
        <w:rPr>
          <w:b/>
          <w:bCs/>
        </w:rPr>
        <w:t>Direkte forvaltning</w:t>
      </w:r>
      <w:r w:rsidRPr="00927CFF">
        <w:t xml:space="preserve"> ved Kommissionen via</w:t>
      </w:r>
    </w:p>
    <w:p w14:paraId="60A5E288" w14:textId="77777777" w:rsidR="00B50935" w:rsidRPr="00927CFF" w:rsidRDefault="00B50935" w:rsidP="006F7C3E">
      <w:pPr>
        <w:pStyle w:val="ListDash2"/>
        <w:rPr>
          <w:noProof/>
        </w:rPr>
      </w:pPr>
      <w:r w:rsidRPr="00927CFF">
        <w:sym w:font="Wingdings" w:char="F0A8"/>
      </w:r>
      <w:r w:rsidRPr="00927CFF">
        <w:tab/>
        <w:t xml:space="preserve">forvaltningsorganer </w:t>
      </w:r>
    </w:p>
    <w:p w14:paraId="56F06820" w14:textId="77777777" w:rsidR="00B50935" w:rsidRPr="00927CFF" w:rsidRDefault="00B50935" w:rsidP="00B50935">
      <w:pPr>
        <w:pStyle w:val="Text1"/>
        <w:rPr>
          <w:noProof/>
        </w:rPr>
      </w:pPr>
      <w:r w:rsidRPr="00927CFF">
        <w:sym w:font="Wingdings" w:char="F0A8"/>
      </w:r>
      <w:r w:rsidRPr="00927CFF">
        <w:rPr>
          <w:b/>
          <w:i/>
        </w:rPr>
        <w:t xml:space="preserve"> </w:t>
      </w:r>
      <w:r w:rsidRPr="00927CFF">
        <w:rPr>
          <w:b/>
          <w:bCs/>
        </w:rPr>
        <w:t>Delt forvaltning</w:t>
      </w:r>
      <w:r w:rsidRPr="00927CFF">
        <w:t xml:space="preserve"> i samarbejde med medlemsstaterne </w:t>
      </w:r>
    </w:p>
    <w:p w14:paraId="5FD782F8" w14:textId="77777777" w:rsidR="00B50935" w:rsidRPr="00927CFF" w:rsidRDefault="00B50935" w:rsidP="00B50935">
      <w:pPr>
        <w:pStyle w:val="Text1"/>
        <w:rPr>
          <w:noProof/>
        </w:rPr>
      </w:pPr>
      <w:r w:rsidRPr="00927CFF">
        <w:t>X</w:t>
      </w:r>
      <w:r w:rsidRPr="00927CFF">
        <w:rPr>
          <w:i/>
        </w:rPr>
        <w:t xml:space="preserve"> </w:t>
      </w:r>
      <w:r w:rsidRPr="00927CFF">
        <w:rPr>
          <w:b/>
        </w:rPr>
        <w:t>Indirekte forvaltning</w:t>
      </w:r>
      <w:r w:rsidRPr="00927CFF">
        <w:t xml:space="preserve"> ved at overlade budgetgennemførelsesopgaver til:</w:t>
      </w:r>
    </w:p>
    <w:p w14:paraId="69C83AC9" w14:textId="77777777" w:rsidR="00B50935" w:rsidRPr="00927CFF" w:rsidRDefault="00B50935" w:rsidP="00B50935">
      <w:pPr>
        <w:pStyle w:val="Text1"/>
        <w:rPr>
          <w:noProof/>
        </w:rPr>
      </w:pPr>
      <w:r w:rsidRPr="00927CFF">
        <w:sym w:font="Wingdings" w:char="F0A8"/>
      </w:r>
      <w:r w:rsidRPr="00927CFF">
        <w:t xml:space="preserve"> internationale organisationer og deres organer (angives nærmere)</w:t>
      </w:r>
    </w:p>
    <w:p w14:paraId="418410EE" w14:textId="77777777" w:rsidR="00B50935" w:rsidRPr="00927CFF" w:rsidRDefault="00B50935" w:rsidP="00B50935">
      <w:pPr>
        <w:pStyle w:val="Text1"/>
        <w:rPr>
          <w:noProof/>
        </w:rPr>
      </w:pPr>
      <w:r w:rsidRPr="00927CFF">
        <w:sym w:font="Wingdings" w:char="F0A8"/>
      </w:r>
      <w:r w:rsidRPr="00927CFF">
        <w:t xml:space="preserve"> Den Europæiske Investeringsbank og Den Europæiske Investeringsfond</w:t>
      </w:r>
    </w:p>
    <w:p w14:paraId="028A411F" w14:textId="77777777" w:rsidR="00B50935" w:rsidRPr="00927CFF" w:rsidRDefault="00B50935" w:rsidP="00B50935">
      <w:pPr>
        <w:pStyle w:val="Text1"/>
        <w:rPr>
          <w:noProof/>
        </w:rPr>
      </w:pPr>
      <w:r w:rsidRPr="00927CFF">
        <w:t>X de organer, der er omhandlet i artikel 70 og 71</w:t>
      </w:r>
    </w:p>
    <w:p w14:paraId="0CF100C1" w14:textId="77777777" w:rsidR="00B50935" w:rsidRPr="00927CFF" w:rsidRDefault="00B50935" w:rsidP="00B50935">
      <w:pPr>
        <w:pStyle w:val="Text1"/>
        <w:rPr>
          <w:noProof/>
        </w:rPr>
      </w:pPr>
      <w:r w:rsidRPr="00927CFF">
        <w:sym w:font="Wingdings" w:char="F0A8"/>
      </w:r>
      <w:r w:rsidRPr="00927CFF">
        <w:t xml:space="preserve"> offentligretlige organer</w:t>
      </w:r>
    </w:p>
    <w:p w14:paraId="14B6B254" w14:textId="77777777" w:rsidR="00B50935" w:rsidRPr="00927CFF" w:rsidRDefault="00B50935" w:rsidP="00B50935">
      <w:pPr>
        <w:pStyle w:val="Text1"/>
        <w:rPr>
          <w:noProof/>
        </w:rPr>
      </w:pPr>
      <w:r w:rsidRPr="00927CFF">
        <w:sym w:font="Wingdings" w:char="F0A8"/>
      </w:r>
      <w:r w:rsidRPr="00927CFF">
        <w:t xml:space="preserve"> privatretlige organer, der har fået overdraget samfundsopgaver, forudsat at de stiller tilstrækkelige finansielle garantier</w:t>
      </w:r>
    </w:p>
    <w:p w14:paraId="3FE3EC31" w14:textId="77777777" w:rsidR="00B50935" w:rsidRPr="00927CFF" w:rsidRDefault="00B50935" w:rsidP="00B50935">
      <w:pPr>
        <w:pStyle w:val="Text1"/>
        <w:rPr>
          <w:noProof/>
        </w:rPr>
      </w:pPr>
      <w:r w:rsidRPr="00927CFF">
        <w:sym w:font="Wingdings" w:char="F0A8"/>
      </w:r>
      <w:r w:rsidRPr="00927CFF">
        <w:t xml:space="preserve"> privatretlige organer, undergivet lovgivningen i en medlemsstat, som har fået overdraget gennemførelsen af et offentlig-privat partnerskab, og som stiller tilstrækkelige finansielle garantier</w:t>
      </w:r>
    </w:p>
    <w:p w14:paraId="25E8DA6C" w14:textId="77777777" w:rsidR="00B50935" w:rsidRPr="00927CFF" w:rsidRDefault="00B50935" w:rsidP="00B50935">
      <w:pPr>
        <w:pStyle w:val="Text1"/>
        <w:rPr>
          <w:noProof/>
        </w:rPr>
      </w:pPr>
      <w:r w:rsidRPr="00927CFF">
        <w:sym w:font="Wingdings" w:char="F0A8"/>
      </w:r>
      <w:r w:rsidRPr="00927CFF">
        <w:t xml:space="preserve"> personer, der har fået overdraget gennemførelsen af specifikke aktioner i den fælles udenrigs- og sikkerhedspolitik i henhold til afsnit V i traktaten om Den Europæiske Union, og som er udpeget i den relevante basisretsakt</w:t>
      </w:r>
    </w:p>
    <w:p w14:paraId="71102F75" w14:textId="77777777" w:rsidR="00B50935" w:rsidRPr="00927CFF" w:rsidRDefault="00B50935" w:rsidP="00B50935">
      <w:pPr>
        <w:rPr>
          <w:noProof/>
        </w:rPr>
      </w:pPr>
      <w:r w:rsidRPr="00927CFF">
        <w:t>Bemærkninger</w:t>
      </w:r>
    </w:p>
    <w:p w14:paraId="14F98D9F" w14:textId="12B315DA" w:rsidR="00B50935" w:rsidRPr="00927CFF" w:rsidRDefault="00B50935" w:rsidP="00B50935">
      <w:pPr>
        <w:pBdr>
          <w:top w:val="single" w:sz="4" w:space="1" w:color="auto"/>
          <w:left w:val="single" w:sz="4" w:space="4" w:color="auto"/>
          <w:bottom w:val="single" w:sz="4" w:space="1" w:color="auto"/>
          <w:right w:val="single" w:sz="4" w:space="4" w:color="auto"/>
        </w:pBdr>
      </w:pPr>
    </w:p>
    <w:p w14:paraId="44BAD8D0" w14:textId="2CB5ACDD" w:rsidR="00B50935" w:rsidRPr="00927CFF" w:rsidRDefault="00B50935" w:rsidP="00B50935">
      <w:pPr>
        <w:pBdr>
          <w:top w:val="single" w:sz="4" w:space="1" w:color="auto"/>
          <w:left w:val="single" w:sz="4" w:space="4" w:color="auto"/>
          <w:bottom w:val="single" w:sz="4" w:space="1" w:color="auto"/>
          <w:right w:val="single" w:sz="4" w:space="4" w:color="auto"/>
        </w:pBdr>
        <w:rPr>
          <w:noProof/>
          <w:color w:val="0000FF"/>
        </w:rPr>
      </w:pPr>
    </w:p>
    <w:p w14:paraId="4F1C8B6A" w14:textId="13967B45" w:rsidR="00B50935" w:rsidRPr="00927CFF" w:rsidRDefault="00B50935" w:rsidP="00B50935">
      <w:pPr>
        <w:rPr>
          <w:noProof/>
        </w:rPr>
      </w:pPr>
    </w:p>
    <w:p w14:paraId="151D31E9" w14:textId="77777777" w:rsidR="00B50935" w:rsidRPr="00927CFF" w:rsidRDefault="00B50935" w:rsidP="00B50935">
      <w:pPr>
        <w:rPr>
          <w:noProof/>
        </w:rPr>
        <w:sectPr w:rsidR="00B50935" w:rsidRPr="00927CFF" w:rsidSect="00BE6028">
          <w:pgSz w:w="12240" w:h="15840"/>
          <w:pgMar w:top="794" w:right="907" w:bottom="851" w:left="1361" w:header="510" w:footer="454" w:gutter="0"/>
          <w:cols w:space="720"/>
          <w:docGrid w:linePitch="326"/>
        </w:sectPr>
      </w:pPr>
    </w:p>
    <w:p w14:paraId="1C10674D" w14:textId="77777777" w:rsidR="00B50935" w:rsidRPr="00927CFF" w:rsidRDefault="00B50935" w:rsidP="00B50935">
      <w:pPr>
        <w:pStyle w:val="Heading1"/>
        <w:rPr>
          <w:bCs w:val="0"/>
          <w:noProof/>
          <w:szCs w:val="24"/>
        </w:rPr>
      </w:pPr>
      <w:bookmarkStart w:id="52" w:name="_Toc514938676"/>
      <w:bookmarkStart w:id="53" w:name="_Toc57735213"/>
      <w:r w:rsidRPr="00927CFF">
        <w:t>FORVALTNINGSFORANSTALTNINGER</w:t>
      </w:r>
      <w:bookmarkEnd w:id="52"/>
      <w:bookmarkEnd w:id="53"/>
      <w:r w:rsidRPr="00927CFF">
        <w:t xml:space="preserve"> </w:t>
      </w:r>
    </w:p>
    <w:p w14:paraId="3C57BC88" w14:textId="77777777" w:rsidR="00B50935" w:rsidRPr="00927CFF" w:rsidRDefault="00B50935" w:rsidP="00B50935">
      <w:pPr>
        <w:pStyle w:val="Heading2"/>
        <w:rPr>
          <w:bCs w:val="0"/>
          <w:noProof/>
          <w:szCs w:val="24"/>
        </w:rPr>
      </w:pPr>
      <w:bookmarkStart w:id="54" w:name="_Toc514938677"/>
      <w:bookmarkStart w:id="55" w:name="_Toc57735214"/>
      <w:r w:rsidRPr="00927CFF">
        <w:t>Bestemmelser om kontrol og rapportering</w:t>
      </w:r>
      <w:bookmarkEnd w:id="54"/>
      <w:bookmarkEnd w:id="55"/>
      <w:r w:rsidRPr="00927CFF">
        <w:t xml:space="preserve"> </w:t>
      </w:r>
    </w:p>
    <w:p w14:paraId="0CE872CB" w14:textId="77777777" w:rsidR="00B50935" w:rsidRPr="00927CFF" w:rsidRDefault="00B50935" w:rsidP="00B50935">
      <w:pPr>
        <w:pStyle w:val="Text1"/>
        <w:rPr>
          <w:i/>
          <w:noProof/>
          <w:sz w:val="20"/>
        </w:rPr>
      </w:pPr>
      <w:r w:rsidRPr="00927CFF">
        <w:rPr>
          <w:i/>
          <w:sz w:val="20"/>
        </w:rPr>
        <w:t>Angiv hyppighed og betingelser.</w:t>
      </w:r>
    </w:p>
    <w:p w14:paraId="4C8890DD"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27CFF">
        <w:rPr>
          <w:sz w:val="23"/>
          <w:szCs w:val="23"/>
        </w:rPr>
        <w:t xml:space="preserve">Alle EU-agenturer arbejder inden for rammerne af et strengt overvågningssystem med deltagelse af en intern kontrolkoordinator, Kommissionens interne revisionstjeneste, bestyrelsen, Kommissionen, Revisionsretten og budgetmyndigheden. Dette system kommer til udtryk og fastlægges i forordningen om oprettelse af ECDC. </w:t>
      </w:r>
    </w:p>
    <w:p w14:paraId="2E2A5430" w14:textId="2474F517" w:rsidR="00B50935" w:rsidRPr="00927CFF"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27CFF">
        <w:rPr>
          <w:sz w:val="23"/>
          <w:szCs w:val="23"/>
        </w:rPr>
        <w:t xml:space="preserve">I overensstemmelse med den fælles erklæring om EU's decentraliserede agenturer ("den fælles tilgang") og rammefinansforordningen (2019/715) indeholder agenturets årlige arbejdsprogram detaljerede mål og forventede resultater, herunder en opstilling af resultatindikatorer. Agenturet vil supplere sine aktiviteter, der er opført i arbejdsprogrammet, med nøgleresultatindikatorer. Agenturets aktiviteter vil dermed kunne måles i forhold til disse indikatorer i den konsoliderede årlige aktivitetsrapport. Det årlige arbejdsprogram skal være i overensstemmelse med det flerårige arbejdsprogram og skal indgå i et årligt samlet programmeringsdokument, som forelægges Europa-Parlamentet, Rådet og Kommissionen. </w:t>
      </w:r>
    </w:p>
    <w:p w14:paraId="28EC907A" w14:textId="46E59EB5" w:rsidR="00B50935" w:rsidRPr="00927CFF"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27CFF">
        <w:rPr>
          <w:sz w:val="23"/>
          <w:szCs w:val="23"/>
        </w:rPr>
        <w:t xml:space="preserve">Agenturets bestyrelse vil være ansvarlig for tilsynet med, at agenturets administrative, operationelle og budgetmæssige forvaltning er effektiv. </w:t>
      </w:r>
    </w:p>
    <w:p w14:paraId="166F6666"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27CFF">
        <w:rPr>
          <w:sz w:val="23"/>
          <w:szCs w:val="23"/>
        </w:rPr>
        <w:t>Hvert femte år (næste evaluering skal omfatte 2018-2022) vurderer Kommissionen agenturets resultater i forhold til dets mål, mandat og opgaver. Der skal ved evalueringen navnlig ses på et eventuelt behov for at ændre agenturets mandat og de finansielle konsekvenser af en sådan ændring. Kommissionen aflægger rapport til Europa-Parlamentet, Rådet og bestyrelsen om resultaterne af evalueringen. Resultaterne af evalueringen offentliggøres.</w:t>
      </w:r>
    </w:p>
    <w:p w14:paraId="4AB814DF" w14:textId="201D6F4A" w:rsidR="00B50935" w:rsidRPr="00927CFF" w:rsidRDefault="00B50935" w:rsidP="00B50935">
      <w:pPr>
        <w:pStyle w:val="Text1"/>
        <w:pBdr>
          <w:top w:val="single" w:sz="4" w:space="1" w:color="auto"/>
          <w:left w:val="single" w:sz="4" w:space="4" w:color="auto"/>
          <w:bottom w:val="single" w:sz="4" w:space="1" w:color="auto"/>
          <w:right w:val="single" w:sz="4" w:space="4" w:color="auto"/>
        </w:pBdr>
      </w:pPr>
    </w:p>
    <w:p w14:paraId="1305833C" w14:textId="77777777" w:rsidR="00B50935" w:rsidRPr="00927CFF" w:rsidRDefault="00B50935" w:rsidP="00B50935">
      <w:pPr>
        <w:pStyle w:val="Heading2"/>
        <w:rPr>
          <w:bCs w:val="0"/>
          <w:noProof/>
          <w:szCs w:val="24"/>
        </w:rPr>
      </w:pPr>
      <w:bookmarkStart w:id="56" w:name="_Toc514938678"/>
      <w:bookmarkStart w:id="57" w:name="_Toc57735215"/>
      <w:r w:rsidRPr="00927CFF">
        <w:t>Forvaltnings- og kontrolsystem(er)</w:t>
      </w:r>
      <w:bookmarkEnd w:id="56"/>
      <w:bookmarkEnd w:id="57"/>
      <w:r w:rsidRPr="00927CFF">
        <w:t xml:space="preserve"> </w:t>
      </w:r>
    </w:p>
    <w:p w14:paraId="55884E91" w14:textId="77777777" w:rsidR="00B50935" w:rsidRPr="00927CFF" w:rsidRDefault="00B50935" w:rsidP="00B50935">
      <w:pPr>
        <w:pStyle w:val="Heading3"/>
        <w:rPr>
          <w:noProof/>
        </w:rPr>
      </w:pPr>
      <w:bookmarkStart w:id="58" w:name="_Toc514938679"/>
      <w:bookmarkStart w:id="59" w:name="_Toc57735216"/>
      <w:r w:rsidRPr="00927CFF">
        <w:t>Begrundelse for den/de påtænkte forvaltningsmetode(r), finansieringsmekanisme(r), betalingsvilkår og kontrolstrategi</w:t>
      </w:r>
      <w:bookmarkEnd w:id="58"/>
      <w:bookmarkEnd w:id="59"/>
    </w:p>
    <w:p w14:paraId="693AEC3C"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sz w:val="23"/>
          <w:szCs w:val="23"/>
        </w:rPr>
      </w:pPr>
      <w:r w:rsidRPr="00927CFF">
        <w:rPr>
          <w:sz w:val="23"/>
          <w:szCs w:val="23"/>
        </w:rPr>
        <w:t xml:space="preserve">Det årlige EU-tilskud overføres til agenturet i overensstemmelse med dets betalingsbehov og efter anmodning. </w:t>
      </w:r>
    </w:p>
    <w:p w14:paraId="1485B8A7"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rPr>
          <w:sz w:val="23"/>
          <w:szCs w:val="23"/>
        </w:rPr>
        <w:t>Agenturet bliver underlagt administrativ kontrol, herunder budgetkontrol, intern revision, Den Europæiske Revisionsrets årsberetninger, den årlige decharge for gennemførelsen af EU-budgettet og eventuelle OLAF-undersøgelser, der navnlig skal sikre, at de midler, der er tildelt agenturerne, anvendes korrekt. Agenturets virke bliver også underlagt Ombudsmandens tilsyn i henhold til traktatens artikel 228. Denne administrative kontrol giver en række proceduremæssige garantier for, at hensynet til de interesserede parter varetages.</w:t>
      </w:r>
    </w:p>
    <w:p w14:paraId="6909A5FF" w14:textId="4593D531" w:rsidR="00B50935" w:rsidRPr="00927CFF" w:rsidRDefault="00B50935" w:rsidP="00B50935">
      <w:pPr>
        <w:pStyle w:val="Text1"/>
        <w:pBdr>
          <w:top w:val="single" w:sz="4" w:space="1" w:color="auto"/>
          <w:left w:val="single" w:sz="4" w:space="4" w:color="auto"/>
          <w:bottom w:val="single" w:sz="4" w:space="1" w:color="auto"/>
          <w:right w:val="single" w:sz="4" w:space="4" w:color="auto"/>
        </w:pBdr>
      </w:pPr>
    </w:p>
    <w:p w14:paraId="323224D8" w14:textId="77777777" w:rsidR="00B50935" w:rsidRPr="00927CFF" w:rsidRDefault="00B50935" w:rsidP="00B50935">
      <w:pPr>
        <w:pStyle w:val="Heading3"/>
        <w:rPr>
          <w:noProof/>
        </w:rPr>
      </w:pPr>
      <w:bookmarkStart w:id="60" w:name="_Toc514938680"/>
      <w:bookmarkStart w:id="61" w:name="_Toc57735217"/>
      <w:r w:rsidRPr="00927CFF">
        <w:t>Oplysninger om de udpegede risici og det/de interne kontrolsystem(er), der etableres for at afbøde dem</w:t>
      </w:r>
      <w:bookmarkEnd w:id="60"/>
      <w:bookmarkEnd w:id="61"/>
    </w:p>
    <w:p w14:paraId="48BC39F3"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rPr>
          <w:sz w:val="23"/>
          <w:szCs w:val="23"/>
        </w:rPr>
        <w:t>Den største risiko vedrører kun delvis eller ingen gennemførelse af de planlagte opgaver. For at afbøde dette bør der stilles tilstrækkelige ressourcer til rådighed i både finansiel og personalemæssig henseende.</w:t>
      </w:r>
    </w:p>
    <w:p w14:paraId="7808040E" w14:textId="77777777" w:rsidR="00B50935" w:rsidRPr="00927CFF" w:rsidRDefault="00B50935" w:rsidP="00B50935">
      <w:pPr>
        <w:pStyle w:val="Heading2"/>
        <w:rPr>
          <w:bCs w:val="0"/>
          <w:noProof/>
          <w:szCs w:val="24"/>
        </w:rPr>
      </w:pPr>
      <w:bookmarkStart w:id="62" w:name="_Toc514938682"/>
      <w:bookmarkStart w:id="63" w:name="_Toc57735218"/>
      <w:r w:rsidRPr="00927CFF">
        <w:t>Foranstaltninger til forebyggelse af svig og uregelmæssigheder</w:t>
      </w:r>
      <w:bookmarkEnd w:id="62"/>
      <w:bookmarkEnd w:id="63"/>
      <w:r w:rsidRPr="00927CFF">
        <w:t xml:space="preserve"> </w:t>
      </w:r>
    </w:p>
    <w:p w14:paraId="669072B0" w14:textId="77777777" w:rsidR="00B50935" w:rsidRPr="00927CFF" w:rsidRDefault="00B50935" w:rsidP="00B50935">
      <w:pPr>
        <w:pStyle w:val="Text1"/>
        <w:rPr>
          <w:i/>
          <w:noProof/>
          <w:sz w:val="20"/>
        </w:rPr>
      </w:pPr>
      <w:r w:rsidRPr="00927CFF">
        <w:rPr>
          <w:i/>
          <w:sz w:val="20"/>
        </w:rPr>
        <w:t>Angiv eksisterende eller påtænkte forebyggelses- og beskyttelsesforanstaltninger, f.eks. fra strategien til bekæmpelse af svig.</w:t>
      </w:r>
    </w:p>
    <w:p w14:paraId="4E8CAF77" w14:textId="35EB33A5"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rPr>
          <w:sz w:val="23"/>
          <w:szCs w:val="23"/>
        </w:rPr>
        <w:t>Der er fastsat forholdsregler mod svig i artikel 25 i forslaget til forordning om oprettelse af ECDC, og direktøren og bestyrelsen vil træffe de relevante foranstaltninger i overensstemmelse med de principper for intern kontrol, som anvendes i alle EU's institutioner. I overensstemmelse med den fælles tilgang er strategien til bekæmpelse af svig blevet udviklet og anvendes af agenturet.</w:t>
      </w:r>
    </w:p>
    <w:p w14:paraId="063446CB" w14:textId="15E68D0B"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Det fremgår klart af ECDC's mandat, at bestemmelserne i forordning (EU, Euratom) nr. 883/2013 finder ubegrænset anvendelse.</w:t>
      </w:r>
    </w:p>
    <w:p w14:paraId="1E8C9611" w14:textId="0904E69A" w:rsidR="00B50935" w:rsidRPr="00927CFF" w:rsidRDefault="00447609" w:rsidP="00B50935">
      <w:pPr>
        <w:pStyle w:val="Text1"/>
        <w:pBdr>
          <w:top w:val="single" w:sz="4" w:space="1" w:color="auto"/>
          <w:left w:val="single" w:sz="4" w:space="4" w:color="auto"/>
          <w:bottom w:val="single" w:sz="4" w:space="1" w:color="auto"/>
          <w:right w:val="single" w:sz="4" w:space="4" w:color="auto"/>
        </w:pBdr>
      </w:pPr>
      <w:r w:rsidRPr="00927CFF">
        <w:t>ECDC tiltræder desuden den interinstitutionelle aftale af 25. maj 1999 om de interne undersøgelser, der foretages af Det Europæiske Kontor for Bekæmpelse af Svig (OLAF) (10), og udsteder straks de tilsvarende bestemmelser, som finder anvendelse på samtlige centrets medarbejdere.</w:t>
      </w:r>
    </w:p>
    <w:p w14:paraId="1265C61F" w14:textId="5F27BCC2" w:rsidR="00B50935" w:rsidRPr="00927CFF" w:rsidRDefault="00447609" w:rsidP="00B50935">
      <w:pPr>
        <w:pStyle w:val="Text1"/>
        <w:pBdr>
          <w:top w:val="single" w:sz="4" w:space="1" w:color="auto"/>
          <w:left w:val="single" w:sz="4" w:space="4" w:color="auto"/>
          <w:bottom w:val="single" w:sz="4" w:space="1" w:color="auto"/>
          <w:right w:val="single" w:sz="4" w:space="4" w:color="auto"/>
        </w:pBdr>
      </w:pPr>
      <w:r w:rsidRPr="00927CFF">
        <w:t>I ECDC's afgørelser om ydelse af tilskud samt enhver aftale eller ethvert instrument til gennemførelse heraf fastsættes det udtrykkeligt, at Revisionsretten og OLAF om nødvendigt kan foretage kontrol på stedet hos modtagerne af midler fra centret og de organer, som fordeler disse.</w:t>
      </w:r>
    </w:p>
    <w:p w14:paraId="656E52B9"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pPr>
      <w:r w:rsidRPr="00927CFF">
        <w:t>Den Europæiske Anklagemyndighed (EPPO) kan i overensstemmelse med forordning (EU) 2017/1939 efterforske og retsforfølge svig og andre ulovlige aktiviteter, der skader Unionens finansielle interesser, som fastsat i direktiv (EU) 2017/1371.</w:t>
      </w:r>
    </w:p>
    <w:p w14:paraId="54687DA4" w14:textId="0A3D04B7"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rPr>
      </w:pPr>
      <w:r w:rsidRPr="00927CFF">
        <w:t>Hvis ECDC indgår samarbejdsordninger med tredjelande og internationale organisationer, tilskudsaftaler, tilskudsafgørelser og kontrakter, skal de indeholde bestemmelser, der udtrykkeligt giver Revisionsretten, OLAF og EPPO beføjelse til at foretage sådan revision og efterforskninger i overensstemmelse med deres respektive beføjelser.</w:t>
      </w:r>
    </w:p>
    <w:p w14:paraId="47A8CEC6" w14:textId="77777777" w:rsidR="00B50935" w:rsidRPr="00927CFF" w:rsidRDefault="00B50935" w:rsidP="00B50935">
      <w:pPr>
        <w:pStyle w:val="Heading1"/>
        <w:rPr>
          <w:noProof/>
        </w:rPr>
      </w:pPr>
      <w:bookmarkStart w:id="64" w:name="_Toc514938683"/>
      <w:bookmarkStart w:id="65" w:name="_Toc57735219"/>
      <w:r w:rsidRPr="00927CFF">
        <w:t>FORSLAGETS/INITIATIVETS ANSLÅEDE FINANSIELLE VIRKNINGER</w:t>
      </w:r>
      <w:bookmarkEnd w:id="64"/>
      <w:bookmarkEnd w:id="65"/>
      <w:r w:rsidRPr="00927CFF">
        <w:t xml:space="preserve"> </w:t>
      </w:r>
    </w:p>
    <w:p w14:paraId="321165BC" w14:textId="77777777" w:rsidR="00B50935" w:rsidRPr="00927CFF" w:rsidRDefault="00B50935" w:rsidP="00B50935">
      <w:pPr>
        <w:rPr>
          <w:bCs/>
        </w:rPr>
      </w:pPr>
      <w:r w:rsidRPr="00927CFF">
        <w:t xml:space="preserve">I betragtning af de igangværende overvejelser om oprettelsen af et EU-BARDA bevarer Kommissionen retten til at tilpasse de foreslåede ressourcer og tildelingen af personale, når der fremsættes et præcist forslag til et EU-BARDA. </w:t>
      </w:r>
    </w:p>
    <w:p w14:paraId="6078B509" w14:textId="4661F9C8" w:rsidR="00B50935" w:rsidRPr="00927CFF" w:rsidRDefault="00B50935" w:rsidP="00025545">
      <w:pPr>
        <w:pStyle w:val="Text1"/>
      </w:pPr>
    </w:p>
    <w:p w14:paraId="11C60F03" w14:textId="77777777" w:rsidR="00B50935" w:rsidRPr="00927CFF" w:rsidRDefault="00B50935" w:rsidP="00B50935">
      <w:pPr>
        <w:pStyle w:val="Heading2"/>
        <w:rPr>
          <w:bCs w:val="0"/>
          <w:noProof/>
          <w:szCs w:val="24"/>
        </w:rPr>
      </w:pPr>
      <w:bookmarkStart w:id="66" w:name="_Toc514938684"/>
      <w:bookmarkStart w:id="67" w:name="_Toc57735220"/>
      <w:r w:rsidRPr="00927CFF">
        <w:t>Berørt(e) udgiftspost(er) på budgettet og udgiftsområde(r) i den flerårige finansielle ramme</w:t>
      </w:r>
      <w:bookmarkEnd w:id="66"/>
      <w:bookmarkEnd w:id="67"/>
      <w:r w:rsidRPr="00927CFF">
        <w:t xml:space="preserve"> </w:t>
      </w:r>
    </w:p>
    <w:p w14:paraId="763A996A" w14:textId="77777777" w:rsidR="00B50935" w:rsidRPr="00927CFF" w:rsidRDefault="00B50935" w:rsidP="006F7C3E">
      <w:pPr>
        <w:pStyle w:val="ListBullet1"/>
        <w:rPr>
          <w:noProof/>
        </w:rPr>
      </w:pPr>
      <w:r w:rsidRPr="00927CFF">
        <w:t xml:space="preserve">Eksisterende udgiftsposter på budgettet </w:t>
      </w:r>
    </w:p>
    <w:p w14:paraId="411C619B" w14:textId="77777777" w:rsidR="00B50935" w:rsidRPr="00927CFF" w:rsidRDefault="00B50935" w:rsidP="00B50935">
      <w:pPr>
        <w:pStyle w:val="Text1"/>
        <w:rPr>
          <w:noProof/>
        </w:rPr>
      </w:pPr>
      <w:r w:rsidRPr="00927CFF">
        <w:rPr>
          <w:u w:val="single"/>
        </w:rPr>
        <w:t>I samme rækkefølge</w:t>
      </w:r>
      <w:r w:rsidRPr="00927CFF">
        <w:t xml:space="preserve"> som udgiftsområderne i den flerårige finansielle ramme og budgetposterne.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B50935" w:rsidRPr="00927CFF" w14:paraId="0F0A2AE2" w14:textId="77777777" w:rsidTr="00427764">
        <w:tc>
          <w:tcPr>
            <w:tcW w:w="1080" w:type="dxa"/>
            <w:vMerge w:val="restart"/>
            <w:vAlign w:val="center"/>
          </w:tcPr>
          <w:p w14:paraId="78D958F0" w14:textId="77777777" w:rsidR="00B50935" w:rsidRPr="00927CFF" w:rsidRDefault="00B50935" w:rsidP="00427764">
            <w:pPr>
              <w:spacing w:before="60" w:after="60"/>
              <w:jc w:val="center"/>
              <w:rPr>
                <w:noProof/>
                <w:sz w:val="18"/>
              </w:rPr>
            </w:pPr>
            <w:r w:rsidRPr="00927CFF">
              <w:rPr>
                <w:sz w:val="18"/>
              </w:rPr>
              <w:t>Udgifts</w:t>
            </w:r>
            <w:r w:rsidRPr="00927CFF">
              <w:rPr>
                <w:sz w:val="18"/>
              </w:rPr>
              <w:softHyphen/>
              <w:t>område i den flerårige finansielle ramme</w:t>
            </w:r>
          </w:p>
        </w:tc>
        <w:tc>
          <w:tcPr>
            <w:tcW w:w="3960" w:type="dxa"/>
            <w:vAlign w:val="center"/>
          </w:tcPr>
          <w:p w14:paraId="4535E307" w14:textId="77777777" w:rsidR="00B50935" w:rsidRPr="00927CFF" w:rsidRDefault="00B50935" w:rsidP="00427764">
            <w:pPr>
              <w:spacing w:before="60" w:after="60"/>
              <w:jc w:val="center"/>
              <w:rPr>
                <w:noProof/>
              </w:rPr>
            </w:pPr>
            <w:r w:rsidRPr="00927CFF">
              <w:rPr>
                <w:sz w:val="20"/>
              </w:rPr>
              <w:t>Budgetpost</w:t>
            </w:r>
          </w:p>
        </w:tc>
        <w:tc>
          <w:tcPr>
            <w:tcW w:w="1080" w:type="dxa"/>
            <w:vAlign w:val="center"/>
          </w:tcPr>
          <w:p w14:paraId="3F53567D" w14:textId="77777777" w:rsidR="00B50935" w:rsidRPr="00927CFF" w:rsidRDefault="00B50935" w:rsidP="00427764">
            <w:pPr>
              <w:spacing w:before="60" w:after="60"/>
              <w:jc w:val="center"/>
              <w:rPr>
                <w:noProof/>
              </w:rPr>
            </w:pPr>
            <w:r w:rsidRPr="00927CFF">
              <w:rPr>
                <w:sz w:val="18"/>
              </w:rPr>
              <w:t>Udgiftens art</w:t>
            </w:r>
          </w:p>
        </w:tc>
        <w:tc>
          <w:tcPr>
            <w:tcW w:w="4556" w:type="dxa"/>
            <w:gridSpan w:val="4"/>
            <w:vAlign w:val="center"/>
          </w:tcPr>
          <w:p w14:paraId="7B29D62B" w14:textId="77777777" w:rsidR="00B50935" w:rsidRPr="00927CFF" w:rsidRDefault="00B50935" w:rsidP="00427764">
            <w:pPr>
              <w:spacing w:before="60" w:after="60"/>
              <w:jc w:val="center"/>
              <w:rPr>
                <w:noProof/>
              </w:rPr>
            </w:pPr>
            <w:r w:rsidRPr="00927CFF">
              <w:rPr>
                <w:sz w:val="20"/>
              </w:rPr>
              <w:t xml:space="preserve">Bidrag </w:t>
            </w:r>
          </w:p>
        </w:tc>
      </w:tr>
      <w:tr w:rsidR="00B50935" w:rsidRPr="00927CFF" w14:paraId="212358D7" w14:textId="77777777" w:rsidTr="00427764">
        <w:tc>
          <w:tcPr>
            <w:tcW w:w="1080" w:type="dxa"/>
            <w:vMerge/>
            <w:vAlign w:val="center"/>
          </w:tcPr>
          <w:p w14:paraId="141BCBF0" w14:textId="77777777" w:rsidR="00B50935" w:rsidRPr="00927CFF" w:rsidRDefault="00B50935" w:rsidP="00427764">
            <w:pPr>
              <w:rPr>
                <w:noProof/>
                <w:sz w:val="18"/>
              </w:rPr>
            </w:pPr>
          </w:p>
        </w:tc>
        <w:tc>
          <w:tcPr>
            <w:tcW w:w="3960" w:type="dxa"/>
            <w:vAlign w:val="center"/>
          </w:tcPr>
          <w:p w14:paraId="096B73A2" w14:textId="77777777" w:rsidR="00B50935" w:rsidRPr="00927CFF" w:rsidRDefault="00B50935" w:rsidP="00427764">
            <w:pPr>
              <w:rPr>
                <w:noProof/>
              </w:rPr>
            </w:pPr>
            <w:r w:rsidRPr="00927CFF">
              <w:rPr>
                <w:sz w:val="20"/>
              </w:rPr>
              <w:t xml:space="preserve">Nummer </w:t>
            </w:r>
            <w:r w:rsidRPr="00927CFF">
              <w:t xml:space="preserve"> </w:t>
            </w:r>
            <w:r w:rsidRPr="00927CFF">
              <w:br/>
            </w:r>
          </w:p>
        </w:tc>
        <w:tc>
          <w:tcPr>
            <w:tcW w:w="1080" w:type="dxa"/>
            <w:vAlign w:val="center"/>
          </w:tcPr>
          <w:p w14:paraId="7A3FBF3A" w14:textId="77777777" w:rsidR="00B50935" w:rsidRPr="00927CFF" w:rsidRDefault="00B50935" w:rsidP="00427764">
            <w:pPr>
              <w:jc w:val="center"/>
              <w:rPr>
                <w:noProof/>
              </w:rPr>
            </w:pPr>
            <w:r w:rsidRPr="00927CFF">
              <w:rPr>
                <w:sz w:val="18"/>
              </w:rPr>
              <w:t>IOB</w:t>
            </w:r>
            <w:r w:rsidRPr="00927CFF">
              <w:rPr>
                <w:rStyle w:val="FootnoteReference"/>
                <w:noProof/>
                <w:sz w:val="18"/>
              </w:rPr>
              <w:footnoteReference w:id="16"/>
            </w:r>
            <w:r w:rsidRPr="00927CFF">
              <w:t>.</w:t>
            </w:r>
          </w:p>
        </w:tc>
        <w:tc>
          <w:tcPr>
            <w:tcW w:w="956" w:type="dxa"/>
            <w:vAlign w:val="center"/>
          </w:tcPr>
          <w:p w14:paraId="7A9808CE" w14:textId="77777777" w:rsidR="00B50935" w:rsidRPr="00927CFF" w:rsidRDefault="00B50935" w:rsidP="00427764">
            <w:pPr>
              <w:jc w:val="center"/>
              <w:rPr>
                <w:noProof/>
              </w:rPr>
            </w:pPr>
            <w:r w:rsidRPr="00927CFF">
              <w:rPr>
                <w:sz w:val="18"/>
              </w:rPr>
              <w:t>fra EFTA-lande</w:t>
            </w:r>
            <w:r w:rsidRPr="00927CFF">
              <w:rPr>
                <w:rStyle w:val="FootnoteReference"/>
                <w:noProof/>
                <w:sz w:val="18"/>
              </w:rPr>
              <w:footnoteReference w:id="17"/>
            </w:r>
          </w:p>
        </w:tc>
        <w:tc>
          <w:tcPr>
            <w:tcW w:w="1080" w:type="dxa"/>
            <w:vAlign w:val="center"/>
          </w:tcPr>
          <w:p w14:paraId="3596C70A" w14:textId="77777777" w:rsidR="00B50935" w:rsidRPr="00927CFF" w:rsidRDefault="00B50935" w:rsidP="00427764">
            <w:pPr>
              <w:jc w:val="center"/>
              <w:rPr>
                <w:noProof/>
                <w:sz w:val="18"/>
              </w:rPr>
            </w:pPr>
            <w:r w:rsidRPr="00927CFF">
              <w:rPr>
                <w:sz w:val="18"/>
              </w:rPr>
              <w:t>fra kandidatlande</w:t>
            </w:r>
            <w:r w:rsidRPr="00927CFF">
              <w:rPr>
                <w:rStyle w:val="FootnoteReference"/>
                <w:noProof/>
                <w:sz w:val="18"/>
              </w:rPr>
              <w:footnoteReference w:id="18"/>
            </w:r>
          </w:p>
        </w:tc>
        <w:tc>
          <w:tcPr>
            <w:tcW w:w="956" w:type="dxa"/>
            <w:vAlign w:val="center"/>
          </w:tcPr>
          <w:p w14:paraId="745E9C60" w14:textId="77777777" w:rsidR="00B50935" w:rsidRPr="00927CFF" w:rsidRDefault="00B50935" w:rsidP="00427764">
            <w:pPr>
              <w:jc w:val="center"/>
              <w:rPr>
                <w:noProof/>
                <w:sz w:val="18"/>
              </w:rPr>
            </w:pPr>
            <w:r w:rsidRPr="00927CFF">
              <w:rPr>
                <w:sz w:val="18"/>
              </w:rPr>
              <w:t>fra tredje</w:t>
            </w:r>
            <w:r w:rsidRPr="00927CFF">
              <w:rPr>
                <w:sz w:val="18"/>
              </w:rPr>
              <w:softHyphen/>
              <w:t>lande</w:t>
            </w:r>
          </w:p>
        </w:tc>
        <w:tc>
          <w:tcPr>
            <w:tcW w:w="1564" w:type="dxa"/>
            <w:vAlign w:val="center"/>
          </w:tcPr>
          <w:p w14:paraId="6CA21598" w14:textId="77777777" w:rsidR="00B50935" w:rsidRPr="00927CFF" w:rsidRDefault="00B50935" w:rsidP="00427764">
            <w:pPr>
              <w:jc w:val="center"/>
              <w:rPr>
                <w:noProof/>
                <w:sz w:val="16"/>
                <w:szCs w:val="16"/>
              </w:rPr>
            </w:pPr>
            <w:r w:rsidRPr="00927CFF">
              <w:rPr>
                <w:sz w:val="16"/>
                <w:szCs w:val="16"/>
              </w:rPr>
              <w:t>iht. finans</w:t>
            </w:r>
            <w:r w:rsidRPr="00927CFF">
              <w:rPr>
                <w:sz w:val="16"/>
                <w:szCs w:val="16"/>
              </w:rPr>
              <w:softHyphen/>
              <w:t>forord</w:t>
            </w:r>
            <w:r w:rsidRPr="00927CFF">
              <w:rPr>
                <w:sz w:val="16"/>
                <w:szCs w:val="16"/>
              </w:rPr>
              <w:softHyphen/>
              <w:t xml:space="preserve">ningens artikel 21, stk. 2, litra b) </w:t>
            </w:r>
          </w:p>
        </w:tc>
      </w:tr>
      <w:tr w:rsidR="00B50935" w:rsidRPr="00927CFF" w14:paraId="74D1F135" w14:textId="77777777" w:rsidTr="00427764">
        <w:tc>
          <w:tcPr>
            <w:tcW w:w="1080" w:type="dxa"/>
            <w:vAlign w:val="center"/>
          </w:tcPr>
          <w:p w14:paraId="6413E3E1" w14:textId="77777777" w:rsidR="00B50935" w:rsidRPr="00927CFF" w:rsidRDefault="00B50935" w:rsidP="00427764">
            <w:pPr>
              <w:jc w:val="center"/>
              <w:rPr>
                <w:noProof/>
                <w:color w:val="0000FF"/>
              </w:rPr>
            </w:pPr>
            <w:r w:rsidRPr="00927CFF">
              <w:t>2</w:t>
            </w:r>
          </w:p>
        </w:tc>
        <w:tc>
          <w:tcPr>
            <w:tcW w:w="3960" w:type="dxa"/>
            <w:vAlign w:val="center"/>
          </w:tcPr>
          <w:p w14:paraId="6A1A1C48" w14:textId="77777777" w:rsidR="00B50935" w:rsidRPr="00927CFF" w:rsidRDefault="00B50935" w:rsidP="00427764">
            <w:pPr>
              <w:spacing w:after="60"/>
            </w:pPr>
            <w:r w:rsidRPr="00927CFF">
              <w:t>06.1001</w:t>
            </w:r>
          </w:p>
        </w:tc>
        <w:tc>
          <w:tcPr>
            <w:tcW w:w="1080" w:type="dxa"/>
            <w:vAlign w:val="center"/>
          </w:tcPr>
          <w:p w14:paraId="06BBE56E" w14:textId="77777777" w:rsidR="00B50935" w:rsidRPr="00927CFF" w:rsidRDefault="00B50935" w:rsidP="00427764">
            <w:pPr>
              <w:jc w:val="center"/>
              <w:rPr>
                <w:noProof/>
                <w:color w:val="0000FF"/>
              </w:rPr>
            </w:pPr>
            <w:r w:rsidRPr="00927CFF">
              <w:rPr>
                <w:sz w:val="18"/>
              </w:rPr>
              <w:t>IOB</w:t>
            </w:r>
          </w:p>
        </w:tc>
        <w:tc>
          <w:tcPr>
            <w:tcW w:w="956" w:type="dxa"/>
            <w:vAlign w:val="center"/>
          </w:tcPr>
          <w:p w14:paraId="715D5652" w14:textId="77777777" w:rsidR="00B50935" w:rsidRPr="00927CFF" w:rsidRDefault="00B50935" w:rsidP="00427764">
            <w:pPr>
              <w:jc w:val="center"/>
              <w:rPr>
                <w:sz w:val="20"/>
              </w:rPr>
            </w:pPr>
            <w:r w:rsidRPr="00927CFF">
              <w:rPr>
                <w:sz w:val="20"/>
              </w:rPr>
              <w:t>JA</w:t>
            </w:r>
          </w:p>
        </w:tc>
        <w:tc>
          <w:tcPr>
            <w:tcW w:w="1080" w:type="dxa"/>
            <w:vAlign w:val="center"/>
          </w:tcPr>
          <w:p w14:paraId="24C56BD2" w14:textId="77777777" w:rsidR="00B50935" w:rsidRPr="00927CFF" w:rsidRDefault="00B50935" w:rsidP="00427764">
            <w:pPr>
              <w:jc w:val="center"/>
              <w:rPr>
                <w:sz w:val="20"/>
              </w:rPr>
            </w:pPr>
            <w:r w:rsidRPr="00927CFF">
              <w:rPr>
                <w:sz w:val="20"/>
              </w:rPr>
              <w:t>NEJ</w:t>
            </w:r>
          </w:p>
        </w:tc>
        <w:tc>
          <w:tcPr>
            <w:tcW w:w="956" w:type="dxa"/>
            <w:vAlign w:val="center"/>
          </w:tcPr>
          <w:p w14:paraId="44C61DA6" w14:textId="77777777" w:rsidR="00B50935" w:rsidRPr="00927CFF" w:rsidRDefault="00B50935" w:rsidP="00427764">
            <w:pPr>
              <w:jc w:val="center"/>
              <w:rPr>
                <w:sz w:val="20"/>
              </w:rPr>
            </w:pPr>
            <w:r w:rsidRPr="00927CFF">
              <w:rPr>
                <w:sz w:val="20"/>
              </w:rPr>
              <w:t>NEJ</w:t>
            </w:r>
          </w:p>
        </w:tc>
        <w:tc>
          <w:tcPr>
            <w:tcW w:w="1564" w:type="dxa"/>
            <w:vAlign w:val="center"/>
          </w:tcPr>
          <w:p w14:paraId="7F6C3248" w14:textId="77777777" w:rsidR="00B50935" w:rsidRPr="00927CFF" w:rsidRDefault="00B50935" w:rsidP="00427764">
            <w:pPr>
              <w:jc w:val="center"/>
              <w:rPr>
                <w:sz w:val="20"/>
              </w:rPr>
            </w:pPr>
            <w:r w:rsidRPr="00927CFF">
              <w:rPr>
                <w:sz w:val="20"/>
              </w:rPr>
              <w:t>NEJ</w:t>
            </w:r>
          </w:p>
        </w:tc>
      </w:tr>
    </w:tbl>
    <w:p w14:paraId="351F849A" w14:textId="77777777" w:rsidR="00B50935" w:rsidRPr="00927CFF" w:rsidRDefault="00B50935" w:rsidP="006F7C3E">
      <w:pPr>
        <w:pStyle w:val="ListBullet1"/>
        <w:rPr>
          <w:noProof/>
        </w:rPr>
      </w:pPr>
      <w:r w:rsidRPr="00927CFF">
        <w:t xml:space="preserve">Nye budgetposter, som der er søgt om. </w:t>
      </w:r>
    </w:p>
    <w:p w14:paraId="152ED5A6" w14:textId="77777777" w:rsidR="00B50935" w:rsidRPr="00927CFF" w:rsidRDefault="00B50935" w:rsidP="00B50935">
      <w:pPr>
        <w:pStyle w:val="Text1"/>
        <w:rPr>
          <w:i/>
          <w:noProof/>
          <w:sz w:val="20"/>
        </w:rPr>
      </w:pPr>
      <w:r w:rsidRPr="00927CFF">
        <w:rPr>
          <w:u w:val="single"/>
        </w:rPr>
        <w:t>I samme rækkefølge</w:t>
      </w:r>
      <w:r w:rsidRPr="00927CFF">
        <w:t xml:space="preserve"> som udgiftsområderne i den flerårige finansielle ramme og budgetposterne.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rsidR="00B50935" w:rsidRPr="00927CFF" w14:paraId="167A413F" w14:textId="77777777" w:rsidTr="00427764">
        <w:tc>
          <w:tcPr>
            <w:tcW w:w="1080" w:type="dxa"/>
            <w:vMerge w:val="restart"/>
            <w:vAlign w:val="center"/>
          </w:tcPr>
          <w:p w14:paraId="40C702A4" w14:textId="77777777" w:rsidR="00B50935" w:rsidRPr="00927CFF" w:rsidRDefault="00B50935" w:rsidP="00427764">
            <w:pPr>
              <w:spacing w:before="60" w:after="60"/>
              <w:jc w:val="center"/>
              <w:rPr>
                <w:noProof/>
              </w:rPr>
            </w:pPr>
            <w:r w:rsidRPr="00927CFF">
              <w:rPr>
                <w:sz w:val="18"/>
              </w:rPr>
              <w:t>Udgifts</w:t>
            </w:r>
            <w:r w:rsidRPr="00927CFF">
              <w:rPr>
                <w:sz w:val="18"/>
              </w:rPr>
              <w:softHyphen/>
              <w:t>område i den flerårige finansielle ramme</w:t>
            </w:r>
          </w:p>
        </w:tc>
        <w:tc>
          <w:tcPr>
            <w:tcW w:w="3960" w:type="dxa"/>
            <w:vAlign w:val="center"/>
          </w:tcPr>
          <w:p w14:paraId="2DBD3667" w14:textId="77777777" w:rsidR="00B50935" w:rsidRPr="00927CFF" w:rsidRDefault="00B50935" w:rsidP="00427764">
            <w:pPr>
              <w:spacing w:before="60" w:after="60"/>
              <w:jc w:val="center"/>
              <w:rPr>
                <w:noProof/>
              </w:rPr>
            </w:pPr>
            <w:r w:rsidRPr="00927CFF">
              <w:rPr>
                <w:sz w:val="20"/>
              </w:rPr>
              <w:t>Budgetpost</w:t>
            </w:r>
          </w:p>
        </w:tc>
        <w:tc>
          <w:tcPr>
            <w:tcW w:w="1080" w:type="dxa"/>
            <w:vAlign w:val="center"/>
          </w:tcPr>
          <w:p w14:paraId="4EDCEBAD" w14:textId="77777777" w:rsidR="00B50935" w:rsidRPr="00927CFF" w:rsidRDefault="00B50935" w:rsidP="00427764">
            <w:pPr>
              <w:spacing w:before="60" w:after="60"/>
              <w:jc w:val="center"/>
              <w:rPr>
                <w:noProof/>
              </w:rPr>
            </w:pPr>
            <w:r w:rsidRPr="00927CFF">
              <w:rPr>
                <w:sz w:val="18"/>
              </w:rPr>
              <w:t>Udgiftens</w:t>
            </w:r>
            <w:r w:rsidRPr="00927CFF">
              <w:t xml:space="preserve"> </w:t>
            </w:r>
            <w:r w:rsidRPr="00927CFF">
              <w:br/>
            </w:r>
            <w:r w:rsidRPr="00927CFF">
              <w:rPr>
                <w:sz w:val="18"/>
              </w:rPr>
              <w:t>art</w:t>
            </w:r>
          </w:p>
        </w:tc>
        <w:tc>
          <w:tcPr>
            <w:tcW w:w="4556" w:type="dxa"/>
            <w:gridSpan w:val="4"/>
            <w:vAlign w:val="center"/>
          </w:tcPr>
          <w:p w14:paraId="0C4A3906" w14:textId="77777777" w:rsidR="00B50935" w:rsidRPr="00927CFF" w:rsidRDefault="00B50935" w:rsidP="00427764">
            <w:pPr>
              <w:spacing w:before="60" w:after="60"/>
              <w:jc w:val="center"/>
              <w:rPr>
                <w:noProof/>
              </w:rPr>
            </w:pPr>
            <w:r w:rsidRPr="00927CFF">
              <w:rPr>
                <w:sz w:val="20"/>
              </w:rPr>
              <w:t xml:space="preserve">Bidrag </w:t>
            </w:r>
          </w:p>
        </w:tc>
      </w:tr>
      <w:tr w:rsidR="00B50935" w:rsidRPr="00927CFF" w14:paraId="69DA3DF8" w14:textId="77777777" w:rsidTr="00427764">
        <w:tc>
          <w:tcPr>
            <w:tcW w:w="1080" w:type="dxa"/>
            <w:vMerge/>
            <w:vAlign w:val="center"/>
          </w:tcPr>
          <w:p w14:paraId="6B25CBDA" w14:textId="77777777" w:rsidR="00B50935" w:rsidRPr="00927CFF" w:rsidRDefault="00B50935" w:rsidP="00427764">
            <w:pPr>
              <w:rPr>
                <w:noProof/>
              </w:rPr>
            </w:pPr>
          </w:p>
        </w:tc>
        <w:tc>
          <w:tcPr>
            <w:tcW w:w="3960" w:type="dxa"/>
            <w:vAlign w:val="center"/>
          </w:tcPr>
          <w:p w14:paraId="240A4C5A" w14:textId="77777777" w:rsidR="00B50935" w:rsidRPr="00927CFF" w:rsidRDefault="00B50935" w:rsidP="00427764">
            <w:r w:rsidRPr="00927CFF">
              <w:rPr>
                <w:sz w:val="20"/>
              </w:rPr>
              <w:t xml:space="preserve">Nummer </w:t>
            </w:r>
            <w:r w:rsidRPr="00927CFF">
              <w:t xml:space="preserve"> </w:t>
            </w:r>
            <w:r w:rsidRPr="00927CFF">
              <w:br/>
            </w:r>
          </w:p>
        </w:tc>
        <w:tc>
          <w:tcPr>
            <w:tcW w:w="1080" w:type="dxa"/>
            <w:vAlign w:val="center"/>
          </w:tcPr>
          <w:p w14:paraId="3A1FF0BD" w14:textId="77777777" w:rsidR="00B50935" w:rsidRPr="00927CFF" w:rsidRDefault="00B50935" w:rsidP="00427764">
            <w:pPr>
              <w:jc w:val="center"/>
              <w:rPr>
                <w:noProof/>
              </w:rPr>
            </w:pPr>
            <w:r w:rsidRPr="00927CFF">
              <w:rPr>
                <w:sz w:val="18"/>
              </w:rPr>
              <w:t>OB/IOB</w:t>
            </w:r>
          </w:p>
        </w:tc>
        <w:tc>
          <w:tcPr>
            <w:tcW w:w="956" w:type="dxa"/>
            <w:vAlign w:val="center"/>
          </w:tcPr>
          <w:p w14:paraId="7663468B" w14:textId="77777777" w:rsidR="00B50935" w:rsidRPr="00927CFF" w:rsidRDefault="00B50935" w:rsidP="00427764">
            <w:pPr>
              <w:jc w:val="center"/>
              <w:rPr>
                <w:noProof/>
                <w:sz w:val="18"/>
              </w:rPr>
            </w:pPr>
            <w:r w:rsidRPr="00927CFF">
              <w:rPr>
                <w:sz w:val="18"/>
              </w:rPr>
              <w:t>fra EFTA-lande</w:t>
            </w:r>
          </w:p>
        </w:tc>
        <w:tc>
          <w:tcPr>
            <w:tcW w:w="1080" w:type="dxa"/>
            <w:vAlign w:val="center"/>
          </w:tcPr>
          <w:p w14:paraId="59963210" w14:textId="77777777" w:rsidR="00B50935" w:rsidRPr="00927CFF" w:rsidRDefault="00B50935" w:rsidP="00427764">
            <w:pPr>
              <w:jc w:val="center"/>
              <w:rPr>
                <w:noProof/>
                <w:sz w:val="18"/>
              </w:rPr>
            </w:pPr>
            <w:r w:rsidRPr="00927CFF">
              <w:rPr>
                <w:sz w:val="18"/>
              </w:rPr>
              <w:t>fra kandidatlande</w:t>
            </w:r>
          </w:p>
        </w:tc>
        <w:tc>
          <w:tcPr>
            <w:tcW w:w="956" w:type="dxa"/>
            <w:vAlign w:val="center"/>
          </w:tcPr>
          <w:p w14:paraId="720B7B7B" w14:textId="77777777" w:rsidR="00B50935" w:rsidRPr="00927CFF" w:rsidRDefault="00B50935" w:rsidP="00427764">
            <w:pPr>
              <w:jc w:val="center"/>
              <w:rPr>
                <w:noProof/>
                <w:sz w:val="18"/>
              </w:rPr>
            </w:pPr>
            <w:r w:rsidRPr="00927CFF">
              <w:rPr>
                <w:sz w:val="18"/>
              </w:rPr>
              <w:t>fra tredje</w:t>
            </w:r>
            <w:r w:rsidRPr="00927CFF">
              <w:rPr>
                <w:sz w:val="18"/>
              </w:rPr>
              <w:softHyphen/>
              <w:t>lande</w:t>
            </w:r>
          </w:p>
        </w:tc>
        <w:tc>
          <w:tcPr>
            <w:tcW w:w="1564" w:type="dxa"/>
            <w:vAlign w:val="center"/>
          </w:tcPr>
          <w:p w14:paraId="3D8D1E90" w14:textId="77777777" w:rsidR="00B50935" w:rsidRPr="00927CFF" w:rsidRDefault="00B50935" w:rsidP="00427764">
            <w:pPr>
              <w:jc w:val="center"/>
              <w:rPr>
                <w:noProof/>
              </w:rPr>
            </w:pPr>
            <w:r w:rsidRPr="00927CFF">
              <w:rPr>
                <w:sz w:val="16"/>
              </w:rPr>
              <w:t>iht. finans</w:t>
            </w:r>
            <w:r w:rsidRPr="00927CFF">
              <w:rPr>
                <w:sz w:val="16"/>
              </w:rPr>
              <w:softHyphen/>
              <w:t>forord</w:t>
            </w:r>
            <w:r w:rsidRPr="00927CFF">
              <w:rPr>
                <w:sz w:val="16"/>
              </w:rPr>
              <w:softHyphen/>
              <w:t xml:space="preserve">ningens artikel 21, stk. 2, litra b) </w:t>
            </w:r>
          </w:p>
        </w:tc>
      </w:tr>
      <w:tr w:rsidR="00B50935" w:rsidRPr="00927CFF" w14:paraId="71DA376D" w14:textId="77777777" w:rsidTr="00427764">
        <w:tc>
          <w:tcPr>
            <w:tcW w:w="1080" w:type="dxa"/>
            <w:vAlign w:val="center"/>
          </w:tcPr>
          <w:p w14:paraId="7488541E" w14:textId="77777777" w:rsidR="00B50935" w:rsidRPr="00927CFF" w:rsidRDefault="00B50935" w:rsidP="00427764">
            <w:pPr>
              <w:jc w:val="center"/>
              <w:rPr>
                <w:noProof/>
                <w:color w:val="0000FF"/>
              </w:rPr>
            </w:pPr>
          </w:p>
        </w:tc>
        <w:tc>
          <w:tcPr>
            <w:tcW w:w="3960" w:type="dxa"/>
            <w:vAlign w:val="center"/>
          </w:tcPr>
          <w:p w14:paraId="2D0FFADC" w14:textId="77777777" w:rsidR="00B50935" w:rsidRPr="00927CFF" w:rsidRDefault="00B50935" w:rsidP="00427764">
            <w:pPr>
              <w:spacing w:before="60"/>
            </w:pPr>
            <w:r w:rsidRPr="00927CFF">
              <w:t>[XX.YY.YY.YY]</w:t>
            </w:r>
          </w:p>
          <w:p w14:paraId="59179C6B" w14:textId="77777777" w:rsidR="00B50935" w:rsidRPr="00927CFF" w:rsidRDefault="00B50935" w:rsidP="00427764">
            <w:pPr>
              <w:spacing w:after="60"/>
              <w:rPr>
                <w:noProof/>
              </w:rPr>
            </w:pPr>
          </w:p>
        </w:tc>
        <w:tc>
          <w:tcPr>
            <w:tcW w:w="1080" w:type="dxa"/>
            <w:vAlign w:val="center"/>
          </w:tcPr>
          <w:p w14:paraId="79D88E2F" w14:textId="77777777" w:rsidR="00B50935" w:rsidRPr="00927CFF" w:rsidRDefault="00B50935" w:rsidP="00427764">
            <w:pPr>
              <w:jc w:val="center"/>
              <w:rPr>
                <w:noProof/>
                <w:color w:val="0000FF"/>
              </w:rPr>
            </w:pPr>
          </w:p>
        </w:tc>
        <w:tc>
          <w:tcPr>
            <w:tcW w:w="956" w:type="dxa"/>
            <w:vAlign w:val="center"/>
          </w:tcPr>
          <w:p w14:paraId="03D38EB3" w14:textId="77777777" w:rsidR="00B50935" w:rsidRPr="00927CFF" w:rsidRDefault="00B50935" w:rsidP="00427764">
            <w:pPr>
              <w:jc w:val="center"/>
              <w:rPr>
                <w:sz w:val="20"/>
              </w:rPr>
            </w:pPr>
            <w:r w:rsidRPr="00927CFF">
              <w:rPr>
                <w:sz w:val="20"/>
              </w:rPr>
              <w:t>JA/NEJ</w:t>
            </w:r>
          </w:p>
        </w:tc>
        <w:tc>
          <w:tcPr>
            <w:tcW w:w="1080" w:type="dxa"/>
            <w:vAlign w:val="center"/>
          </w:tcPr>
          <w:p w14:paraId="6616129C" w14:textId="77777777" w:rsidR="00B50935" w:rsidRPr="00927CFF" w:rsidRDefault="00B50935" w:rsidP="00427764">
            <w:pPr>
              <w:jc w:val="center"/>
              <w:rPr>
                <w:noProof/>
                <w:color w:val="0000FF"/>
                <w:sz w:val="20"/>
              </w:rPr>
            </w:pPr>
            <w:r w:rsidRPr="00927CFF">
              <w:rPr>
                <w:sz w:val="20"/>
              </w:rPr>
              <w:t>JA/NEJ</w:t>
            </w:r>
          </w:p>
        </w:tc>
        <w:tc>
          <w:tcPr>
            <w:tcW w:w="956" w:type="dxa"/>
            <w:vAlign w:val="center"/>
          </w:tcPr>
          <w:p w14:paraId="77D4E39A" w14:textId="77777777" w:rsidR="00B50935" w:rsidRPr="00927CFF" w:rsidRDefault="00B50935" w:rsidP="00427764">
            <w:pPr>
              <w:jc w:val="center"/>
              <w:rPr>
                <w:noProof/>
                <w:color w:val="0000FF"/>
                <w:sz w:val="20"/>
              </w:rPr>
            </w:pPr>
            <w:r w:rsidRPr="00927CFF">
              <w:rPr>
                <w:sz w:val="20"/>
              </w:rPr>
              <w:t>JA/NEJ</w:t>
            </w:r>
          </w:p>
        </w:tc>
        <w:tc>
          <w:tcPr>
            <w:tcW w:w="1564" w:type="dxa"/>
            <w:vAlign w:val="center"/>
          </w:tcPr>
          <w:p w14:paraId="3D2C9198" w14:textId="77777777" w:rsidR="00B50935" w:rsidRPr="00927CFF" w:rsidRDefault="00B50935" w:rsidP="00427764">
            <w:pPr>
              <w:jc w:val="center"/>
              <w:rPr>
                <w:sz w:val="20"/>
              </w:rPr>
            </w:pPr>
            <w:r w:rsidRPr="00927CFF">
              <w:rPr>
                <w:sz w:val="20"/>
              </w:rPr>
              <w:t>JA/NEJ</w:t>
            </w:r>
          </w:p>
        </w:tc>
      </w:tr>
    </w:tbl>
    <w:p w14:paraId="5B8D4E2D" w14:textId="77777777" w:rsidR="00B50935" w:rsidRPr="00927CFF" w:rsidRDefault="00B50935" w:rsidP="00B50935">
      <w:pPr>
        <w:rPr>
          <w:noProof/>
        </w:rPr>
        <w:sectPr w:rsidR="00B50935" w:rsidRPr="00927CFF" w:rsidSect="00BE6028">
          <w:pgSz w:w="12240" w:h="15840"/>
          <w:pgMar w:top="794" w:right="907" w:bottom="851" w:left="1361" w:header="510" w:footer="454" w:gutter="0"/>
          <w:cols w:space="720"/>
          <w:docGrid w:linePitch="326"/>
        </w:sectPr>
      </w:pPr>
    </w:p>
    <w:p w14:paraId="56FCFEAB" w14:textId="77777777" w:rsidR="00B50935" w:rsidRPr="00927CFF" w:rsidRDefault="00B50935" w:rsidP="00B50935">
      <w:pPr>
        <w:pStyle w:val="Heading2"/>
        <w:rPr>
          <w:bCs w:val="0"/>
          <w:noProof/>
          <w:szCs w:val="24"/>
        </w:rPr>
      </w:pPr>
      <w:bookmarkStart w:id="68" w:name="_Toc514938685"/>
      <w:bookmarkStart w:id="69" w:name="_Toc57735221"/>
      <w:r w:rsidRPr="00927CFF">
        <w:t>Anslåede virkninger for udgifterne</w:t>
      </w:r>
      <w:bookmarkEnd w:id="68"/>
      <w:bookmarkEnd w:id="69"/>
      <w:r w:rsidRPr="00927CFF">
        <w:t xml:space="preserve"> </w:t>
      </w:r>
    </w:p>
    <w:p w14:paraId="42C2DCA8" w14:textId="77777777" w:rsidR="00B50935" w:rsidRPr="00927CFF" w:rsidRDefault="00B50935" w:rsidP="00B50935">
      <w:pPr>
        <w:pStyle w:val="Heading3"/>
        <w:rPr>
          <w:bCs w:val="0"/>
          <w:noProof/>
          <w:szCs w:val="24"/>
        </w:rPr>
      </w:pPr>
      <w:bookmarkStart w:id="70" w:name="_Toc514938686"/>
      <w:bookmarkStart w:id="71" w:name="_Toc57735222"/>
      <w:r w:rsidRPr="00927CFF">
        <w:t>Sammenfatning af de anslåede virkninger for udgifterne</w:t>
      </w:r>
      <w:bookmarkEnd w:id="70"/>
      <w:bookmarkEnd w:id="71"/>
      <w:r w:rsidRPr="00927CFF">
        <w:t xml:space="preserve"> </w:t>
      </w:r>
    </w:p>
    <w:p w14:paraId="48980082" w14:textId="77777777" w:rsidR="00B50935" w:rsidRPr="002902A6" w:rsidRDefault="00B50935" w:rsidP="00B50935">
      <w:pPr>
        <w:jc w:val="right"/>
        <w:rPr>
          <w:noProof/>
          <w:sz w:val="20"/>
          <w:lang w:val="it-IT"/>
        </w:rPr>
      </w:pPr>
      <w:r w:rsidRPr="002902A6">
        <w:rPr>
          <w:sz w:val="20"/>
          <w:lang w:val="it-IT"/>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0935" w:rsidRPr="00927CFF" w14:paraId="70D26D10" w14:textId="77777777" w:rsidTr="00427764">
        <w:trPr>
          <w:jc w:val="center"/>
        </w:trPr>
        <w:tc>
          <w:tcPr>
            <w:tcW w:w="4744" w:type="dxa"/>
            <w:shd w:val="thinDiagStripe" w:color="C0C0C0" w:fill="auto"/>
            <w:vAlign w:val="center"/>
          </w:tcPr>
          <w:p w14:paraId="0A584F26" w14:textId="77777777" w:rsidR="00B50935" w:rsidRPr="00927CFF" w:rsidRDefault="00B50935" w:rsidP="00427764">
            <w:pPr>
              <w:spacing w:before="60" w:after="60"/>
              <w:jc w:val="center"/>
              <w:rPr>
                <w:b/>
                <w:noProof/>
              </w:rPr>
            </w:pPr>
            <w:r w:rsidRPr="00927CFF">
              <w:rPr>
                <w:b/>
                <w:sz w:val="22"/>
              </w:rPr>
              <w:t xml:space="preserve">Udgiftsområde i </w:t>
            </w:r>
            <w:r w:rsidRPr="00927CFF">
              <w:rPr>
                <w:b/>
                <w:sz w:val="22"/>
              </w:rPr>
              <w:br/>
              <w:t xml:space="preserve">den flerårige finansielle ramme </w:t>
            </w:r>
          </w:p>
        </w:tc>
        <w:tc>
          <w:tcPr>
            <w:tcW w:w="1080" w:type="dxa"/>
            <w:vAlign w:val="center"/>
          </w:tcPr>
          <w:p w14:paraId="78E12910" w14:textId="77777777" w:rsidR="00B50935" w:rsidRPr="00927CFF" w:rsidRDefault="00B50935" w:rsidP="00427764">
            <w:pPr>
              <w:spacing w:before="60" w:after="60"/>
              <w:jc w:val="center"/>
            </w:pPr>
            <w:r w:rsidRPr="00927CFF">
              <w:rPr>
                <w:sz w:val="22"/>
              </w:rPr>
              <w:t>Nummer</w:t>
            </w:r>
          </w:p>
        </w:tc>
        <w:tc>
          <w:tcPr>
            <w:tcW w:w="7817" w:type="dxa"/>
            <w:vAlign w:val="center"/>
          </w:tcPr>
          <w:p w14:paraId="70F136DB" w14:textId="77777777" w:rsidR="00B50935" w:rsidRPr="00927CFF" w:rsidRDefault="00B50935" w:rsidP="00427764">
            <w:pPr>
              <w:spacing w:before="60" w:after="60"/>
            </w:pPr>
            <w:r w:rsidRPr="00927CFF">
              <w:t>Udgiftsområde 2: Samhørighed, modstandsdygtighed og værdier</w:t>
            </w:r>
          </w:p>
        </w:tc>
      </w:tr>
    </w:tbl>
    <w:p w14:paraId="53AEE23E" w14:textId="77777777" w:rsidR="00B50935" w:rsidRPr="00927CFF" w:rsidRDefault="00B50935" w:rsidP="00B50935">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B50935" w:rsidRPr="00927CFF" w14:paraId="2B01E12A" w14:textId="77777777" w:rsidTr="00427764">
        <w:tc>
          <w:tcPr>
            <w:tcW w:w="3960" w:type="dxa"/>
            <w:vAlign w:val="center"/>
          </w:tcPr>
          <w:p w14:paraId="772A3FDC" w14:textId="77777777" w:rsidR="00B50935" w:rsidRPr="00927CFF" w:rsidRDefault="00B50935" w:rsidP="00427764">
            <w:pPr>
              <w:jc w:val="center"/>
              <w:rPr>
                <w:noProof/>
              </w:rPr>
            </w:pPr>
            <w:r w:rsidRPr="00927CFF">
              <w:rPr>
                <w:sz w:val="22"/>
              </w:rPr>
              <w:t xml:space="preserve">[Organ]: </w:t>
            </w:r>
            <w:r w:rsidRPr="00927CFF">
              <w:t>ECDC</w:t>
            </w:r>
          </w:p>
        </w:tc>
        <w:tc>
          <w:tcPr>
            <w:tcW w:w="1560" w:type="dxa"/>
            <w:gridSpan w:val="2"/>
          </w:tcPr>
          <w:p w14:paraId="2AE0C4DF" w14:textId="77777777" w:rsidR="00B50935" w:rsidRPr="00927CFF" w:rsidRDefault="00B50935" w:rsidP="00427764">
            <w:pPr>
              <w:rPr>
                <w:noProof/>
                <w:sz w:val="20"/>
              </w:rPr>
            </w:pPr>
          </w:p>
        </w:tc>
        <w:tc>
          <w:tcPr>
            <w:tcW w:w="534" w:type="dxa"/>
          </w:tcPr>
          <w:p w14:paraId="0BED72DC" w14:textId="77777777" w:rsidR="00B50935" w:rsidRPr="00927CFF" w:rsidRDefault="00B50935" w:rsidP="00427764">
            <w:pPr>
              <w:jc w:val="center"/>
              <w:rPr>
                <w:noProof/>
                <w:sz w:val="20"/>
              </w:rPr>
            </w:pPr>
          </w:p>
        </w:tc>
        <w:tc>
          <w:tcPr>
            <w:tcW w:w="868" w:type="dxa"/>
            <w:vAlign w:val="center"/>
          </w:tcPr>
          <w:p w14:paraId="2F5C1F37"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2021</w:t>
            </w:r>
          </w:p>
        </w:tc>
        <w:tc>
          <w:tcPr>
            <w:tcW w:w="868" w:type="dxa"/>
            <w:vAlign w:val="center"/>
          </w:tcPr>
          <w:p w14:paraId="7C264AC8"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2022</w:t>
            </w:r>
          </w:p>
        </w:tc>
        <w:tc>
          <w:tcPr>
            <w:tcW w:w="868" w:type="dxa"/>
            <w:vAlign w:val="center"/>
          </w:tcPr>
          <w:p w14:paraId="640FD7A2"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2023</w:t>
            </w:r>
          </w:p>
        </w:tc>
        <w:tc>
          <w:tcPr>
            <w:tcW w:w="868" w:type="dxa"/>
            <w:vAlign w:val="center"/>
          </w:tcPr>
          <w:p w14:paraId="4ED06127"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2024</w:t>
            </w:r>
          </w:p>
        </w:tc>
        <w:tc>
          <w:tcPr>
            <w:tcW w:w="868" w:type="dxa"/>
            <w:vAlign w:val="center"/>
          </w:tcPr>
          <w:p w14:paraId="2B2C0650"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2025</w:t>
            </w:r>
          </w:p>
        </w:tc>
        <w:tc>
          <w:tcPr>
            <w:tcW w:w="868" w:type="dxa"/>
            <w:vAlign w:val="center"/>
          </w:tcPr>
          <w:p w14:paraId="52FAE92D" w14:textId="77777777" w:rsidR="00B50935" w:rsidRPr="00927CFF" w:rsidRDefault="00B50935" w:rsidP="00427764">
            <w:pPr>
              <w:rPr>
                <w:noProof/>
                <w:sz w:val="20"/>
              </w:rPr>
            </w:pPr>
            <w:r w:rsidRPr="00927CFF">
              <w:rPr>
                <w:sz w:val="20"/>
              </w:rPr>
              <w:t>År</w:t>
            </w:r>
            <w:r w:rsidRPr="00927CFF">
              <w:t xml:space="preserve"> </w:t>
            </w:r>
            <w:r w:rsidRPr="00927CFF">
              <w:br/>
            </w:r>
            <w:r w:rsidRPr="00927CFF">
              <w:rPr>
                <w:b/>
                <w:sz w:val="20"/>
              </w:rPr>
              <w:t>2026</w:t>
            </w:r>
          </w:p>
        </w:tc>
        <w:tc>
          <w:tcPr>
            <w:tcW w:w="868" w:type="dxa"/>
            <w:vAlign w:val="center"/>
          </w:tcPr>
          <w:p w14:paraId="7ED05370"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2027</w:t>
            </w:r>
            <w:r w:rsidRPr="00927CFF">
              <w:rPr>
                <w:sz w:val="20"/>
              </w:rPr>
              <w:t xml:space="preserve"> ff</w:t>
            </w:r>
          </w:p>
        </w:tc>
        <w:tc>
          <w:tcPr>
            <w:tcW w:w="1777" w:type="dxa"/>
            <w:vAlign w:val="center"/>
          </w:tcPr>
          <w:p w14:paraId="191DE5B4" w14:textId="77777777" w:rsidR="00B50935" w:rsidRPr="00927CFF" w:rsidRDefault="00B50935" w:rsidP="00427764">
            <w:pPr>
              <w:jc w:val="center"/>
              <w:rPr>
                <w:b/>
                <w:noProof/>
                <w:sz w:val="20"/>
              </w:rPr>
            </w:pPr>
            <w:r w:rsidRPr="00927CFF">
              <w:rPr>
                <w:b/>
                <w:sz w:val="20"/>
              </w:rPr>
              <w:t>I ALT</w:t>
            </w:r>
          </w:p>
        </w:tc>
      </w:tr>
      <w:tr w:rsidR="00B50935" w:rsidRPr="00927CFF" w14:paraId="48A16C43" w14:textId="77777777" w:rsidTr="00427764">
        <w:trPr>
          <w:trHeight w:val="277"/>
        </w:trPr>
        <w:tc>
          <w:tcPr>
            <w:tcW w:w="3960" w:type="dxa"/>
            <w:vMerge w:val="restart"/>
            <w:vAlign w:val="center"/>
          </w:tcPr>
          <w:p w14:paraId="0227D9A2" w14:textId="77777777" w:rsidR="00B50935" w:rsidRPr="00927CFF" w:rsidRDefault="00B50935" w:rsidP="00427764">
            <w:r w:rsidRPr="00927CFF">
              <w:rPr>
                <w:sz w:val="20"/>
              </w:rPr>
              <w:t>Afsnit 1:</w:t>
            </w:r>
          </w:p>
        </w:tc>
        <w:tc>
          <w:tcPr>
            <w:tcW w:w="1440" w:type="dxa"/>
            <w:vAlign w:val="center"/>
          </w:tcPr>
          <w:p w14:paraId="4DD4D95E" w14:textId="77777777" w:rsidR="00B50935" w:rsidRPr="00927CFF" w:rsidRDefault="00B50935" w:rsidP="00427764">
            <w:pPr>
              <w:spacing w:before="20" w:after="20"/>
              <w:rPr>
                <w:noProof/>
              </w:rPr>
            </w:pPr>
            <w:r w:rsidRPr="00927CFF">
              <w:rPr>
                <w:sz w:val="18"/>
              </w:rPr>
              <w:t>Forpligtelser</w:t>
            </w:r>
          </w:p>
        </w:tc>
        <w:tc>
          <w:tcPr>
            <w:tcW w:w="654" w:type="dxa"/>
            <w:gridSpan w:val="2"/>
            <w:vAlign w:val="center"/>
          </w:tcPr>
          <w:p w14:paraId="79A3C9DB" w14:textId="77777777" w:rsidR="00B50935" w:rsidRPr="00927CFF" w:rsidRDefault="00B50935" w:rsidP="00427764">
            <w:pPr>
              <w:spacing w:before="20" w:after="20"/>
              <w:jc w:val="center"/>
              <w:rPr>
                <w:noProof/>
                <w:sz w:val="14"/>
              </w:rPr>
            </w:pPr>
            <w:r w:rsidRPr="00927CFF">
              <w:rPr>
                <w:sz w:val="14"/>
              </w:rPr>
              <w:t>(1)</w:t>
            </w:r>
          </w:p>
        </w:tc>
        <w:tc>
          <w:tcPr>
            <w:tcW w:w="868" w:type="dxa"/>
          </w:tcPr>
          <w:p w14:paraId="1B83DE2E" w14:textId="77777777" w:rsidR="00B50935" w:rsidRPr="00927CFF" w:rsidRDefault="00B50935" w:rsidP="00427764">
            <w:pPr>
              <w:spacing w:before="20" w:after="20"/>
              <w:jc w:val="right"/>
              <w:rPr>
                <w:noProof/>
                <w:sz w:val="20"/>
              </w:rPr>
            </w:pPr>
            <w:r w:rsidRPr="00927CFF">
              <w:rPr>
                <w:sz w:val="20"/>
              </w:rPr>
              <w:t>2,965</w:t>
            </w:r>
          </w:p>
        </w:tc>
        <w:tc>
          <w:tcPr>
            <w:tcW w:w="868" w:type="dxa"/>
          </w:tcPr>
          <w:p w14:paraId="2CEF5BDC" w14:textId="77777777" w:rsidR="00B50935" w:rsidRPr="00927CFF" w:rsidRDefault="00B50935" w:rsidP="00427764">
            <w:pPr>
              <w:spacing w:before="20" w:after="20"/>
              <w:jc w:val="right"/>
              <w:rPr>
                <w:noProof/>
                <w:sz w:val="20"/>
              </w:rPr>
            </w:pPr>
            <w:r w:rsidRPr="00927CFF">
              <w:rPr>
                <w:sz w:val="20"/>
              </w:rPr>
              <w:t>5,475</w:t>
            </w:r>
          </w:p>
        </w:tc>
        <w:tc>
          <w:tcPr>
            <w:tcW w:w="868" w:type="dxa"/>
          </w:tcPr>
          <w:p w14:paraId="75A3D5E5" w14:textId="77777777" w:rsidR="00B50935" w:rsidRPr="00927CFF" w:rsidRDefault="00B50935" w:rsidP="00427764">
            <w:pPr>
              <w:spacing w:before="20" w:after="20"/>
              <w:jc w:val="right"/>
              <w:rPr>
                <w:noProof/>
                <w:sz w:val="20"/>
              </w:rPr>
            </w:pPr>
            <w:r w:rsidRPr="00927CFF">
              <w:rPr>
                <w:sz w:val="20"/>
              </w:rPr>
              <w:t>6,680</w:t>
            </w:r>
          </w:p>
        </w:tc>
        <w:tc>
          <w:tcPr>
            <w:tcW w:w="868" w:type="dxa"/>
          </w:tcPr>
          <w:p w14:paraId="29519D44" w14:textId="77777777" w:rsidR="00B50935" w:rsidRPr="00927CFF" w:rsidRDefault="00B50935" w:rsidP="00427764">
            <w:pPr>
              <w:spacing w:before="20" w:after="20"/>
              <w:jc w:val="right"/>
              <w:rPr>
                <w:noProof/>
                <w:sz w:val="20"/>
              </w:rPr>
            </w:pPr>
            <w:r w:rsidRPr="00927CFF">
              <w:rPr>
                <w:sz w:val="20"/>
              </w:rPr>
              <w:t>7,165</w:t>
            </w:r>
          </w:p>
        </w:tc>
        <w:tc>
          <w:tcPr>
            <w:tcW w:w="868" w:type="dxa"/>
          </w:tcPr>
          <w:p w14:paraId="3B0B02E9" w14:textId="77777777" w:rsidR="00B50935" w:rsidRPr="00927CFF" w:rsidRDefault="00B50935" w:rsidP="00427764">
            <w:pPr>
              <w:spacing w:before="20" w:after="20"/>
              <w:jc w:val="right"/>
              <w:rPr>
                <w:noProof/>
                <w:sz w:val="20"/>
              </w:rPr>
            </w:pPr>
            <w:r w:rsidRPr="00927CFF">
              <w:rPr>
                <w:sz w:val="20"/>
              </w:rPr>
              <w:t>7,165</w:t>
            </w:r>
          </w:p>
        </w:tc>
        <w:tc>
          <w:tcPr>
            <w:tcW w:w="868" w:type="dxa"/>
          </w:tcPr>
          <w:p w14:paraId="307B69E1" w14:textId="77777777" w:rsidR="00B50935" w:rsidRPr="00927CFF" w:rsidRDefault="00B50935" w:rsidP="00427764">
            <w:pPr>
              <w:spacing w:before="20" w:after="20"/>
              <w:jc w:val="right"/>
              <w:rPr>
                <w:noProof/>
                <w:sz w:val="20"/>
              </w:rPr>
            </w:pPr>
            <w:r w:rsidRPr="00927CFF">
              <w:rPr>
                <w:sz w:val="20"/>
              </w:rPr>
              <w:t>7,165</w:t>
            </w:r>
          </w:p>
        </w:tc>
        <w:tc>
          <w:tcPr>
            <w:tcW w:w="868" w:type="dxa"/>
          </w:tcPr>
          <w:p w14:paraId="0999B049" w14:textId="77777777" w:rsidR="00B50935" w:rsidRPr="00927CFF" w:rsidRDefault="00B50935" w:rsidP="00427764">
            <w:pPr>
              <w:spacing w:before="20" w:after="20"/>
              <w:jc w:val="right"/>
              <w:rPr>
                <w:b/>
                <w:noProof/>
                <w:sz w:val="20"/>
              </w:rPr>
            </w:pPr>
            <w:r w:rsidRPr="00927CFF">
              <w:rPr>
                <w:sz w:val="20"/>
              </w:rPr>
              <w:t>7,165</w:t>
            </w:r>
          </w:p>
        </w:tc>
        <w:tc>
          <w:tcPr>
            <w:tcW w:w="1777" w:type="dxa"/>
            <w:vAlign w:val="center"/>
          </w:tcPr>
          <w:p w14:paraId="680CA84C" w14:textId="77777777" w:rsidR="00B50935" w:rsidRPr="00927CFF" w:rsidRDefault="00B50935" w:rsidP="00427764">
            <w:pPr>
              <w:spacing w:before="20" w:after="20"/>
              <w:jc w:val="right"/>
              <w:rPr>
                <w:b/>
                <w:noProof/>
                <w:sz w:val="20"/>
              </w:rPr>
            </w:pPr>
            <w:r w:rsidRPr="00927CFF">
              <w:rPr>
                <w:b/>
                <w:sz w:val="20"/>
              </w:rPr>
              <w:t>43,780</w:t>
            </w:r>
          </w:p>
        </w:tc>
      </w:tr>
      <w:tr w:rsidR="00B50935" w:rsidRPr="00927CFF" w14:paraId="01600D7E" w14:textId="77777777" w:rsidTr="00427764">
        <w:tc>
          <w:tcPr>
            <w:tcW w:w="3960" w:type="dxa"/>
            <w:vMerge/>
            <w:vAlign w:val="center"/>
          </w:tcPr>
          <w:p w14:paraId="73C31B75" w14:textId="77777777" w:rsidR="00B50935" w:rsidRPr="00927CFF" w:rsidRDefault="00B50935" w:rsidP="00427764"/>
        </w:tc>
        <w:tc>
          <w:tcPr>
            <w:tcW w:w="1440" w:type="dxa"/>
            <w:vAlign w:val="center"/>
          </w:tcPr>
          <w:p w14:paraId="1F013E88" w14:textId="77777777" w:rsidR="00B50935" w:rsidRPr="00927CFF" w:rsidRDefault="00B50935" w:rsidP="00427764">
            <w:pPr>
              <w:spacing w:before="20" w:after="20"/>
              <w:rPr>
                <w:noProof/>
                <w:sz w:val="18"/>
              </w:rPr>
            </w:pPr>
            <w:r w:rsidRPr="00927CFF">
              <w:rPr>
                <w:sz w:val="18"/>
              </w:rPr>
              <w:t>Betalinger</w:t>
            </w:r>
          </w:p>
        </w:tc>
        <w:tc>
          <w:tcPr>
            <w:tcW w:w="654" w:type="dxa"/>
            <w:gridSpan w:val="2"/>
            <w:vAlign w:val="center"/>
          </w:tcPr>
          <w:p w14:paraId="0DC8B7F5" w14:textId="77777777" w:rsidR="00B50935" w:rsidRPr="00927CFF" w:rsidRDefault="00B50935" w:rsidP="00427764">
            <w:pPr>
              <w:spacing w:before="20" w:after="20"/>
              <w:jc w:val="center"/>
              <w:rPr>
                <w:noProof/>
                <w:sz w:val="14"/>
              </w:rPr>
            </w:pPr>
            <w:r w:rsidRPr="00927CFF">
              <w:rPr>
                <w:sz w:val="14"/>
              </w:rPr>
              <w:t>(2)</w:t>
            </w:r>
          </w:p>
        </w:tc>
        <w:tc>
          <w:tcPr>
            <w:tcW w:w="868" w:type="dxa"/>
          </w:tcPr>
          <w:p w14:paraId="6845EF98" w14:textId="77777777" w:rsidR="00B50935" w:rsidRPr="00927CFF" w:rsidRDefault="00B50935" w:rsidP="00427764">
            <w:pPr>
              <w:spacing w:before="20" w:after="20"/>
              <w:jc w:val="right"/>
              <w:rPr>
                <w:noProof/>
                <w:sz w:val="20"/>
              </w:rPr>
            </w:pPr>
            <w:r w:rsidRPr="00927CFF">
              <w:rPr>
                <w:sz w:val="20"/>
              </w:rPr>
              <w:t>2,965</w:t>
            </w:r>
          </w:p>
        </w:tc>
        <w:tc>
          <w:tcPr>
            <w:tcW w:w="868" w:type="dxa"/>
          </w:tcPr>
          <w:p w14:paraId="5E057FE5" w14:textId="77777777" w:rsidR="00B50935" w:rsidRPr="00927CFF" w:rsidRDefault="00B50935" w:rsidP="00427764">
            <w:pPr>
              <w:spacing w:before="20" w:after="20"/>
              <w:jc w:val="right"/>
              <w:rPr>
                <w:noProof/>
                <w:sz w:val="20"/>
              </w:rPr>
            </w:pPr>
            <w:r w:rsidRPr="00927CFF">
              <w:rPr>
                <w:sz w:val="20"/>
              </w:rPr>
              <w:t>5,475</w:t>
            </w:r>
          </w:p>
        </w:tc>
        <w:tc>
          <w:tcPr>
            <w:tcW w:w="868" w:type="dxa"/>
          </w:tcPr>
          <w:p w14:paraId="140860B1" w14:textId="77777777" w:rsidR="00B50935" w:rsidRPr="00927CFF" w:rsidRDefault="00B50935" w:rsidP="00427764">
            <w:pPr>
              <w:spacing w:before="20" w:after="20"/>
              <w:jc w:val="right"/>
              <w:rPr>
                <w:noProof/>
                <w:sz w:val="20"/>
              </w:rPr>
            </w:pPr>
            <w:r w:rsidRPr="00927CFF">
              <w:rPr>
                <w:sz w:val="20"/>
              </w:rPr>
              <w:t>6,680</w:t>
            </w:r>
          </w:p>
        </w:tc>
        <w:tc>
          <w:tcPr>
            <w:tcW w:w="868" w:type="dxa"/>
          </w:tcPr>
          <w:p w14:paraId="20721A61" w14:textId="77777777" w:rsidR="00B50935" w:rsidRPr="00927CFF" w:rsidRDefault="00B50935" w:rsidP="00427764">
            <w:pPr>
              <w:spacing w:before="20" w:after="20"/>
              <w:jc w:val="right"/>
              <w:rPr>
                <w:noProof/>
                <w:sz w:val="20"/>
              </w:rPr>
            </w:pPr>
            <w:r w:rsidRPr="00927CFF">
              <w:rPr>
                <w:sz w:val="20"/>
              </w:rPr>
              <w:t>7,165</w:t>
            </w:r>
          </w:p>
        </w:tc>
        <w:tc>
          <w:tcPr>
            <w:tcW w:w="868" w:type="dxa"/>
          </w:tcPr>
          <w:p w14:paraId="546AB7EE" w14:textId="77777777" w:rsidR="00B50935" w:rsidRPr="00927CFF" w:rsidRDefault="00B50935" w:rsidP="00427764">
            <w:pPr>
              <w:spacing w:before="20" w:after="20"/>
              <w:jc w:val="right"/>
              <w:rPr>
                <w:noProof/>
                <w:sz w:val="20"/>
              </w:rPr>
            </w:pPr>
            <w:r w:rsidRPr="00927CFF">
              <w:rPr>
                <w:sz w:val="20"/>
              </w:rPr>
              <w:t>7,165</w:t>
            </w:r>
          </w:p>
        </w:tc>
        <w:tc>
          <w:tcPr>
            <w:tcW w:w="868" w:type="dxa"/>
          </w:tcPr>
          <w:p w14:paraId="1D1F043F" w14:textId="77777777" w:rsidR="00B50935" w:rsidRPr="00927CFF" w:rsidRDefault="00B50935" w:rsidP="00427764">
            <w:pPr>
              <w:spacing w:before="20" w:after="20"/>
              <w:jc w:val="right"/>
              <w:rPr>
                <w:noProof/>
                <w:sz w:val="20"/>
              </w:rPr>
            </w:pPr>
            <w:r w:rsidRPr="00927CFF">
              <w:rPr>
                <w:sz w:val="20"/>
              </w:rPr>
              <w:t>7,165</w:t>
            </w:r>
          </w:p>
        </w:tc>
        <w:tc>
          <w:tcPr>
            <w:tcW w:w="868" w:type="dxa"/>
          </w:tcPr>
          <w:p w14:paraId="49F2B61C" w14:textId="77777777" w:rsidR="00B50935" w:rsidRPr="00927CFF" w:rsidRDefault="00B50935" w:rsidP="00427764">
            <w:pPr>
              <w:spacing w:before="20" w:after="20"/>
              <w:jc w:val="right"/>
              <w:rPr>
                <w:b/>
                <w:noProof/>
                <w:sz w:val="20"/>
              </w:rPr>
            </w:pPr>
            <w:r w:rsidRPr="00927CFF">
              <w:rPr>
                <w:sz w:val="20"/>
              </w:rPr>
              <w:t>7,165</w:t>
            </w:r>
          </w:p>
        </w:tc>
        <w:tc>
          <w:tcPr>
            <w:tcW w:w="1777" w:type="dxa"/>
            <w:vAlign w:val="center"/>
          </w:tcPr>
          <w:p w14:paraId="7F41261C" w14:textId="77777777" w:rsidR="00B50935" w:rsidRPr="00927CFF" w:rsidRDefault="00B50935" w:rsidP="00427764">
            <w:pPr>
              <w:spacing w:before="20" w:after="20"/>
              <w:jc w:val="right"/>
              <w:rPr>
                <w:b/>
                <w:noProof/>
                <w:sz w:val="20"/>
              </w:rPr>
            </w:pPr>
            <w:r w:rsidRPr="00927CFF">
              <w:rPr>
                <w:b/>
                <w:sz w:val="20"/>
              </w:rPr>
              <w:t>43,780</w:t>
            </w:r>
          </w:p>
        </w:tc>
      </w:tr>
      <w:tr w:rsidR="00B50935" w:rsidRPr="00927CFF" w14:paraId="41557ACF" w14:textId="77777777" w:rsidTr="00427764">
        <w:tc>
          <w:tcPr>
            <w:tcW w:w="3960" w:type="dxa"/>
            <w:vMerge w:val="restart"/>
            <w:vAlign w:val="center"/>
          </w:tcPr>
          <w:p w14:paraId="5CF23E10" w14:textId="77777777" w:rsidR="00B50935" w:rsidRPr="00927CFF" w:rsidRDefault="00B50935" w:rsidP="00427764">
            <w:r w:rsidRPr="00927CFF">
              <w:rPr>
                <w:sz w:val="20"/>
              </w:rPr>
              <w:t>Afsnit 2:</w:t>
            </w:r>
          </w:p>
        </w:tc>
        <w:tc>
          <w:tcPr>
            <w:tcW w:w="1440" w:type="dxa"/>
            <w:vAlign w:val="center"/>
          </w:tcPr>
          <w:p w14:paraId="5443DADB" w14:textId="77777777" w:rsidR="00B50935" w:rsidRPr="00927CFF" w:rsidRDefault="00B50935" w:rsidP="00427764">
            <w:pPr>
              <w:spacing w:before="20" w:after="20"/>
              <w:rPr>
                <w:noProof/>
                <w:sz w:val="18"/>
              </w:rPr>
            </w:pPr>
            <w:r w:rsidRPr="00927CFF">
              <w:rPr>
                <w:sz w:val="18"/>
              </w:rPr>
              <w:t>Forpligtelser</w:t>
            </w:r>
          </w:p>
        </w:tc>
        <w:tc>
          <w:tcPr>
            <w:tcW w:w="654" w:type="dxa"/>
            <w:gridSpan w:val="2"/>
            <w:vAlign w:val="center"/>
          </w:tcPr>
          <w:p w14:paraId="4A2FF034" w14:textId="77777777" w:rsidR="00B50935" w:rsidRPr="00927CFF" w:rsidRDefault="00B50935" w:rsidP="00427764">
            <w:pPr>
              <w:spacing w:before="20" w:after="20"/>
              <w:jc w:val="center"/>
              <w:rPr>
                <w:noProof/>
                <w:sz w:val="14"/>
              </w:rPr>
            </w:pPr>
            <w:r w:rsidRPr="00927CFF">
              <w:rPr>
                <w:sz w:val="14"/>
              </w:rPr>
              <w:t>(1a)</w:t>
            </w:r>
          </w:p>
        </w:tc>
        <w:tc>
          <w:tcPr>
            <w:tcW w:w="868" w:type="dxa"/>
          </w:tcPr>
          <w:p w14:paraId="2C1EE344" w14:textId="77777777" w:rsidR="00B50935" w:rsidRPr="00927CFF" w:rsidRDefault="00B50935" w:rsidP="00427764">
            <w:pPr>
              <w:spacing w:before="20" w:after="20"/>
              <w:jc w:val="right"/>
              <w:rPr>
                <w:noProof/>
                <w:sz w:val="20"/>
              </w:rPr>
            </w:pPr>
            <w:r w:rsidRPr="00927CFF">
              <w:rPr>
                <w:sz w:val="20"/>
              </w:rPr>
              <w:t>0,775</w:t>
            </w:r>
          </w:p>
        </w:tc>
        <w:tc>
          <w:tcPr>
            <w:tcW w:w="868" w:type="dxa"/>
          </w:tcPr>
          <w:p w14:paraId="38018284" w14:textId="77777777" w:rsidR="00B50935" w:rsidRPr="00927CFF" w:rsidRDefault="00B50935" w:rsidP="00427764">
            <w:pPr>
              <w:spacing w:before="20" w:after="20"/>
              <w:jc w:val="right"/>
              <w:rPr>
                <w:noProof/>
                <w:sz w:val="20"/>
              </w:rPr>
            </w:pPr>
            <w:r w:rsidRPr="00927CFF">
              <w:rPr>
                <w:sz w:val="20"/>
              </w:rPr>
              <w:t>1,375</w:t>
            </w:r>
          </w:p>
        </w:tc>
        <w:tc>
          <w:tcPr>
            <w:tcW w:w="868" w:type="dxa"/>
          </w:tcPr>
          <w:p w14:paraId="2CF8E17D" w14:textId="77777777" w:rsidR="00B50935" w:rsidRPr="00927CFF" w:rsidRDefault="00B50935" w:rsidP="00427764">
            <w:pPr>
              <w:spacing w:before="20" w:after="20"/>
              <w:jc w:val="right"/>
              <w:rPr>
                <w:noProof/>
                <w:sz w:val="20"/>
              </w:rPr>
            </w:pPr>
            <w:r w:rsidRPr="00927CFF">
              <w:rPr>
                <w:sz w:val="20"/>
              </w:rPr>
              <w:t>1,700</w:t>
            </w:r>
          </w:p>
        </w:tc>
        <w:tc>
          <w:tcPr>
            <w:tcW w:w="868" w:type="dxa"/>
          </w:tcPr>
          <w:p w14:paraId="62EF4296" w14:textId="77777777" w:rsidR="00B50935" w:rsidRPr="00927CFF" w:rsidRDefault="00B50935" w:rsidP="00427764">
            <w:pPr>
              <w:spacing w:before="20" w:after="20"/>
              <w:jc w:val="right"/>
              <w:rPr>
                <w:noProof/>
                <w:sz w:val="20"/>
              </w:rPr>
            </w:pPr>
            <w:r w:rsidRPr="00927CFF">
              <w:rPr>
                <w:sz w:val="20"/>
              </w:rPr>
              <w:t>1,825</w:t>
            </w:r>
          </w:p>
        </w:tc>
        <w:tc>
          <w:tcPr>
            <w:tcW w:w="868" w:type="dxa"/>
          </w:tcPr>
          <w:p w14:paraId="0FDA6DF4" w14:textId="77777777" w:rsidR="00B50935" w:rsidRPr="00927CFF" w:rsidRDefault="00B50935" w:rsidP="00427764">
            <w:pPr>
              <w:spacing w:before="20" w:after="20"/>
              <w:jc w:val="right"/>
              <w:rPr>
                <w:noProof/>
                <w:sz w:val="20"/>
              </w:rPr>
            </w:pPr>
            <w:r w:rsidRPr="00927CFF">
              <w:rPr>
                <w:sz w:val="20"/>
              </w:rPr>
              <w:t>1,825</w:t>
            </w:r>
          </w:p>
        </w:tc>
        <w:tc>
          <w:tcPr>
            <w:tcW w:w="868" w:type="dxa"/>
          </w:tcPr>
          <w:p w14:paraId="49B8EDFA" w14:textId="77777777" w:rsidR="00B50935" w:rsidRPr="00927CFF" w:rsidRDefault="00B50935" w:rsidP="00427764">
            <w:pPr>
              <w:spacing w:before="20" w:after="20"/>
              <w:jc w:val="right"/>
              <w:rPr>
                <w:noProof/>
                <w:sz w:val="20"/>
              </w:rPr>
            </w:pPr>
            <w:r w:rsidRPr="00927CFF">
              <w:rPr>
                <w:sz w:val="20"/>
              </w:rPr>
              <w:t>1,825</w:t>
            </w:r>
          </w:p>
        </w:tc>
        <w:tc>
          <w:tcPr>
            <w:tcW w:w="868" w:type="dxa"/>
          </w:tcPr>
          <w:p w14:paraId="568E5C79" w14:textId="77777777" w:rsidR="00B50935" w:rsidRPr="00927CFF" w:rsidRDefault="00B50935" w:rsidP="00427764">
            <w:pPr>
              <w:spacing w:before="20" w:after="20"/>
              <w:jc w:val="right"/>
              <w:rPr>
                <w:b/>
                <w:noProof/>
                <w:sz w:val="20"/>
              </w:rPr>
            </w:pPr>
            <w:r w:rsidRPr="00927CFF">
              <w:rPr>
                <w:sz w:val="20"/>
              </w:rPr>
              <w:t>1,825</w:t>
            </w:r>
          </w:p>
        </w:tc>
        <w:tc>
          <w:tcPr>
            <w:tcW w:w="1777" w:type="dxa"/>
            <w:vAlign w:val="center"/>
          </w:tcPr>
          <w:p w14:paraId="2E7E60D4" w14:textId="77777777" w:rsidR="00B50935" w:rsidRPr="00927CFF" w:rsidRDefault="00B50935" w:rsidP="00427764">
            <w:pPr>
              <w:spacing w:before="20" w:after="20"/>
              <w:jc w:val="right"/>
              <w:rPr>
                <w:b/>
                <w:noProof/>
                <w:sz w:val="20"/>
              </w:rPr>
            </w:pPr>
            <w:r w:rsidRPr="00927CFF">
              <w:rPr>
                <w:b/>
                <w:sz w:val="20"/>
              </w:rPr>
              <w:t>11,150</w:t>
            </w:r>
          </w:p>
        </w:tc>
      </w:tr>
      <w:tr w:rsidR="00B50935" w:rsidRPr="00927CFF" w14:paraId="330E780C" w14:textId="77777777" w:rsidTr="00427764">
        <w:tc>
          <w:tcPr>
            <w:tcW w:w="3960" w:type="dxa"/>
            <w:vMerge/>
            <w:vAlign w:val="center"/>
          </w:tcPr>
          <w:p w14:paraId="07553038" w14:textId="77777777" w:rsidR="00B50935" w:rsidRPr="00927CFF" w:rsidRDefault="00B50935" w:rsidP="00427764"/>
        </w:tc>
        <w:tc>
          <w:tcPr>
            <w:tcW w:w="1440" w:type="dxa"/>
            <w:vAlign w:val="center"/>
          </w:tcPr>
          <w:p w14:paraId="6A277FBA" w14:textId="77777777" w:rsidR="00B50935" w:rsidRPr="00927CFF" w:rsidRDefault="00B50935" w:rsidP="00427764">
            <w:pPr>
              <w:spacing w:before="20" w:after="20"/>
              <w:rPr>
                <w:noProof/>
                <w:sz w:val="18"/>
              </w:rPr>
            </w:pPr>
            <w:r w:rsidRPr="00927CFF">
              <w:rPr>
                <w:sz w:val="18"/>
              </w:rPr>
              <w:t>Betalinger</w:t>
            </w:r>
          </w:p>
        </w:tc>
        <w:tc>
          <w:tcPr>
            <w:tcW w:w="654" w:type="dxa"/>
            <w:gridSpan w:val="2"/>
            <w:vAlign w:val="center"/>
          </w:tcPr>
          <w:p w14:paraId="085BE2EF" w14:textId="77777777" w:rsidR="00B50935" w:rsidRPr="00927CFF" w:rsidRDefault="00B50935" w:rsidP="00427764">
            <w:pPr>
              <w:spacing w:before="20" w:after="20"/>
              <w:jc w:val="center"/>
              <w:rPr>
                <w:noProof/>
                <w:sz w:val="14"/>
              </w:rPr>
            </w:pPr>
            <w:r w:rsidRPr="00927CFF">
              <w:rPr>
                <w:sz w:val="14"/>
              </w:rPr>
              <w:t>(2a)</w:t>
            </w:r>
          </w:p>
        </w:tc>
        <w:tc>
          <w:tcPr>
            <w:tcW w:w="868" w:type="dxa"/>
          </w:tcPr>
          <w:p w14:paraId="481D8E91" w14:textId="77777777" w:rsidR="00B50935" w:rsidRPr="00927CFF" w:rsidRDefault="00B50935" w:rsidP="00427764">
            <w:pPr>
              <w:spacing w:before="20" w:after="20"/>
              <w:jc w:val="right"/>
              <w:rPr>
                <w:sz w:val="20"/>
              </w:rPr>
            </w:pPr>
            <w:r w:rsidRPr="00927CFF">
              <w:rPr>
                <w:sz w:val="20"/>
              </w:rPr>
              <w:t>0,775</w:t>
            </w:r>
          </w:p>
        </w:tc>
        <w:tc>
          <w:tcPr>
            <w:tcW w:w="868" w:type="dxa"/>
          </w:tcPr>
          <w:p w14:paraId="30F31CCE" w14:textId="77777777" w:rsidR="00B50935" w:rsidRPr="00927CFF" w:rsidRDefault="00B50935" w:rsidP="00427764">
            <w:pPr>
              <w:spacing w:before="20" w:after="20"/>
              <w:jc w:val="right"/>
              <w:rPr>
                <w:noProof/>
                <w:sz w:val="20"/>
              </w:rPr>
            </w:pPr>
            <w:r w:rsidRPr="00927CFF">
              <w:rPr>
                <w:sz w:val="20"/>
              </w:rPr>
              <w:t>1,375</w:t>
            </w:r>
          </w:p>
        </w:tc>
        <w:tc>
          <w:tcPr>
            <w:tcW w:w="868" w:type="dxa"/>
          </w:tcPr>
          <w:p w14:paraId="79A4D34A" w14:textId="77777777" w:rsidR="00B50935" w:rsidRPr="00927CFF" w:rsidRDefault="00B50935" w:rsidP="00427764">
            <w:pPr>
              <w:spacing w:before="20" w:after="20"/>
              <w:jc w:val="right"/>
              <w:rPr>
                <w:noProof/>
                <w:sz w:val="20"/>
              </w:rPr>
            </w:pPr>
            <w:r w:rsidRPr="00927CFF">
              <w:rPr>
                <w:sz w:val="20"/>
              </w:rPr>
              <w:t>1,700</w:t>
            </w:r>
          </w:p>
        </w:tc>
        <w:tc>
          <w:tcPr>
            <w:tcW w:w="868" w:type="dxa"/>
          </w:tcPr>
          <w:p w14:paraId="434AB086" w14:textId="77777777" w:rsidR="00B50935" w:rsidRPr="00927CFF" w:rsidRDefault="00B50935" w:rsidP="00427764">
            <w:pPr>
              <w:spacing w:before="20" w:after="20"/>
              <w:jc w:val="right"/>
              <w:rPr>
                <w:noProof/>
                <w:sz w:val="20"/>
              </w:rPr>
            </w:pPr>
            <w:r w:rsidRPr="00927CFF">
              <w:rPr>
                <w:sz w:val="20"/>
              </w:rPr>
              <w:t>1,825</w:t>
            </w:r>
          </w:p>
        </w:tc>
        <w:tc>
          <w:tcPr>
            <w:tcW w:w="868" w:type="dxa"/>
          </w:tcPr>
          <w:p w14:paraId="2362DB39" w14:textId="77777777" w:rsidR="00B50935" w:rsidRPr="00927CFF" w:rsidRDefault="00B50935" w:rsidP="00427764">
            <w:pPr>
              <w:spacing w:before="20" w:after="20"/>
              <w:jc w:val="right"/>
              <w:rPr>
                <w:noProof/>
                <w:sz w:val="20"/>
              </w:rPr>
            </w:pPr>
            <w:r w:rsidRPr="00927CFF">
              <w:rPr>
                <w:sz w:val="20"/>
              </w:rPr>
              <w:t>1,825</w:t>
            </w:r>
          </w:p>
        </w:tc>
        <w:tc>
          <w:tcPr>
            <w:tcW w:w="868" w:type="dxa"/>
          </w:tcPr>
          <w:p w14:paraId="2280EBAE" w14:textId="77777777" w:rsidR="00B50935" w:rsidRPr="00927CFF" w:rsidRDefault="00B50935" w:rsidP="00427764">
            <w:pPr>
              <w:spacing w:before="20" w:after="20"/>
              <w:jc w:val="right"/>
              <w:rPr>
                <w:noProof/>
                <w:sz w:val="20"/>
              </w:rPr>
            </w:pPr>
            <w:r w:rsidRPr="00927CFF">
              <w:rPr>
                <w:sz w:val="20"/>
              </w:rPr>
              <w:t>1,825</w:t>
            </w:r>
          </w:p>
        </w:tc>
        <w:tc>
          <w:tcPr>
            <w:tcW w:w="868" w:type="dxa"/>
          </w:tcPr>
          <w:p w14:paraId="46DE411C" w14:textId="77777777" w:rsidR="00B50935" w:rsidRPr="00927CFF" w:rsidRDefault="00B50935" w:rsidP="00427764">
            <w:pPr>
              <w:spacing w:before="20" w:after="20"/>
              <w:jc w:val="right"/>
              <w:rPr>
                <w:b/>
                <w:noProof/>
                <w:sz w:val="20"/>
              </w:rPr>
            </w:pPr>
            <w:r w:rsidRPr="00927CFF">
              <w:rPr>
                <w:sz w:val="20"/>
              </w:rPr>
              <w:t>1,825</w:t>
            </w:r>
          </w:p>
        </w:tc>
        <w:tc>
          <w:tcPr>
            <w:tcW w:w="1777" w:type="dxa"/>
            <w:vAlign w:val="center"/>
          </w:tcPr>
          <w:p w14:paraId="5774B346" w14:textId="77777777" w:rsidR="00B50935" w:rsidRPr="00927CFF" w:rsidRDefault="00B50935" w:rsidP="00427764">
            <w:pPr>
              <w:spacing w:before="20" w:after="20"/>
              <w:jc w:val="right"/>
              <w:rPr>
                <w:b/>
                <w:noProof/>
                <w:sz w:val="20"/>
              </w:rPr>
            </w:pPr>
            <w:r w:rsidRPr="00927CFF">
              <w:rPr>
                <w:b/>
                <w:sz w:val="20"/>
              </w:rPr>
              <w:t>11,150</w:t>
            </w:r>
          </w:p>
        </w:tc>
      </w:tr>
      <w:tr w:rsidR="00B50935" w:rsidRPr="00927CFF" w14:paraId="13951B0C" w14:textId="77777777" w:rsidTr="00427764">
        <w:trPr>
          <w:trHeight w:val="319"/>
        </w:trPr>
        <w:tc>
          <w:tcPr>
            <w:tcW w:w="3960" w:type="dxa"/>
            <w:vAlign w:val="center"/>
          </w:tcPr>
          <w:p w14:paraId="4D202240" w14:textId="77777777" w:rsidR="00B50935" w:rsidRPr="00927CFF" w:rsidRDefault="00B50935" w:rsidP="00427764">
            <w:pPr>
              <w:spacing w:before="60" w:after="60"/>
            </w:pPr>
            <w:r w:rsidRPr="00927CFF">
              <w:rPr>
                <w:sz w:val="20"/>
              </w:rPr>
              <w:t>Afsnit 3:</w:t>
            </w:r>
          </w:p>
        </w:tc>
        <w:tc>
          <w:tcPr>
            <w:tcW w:w="1440" w:type="dxa"/>
            <w:vAlign w:val="center"/>
          </w:tcPr>
          <w:p w14:paraId="64CECC70" w14:textId="77777777" w:rsidR="00B50935" w:rsidRPr="00927CFF" w:rsidRDefault="00B50935" w:rsidP="00427764">
            <w:pPr>
              <w:spacing w:before="40" w:after="40"/>
              <w:rPr>
                <w:noProof/>
                <w:sz w:val="18"/>
              </w:rPr>
            </w:pPr>
            <w:r w:rsidRPr="00927CFF">
              <w:rPr>
                <w:sz w:val="18"/>
              </w:rPr>
              <w:t>Forpligtelser</w:t>
            </w:r>
          </w:p>
        </w:tc>
        <w:tc>
          <w:tcPr>
            <w:tcW w:w="654" w:type="dxa"/>
            <w:gridSpan w:val="2"/>
            <w:vAlign w:val="center"/>
          </w:tcPr>
          <w:p w14:paraId="6C85C0B2" w14:textId="77777777" w:rsidR="00B50935" w:rsidRPr="00927CFF" w:rsidRDefault="00B50935" w:rsidP="00427764">
            <w:pPr>
              <w:spacing w:before="40" w:after="40"/>
              <w:jc w:val="center"/>
              <w:rPr>
                <w:noProof/>
                <w:sz w:val="14"/>
              </w:rPr>
            </w:pPr>
            <w:r w:rsidRPr="00927CFF">
              <w:rPr>
                <w:sz w:val="14"/>
              </w:rPr>
              <w:t>(3a)</w:t>
            </w:r>
          </w:p>
        </w:tc>
        <w:tc>
          <w:tcPr>
            <w:tcW w:w="868" w:type="dxa"/>
          </w:tcPr>
          <w:p w14:paraId="623E6EF6" w14:textId="77777777" w:rsidR="00B50935" w:rsidRPr="00927CFF" w:rsidRDefault="00B50935" w:rsidP="00427764">
            <w:pPr>
              <w:spacing w:before="40" w:after="40"/>
              <w:jc w:val="right"/>
              <w:rPr>
                <w:noProof/>
                <w:sz w:val="20"/>
              </w:rPr>
            </w:pPr>
            <w:r w:rsidRPr="00927CFF">
              <w:rPr>
                <w:sz w:val="20"/>
              </w:rPr>
              <w:t xml:space="preserve"> 12,300</w:t>
            </w:r>
          </w:p>
        </w:tc>
        <w:tc>
          <w:tcPr>
            <w:tcW w:w="868" w:type="dxa"/>
          </w:tcPr>
          <w:p w14:paraId="1033CEC7" w14:textId="77777777" w:rsidR="00B50935" w:rsidRPr="00927CFF" w:rsidRDefault="00B50935" w:rsidP="00427764">
            <w:pPr>
              <w:spacing w:before="40" w:after="40"/>
              <w:jc w:val="right"/>
              <w:rPr>
                <w:noProof/>
                <w:sz w:val="20"/>
              </w:rPr>
            </w:pPr>
            <w:r w:rsidRPr="00927CFF">
              <w:rPr>
                <w:sz w:val="20"/>
              </w:rPr>
              <w:t xml:space="preserve"> 16,500</w:t>
            </w:r>
          </w:p>
        </w:tc>
        <w:tc>
          <w:tcPr>
            <w:tcW w:w="868" w:type="dxa"/>
          </w:tcPr>
          <w:p w14:paraId="2E9061FD" w14:textId="77777777" w:rsidR="00B50935" w:rsidRPr="00927CFF" w:rsidRDefault="00B50935" w:rsidP="00427764">
            <w:pPr>
              <w:spacing w:before="40" w:after="40"/>
              <w:jc w:val="right"/>
              <w:rPr>
                <w:noProof/>
                <w:sz w:val="20"/>
              </w:rPr>
            </w:pPr>
            <w:r w:rsidRPr="00927CFF">
              <w:rPr>
                <w:sz w:val="20"/>
              </w:rPr>
              <w:t xml:space="preserve"> 16,700</w:t>
            </w:r>
          </w:p>
        </w:tc>
        <w:tc>
          <w:tcPr>
            <w:tcW w:w="868" w:type="dxa"/>
          </w:tcPr>
          <w:p w14:paraId="740BFB80" w14:textId="77777777" w:rsidR="00B50935" w:rsidRPr="00927CFF" w:rsidRDefault="00B50935" w:rsidP="00427764">
            <w:pPr>
              <w:spacing w:before="40" w:after="40"/>
              <w:jc w:val="right"/>
              <w:rPr>
                <w:noProof/>
                <w:sz w:val="20"/>
              </w:rPr>
            </w:pPr>
            <w:r w:rsidRPr="00927CFF">
              <w:rPr>
                <w:sz w:val="20"/>
              </w:rPr>
              <w:t xml:space="preserve"> 17,000</w:t>
            </w:r>
          </w:p>
        </w:tc>
        <w:tc>
          <w:tcPr>
            <w:tcW w:w="868" w:type="dxa"/>
          </w:tcPr>
          <w:p w14:paraId="0ABC607A" w14:textId="77777777" w:rsidR="00B50935" w:rsidRPr="00927CFF" w:rsidRDefault="00B50935" w:rsidP="00427764">
            <w:pPr>
              <w:spacing w:before="40" w:after="40"/>
              <w:jc w:val="right"/>
              <w:rPr>
                <w:noProof/>
                <w:sz w:val="20"/>
              </w:rPr>
            </w:pPr>
            <w:r w:rsidRPr="00927CFF">
              <w:rPr>
                <w:sz w:val="20"/>
              </w:rPr>
              <w:t xml:space="preserve"> 14,000</w:t>
            </w:r>
          </w:p>
        </w:tc>
        <w:tc>
          <w:tcPr>
            <w:tcW w:w="868" w:type="dxa"/>
          </w:tcPr>
          <w:p w14:paraId="77CDEF46" w14:textId="77777777" w:rsidR="00B50935" w:rsidRPr="00927CFF" w:rsidRDefault="00B50935" w:rsidP="00427764">
            <w:pPr>
              <w:spacing w:before="40" w:after="40"/>
              <w:jc w:val="right"/>
              <w:rPr>
                <w:noProof/>
                <w:sz w:val="20"/>
              </w:rPr>
            </w:pPr>
            <w:r w:rsidRPr="00927CFF">
              <w:rPr>
                <w:sz w:val="20"/>
              </w:rPr>
              <w:t xml:space="preserve"> 13,000</w:t>
            </w:r>
          </w:p>
        </w:tc>
        <w:tc>
          <w:tcPr>
            <w:tcW w:w="868" w:type="dxa"/>
          </w:tcPr>
          <w:p w14:paraId="32615128" w14:textId="77777777" w:rsidR="00B50935" w:rsidRPr="00927CFF" w:rsidRDefault="00B50935" w:rsidP="00427764">
            <w:pPr>
              <w:spacing w:before="40" w:after="40"/>
              <w:jc w:val="right"/>
              <w:rPr>
                <w:noProof/>
                <w:sz w:val="20"/>
              </w:rPr>
            </w:pPr>
            <w:r w:rsidRPr="00927CFF">
              <w:rPr>
                <w:sz w:val="20"/>
              </w:rPr>
              <w:t xml:space="preserve"> 13,000</w:t>
            </w:r>
          </w:p>
        </w:tc>
        <w:tc>
          <w:tcPr>
            <w:tcW w:w="1777" w:type="dxa"/>
            <w:vAlign w:val="center"/>
          </w:tcPr>
          <w:p w14:paraId="5A7347C4" w14:textId="77777777" w:rsidR="00B50935" w:rsidRPr="00927CFF" w:rsidRDefault="00B50935" w:rsidP="00427764">
            <w:pPr>
              <w:spacing w:before="40" w:after="40"/>
              <w:jc w:val="right"/>
              <w:rPr>
                <w:b/>
                <w:noProof/>
                <w:sz w:val="20"/>
              </w:rPr>
            </w:pPr>
            <w:r w:rsidRPr="00927CFF">
              <w:rPr>
                <w:b/>
                <w:sz w:val="20"/>
              </w:rPr>
              <w:t>102,500</w:t>
            </w:r>
          </w:p>
        </w:tc>
      </w:tr>
      <w:tr w:rsidR="00B50935" w:rsidRPr="00927CFF" w14:paraId="2140715C" w14:textId="77777777" w:rsidTr="00427764">
        <w:trPr>
          <w:trHeight w:val="319"/>
        </w:trPr>
        <w:tc>
          <w:tcPr>
            <w:tcW w:w="3960" w:type="dxa"/>
            <w:vAlign w:val="center"/>
          </w:tcPr>
          <w:p w14:paraId="5A3B63F7" w14:textId="77777777" w:rsidR="00B50935" w:rsidRPr="00927CFF" w:rsidRDefault="00B50935" w:rsidP="00427764">
            <w:pPr>
              <w:spacing w:before="60" w:after="60"/>
              <w:rPr>
                <w:b/>
                <w:noProof/>
                <w:sz w:val="20"/>
              </w:rPr>
            </w:pPr>
          </w:p>
        </w:tc>
        <w:tc>
          <w:tcPr>
            <w:tcW w:w="1440" w:type="dxa"/>
            <w:vAlign w:val="center"/>
          </w:tcPr>
          <w:p w14:paraId="3376D4F2" w14:textId="77777777" w:rsidR="00B50935" w:rsidRPr="00927CFF" w:rsidRDefault="00B50935" w:rsidP="00427764">
            <w:pPr>
              <w:spacing w:before="40" w:after="40"/>
              <w:rPr>
                <w:noProof/>
                <w:sz w:val="18"/>
              </w:rPr>
            </w:pPr>
            <w:r w:rsidRPr="00927CFF">
              <w:rPr>
                <w:sz w:val="18"/>
              </w:rPr>
              <w:t>Betalinger</w:t>
            </w:r>
          </w:p>
        </w:tc>
        <w:tc>
          <w:tcPr>
            <w:tcW w:w="654" w:type="dxa"/>
            <w:gridSpan w:val="2"/>
            <w:vAlign w:val="center"/>
          </w:tcPr>
          <w:p w14:paraId="70D41610" w14:textId="77777777" w:rsidR="00B50935" w:rsidRPr="00927CFF" w:rsidRDefault="00B50935" w:rsidP="00427764">
            <w:pPr>
              <w:spacing w:before="40" w:after="40"/>
              <w:jc w:val="center"/>
              <w:rPr>
                <w:noProof/>
                <w:sz w:val="14"/>
              </w:rPr>
            </w:pPr>
            <w:r w:rsidRPr="00927CFF">
              <w:rPr>
                <w:sz w:val="14"/>
              </w:rPr>
              <w:t>(3b)</w:t>
            </w:r>
          </w:p>
        </w:tc>
        <w:tc>
          <w:tcPr>
            <w:tcW w:w="868" w:type="dxa"/>
          </w:tcPr>
          <w:p w14:paraId="135F4EF7" w14:textId="77777777" w:rsidR="00B50935" w:rsidRPr="00927CFF" w:rsidRDefault="00B50935" w:rsidP="00427764">
            <w:pPr>
              <w:spacing w:before="40" w:after="40"/>
              <w:jc w:val="right"/>
              <w:rPr>
                <w:noProof/>
                <w:sz w:val="20"/>
              </w:rPr>
            </w:pPr>
            <w:r w:rsidRPr="00927CFF">
              <w:rPr>
                <w:sz w:val="20"/>
              </w:rPr>
              <w:t xml:space="preserve"> 12,300</w:t>
            </w:r>
          </w:p>
        </w:tc>
        <w:tc>
          <w:tcPr>
            <w:tcW w:w="868" w:type="dxa"/>
          </w:tcPr>
          <w:p w14:paraId="4A65039D" w14:textId="77777777" w:rsidR="00B50935" w:rsidRPr="00927CFF" w:rsidRDefault="00B50935" w:rsidP="00427764">
            <w:pPr>
              <w:spacing w:before="40" w:after="40"/>
              <w:jc w:val="right"/>
              <w:rPr>
                <w:noProof/>
                <w:sz w:val="20"/>
              </w:rPr>
            </w:pPr>
            <w:r w:rsidRPr="00927CFF">
              <w:rPr>
                <w:sz w:val="20"/>
              </w:rPr>
              <w:t xml:space="preserve"> 16,500</w:t>
            </w:r>
          </w:p>
        </w:tc>
        <w:tc>
          <w:tcPr>
            <w:tcW w:w="868" w:type="dxa"/>
          </w:tcPr>
          <w:p w14:paraId="20488C7B" w14:textId="77777777" w:rsidR="00B50935" w:rsidRPr="00927CFF" w:rsidRDefault="00B50935" w:rsidP="00427764">
            <w:pPr>
              <w:spacing w:before="40" w:after="40"/>
              <w:jc w:val="right"/>
              <w:rPr>
                <w:noProof/>
                <w:sz w:val="20"/>
              </w:rPr>
            </w:pPr>
            <w:r w:rsidRPr="00927CFF">
              <w:rPr>
                <w:sz w:val="20"/>
              </w:rPr>
              <w:t xml:space="preserve"> 16,700</w:t>
            </w:r>
          </w:p>
        </w:tc>
        <w:tc>
          <w:tcPr>
            <w:tcW w:w="868" w:type="dxa"/>
          </w:tcPr>
          <w:p w14:paraId="1A421A7C" w14:textId="77777777" w:rsidR="00B50935" w:rsidRPr="00927CFF" w:rsidRDefault="00B50935" w:rsidP="00427764">
            <w:pPr>
              <w:spacing w:before="40" w:after="40"/>
              <w:jc w:val="right"/>
              <w:rPr>
                <w:noProof/>
                <w:sz w:val="20"/>
              </w:rPr>
            </w:pPr>
            <w:r w:rsidRPr="00927CFF">
              <w:rPr>
                <w:sz w:val="20"/>
              </w:rPr>
              <w:t xml:space="preserve"> 17,000</w:t>
            </w:r>
          </w:p>
        </w:tc>
        <w:tc>
          <w:tcPr>
            <w:tcW w:w="868" w:type="dxa"/>
          </w:tcPr>
          <w:p w14:paraId="74FECBAE" w14:textId="77777777" w:rsidR="00B50935" w:rsidRPr="00927CFF" w:rsidRDefault="00B50935" w:rsidP="00427764">
            <w:pPr>
              <w:spacing w:before="40" w:after="40"/>
              <w:jc w:val="right"/>
              <w:rPr>
                <w:noProof/>
                <w:sz w:val="20"/>
              </w:rPr>
            </w:pPr>
            <w:r w:rsidRPr="00927CFF">
              <w:rPr>
                <w:sz w:val="20"/>
              </w:rPr>
              <w:t xml:space="preserve"> 14,000</w:t>
            </w:r>
          </w:p>
        </w:tc>
        <w:tc>
          <w:tcPr>
            <w:tcW w:w="868" w:type="dxa"/>
          </w:tcPr>
          <w:p w14:paraId="6DD8BABC" w14:textId="77777777" w:rsidR="00B50935" w:rsidRPr="00927CFF" w:rsidRDefault="00B50935" w:rsidP="00427764">
            <w:pPr>
              <w:spacing w:before="40" w:after="40"/>
              <w:jc w:val="right"/>
              <w:rPr>
                <w:noProof/>
                <w:sz w:val="20"/>
              </w:rPr>
            </w:pPr>
            <w:r w:rsidRPr="00927CFF">
              <w:rPr>
                <w:sz w:val="20"/>
              </w:rPr>
              <w:t xml:space="preserve"> 13,000</w:t>
            </w:r>
          </w:p>
        </w:tc>
        <w:tc>
          <w:tcPr>
            <w:tcW w:w="868" w:type="dxa"/>
          </w:tcPr>
          <w:p w14:paraId="2E80A71F" w14:textId="77777777" w:rsidR="00B50935" w:rsidRPr="00927CFF" w:rsidRDefault="00B50935" w:rsidP="00427764">
            <w:pPr>
              <w:spacing w:before="40" w:after="40"/>
              <w:jc w:val="right"/>
              <w:rPr>
                <w:noProof/>
                <w:sz w:val="20"/>
              </w:rPr>
            </w:pPr>
            <w:r w:rsidRPr="00927CFF">
              <w:rPr>
                <w:sz w:val="20"/>
              </w:rPr>
              <w:t xml:space="preserve"> 13,000</w:t>
            </w:r>
          </w:p>
        </w:tc>
        <w:tc>
          <w:tcPr>
            <w:tcW w:w="1777" w:type="dxa"/>
            <w:vAlign w:val="center"/>
          </w:tcPr>
          <w:p w14:paraId="18982E99" w14:textId="77777777" w:rsidR="00B50935" w:rsidRPr="00927CFF" w:rsidRDefault="00B50935" w:rsidP="00427764">
            <w:pPr>
              <w:spacing w:before="40" w:after="40"/>
              <w:jc w:val="right"/>
              <w:rPr>
                <w:b/>
                <w:noProof/>
                <w:sz w:val="20"/>
              </w:rPr>
            </w:pPr>
            <w:r w:rsidRPr="00927CFF">
              <w:rPr>
                <w:b/>
                <w:sz w:val="20"/>
              </w:rPr>
              <w:t>102,500</w:t>
            </w:r>
          </w:p>
        </w:tc>
      </w:tr>
      <w:tr w:rsidR="00B50935" w:rsidRPr="00927CFF" w14:paraId="054141CC" w14:textId="77777777" w:rsidTr="00427764">
        <w:trPr>
          <w:trHeight w:val="703"/>
        </w:trPr>
        <w:tc>
          <w:tcPr>
            <w:tcW w:w="3960" w:type="dxa"/>
            <w:vMerge w:val="restart"/>
            <w:vAlign w:val="center"/>
          </w:tcPr>
          <w:p w14:paraId="40499EBA" w14:textId="77777777" w:rsidR="00B50935" w:rsidRPr="00927CFF" w:rsidRDefault="00B50935" w:rsidP="00427764">
            <w:pPr>
              <w:jc w:val="center"/>
              <w:rPr>
                <w:noProof/>
              </w:rPr>
            </w:pPr>
            <w:r w:rsidRPr="00927CFF">
              <w:rPr>
                <w:b/>
                <w:sz w:val="22"/>
              </w:rPr>
              <w:t>Bevillinger I ALT</w:t>
            </w:r>
            <w:r w:rsidRPr="00927CFF">
              <w:t xml:space="preserve"> </w:t>
            </w:r>
            <w:r w:rsidRPr="00927CFF">
              <w:br/>
            </w:r>
            <w:r w:rsidRPr="00927CFF">
              <w:rPr>
                <w:b/>
                <w:sz w:val="22"/>
              </w:rPr>
              <w:t>t</w:t>
            </w:r>
            <w:r w:rsidRPr="00927CFF">
              <w:rPr>
                <w:b/>
              </w:rPr>
              <w:t>il ECDC</w:t>
            </w:r>
          </w:p>
        </w:tc>
        <w:tc>
          <w:tcPr>
            <w:tcW w:w="1440" w:type="dxa"/>
            <w:vAlign w:val="center"/>
          </w:tcPr>
          <w:p w14:paraId="635B2A46" w14:textId="77777777" w:rsidR="00B50935" w:rsidRPr="00927CFF" w:rsidRDefault="00B50935" w:rsidP="00427764">
            <w:pPr>
              <w:rPr>
                <w:noProof/>
                <w:sz w:val="18"/>
              </w:rPr>
            </w:pPr>
            <w:r w:rsidRPr="00927CFF">
              <w:rPr>
                <w:sz w:val="18"/>
              </w:rPr>
              <w:t>Forpligtelser</w:t>
            </w:r>
          </w:p>
        </w:tc>
        <w:tc>
          <w:tcPr>
            <w:tcW w:w="654" w:type="dxa"/>
            <w:gridSpan w:val="2"/>
            <w:vAlign w:val="center"/>
          </w:tcPr>
          <w:p w14:paraId="3B719E11" w14:textId="77777777" w:rsidR="00B50935" w:rsidRPr="00927CFF" w:rsidRDefault="00B50935" w:rsidP="00427764">
            <w:pPr>
              <w:jc w:val="center"/>
              <w:rPr>
                <w:noProof/>
                <w:sz w:val="14"/>
              </w:rPr>
            </w:pPr>
            <w:r w:rsidRPr="00927CFF">
              <w:rPr>
                <w:sz w:val="14"/>
              </w:rPr>
              <w:t>=1+1a +3a</w:t>
            </w:r>
          </w:p>
        </w:tc>
        <w:tc>
          <w:tcPr>
            <w:tcW w:w="868" w:type="dxa"/>
            <w:vAlign w:val="center"/>
          </w:tcPr>
          <w:p w14:paraId="10C9B577" w14:textId="77777777" w:rsidR="00B50935" w:rsidRPr="00927CFF" w:rsidRDefault="00B50935" w:rsidP="00427764">
            <w:pPr>
              <w:spacing w:before="20" w:after="20"/>
              <w:jc w:val="right"/>
              <w:rPr>
                <w:b/>
                <w:noProof/>
                <w:sz w:val="20"/>
              </w:rPr>
            </w:pPr>
            <w:r w:rsidRPr="00927CFF">
              <w:rPr>
                <w:b/>
                <w:sz w:val="20"/>
              </w:rPr>
              <w:t xml:space="preserve"> 16,040 </w:t>
            </w:r>
          </w:p>
        </w:tc>
        <w:tc>
          <w:tcPr>
            <w:tcW w:w="868" w:type="dxa"/>
            <w:vAlign w:val="center"/>
          </w:tcPr>
          <w:p w14:paraId="25434E0E" w14:textId="77777777" w:rsidR="00B50935" w:rsidRPr="00927CFF" w:rsidRDefault="00B50935" w:rsidP="00427764">
            <w:pPr>
              <w:spacing w:before="20" w:after="20"/>
              <w:jc w:val="right"/>
              <w:rPr>
                <w:b/>
                <w:noProof/>
                <w:sz w:val="20"/>
              </w:rPr>
            </w:pPr>
            <w:r w:rsidRPr="00927CFF">
              <w:rPr>
                <w:b/>
                <w:sz w:val="20"/>
              </w:rPr>
              <w:t xml:space="preserve"> 23,350 </w:t>
            </w:r>
          </w:p>
        </w:tc>
        <w:tc>
          <w:tcPr>
            <w:tcW w:w="868" w:type="dxa"/>
            <w:vAlign w:val="center"/>
          </w:tcPr>
          <w:p w14:paraId="22162EED" w14:textId="77777777" w:rsidR="00B50935" w:rsidRPr="00927CFF" w:rsidRDefault="00B50935" w:rsidP="00427764">
            <w:pPr>
              <w:spacing w:before="20" w:after="20"/>
              <w:jc w:val="right"/>
              <w:rPr>
                <w:b/>
                <w:noProof/>
                <w:sz w:val="20"/>
              </w:rPr>
            </w:pPr>
            <w:r w:rsidRPr="00927CFF">
              <w:rPr>
                <w:b/>
                <w:sz w:val="20"/>
              </w:rPr>
              <w:t xml:space="preserve"> 25,080 </w:t>
            </w:r>
          </w:p>
        </w:tc>
        <w:tc>
          <w:tcPr>
            <w:tcW w:w="868" w:type="dxa"/>
            <w:vAlign w:val="center"/>
          </w:tcPr>
          <w:p w14:paraId="48130AA5" w14:textId="77777777" w:rsidR="00B50935" w:rsidRPr="00927CFF" w:rsidRDefault="00B50935" w:rsidP="00427764">
            <w:pPr>
              <w:spacing w:before="20" w:after="20"/>
              <w:jc w:val="right"/>
              <w:rPr>
                <w:b/>
                <w:noProof/>
                <w:sz w:val="20"/>
              </w:rPr>
            </w:pPr>
            <w:r w:rsidRPr="00927CFF">
              <w:rPr>
                <w:b/>
                <w:sz w:val="20"/>
              </w:rPr>
              <w:t xml:space="preserve"> 25,990 </w:t>
            </w:r>
          </w:p>
        </w:tc>
        <w:tc>
          <w:tcPr>
            <w:tcW w:w="868" w:type="dxa"/>
            <w:vAlign w:val="center"/>
          </w:tcPr>
          <w:p w14:paraId="1D8C3FE6" w14:textId="77777777" w:rsidR="00B50935" w:rsidRPr="00927CFF" w:rsidRDefault="00B50935" w:rsidP="00427764">
            <w:pPr>
              <w:spacing w:before="20" w:after="20"/>
              <w:jc w:val="right"/>
              <w:rPr>
                <w:b/>
                <w:noProof/>
                <w:sz w:val="20"/>
              </w:rPr>
            </w:pPr>
            <w:r w:rsidRPr="00927CFF">
              <w:rPr>
                <w:b/>
                <w:sz w:val="20"/>
              </w:rPr>
              <w:t xml:space="preserve"> 22,990 </w:t>
            </w:r>
          </w:p>
        </w:tc>
        <w:tc>
          <w:tcPr>
            <w:tcW w:w="868" w:type="dxa"/>
            <w:vAlign w:val="center"/>
          </w:tcPr>
          <w:p w14:paraId="287C19DF" w14:textId="77777777" w:rsidR="00B50935" w:rsidRPr="00927CFF" w:rsidRDefault="00B50935" w:rsidP="00427764">
            <w:pPr>
              <w:spacing w:before="20" w:after="20"/>
              <w:jc w:val="right"/>
              <w:rPr>
                <w:b/>
                <w:noProof/>
                <w:sz w:val="20"/>
              </w:rPr>
            </w:pPr>
            <w:r w:rsidRPr="00927CFF">
              <w:rPr>
                <w:b/>
                <w:sz w:val="20"/>
              </w:rPr>
              <w:t xml:space="preserve"> 21,990 </w:t>
            </w:r>
          </w:p>
        </w:tc>
        <w:tc>
          <w:tcPr>
            <w:tcW w:w="868" w:type="dxa"/>
            <w:vAlign w:val="center"/>
          </w:tcPr>
          <w:p w14:paraId="3BF94625" w14:textId="77777777" w:rsidR="00B50935" w:rsidRPr="00927CFF" w:rsidRDefault="00B50935" w:rsidP="00427764">
            <w:pPr>
              <w:spacing w:before="20" w:after="20"/>
              <w:jc w:val="right"/>
              <w:rPr>
                <w:b/>
                <w:noProof/>
                <w:sz w:val="20"/>
              </w:rPr>
            </w:pPr>
            <w:r w:rsidRPr="00927CFF">
              <w:rPr>
                <w:b/>
                <w:sz w:val="20"/>
              </w:rPr>
              <w:t xml:space="preserve"> 21,990 </w:t>
            </w:r>
          </w:p>
        </w:tc>
        <w:tc>
          <w:tcPr>
            <w:tcW w:w="1777" w:type="dxa"/>
            <w:vAlign w:val="center"/>
          </w:tcPr>
          <w:p w14:paraId="6504D3E1" w14:textId="77777777" w:rsidR="00B50935" w:rsidRPr="00927CFF" w:rsidRDefault="00B50935" w:rsidP="00427764">
            <w:pPr>
              <w:spacing w:before="20" w:after="20"/>
              <w:jc w:val="right"/>
              <w:rPr>
                <w:b/>
                <w:noProof/>
                <w:sz w:val="20"/>
              </w:rPr>
            </w:pPr>
            <w:r w:rsidRPr="00927CFF">
              <w:rPr>
                <w:b/>
                <w:sz w:val="20"/>
              </w:rPr>
              <w:t>157,430</w:t>
            </w:r>
          </w:p>
        </w:tc>
      </w:tr>
      <w:tr w:rsidR="00B50935" w:rsidRPr="00927CFF" w14:paraId="18CA7EB6" w14:textId="77777777" w:rsidTr="00427764">
        <w:tc>
          <w:tcPr>
            <w:tcW w:w="3960" w:type="dxa"/>
            <w:vMerge/>
            <w:vAlign w:val="center"/>
          </w:tcPr>
          <w:p w14:paraId="3385E788" w14:textId="77777777" w:rsidR="00B50935" w:rsidRPr="00927CFF" w:rsidRDefault="00B50935" w:rsidP="00427764">
            <w:pPr>
              <w:rPr>
                <w:b/>
                <w:noProof/>
              </w:rPr>
            </w:pPr>
          </w:p>
        </w:tc>
        <w:tc>
          <w:tcPr>
            <w:tcW w:w="1440" w:type="dxa"/>
            <w:vAlign w:val="center"/>
          </w:tcPr>
          <w:p w14:paraId="33101DA1" w14:textId="77777777" w:rsidR="00B50935" w:rsidRPr="00927CFF" w:rsidRDefault="00B50935" w:rsidP="00427764">
            <w:pPr>
              <w:rPr>
                <w:noProof/>
                <w:sz w:val="18"/>
              </w:rPr>
            </w:pPr>
            <w:r w:rsidRPr="00927CFF">
              <w:rPr>
                <w:sz w:val="18"/>
              </w:rPr>
              <w:t>Betalinger</w:t>
            </w:r>
          </w:p>
        </w:tc>
        <w:tc>
          <w:tcPr>
            <w:tcW w:w="654" w:type="dxa"/>
            <w:gridSpan w:val="2"/>
            <w:vAlign w:val="center"/>
          </w:tcPr>
          <w:p w14:paraId="0C4D7F6F" w14:textId="77777777" w:rsidR="00B50935" w:rsidRPr="00927CFF" w:rsidRDefault="00B50935" w:rsidP="00427764">
            <w:pPr>
              <w:jc w:val="center"/>
              <w:rPr>
                <w:noProof/>
                <w:sz w:val="14"/>
              </w:rPr>
            </w:pPr>
            <w:r w:rsidRPr="00927CFF">
              <w:rPr>
                <w:sz w:val="14"/>
              </w:rPr>
              <w:t>= 2 + 2a</w:t>
            </w:r>
          </w:p>
          <w:p w14:paraId="141E85EA" w14:textId="77777777" w:rsidR="00B50935" w:rsidRPr="00927CFF" w:rsidRDefault="00B50935" w:rsidP="00427764">
            <w:pPr>
              <w:jc w:val="center"/>
              <w:rPr>
                <w:noProof/>
                <w:sz w:val="14"/>
              </w:rPr>
            </w:pPr>
            <w:r w:rsidRPr="00927CFF">
              <w:rPr>
                <w:sz w:val="14"/>
              </w:rPr>
              <w:t>+3b</w:t>
            </w:r>
          </w:p>
        </w:tc>
        <w:tc>
          <w:tcPr>
            <w:tcW w:w="868" w:type="dxa"/>
            <w:vAlign w:val="center"/>
          </w:tcPr>
          <w:p w14:paraId="72042B82" w14:textId="77777777" w:rsidR="00B50935" w:rsidRPr="00927CFF" w:rsidRDefault="00B50935" w:rsidP="00427764">
            <w:pPr>
              <w:spacing w:before="20" w:after="20"/>
              <w:jc w:val="right"/>
              <w:rPr>
                <w:b/>
                <w:noProof/>
                <w:sz w:val="20"/>
              </w:rPr>
            </w:pPr>
            <w:r w:rsidRPr="00927CFF">
              <w:rPr>
                <w:b/>
                <w:sz w:val="20"/>
              </w:rPr>
              <w:t xml:space="preserve"> 16,040 </w:t>
            </w:r>
          </w:p>
        </w:tc>
        <w:tc>
          <w:tcPr>
            <w:tcW w:w="868" w:type="dxa"/>
            <w:vAlign w:val="center"/>
          </w:tcPr>
          <w:p w14:paraId="250621B3" w14:textId="77777777" w:rsidR="00B50935" w:rsidRPr="00927CFF" w:rsidRDefault="00B50935" w:rsidP="00427764">
            <w:pPr>
              <w:spacing w:before="20" w:after="20"/>
              <w:jc w:val="right"/>
              <w:rPr>
                <w:b/>
                <w:noProof/>
                <w:sz w:val="20"/>
              </w:rPr>
            </w:pPr>
            <w:r w:rsidRPr="00927CFF">
              <w:rPr>
                <w:b/>
                <w:sz w:val="20"/>
              </w:rPr>
              <w:t xml:space="preserve"> 23,350 </w:t>
            </w:r>
          </w:p>
        </w:tc>
        <w:tc>
          <w:tcPr>
            <w:tcW w:w="868" w:type="dxa"/>
            <w:vAlign w:val="center"/>
          </w:tcPr>
          <w:p w14:paraId="77479316" w14:textId="77777777" w:rsidR="00B50935" w:rsidRPr="00927CFF" w:rsidRDefault="00B50935" w:rsidP="00427764">
            <w:pPr>
              <w:spacing w:before="20" w:after="20"/>
              <w:jc w:val="right"/>
              <w:rPr>
                <w:b/>
                <w:noProof/>
                <w:sz w:val="20"/>
              </w:rPr>
            </w:pPr>
            <w:r w:rsidRPr="00927CFF">
              <w:rPr>
                <w:b/>
                <w:sz w:val="20"/>
              </w:rPr>
              <w:t xml:space="preserve"> 25,080 </w:t>
            </w:r>
          </w:p>
        </w:tc>
        <w:tc>
          <w:tcPr>
            <w:tcW w:w="868" w:type="dxa"/>
            <w:vAlign w:val="center"/>
          </w:tcPr>
          <w:p w14:paraId="0FE2A2A3" w14:textId="77777777" w:rsidR="00B50935" w:rsidRPr="00927CFF" w:rsidRDefault="00B50935" w:rsidP="00427764">
            <w:pPr>
              <w:spacing w:before="20" w:after="20"/>
              <w:jc w:val="right"/>
              <w:rPr>
                <w:b/>
                <w:noProof/>
                <w:sz w:val="20"/>
              </w:rPr>
            </w:pPr>
            <w:r w:rsidRPr="00927CFF">
              <w:rPr>
                <w:b/>
                <w:sz w:val="20"/>
              </w:rPr>
              <w:t xml:space="preserve"> 25,990 </w:t>
            </w:r>
          </w:p>
        </w:tc>
        <w:tc>
          <w:tcPr>
            <w:tcW w:w="868" w:type="dxa"/>
            <w:vAlign w:val="center"/>
          </w:tcPr>
          <w:p w14:paraId="04861392" w14:textId="77777777" w:rsidR="00B50935" w:rsidRPr="00927CFF" w:rsidRDefault="00B50935" w:rsidP="00427764">
            <w:pPr>
              <w:spacing w:before="20" w:after="20"/>
              <w:jc w:val="right"/>
              <w:rPr>
                <w:b/>
                <w:noProof/>
                <w:sz w:val="20"/>
              </w:rPr>
            </w:pPr>
            <w:r w:rsidRPr="00927CFF">
              <w:rPr>
                <w:b/>
                <w:sz w:val="20"/>
              </w:rPr>
              <w:t xml:space="preserve"> 22,990 </w:t>
            </w:r>
          </w:p>
        </w:tc>
        <w:tc>
          <w:tcPr>
            <w:tcW w:w="868" w:type="dxa"/>
            <w:vAlign w:val="center"/>
          </w:tcPr>
          <w:p w14:paraId="26A97F0A" w14:textId="77777777" w:rsidR="00B50935" w:rsidRPr="00927CFF" w:rsidRDefault="00B50935" w:rsidP="00427764">
            <w:pPr>
              <w:spacing w:before="20" w:after="20"/>
              <w:jc w:val="right"/>
              <w:rPr>
                <w:b/>
                <w:noProof/>
                <w:sz w:val="20"/>
              </w:rPr>
            </w:pPr>
            <w:r w:rsidRPr="00927CFF">
              <w:rPr>
                <w:b/>
                <w:sz w:val="20"/>
              </w:rPr>
              <w:t xml:space="preserve"> 21,990 </w:t>
            </w:r>
          </w:p>
        </w:tc>
        <w:tc>
          <w:tcPr>
            <w:tcW w:w="868" w:type="dxa"/>
            <w:vAlign w:val="center"/>
          </w:tcPr>
          <w:p w14:paraId="4F7B628C" w14:textId="77777777" w:rsidR="00B50935" w:rsidRPr="00927CFF" w:rsidRDefault="00B50935" w:rsidP="00427764">
            <w:pPr>
              <w:spacing w:before="20" w:after="20"/>
              <w:jc w:val="right"/>
              <w:rPr>
                <w:b/>
                <w:noProof/>
                <w:sz w:val="20"/>
              </w:rPr>
            </w:pPr>
            <w:r w:rsidRPr="00927CFF">
              <w:rPr>
                <w:b/>
                <w:sz w:val="20"/>
              </w:rPr>
              <w:t xml:space="preserve"> 21,990 </w:t>
            </w:r>
          </w:p>
        </w:tc>
        <w:tc>
          <w:tcPr>
            <w:tcW w:w="1777" w:type="dxa"/>
            <w:vAlign w:val="center"/>
          </w:tcPr>
          <w:p w14:paraId="4B806C60" w14:textId="77777777" w:rsidR="00B50935" w:rsidRPr="00927CFF" w:rsidRDefault="00B50935" w:rsidP="00427764">
            <w:pPr>
              <w:spacing w:before="20" w:after="20"/>
              <w:jc w:val="right"/>
              <w:rPr>
                <w:b/>
                <w:noProof/>
                <w:sz w:val="20"/>
              </w:rPr>
            </w:pPr>
            <w:r w:rsidRPr="00927CFF">
              <w:rPr>
                <w:b/>
                <w:sz w:val="20"/>
              </w:rPr>
              <w:t>157,430</w:t>
            </w:r>
          </w:p>
        </w:tc>
      </w:tr>
    </w:tbl>
    <w:p w14:paraId="2B6BCBCF" w14:textId="77777777" w:rsidR="00B50935" w:rsidRPr="00927CFF" w:rsidRDefault="00B50935" w:rsidP="00B50935">
      <w:pPr>
        <w:rPr>
          <w:noProof/>
        </w:rPr>
      </w:pPr>
      <w:r w:rsidRPr="00927CFF">
        <w:t xml:space="preserve"> </w:t>
      </w:r>
      <w:r w:rsidRPr="00927CFF">
        <w:br/>
        <w:t xml:space="preserve"> </w:t>
      </w:r>
      <w:r w:rsidRPr="00927CFF">
        <w:br/>
      </w:r>
    </w:p>
    <w:p w14:paraId="617686CF" w14:textId="77777777" w:rsidR="00B50935" w:rsidRPr="00927CFF" w:rsidRDefault="00B50935" w:rsidP="00B50935">
      <w:pPr>
        <w:rPr>
          <w:noProof/>
        </w:rPr>
      </w:pPr>
      <w:r w:rsidRPr="00927CFF">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0935" w:rsidRPr="00927CFF" w14:paraId="1B3C8E7A" w14:textId="77777777" w:rsidTr="00427764">
        <w:trPr>
          <w:jc w:val="center"/>
        </w:trPr>
        <w:tc>
          <w:tcPr>
            <w:tcW w:w="4744" w:type="dxa"/>
            <w:shd w:val="thinDiagStripe" w:color="C0C0C0" w:fill="auto"/>
            <w:vAlign w:val="center"/>
          </w:tcPr>
          <w:p w14:paraId="1B1E9F66" w14:textId="77777777" w:rsidR="00B50935" w:rsidRPr="00927CFF" w:rsidRDefault="00B50935" w:rsidP="00427764">
            <w:pPr>
              <w:spacing w:before="60" w:after="60"/>
              <w:jc w:val="center"/>
              <w:rPr>
                <w:b/>
                <w:noProof/>
              </w:rPr>
            </w:pPr>
            <w:r w:rsidRPr="00927CFF">
              <w:br w:type="page"/>
            </w:r>
            <w:r w:rsidRPr="00927CFF">
              <w:rPr>
                <w:b/>
                <w:sz w:val="22"/>
              </w:rPr>
              <w:t xml:space="preserve">Udgiftsområde i </w:t>
            </w:r>
            <w:r w:rsidRPr="00927CFF">
              <w:rPr>
                <w:b/>
                <w:sz w:val="22"/>
              </w:rPr>
              <w:br/>
              <w:t xml:space="preserve">den flerårige finansielle ramme </w:t>
            </w:r>
          </w:p>
        </w:tc>
        <w:tc>
          <w:tcPr>
            <w:tcW w:w="1080" w:type="dxa"/>
            <w:shd w:val="thinDiagStripe" w:color="C0C0C0" w:fill="auto"/>
            <w:vAlign w:val="center"/>
          </w:tcPr>
          <w:p w14:paraId="00D5CAA0" w14:textId="77777777" w:rsidR="00B50935" w:rsidRPr="00927CFF" w:rsidRDefault="00B50935" w:rsidP="00427764">
            <w:pPr>
              <w:spacing w:before="60" w:after="60"/>
              <w:jc w:val="center"/>
            </w:pPr>
            <w:r w:rsidRPr="00927CFF">
              <w:rPr>
                <w:b/>
                <w:sz w:val="22"/>
              </w:rPr>
              <w:t>7</w:t>
            </w:r>
          </w:p>
        </w:tc>
        <w:tc>
          <w:tcPr>
            <w:tcW w:w="7817" w:type="dxa"/>
            <w:vAlign w:val="center"/>
          </w:tcPr>
          <w:p w14:paraId="24CB02F1" w14:textId="77777777" w:rsidR="00B50935" w:rsidRPr="00927CFF" w:rsidRDefault="00B50935" w:rsidP="00427764">
            <w:pPr>
              <w:spacing w:before="60" w:after="60"/>
              <w:rPr>
                <w:noProof/>
              </w:rPr>
            </w:pPr>
            <w:r w:rsidRPr="00927CFF">
              <w:rPr>
                <w:sz w:val="22"/>
              </w:rPr>
              <w:t>"Administration"</w:t>
            </w:r>
          </w:p>
        </w:tc>
      </w:tr>
    </w:tbl>
    <w:p w14:paraId="7D32A2C4" w14:textId="77777777" w:rsidR="00B50935" w:rsidRPr="002902A6" w:rsidRDefault="00B50935" w:rsidP="00B50935">
      <w:pPr>
        <w:jc w:val="right"/>
        <w:rPr>
          <w:noProof/>
          <w:sz w:val="20"/>
          <w:lang w:val="it-IT"/>
        </w:rPr>
      </w:pPr>
      <w:r w:rsidRPr="002902A6">
        <w:rPr>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040"/>
        <w:gridCol w:w="696"/>
        <w:gridCol w:w="868"/>
        <w:gridCol w:w="1777"/>
      </w:tblGrid>
      <w:tr w:rsidR="00B50935" w:rsidRPr="00927CFF" w14:paraId="59B4540C" w14:textId="77777777" w:rsidTr="00427764">
        <w:tc>
          <w:tcPr>
            <w:tcW w:w="3960" w:type="dxa"/>
            <w:tcBorders>
              <w:top w:val="nil"/>
              <w:left w:val="nil"/>
              <w:right w:val="nil"/>
            </w:tcBorders>
            <w:vAlign w:val="center"/>
          </w:tcPr>
          <w:p w14:paraId="1A9B237E" w14:textId="77777777" w:rsidR="00B50935" w:rsidRPr="002902A6" w:rsidRDefault="00B50935" w:rsidP="00427764">
            <w:pPr>
              <w:jc w:val="center"/>
              <w:rPr>
                <w:noProof/>
                <w:lang w:val="it-IT"/>
              </w:rPr>
            </w:pPr>
          </w:p>
        </w:tc>
        <w:tc>
          <w:tcPr>
            <w:tcW w:w="1560" w:type="dxa"/>
            <w:tcBorders>
              <w:top w:val="nil"/>
              <w:left w:val="nil"/>
              <w:right w:val="nil"/>
            </w:tcBorders>
          </w:tcPr>
          <w:p w14:paraId="4CAD5265" w14:textId="77777777" w:rsidR="00B50935" w:rsidRPr="002902A6" w:rsidRDefault="00B50935" w:rsidP="00427764">
            <w:pPr>
              <w:rPr>
                <w:noProof/>
                <w:sz w:val="20"/>
                <w:lang w:val="it-IT"/>
              </w:rPr>
            </w:pPr>
          </w:p>
        </w:tc>
        <w:tc>
          <w:tcPr>
            <w:tcW w:w="534" w:type="dxa"/>
            <w:tcBorders>
              <w:top w:val="nil"/>
              <w:left w:val="nil"/>
            </w:tcBorders>
          </w:tcPr>
          <w:p w14:paraId="303EBA52" w14:textId="77777777" w:rsidR="00B50935" w:rsidRPr="002902A6" w:rsidRDefault="00B50935" w:rsidP="00427764">
            <w:pPr>
              <w:jc w:val="center"/>
              <w:rPr>
                <w:noProof/>
                <w:sz w:val="20"/>
                <w:lang w:val="it-IT"/>
              </w:rPr>
            </w:pPr>
          </w:p>
        </w:tc>
        <w:tc>
          <w:tcPr>
            <w:tcW w:w="868" w:type="dxa"/>
            <w:vAlign w:val="center"/>
          </w:tcPr>
          <w:p w14:paraId="717E9628"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2021</w:t>
            </w:r>
          </w:p>
        </w:tc>
        <w:tc>
          <w:tcPr>
            <w:tcW w:w="868" w:type="dxa"/>
            <w:vAlign w:val="center"/>
          </w:tcPr>
          <w:p w14:paraId="2053697B"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2022</w:t>
            </w:r>
          </w:p>
        </w:tc>
        <w:tc>
          <w:tcPr>
            <w:tcW w:w="868" w:type="dxa"/>
            <w:vAlign w:val="center"/>
          </w:tcPr>
          <w:p w14:paraId="3B024B5B"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2023</w:t>
            </w:r>
          </w:p>
        </w:tc>
        <w:tc>
          <w:tcPr>
            <w:tcW w:w="868" w:type="dxa"/>
            <w:vAlign w:val="center"/>
          </w:tcPr>
          <w:p w14:paraId="6211BA53"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2024</w:t>
            </w:r>
          </w:p>
        </w:tc>
        <w:tc>
          <w:tcPr>
            <w:tcW w:w="1040" w:type="dxa"/>
            <w:vAlign w:val="center"/>
          </w:tcPr>
          <w:p w14:paraId="5D25DAF1"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2025</w:t>
            </w:r>
          </w:p>
        </w:tc>
        <w:tc>
          <w:tcPr>
            <w:tcW w:w="696" w:type="dxa"/>
            <w:vAlign w:val="center"/>
          </w:tcPr>
          <w:p w14:paraId="104D32C2"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2026</w:t>
            </w:r>
          </w:p>
        </w:tc>
        <w:tc>
          <w:tcPr>
            <w:tcW w:w="868" w:type="dxa"/>
            <w:vAlign w:val="center"/>
          </w:tcPr>
          <w:p w14:paraId="7CA102D5"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2027</w:t>
            </w:r>
            <w:r w:rsidRPr="00927CFF">
              <w:rPr>
                <w:sz w:val="20"/>
              </w:rPr>
              <w:t xml:space="preserve"> ff</w:t>
            </w:r>
          </w:p>
        </w:tc>
        <w:tc>
          <w:tcPr>
            <w:tcW w:w="1777" w:type="dxa"/>
            <w:vAlign w:val="center"/>
          </w:tcPr>
          <w:p w14:paraId="47F694B9" w14:textId="77777777" w:rsidR="00B50935" w:rsidRPr="00927CFF" w:rsidRDefault="00B50935" w:rsidP="00427764">
            <w:pPr>
              <w:jc w:val="center"/>
              <w:rPr>
                <w:b/>
                <w:noProof/>
                <w:sz w:val="20"/>
              </w:rPr>
            </w:pPr>
            <w:r w:rsidRPr="00927CFF">
              <w:rPr>
                <w:b/>
                <w:sz w:val="20"/>
              </w:rPr>
              <w:t>I ALT</w:t>
            </w:r>
          </w:p>
        </w:tc>
      </w:tr>
      <w:tr w:rsidR="00B50935" w:rsidRPr="00927CFF" w14:paraId="5BA435AB" w14:textId="77777777" w:rsidTr="00427764">
        <w:trPr>
          <w:gridAfter w:val="10"/>
          <w:wAfter w:w="9947" w:type="dxa"/>
        </w:trPr>
        <w:tc>
          <w:tcPr>
            <w:tcW w:w="3960" w:type="dxa"/>
            <w:vAlign w:val="center"/>
          </w:tcPr>
          <w:p w14:paraId="76093E34" w14:textId="77777777" w:rsidR="00B50935" w:rsidRPr="00927CFF" w:rsidRDefault="00B50935" w:rsidP="00427764">
            <w:pPr>
              <w:spacing w:before="60" w:after="60"/>
              <w:jc w:val="center"/>
              <w:rPr>
                <w:noProof/>
              </w:rPr>
            </w:pPr>
            <w:r w:rsidRPr="00927CFF">
              <w:rPr>
                <w:sz w:val="22"/>
              </w:rPr>
              <w:t xml:space="preserve">GD: </w:t>
            </w:r>
            <w:r w:rsidRPr="00927CFF">
              <w:t>&lt;…….&gt;</w:t>
            </w:r>
          </w:p>
        </w:tc>
      </w:tr>
      <w:tr w:rsidR="00B50935" w:rsidRPr="00927CFF" w14:paraId="52B4E1E8" w14:textId="77777777" w:rsidTr="00427764">
        <w:trPr>
          <w:trHeight w:val="313"/>
        </w:trPr>
        <w:tc>
          <w:tcPr>
            <w:tcW w:w="6054" w:type="dxa"/>
            <w:gridSpan w:val="3"/>
            <w:vAlign w:val="center"/>
          </w:tcPr>
          <w:p w14:paraId="45ABC6CC" w14:textId="77777777" w:rsidR="00B50935" w:rsidRPr="00927CFF" w:rsidRDefault="00B50935" w:rsidP="00427764">
            <w:pPr>
              <w:spacing w:before="20" w:after="20"/>
              <w:rPr>
                <w:noProof/>
              </w:rPr>
            </w:pPr>
            <w:r w:rsidRPr="00927CFF">
              <w:rPr>
                <w:sz w:val="22"/>
              </w:rPr>
              <w:sym w:font="Wingdings" w:char="F09F"/>
            </w:r>
            <w:r w:rsidRPr="00927CFF">
              <w:rPr>
                <w:sz w:val="22"/>
              </w:rPr>
              <w:t xml:space="preserve"> Menneskelige ressourcer </w:t>
            </w:r>
          </w:p>
        </w:tc>
        <w:tc>
          <w:tcPr>
            <w:tcW w:w="868" w:type="dxa"/>
            <w:vAlign w:val="center"/>
          </w:tcPr>
          <w:p w14:paraId="69F66C9A" w14:textId="77777777" w:rsidR="00B50935" w:rsidRPr="00927CFF" w:rsidRDefault="00B50935" w:rsidP="00427764">
            <w:pPr>
              <w:spacing w:before="20" w:after="20"/>
              <w:jc w:val="right"/>
              <w:rPr>
                <w:noProof/>
                <w:sz w:val="20"/>
              </w:rPr>
            </w:pPr>
          </w:p>
        </w:tc>
        <w:tc>
          <w:tcPr>
            <w:tcW w:w="868" w:type="dxa"/>
            <w:vAlign w:val="center"/>
          </w:tcPr>
          <w:p w14:paraId="2DB150C0" w14:textId="77777777" w:rsidR="00B50935" w:rsidRPr="00927CFF" w:rsidRDefault="00B50935" w:rsidP="00427764">
            <w:pPr>
              <w:spacing w:before="20" w:after="20"/>
              <w:jc w:val="right"/>
              <w:rPr>
                <w:noProof/>
                <w:sz w:val="20"/>
              </w:rPr>
            </w:pPr>
          </w:p>
        </w:tc>
        <w:tc>
          <w:tcPr>
            <w:tcW w:w="868" w:type="dxa"/>
            <w:vAlign w:val="center"/>
          </w:tcPr>
          <w:p w14:paraId="06739272" w14:textId="77777777" w:rsidR="00B50935" w:rsidRPr="00927CFF" w:rsidRDefault="00B50935" w:rsidP="00427764">
            <w:pPr>
              <w:spacing w:before="20" w:after="20"/>
              <w:jc w:val="right"/>
              <w:rPr>
                <w:noProof/>
                <w:sz w:val="20"/>
              </w:rPr>
            </w:pPr>
          </w:p>
        </w:tc>
        <w:tc>
          <w:tcPr>
            <w:tcW w:w="868" w:type="dxa"/>
            <w:vAlign w:val="center"/>
          </w:tcPr>
          <w:p w14:paraId="1AC5D7D6" w14:textId="77777777" w:rsidR="00B50935" w:rsidRPr="00927CFF" w:rsidRDefault="00B50935" w:rsidP="00427764">
            <w:pPr>
              <w:spacing w:before="20" w:after="20"/>
              <w:jc w:val="right"/>
              <w:rPr>
                <w:noProof/>
                <w:sz w:val="20"/>
              </w:rPr>
            </w:pPr>
          </w:p>
        </w:tc>
        <w:tc>
          <w:tcPr>
            <w:tcW w:w="1040" w:type="dxa"/>
            <w:vAlign w:val="center"/>
          </w:tcPr>
          <w:p w14:paraId="32F5FDF7" w14:textId="77777777" w:rsidR="00B50935" w:rsidRPr="00927CFF" w:rsidRDefault="00B50935" w:rsidP="00427764">
            <w:pPr>
              <w:spacing w:before="20" w:after="20"/>
              <w:jc w:val="right"/>
              <w:rPr>
                <w:noProof/>
                <w:sz w:val="20"/>
              </w:rPr>
            </w:pPr>
          </w:p>
        </w:tc>
        <w:tc>
          <w:tcPr>
            <w:tcW w:w="696" w:type="dxa"/>
            <w:vAlign w:val="center"/>
          </w:tcPr>
          <w:p w14:paraId="221CC2AD" w14:textId="77777777" w:rsidR="00B50935" w:rsidRPr="00927CFF" w:rsidRDefault="00B50935" w:rsidP="00427764">
            <w:pPr>
              <w:spacing w:before="20" w:after="20"/>
              <w:jc w:val="right"/>
              <w:rPr>
                <w:noProof/>
                <w:sz w:val="20"/>
              </w:rPr>
            </w:pPr>
          </w:p>
        </w:tc>
        <w:tc>
          <w:tcPr>
            <w:tcW w:w="868" w:type="dxa"/>
            <w:vAlign w:val="center"/>
          </w:tcPr>
          <w:p w14:paraId="44652770" w14:textId="77777777" w:rsidR="00B50935" w:rsidRPr="00927CFF" w:rsidRDefault="00B50935" w:rsidP="00427764">
            <w:pPr>
              <w:spacing w:before="20" w:after="20"/>
              <w:jc w:val="right"/>
              <w:rPr>
                <w:b/>
                <w:noProof/>
                <w:sz w:val="20"/>
              </w:rPr>
            </w:pPr>
          </w:p>
        </w:tc>
        <w:tc>
          <w:tcPr>
            <w:tcW w:w="1777" w:type="dxa"/>
            <w:vAlign w:val="center"/>
          </w:tcPr>
          <w:p w14:paraId="77A6BD30" w14:textId="77777777" w:rsidR="00B50935" w:rsidRPr="00927CFF" w:rsidRDefault="00B50935" w:rsidP="00427764">
            <w:pPr>
              <w:spacing w:before="20" w:after="20"/>
              <w:jc w:val="right"/>
              <w:rPr>
                <w:b/>
                <w:noProof/>
                <w:sz w:val="20"/>
              </w:rPr>
            </w:pPr>
          </w:p>
        </w:tc>
      </w:tr>
      <w:tr w:rsidR="00B50935" w:rsidRPr="00927CFF" w14:paraId="35B262AB" w14:textId="77777777" w:rsidTr="00427764">
        <w:trPr>
          <w:trHeight w:val="351"/>
        </w:trPr>
        <w:tc>
          <w:tcPr>
            <w:tcW w:w="6054" w:type="dxa"/>
            <w:gridSpan w:val="3"/>
            <w:vAlign w:val="center"/>
          </w:tcPr>
          <w:p w14:paraId="004B6AB6" w14:textId="77777777" w:rsidR="00B50935" w:rsidRPr="00927CFF" w:rsidRDefault="00B50935" w:rsidP="00427764">
            <w:pPr>
              <w:spacing w:before="20" w:after="20"/>
              <w:rPr>
                <w:noProof/>
              </w:rPr>
            </w:pPr>
            <w:r w:rsidRPr="00927CFF">
              <w:rPr>
                <w:sz w:val="22"/>
              </w:rPr>
              <w:sym w:font="Wingdings" w:char="F09F"/>
            </w:r>
            <w:r w:rsidRPr="00927CFF">
              <w:rPr>
                <w:sz w:val="22"/>
              </w:rPr>
              <w:t xml:space="preserve"> Andre administrationsudgifter </w:t>
            </w:r>
          </w:p>
        </w:tc>
        <w:tc>
          <w:tcPr>
            <w:tcW w:w="868" w:type="dxa"/>
            <w:vAlign w:val="center"/>
          </w:tcPr>
          <w:p w14:paraId="68496B08" w14:textId="77777777" w:rsidR="00B50935" w:rsidRPr="00927CFF" w:rsidRDefault="00B50935" w:rsidP="00427764">
            <w:pPr>
              <w:spacing w:before="20" w:after="20"/>
              <w:jc w:val="right"/>
              <w:rPr>
                <w:b/>
                <w:noProof/>
                <w:sz w:val="20"/>
              </w:rPr>
            </w:pPr>
          </w:p>
        </w:tc>
        <w:tc>
          <w:tcPr>
            <w:tcW w:w="868" w:type="dxa"/>
            <w:vAlign w:val="center"/>
          </w:tcPr>
          <w:p w14:paraId="639C0479" w14:textId="77777777" w:rsidR="00B50935" w:rsidRPr="00927CFF" w:rsidRDefault="00B50935" w:rsidP="00427764">
            <w:pPr>
              <w:spacing w:before="20" w:after="20"/>
              <w:jc w:val="right"/>
              <w:rPr>
                <w:b/>
                <w:noProof/>
                <w:sz w:val="20"/>
              </w:rPr>
            </w:pPr>
          </w:p>
        </w:tc>
        <w:tc>
          <w:tcPr>
            <w:tcW w:w="868" w:type="dxa"/>
            <w:vAlign w:val="center"/>
          </w:tcPr>
          <w:p w14:paraId="736473C4" w14:textId="77777777" w:rsidR="00B50935" w:rsidRPr="00927CFF" w:rsidRDefault="00B50935" w:rsidP="00427764">
            <w:pPr>
              <w:spacing w:before="20" w:after="20"/>
              <w:jc w:val="right"/>
              <w:rPr>
                <w:b/>
                <w:noProof/>
                <w:sz w:val="20"/>
              </w:rPr>
            </w:pPr>
          </w:p>
        </w:tc>
        <w:tc>
          <w:tcPr>
            <w:tcW w:w="868" w:type="dxa"/>
            <w:vAlign w:val="center"/>
          </w:tcPr>
          <w:p w14:paraId="6FBA0FED" w14:textId="77777777" w:rsidR="00B50935" w:rsidRPr="00927CFF" w:rsidRDefault="00B50935" w:rsidP="00427764">
            <w:pPr>
              <w:spacing w:before="20" w:after="20"/>
              <w:jc w:val="right"/>
              <w:rPr>
                <w:b/>
                <w:noProof/>
                <w:sz w:val="20"/>
              </w:rPr>
            </w:pPr>
          </w:p>
        </w:tc>
        <w:tc>
          <w:tcPr>
            <w:tcW w:w="1040" w:type="dxa"/>
            <w:vAlign w:val="center"/>
          </w:tcPr>
          <w:p w14:paraId="5001DC53" w14:textId="77777777" w:rsidR="00B50935" w:rsidRPr="00927CFF" w:rsidRDefault="00B50935" w:rsidP="00427764">
            <w:pPr>
              <w:spacing w:before="20" w:after="20"/>
              <w:jc w:val="right"/>
              <w:rPr>
                <w:b/>
                <w:noProof/>
                <w:sz w:val="20"/>
              </w:rPr>
            </w:pPr>
          </w:p>
        </w:tc>
        <w:tc>
          <w:tcPr>
            <w:tcW w:w="696" w:type="dxa"/>
            <w:vAlign w:val="center"/>
          </w:tcPr>
          <w:p w14:paraId="726E4546" w14:textId="77777777" w:rsidR="00B50935" w:rsidRPr="00927CFF" w:rsidRDefault="00B50935" w:rsidP="00427764">
            <w:pPr>
              <w:spacing w:before="20" w:after="20"/>
              <w:jc w:val="right"/>
              <w:rPr>
                <w:b/>
                <w:noProof/>
                <w:sz w:val="20"/>
              </w:rPr>
            </w:pPr>
          </w:p>
        </w:tc>
        <w:tc>
          <w:tcPr>
            <w:tcW w:w="868" w:type="dxa"/>
            <w:vAlign w:val="center"/>
          </w:tcPr>
          <w:p w14:paraId="0B648891" w14:textId="77777777" w:rsidR="00B50935" w:rsidRPr="00927CFF" w:rsidRDefault="00B50935" w:rsidP="00427764">
            <w:pPr>
              <w:spacing w:before="20" w:after="20"/>
              <w:jc w:val="right"/>
              <w:rPr>
                <w:b/>
                <w:noProof/>
                <w:sz w:val="20"/>
              </w:rPr>
            </w:pPr>
          </w:p>
        </w:tc>
        <w:tc>
          <w:tcPr>
            <w:tcW w:w="1777" w:type="dxa"/>
            <w:vAlign w:val="center"/>
          </w:tcPr>
          <w:p w14:paraId="2AD7D926" w14:textId="77777777" w:rsidR="00B50935" w:rsidRPr="00927CFF" w:rsidRDefault="00B50935" w:rsidP="00427764">
            <w:pPr>
              <w:spacing w:before="20" w:after="20"/>
              <w:jc w:val="right"/>
              <w:rPr>
                <w:b/>
                <w:noProof/>
                <w:sz w:val="20"/>
              </w:rPr>
            </w:pPr>
          </w:p>
        </w:tc>
      </w:tr>
      <w:tr w:rsidR="00B50935" w:rsidRPr="00927CFF" w14:paraId="0BA68E14" w14:textId="77777777" w:rsidTr="00427764">
        <w:tc>
          <w:tcPr>
            <w:tcW w:w="3960" w:type="dxa"/>
            <w:vAlign w:val="center"/>
          </w:tcPr>
          <w:p w14:paraId="17800820" w14:textId="77777777" w:rsidR="00B50935" w:rsidRPr="00927CFF" w:rsidRDefault="00B50935" w:rsidP="00427764">
            <w:pPr>
              <w:jc w:val="center"/>
              <w:rPr>
                <w:b/>
                <w:noProof/>
              </w:rPr>
            </w:pPr>
            <w:r w:rsidRPr="00927CFF">
              <w:rPr>
                <w:b/>
                <w:sz w:val="22"/>
              </w:rPr>
              <w:t xml:space="preserve">I ALT GD </w:t>
            </w:r>
            <w:r w:rsidRPr="00927CFF">
              <w:t>&lt;…….&gt;</w:t>
            </w:r>
          </w:p>
        </w:tc>
        <w:tc>
          <w:tcPr>
            <w:tcW w:w="2094" w:type="dxa"/>
            <w:gridSpan w:val="2"/>
            <w:vAlign w:val="center"/>
          </w:tcPr>
          <w:p w14:paraId="25C46A79" w14:textId="77777777" w:rsidR="00B50935" w:rsidRPr="00927CFF" w:rsidRDefault="00B50935" w:rsidP="00427764">
            <w:pPr>
              <w:rPr>
                <w:noProof/>
                <w:sz w:val="14"/>
              </w:rPr>
            </w:pPr>
            <w:r w:rsidRPr="00927CFF">
              <w:rPr>
                <w:sz w:val="18"/>
              </w:rPr>
              <w:t xml:space="preserve">Bevillinger </w:t>
            </w:r>
          </w:p>
        </w:tc>
        <w:tc>
          <w:tcPr>
            <w:tcW w:w="868" w:type="dxa"/>
            <w:vAlign w:val="center"/>
          </w:tcPr>
          <w:p w14:paraId="7B357C4B" w14:textId="77777777" w:rsidR="00B50935" w:rsidRPr="00927CFF" w:rsidRDefault="00B50935" w:rsidP="00427764">
            <w:pPr>
              <w:spacing w:before="60" w:after="60"/>
              <w:jc w:val="right"/>
              <w:rPr>
                <w:noProof/>
                <w:sz w:val="20"/>
              </w:rPr>
            </w:pPr>
          </w:p>
        </w:tc>
        <w:tc>
          <w:tcPr>
            <w:tcW w:w="868" w:type="dxa"/>
            <w:vAlign w:val="center"/>
          </w:tcPr>
          <w:p w14:paraId="4DEE4F5E" w14:textId="77777777" w:rsidR="00B50935" w:rsidRPr="00927CFF" w:rsidRDefault="00B50935" w:rsidP="00427764">
            <w:pPr>
              <w:spacing w:before="20" w:after="20"/>
              <w:jc w:val="right"/>
              <w:rPr>
                <w:noProof/>
                <w:sz w:val="20"/>
              </w:rPr>
            </w:pPr>
          </w:p>
        </w:tc>
        <w:tc>
          <w:tcPr>
            <w:tcW w:w="868" w:type="dxa"/>
            <w:vAlign w:val="center"/>
          </w:tcPr>
          <w:p w14:paraId="4A67A862" w14:textId="77777777" w:rsidR="00B50935" w:rsidRPr="00927CFF" w:rsidRDefault="00B50935" w:rsidP="00427764">
            <w:pPr>
              <w:spacing w:before="20" w:after="20"/>
              <w:jc w:val="right"/>
              <w:rPr>
                <w:noProof/>
                <w:sz w:val="20"/>
              </w:rPr>
            </w:pPr>
          </w:p>
        </w:tc>
        <w:tc>
          <w:tcPr>
            <w:tcW w:w="868" w:type="dxa"/>
            <w:vAlign w:val="center"/>
          </w:tcPr>
          <w:p w14:paraId="05B38C46" w14:textId="77777777" w:rsidR="00B50935" w:rsidRPr="00927CFF" w:rsidRDefault="00B50935" w:rsidP="00427764">
            <w:pPr>
              <w:spacing w:before="20" w:after="20"/>
              <w:jc w:val="right"/>
              <w:rPr>
                <w:noProof/>
                <w:sz w:val="20"/>
              </w:rPr>
            </w:pPr>
          </w:p>
        </w:tc>
        <w:tc>
          <w:tcPr>
            <w:tcW w:w="1040" w:type="dxa"/>
            <w:vAlign w:val="center"/>
          </w:tcPr>
          <w:p w14:paraId="541916A5" w14:textId="77777777" w:rsidR="00B50935" w:rsidRPr="00927CFF" w:rsidRDefault="00B50935" w:rsidP="00427764">
            <w:pPr>
              <w:spacing w:before="20" w:after="20"/>
              <w:jc w:val="right"/>
              <w:rPr>
                <w:noProof/>
                <w:sz w:val="20"/>
              </w:rPr>
            </w:pPr>
          </w:p>
        </w:tc>
        <w:tc>
          <w:tcPr>
            <w:tcW w:w="696" w:type="dxa"/>
            <w:vAlign w:val="center"/>
          </w:tcPr>
          <w:p w14:paraId="6186A124" w14:textId="77777777" w:rsidR="00B50935" w:rsidRPr="00927CFF" w:rsidRDefault="00B50935" w:rsidP="00427764">
            <w:pPr>
              <w:spacing w:before="20" w:after="20"/>
              <w:jc w:val="right"/>
              <w:rPr>
                <w:noProof/>
                <w:sz w:val="20"/>
              </w:rPr>
            </w:pPr>
          </w:p>
        </w:tc>
        <w:tc>
          <w:tcPr>
            <w:tcW w:w="868" w:type="dxa"/>
            <w:vAlign w:val="center"/>
          </w:tcPr>
          <w:p w14:paraId="04E0BCD2" w14:textId="77777777" w:rsidR="00B50935" w:rsidRPr="00927CFF" w:rsidRDefault="00B50935" w:rsidP="00427764">
            <w:pPr>
              <w:spacing w:before="20" w:after="20"/>
              <w:jc w:val="right"/>
              <w:rPr>
                <w:b/>
                <w:noProof/>
                <w:sz w:val="20"/>
              </w:rPr>
            </w:pPr>
          </w:p>
        </w:tc>
        <w:tc>
          <w:tcPr>
            <w:tcW w:w="1777" w:type="dxa"/>
            <w:vAlign w:val="center"/>
          </w:tcPr>
          <w:p w14:paraId="3CB8767E" w14:textId="77777777" w:rsidR="00B50935" w:rsidRPr="00927CFF" w:rsidRDefault="00B50935" w:rsidP="00427764">
            <w:pPr>
              <w:spacing w:before="20" w:after="20"/>
              <w:jc w:val="right"/>
              <w:rPr>
                <w:b/>
                <w:noProof/>
                <w:sz w:val="20"/>
              </w:rPr>
            </w:pPr>
          </w:p>
        </w:tc>
      </w:tr>
    </w:tbl>
    <w:p w14:paraId="0FA541A0" w14:textId="77777777" w:rsidR="00B50935" w:rsidRPr="00927CFF" w:rsidRDefault="00B50935" w:rsidP="00B50935">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50935" w:rsidRPr="00927CFF" w14:paraId="041E838C" w14:textId="77777777" w:rsidTr="00427764">
        <w:tc>
          <w:tcPr>
            <w:tcW w:w="3960" w:type="dxa"/>
            <w:shd w:val="thinDiagStripe" w:color="C0C0C0" w:fill="auto"/>
            <w:vAlign w:val="center"/>
          </w:tcPr>
          <w:p w14:paraId="51D35EFB" w14:textId="77777777" w:rsidR="00B50935" w:rsidRPr="00927CFF" w:rsidRDefault="00B50935" w:rsidP="00427764">
            <w:pPr>
              <w:jc w:val="center"/>
              <w:rPr>
                <w:b/>
                <w:noProof/>
              </w:rPr>
            </w:pPr>
            <w:r w:rsidRPr="00927CFF">
              <w:rPr>
                <w:b/>
                <w:sz w:val="22"/>
              </w:rPr>
              <w:t>Bevillinger I ALT</w:t>
            </w:r>
            <w:r w:rsidRPr="00927CFF">
              <w:t xml:space="preserve"> </w:t>
            </w:r>
            <w:r w:rsidRPr="00927CFF">
              <w:br/>
            </w:r>
            <w:r w:rsidRPr="00927CFF">
              <w:rPr>
                <w:b/>
                <w:sz w:val="22"/>
              </w:rPr>
              <w:t>under UDGIFTSOMRÅDE 7</w:t>
            </w:r>
            <w:r w:rsidRPr="00927CFF">
              <w:t xml:space="preserve"> </w:t>
            </w:r>
            <w:r w:rsidRPr="00927CFF">
              <w:br/>
            </w:r>
            <w:r w:rsidRPr="00927CFF">
              <w:rPr>
                <w:sz w:val="22"/>
              </w:rPr>
              <w:t>i den flerårige finansielle ramme</w:t>
            </w:r>
            <w:r w:rsidRPr="00927CFF">
              <w:rPr>
                <w:b/>
                <w:sz w:val="22"/>
              </w:rPr>
              <w:t xml:space="preserve"> </w:t>
            </w:r>
          </w:p>
        </w:tc>
        <w:tc>
          <w:tcPr>
            <w:tcW w:w="2094" w:type="dxa"/>
            <w:vAlign w:val="center"/>
          </w:tcPr>
          <w:p w14:paraId="34EFA471" w14:textId="77777777" w:rsidR="00B50935" w:rsidRPr="00927CFF" w:rsidRDefault="00B50935" w:rsidP="00427764">
            <w:pPr>
              <w:spacing w:before="40" w:after="40"/>
              <w:rPr>
                <w:noProof/>
              </w:rPr>
            </w:pPr>
            <w:r w:rsidRPr="00927CFF">
              <w:rPr>
                <w:sz w:val="18"/>
              </w:rPr>
              <w:t>(Forpligtelser i alt = betalinger i alt)</w:t>
            </w:r>
          </w:p>
        </w:tc>
        <w:tc>
          <w:tcPr>
            <w:tcW w:w="868" w:type="dxa"/>
            <w:vAlign w:val="center"/>
          </w:tcPr>
          <w:p w14:paraId="6884540C" w14:textId="77777777" w:rsidR="00B50935" w:rsidRPr="00927CFF" w:rsidRDefault="00B50935" w:rsidP="00427764">
            <w:pPr>
              <w:spacing w:before="20" w:after="20"/>
              <w:jc w:val="right"/>
              <w:rPr>
                <w:noProof/>
                <w:sz w:val="20"/>
              </w:rPr>
            </w:pPr>
          </w:p>
        </w:tc>
        <w:tc>
          <w:tcPr>
            <w:tcW w:w="868" w:type="dxa"/>
            <w:vAlign w:val="center"/>
          </w:tcPr>
          <w:p w14:paraId="379937C3" w14:textId="77777777" w:rsidR="00B50935" w:rsidRPr="00927CFF" w:rsidRDefault="00B50935" w:rsidP="00427764">
            <w:pPr>
              <w:spacing w:before="20" w:after="20"/>
              <w:jc w:val="right"/>
              <w:rPr>
                <w:noProof/>
                <w:sz w:val="20"/>
              </w:rPr>
            </w:pPr>
          </w:p>
        </w:tc>
        <w:tc>
          <w:tcPr>
            <w:tcW w:w="868" w:type="dxa"/>
            <w:vAlign w:val="center"/>
          </w:tcPr>
          <w:p w14:paraId="0BFD00CB" w14:textId="77777777" w:rsidR="00B50935" w:rsidRPr="00927CFF" w:rsidRDefault="00B50935" w:rsidP="00427764">
            <w:pPr>
              <w:spacing w:before="20" w:after="20"/>
              <w:jc w:val="right"/>
              <w:rPr>
                <w:noProof/>
                <w:sz w:val="20"/>
              </w:rPr>
            </w:pPr>
          </w:p>
        </w:tc>
        <w:tc>
          <w:tcPr>
            <w:tcW w:w="868" w:type="dxa"/>
            <w:vAlign w:val="center"/>
          </w:tcPr>
          <w:p w14:paraId="04143421" w14:textId="77777777" w:rsidR="00B50935" w:rsidRPr="00927CFF" w:rsidRDefault="00B50935" w:rsidP="00427764">
            <w:pPr>
              <w:spacing w:before="20" w:after="20"/>
              <w:jc w:val="right"/>
              <w:rPr>
                <w:noProof/>
                <w:sz w:val="20"/>
              </w:rPr>
            </w:pPr>
          </w:p>
        </w:tc>
        <w:tc>
          <w:tcPr>
            <w:tcW w:w="868" w:type="dxa"/>
            <w:vAlign w:val="center"/>
          </w:tcPr>
          <w:p w14:paraId="16209B4D" w14:textId="77777777" w:rsidR="00B50935" w:rsidRPr="00927CFF" w:rsidRDefault="00B50935" w:rsidP="00427764">
            <w:pPr>
              <w:spacing w:before="20" w:after="20"/>
              <w:jc w:val="right"/>
              <w:rPr>
                <w:noProof/>
                <w:sz w:val="20"/>
              </w:rPr>
            </w:pPr>
          </w:p>
        </w:tc>
        <w:tc>
          <w:tcPr>
            <w:tcW w:w="868" w:type="dxa"/>
            <w:vAlign w:val="center"/>
          </w:tcPr>
          <w:p w14:paraId="7BF28D1F" w14:textId="77777777" w:rsidR="00B50935" w:rsidRPr="00927CFF" w:rsidRDefault="00B50935" w:rsidP="00427764">
            <w:pPr>
              <w:spacing w:before="20" w:after="20"/>
              <w:jc w:val="right"/>
              <w:rPr>
                <w:noProof/>
                <w:sz w:val="20"/>
              </w:rPr>
            </w:pPr>
          </w:p>
        </w:tc>
        <w:tc>
          <w:tcPr>
            <w:tcW w:w="868" w:type="dxa"/>
            <w:vAlign w:val="center"/>
          </w:tcPr>
          <w:p w14:paraId="231CC84A" w14:textId="77777777" w:rsidR="00B50935" w:rsidRPr="00927CFF" w:rsidRDefault="00B50935" w:rsidP="00427764">
            <w:pPr>
              <w:spacing w:before="20" w:after="20"/>
              <w:jc w:val="right"/>
              <w:rPr>
                <w:b/>
                <w:noProof/>
                <w:sz w:val="20"/>
              </w:rPr>
            </w:pPr>
          </w:p>
        </w:tc>
        <w:tc>
          <w:tcPr>
            <w:tcW w:w="1777" w:type="dxa"/>
            <w:vAlign w:val="center"/>
          </w:tcPr>
          <w:p w14:paraId="223C7343" w14:textId="77777777" w:rsidR="00B50935" w:rsidRPr="00927CFF" w:rsidRDefault="00B50935" w:rsidP="00427764">
            <w:pPr>
              <w:spacing w:before="20" w:after="20"/>
              <w:jc w:val="right"/>
              <w:rPr>
                <w:b/>
                <w:noProof/>
                <w:sz w:val="20"/>
              </w:rPr>
            </w:pPr>
          </w:p>
        </w:tc>
      </w:tr>
    </w:tbl>
    <w:p w14:paraId="21A939CC" w14:textId="77777777" w:rsidR="00B50935" w:rsidRPr="002902A6" w:rsidRDefault="00B50935" w:rsidP="00B50935">
      <w:pPr>
        <w:jc w:val="right"/>
        <w:rPr>
          <w:noProof/>
          <w:sz w:val="20"/>
          <w:lang w:val="it-IT"/>
        </w:rPr>
      </w:pPr>
      <w:r w:rsidRPr="002902A6">
        <w:rPr>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50935" w:rsidRPr="00927CFF" w14:paraId="1781A8A8" w14:textId="77777777" w:rsidTr="00427764">
        <w:tc>
          <w:tcPr>
            <w:tcW w:w="3960" w:type="dxa"/>
            <w:tcBorders>
              <w:top w:val="nil"/>
              <w:left w:val="nil"/>
              <w:right w:val="nil"/>
            </w:tcBorders>
            <w:vAlign w:val="center"/>
          </w:tcPr>
          <w:p w14:paraId="741B19D4" w14:textId="77777777" w:rsidR="00B50935" w:rsidRPr="002902A6" w:rsidRDefault="00B50935" w:rsidP="00427764">
            <w:pPr>
              <w:jc w:val="center"/>
              <w:rPr>
                <w:noProof/>
                <w:lang w:val="it-IT"/>
              </w:rPr>
            </w:pPr>
          </w:p>
        </w:tc>
        <w:tc>
          <w:tcPr>
            <w:tcW w:w="1560" w:type="dxa"/>
            <w:tcBorders>
              <w:top w:val="nil"/>
              <w:left w:val="nil"/>
              <w:right w:val="nil"/>
            </w:tcBorders>
          </w:tcPr>
          <w:p w14:paraId="4EBAC83C" w14:textId="77777777" w:rsidR="00B50935" w:rsidRPr="002902A6" w:rsidRDefault="00B50935" w:rsidP="00427764">
            <w:pPr>
              <w:rPr>
                <w:noProof/>
                <w:sz w:val="20"/>
                <w:lang w:val="it-IT"/>
              </w:rPr>
            </w:pPr>
          </w:p>
        </w:tc>
        <w:tc>
          <w:tcPr>
            <w:tcW w:w="534" w:type="dxa"/>
            <w:tcBorders>
              <w:top w:val="nil"/>
              <w:left w:val="nil"/>
            </w:tcBorders>
          </w:tcPr>
          <w:p w14:paraId="6EA08720" w14:textId="77777777" w:rsidR="00B50935" w:rsidRPr="002902A6" w:rsidRDefault="00B50935" w:rsidP="00427764">
            <w:pPr>
              <w:jc w:val="center"/>
              <w:rPr>
                <w:noProof/>
                <w:sz w:val="20"/>
                <w:lang w:val="it-IT"/>
              </w:rPr>
            </w:pPr>
          </w:p>
        </w:tc>
        <w:tc>
          <w:tcPr>
            <w:tcW w:w="868" w:type="dxa"/>
            <w:vAlign w:val="center"/>
          </w:tcPr>
          <w:p w14:paraId="1F6CD4F5"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2021</w:t>
            </w:r>
          </w:p>
        </w:tc>
        <w:tc>
          <w:tcPr>
            <w:tcW w:w="868" w:type="dxa"/>
            <w:vAlign w:val="center"/>
          </w:tcPr>
          <w:p w14:paraId="2D327812"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2022</w:t>
            </w:r>
          </w:p>
        </w:tc>
        <w:tc>
          <w:tcPr>
            <w:tcW w:w="868" w:type="dxa"/>
            <w:vAlign w:val="center"/>
          </w:tcPr>
          <w:p w14:paraId="043525CE"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2023</w:t>
            </w:r>
          </w:p>
        </w:tc>
        <w:tc>
          <w:tcPr>
            <w:tcW w:w="868" w:type="dxa"/>
            <w:vAlign w:val="center"/>
          </w:tcPr>
          <w:p w14:paraId="05F80C75"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2024</w:t>
            </w:r>
          </w:p>
        </w:tc>
        <w:tc>
          <w:tcPr>
            <w:tcW w:w="868" w:type="dxa"/>
            <w:vAlign w:val="center"/>
          </w:tcPr>
          <w:p w14:paraId="180295F6"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2025</w:t>
            </w:r>
          </w:p>
        </w:tc>
        <w:tc>
          <w:tcPr>
            <w:tcW w:w="868" w:type="dxa"/>
            <w:vAlign w:val="center"/>
          </w:tcPr>
          <w:p w14:paraId="363FAD59"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2026</w:t>
            </w:r>
          </w:p>
        </w:tc>
        <w:tc>
          <w:tcPr>
            <w:tcW w:w="868" w:type="dxa"/>
            <w:vAlign w:val="center"/>
          </w:tcPr>
          <w:p w14:paraId="43EA04E6"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2027</w:t>
            </w:r>
            <w:r w:rsidRPr="00927CFF">
              <w:rPr>
                <w:sz w:val="20"/>
              </w:rPr>
              <w:t xml:space="preserve"> ff</w:t>
            </w:r>
          </w:p>
        </w:tc>
        <w:tc>
          <w:tcPr>
            <w:tcW w:w="1777" w:type="dxa"/>
            <w:vAlign w:val="center"/>
          </w:tcPr>
          <w:p w14:paraId="03CAD608" w14:textId="77777777" w:rsidR="00B50935" w:rsidRPr="00927CFF" w:rsidRDefault="00B50935" w:rsidP="00427764">
            <w:pPr>
              <w:jc w:val="center"/>
              <w:rPr>
                <w:b/>
                <w:noProof/>
                <w:sz w:val="20"/>
              </w:rPr>
            </w:pPr>
            <w:r w:rsidRPr="00927CFF">
              <w:rPr>
                <w:b/>
                <w:sz w:val="20"/>
              </w:rPr>
              <w:t>I ALT</w:t>
            </w:r>
          </w:p>
        </w:tc>
      </w:tr>
      <w:tr w:rsidR="00B50935" w:rsidRPr="00927CFF" w14:paraId="6F9E1699" w14:textId="77777777" w:rsidTr="00427764">
        <w:tc>
          <w:tcPr>
            <w:tcW w:w="3960" w:type="dxa"/>
            <w:vMerge w:val="restart"/>
            <w:shd w:val="clear" w:color="auto" w:fill="C0C0C0"/>
            <w:vAlign w:val="center"/>
          </w:tcPr>
          <w:p w14:paraId="642FEDE6" w14:textId="77777777" w:rsidR="00B50935" w:rsidRPr="00927CFF" w:rsidRDefault="00B50935" w:rsidP="00427764">
            <w:pPr>
              <w:jc w:val="center"/>
              <w:rPr>
                <w:b/>
                <w:noProof/>
              </w:rPr>
            </w:pPr>
            <w:r w:rsidRPr="00927CFF">
              <w:rPr>
                <w:b/>
                <w:sz w:val="22"/>
              </w:rPr>
              <w:t xml:space="preserve">Bevillinger I ALT </w:t>
            </w:r>
            <w:r w:rsidRPr="00927CFF">
              <w:br/>
            </w:r>
            <w:r w:rsidRPr="00927CFF">
              <w:rPr>
                <w:b/>
                <w:sz w:val="22"/>
              </w:rPr>
              <w:t>under UDGIFTSOMRÅDE 1-7</w:t>
            </w:r>
            <w:r w:rsidRPr="00927CFF">
              <w:t xml:space="preserve"> </w:t>
            </w:r>
            <w:r w:rsidRPr="00927CFF">
              <w:br/>
            </w:r>
            <w:r w:rsidRPr="00927CFF">
              <w:rPr>
                <w:sz w:val="22"/>
              </w:rPr>
              <w:t>i den flerårige finansielle ramme</w:t>
            </w:r>
            <w:r w:rsidRPr="00927CFF">
              <w:rPr>
                <w:b/>
                <w:sz w:val="22"/>
              </w:rPr>
              <w:t xml:space="preserve"> </w:t>
            </w:r>
          </w:p>
        </w:tc>
        <w:tc>
          <w:tcPr>
            <w:tcW w:w="2094" w:type="dxa"/>
            <w:gridSpan w:val="2"/>
            <w:vAlign w:val="center"/>
          </w:tcPr>
          <w:p w14:paraId="1DC68B97" w14:textId="77777777" w:rsidR="00B50935" w:rsidRPr="00927CFF" w:rsidRDefault="00B50935" w:rsidP="00427764">
            <w:pPr>
              <w:rPr>
                <w:noProof/>
                <w:sz w:val="14"/>
              </w:rPr>
            </w:pPr>
            <w:r w:rsidRPr="00927CFF">
              <w:rPr>
                <w:sz w:val="18"/>
              </w:rPr>
              <w:t>Forpligtelser</w:t>
            </w:r>
          </w:p>
        </w:tc>
        <w:tc>
          <w:tcPr>
            <w:tcW w:w="868" w:type="dxa"/>
            <w:vAlign w:val="center"/>
          </w:tcPr>
          <w:p w14:paraId="64E5DD12" w14:textId="77777777" w:rsidR="00B50935" w:rsidRPr="00927CFF" w:rsidRDefault="00B50935" w:rsidP="00427764">
            <w:pPr>
              <w:spacing w:before="60" w:after="60"/>
              <w:jc w:val="right"/>
              <w:rPr>
                <w:b/>
                <w:noProof/>
                <w:sz w:val="20"/>
              </w:rPr>
            </w:pPr>
            <w:r w:rsidRPr="00927CFF">
              <w:rPr>
                <w:b/>
                <w:sz w:val="20"/>
              </w:rPr>
              <w:t xml:space="preserve"> 16,040 </w:t>
            </w:r>
          </w:p>
        </w:tc>
        <w:tc>
          <w:tcPr>
            <w:tcW w:w="868" w:type="dxa"/>
            <w:vAlign w:val="center"/>
          </w:tcPr>
          <w:p w14:paraId="615EE4BD" w14:textId="77777777" w:rsidR="00B50935" w:rsidRPr="00927CFF" w:rsidRDefault="00B50935" w:rsidP="00427764">
            <w:pPr>
              <w:spacing w:before="60" w:after="60"/>
              <w:jc w:val="right"/>
              <w:rPr>
                <w:b/>
                <w:noProof/>
                <w:sz w:val="20"/>
              </w:rPr>
            </w:pPr>
            <w:r w:rsidRPr="00927CFF">
              <w:rPr>
                <w:b/>
                <w:sz w:val="20"/>
              </w:rPr>
              <w:t xml:space="preserve"> 23,350 </w:t>
            </w:r>
          </w:p>
        </w:tc>
        <w:tc>
          <w:tcPr>
            <w:tcW w:w="868" w:type="dxa"/>
            <w:vAlign w:val="center"/>
          </w:tcPr>
          <w:p w14:paraId="107A0167" w14:textId="77777777" w:rsidR="00B50935" w:rsidRPr="00927CFF" w:rsidRDefault="00B50935" w:rsidP="00427764">
            <w:pPr>
              <w:spacing w:before="60" w:after="60"/>
              <w:jc w:val="right"/>
              <w:rPr>
                <w:b/>
                <w:noProof/>
                <w:sz w:val="20"/>
              </w:rPr>
            </w:pPr>
            <w:r w:rsidRPr="00927CFF">
              <w:rPr>
                <w:b/>
                <w:sz w:val="20"/>
              </w:rPr>
              <w:t xml:space="preserve"> 25,080 </w:t>
            </w:r>
          </w:p>
        </w:tc>
        <w:tc>
          <w:tcPr>
            <w:tcW w:w="868" w:type="dxa"/>
            <w:vAlign w:val="center"/>
          </w:tcPr>
          <w:p w14:paraId="33947E9F" w14:textId="77777777" w:rsidR="00B50935" w:rsidRPr="00927CFF" w:rsidRDefault="00B50935" w:rsidP="00427764">
            <w:pPr>
              <w:spacing w:before="60" w:after="60"/>
              <w:jc w:val="right"/>
              <w:rPr>
                <w:b/>
                <w:noProof/>
                <w:sz w:val="20"/>
              </w:rPr>
            </w:pPr>
            <w:r w:rsidRPr="00927CFF">
              <w:rPr>
                <w:b/>
                <w:sz w:val="20"/>
              </w:rPr>
              <w:t xml:space="preserve"> 25,990 </w:t>
            </w:r>
          </w:p>
        </w:tc>
        <w:tc>
          <w:tcPr>
            <w:tcW w:w="868" w:type="dxa"/>
            <w:vAlign w:val="center"/>
          </w:tcPr>
          <w:p w14:paraId="62CA680F" w14:textId="77777777" w:rsidR="00B50935" w:rsidRPr="00927CFF" w:rsidRDefault="00B50935" w:rsidP="00427764">
            <w:pPr>
              <w:spacing w:before="60" w:after="60"/>
              <w:jc w:val="right"/>
              <w:rPr>
                <w:b/>
                <w:noProof/>
                <w:sz w:val="20"/>
              </w:rPr>
            </w:pPr>
            <w:r w:rsidRPr="00927CFF">
              <w:rPr>
                <w:b/>
                <w:sz w:val="20"/>
              </w:rPr>
              <w:t xml:space="preserve"> 22,990 </w:t>
            </w:r>
          </w:p>
        </w:tc>
        <w:tc>
          <w:tcPr>
            <w:tcW w:w="868" w:type="dxa"/>
            <w:vAlign w:val="center"/>
          </w:tcPr>
          <w:p w14:paraId="0A070089" w14:textId="77777777" w:rsidR="00B50935" w:rsidRPr="00927CFF" w:rsidRDefault="00B50935" w:rsidP="00427764">
            <w:pPr>
              <w:spacing w:before="60" w:after="60"/>
              <w:jc w:val="right"/>
              <w:rPr>
                <w:b/>
                <w:noProof/>
                <w:sz w:val="20"/>
              </w:rPr>
            </w:pPr>
            <w:r w:rsidRPr="00927CFF">
              <w:rPr>
                <w:b/>
                <w:sz w:val="20"/>
              </w:rPr>
              <w:t xml:space="preserve"> 21,990 </w:t>
            </w:r>
          </w:p>
        </w:tc>
        <w:tc>
          <w:tcPr>
            <w:tcW w:w="868" w:type="dxa"/>
            <w:vAlign w:val="center"/>
          </w:tcPr>
          <w:p w14:paraId="49AC4FA0" w14:textId="77777777" w:rsidR="00B50935" w:rsidRPr="00927CFF" w:rsidRDefault="00B50935" w:rsidP="00427764">
            <w:pPr>
              <w:spacing w:before="60" w:after="60"/>
              <w:jc w:val="right"/>
              <w:rPr>
                <w:b/>
                <w:noProof/>
                <w:sz w:val="20"/>
              </w:rPr>
            </w:pPr>
            <w:r w:rsidRPr="00927CFF">
              <w:rPr>
                <w:b/>
                <w:sz w:val="20"/>
              </w:rPr>
              <w:t xml:space="preserve"> 21,990 </w:t>
            </w:r>
          </w:p>
        </w:tc>
        <w:tc>
          <w:tcPr>
            <w:tcW w:w="1777" w:type="dxa"/>
            <w:vAlign w:val="center"/>
          </w:tcPr>
          <w:p w14:paraId="72778E61" w14:textId="77777777" w:rsidR="00B50935" w:rsidRPr="00927CFF" w:rsidRDefault="00B50935" w:rsidP="00427764">
            <w:pPr>
              <w:spacing w:before="60" w:after="60"/>
              <w:jc w:val="right"/>
              <w:rPr>
                <w:b/>
                <w:noProof/>
                <w:sz w:val="20"/>
              </w:rPr>
            </w:pPr>
            <w:r w:rsidRPr="00927CFF">
              <w:rPr>
                <w:b/>
                <w:sz w:val="20"/>
              </w:rPr>
              <w:t>157,430</w:t>
            </w:r>
          </w:p>
        </w:tc>
      </w:tr>
      <w:tr w:rsidR="00B50935" w:rsidRPr="00927CFF" w14:paraId="73DD7D15" w14:textId="77777777" w:rsidTr="00427764">
        <w:tc>
          <w:tcPr>
            <w:tcW w:w="3960" w:type="dxa"/>
            <w:vMerge/>
            <w:vAlign w:val="center"/>
          </w:tcPr>
          <w:p w14:paraId="1ED5D30F" w14:textId="77777777" w:rsidR="00B50935" w:rsidRPr="00927CFF" w:rsidRDefault="00B50935" w:rsidP="00427764">
            <w:pPr>
              <w:rPr>
                <w:b/>
                <w:noProof/>
              </w:rPr>
            </w:pPr>
          </w:p>
        </w:tc>
        <w:tc>
          <w:tcPr>
            <w:tcW w:w="2094" w:type="dxa"/>
            <w:gridSpan w:val="2"/>
            <w:vAlign w:val="center"/>
          </w:tcPr>
          <w:p w14:paraId="0C0EBA73" w14:textId="77777777" w:rsidR="00B50935" w:rsidRPr="00927CFF" w:rsidRDefault="00B50935" w:rsidP="00427764">
            <w:pPr>
              <w:rPr>
                <w:noProof/>
                <w:sz w:val="14"/>
              </w:rPr>
            </w:pPr>
            <w:r w:rsidRPr="00927CFF">
              <w:rPr>
                <w:sz w:val="18"/>
              </w:rPr>
              <w:t>Betalinger</w:t>
            </w:r>
          </w:p>
        </w:tc>
        <w:tc>
          <w:tcPr>
            <w:tcW w:w="868" w:type="dxa"/>
            <w:vAlign w:val="center"/>
          </w:tcPr>
          <w:p w14:paraId="2C1372A5" w14:textId="77777777" w:rsidR="00B50935" w:rsidRPr="00927CFF" w:rsidRDefault="00B50935" w:rsidP="00427764">
            <w:pPr>
              <w:spacing w:before="60" w:after="60"/>
              <w:jc w:val="right"/>
              <w:rPr>
                <w:b/>
                <w:noProof/>
                <w:sz w:val="20"/>
              </w:rPr>
            </w:pPr>
            <w:r w:rsidRPr="00927CFF">
              <w:rPr>
                <w:b/>
                <w:sz w:val="20"/>
              </w:rPr>
              <w:t xml:space="preserve"> 16,040 </w:t>
            </w:r>
          </w:p>
        </w:tc>
        <w:tc>
          <w:tcPr>
            <w:tcW w:w="868" w:type="dxa"/>
            <w:vAlign w:val="center"/>
          </w:tcPr>
          <w:p w14:paraId="0121E582" w14:textId="77777777" w:rsidR="00B50935" w:rsidRPr="00927CFF" w:rsidRDefault="00B50935" w:rsidP="00427764">
            <w:pPr>
              <w:spacing w:before="60" w:after="60"/>
              <w:jc w:val="right"/>
              <w:rPr>
                <w:b/>
                <w:noProof/>
                <w:sz w:val="20"/>
              </w:rPr>
            </w:pPr>
            <w:r w:rsidRPr="00927CFF">
              <w:rPr>
                <w:b/>
                <w:sz w:val="20"/>
              </w:rPr>
              <w:t xml:space="preserve"> 23,350 </w:t>
            </w:r>
          </w:p>
        </w:tc>
        <w:tc>
          <w:tcPr>
            <w:tcW w:w="868" w:type="dxa"/>
            <w:vAlign w:val="center"/>
          </w:tcPr>
          <w:p w14:paraId="0C6E5D3C" w14:textId="77777777" w:rsidR="00B50935" w:rsidRPr="00927CFF" w:rsidRDefault="00B50935" w:rsidP="00427764">
            <w:pPr>
              <w:spacing w:before="60" w:after="60"/>
              <w:jc w:val="right"/>
              <w:rPr>
                <w:b/>
                <w:noProof/>
                <w:sz w:val="20"/>
              </w:rPr>
            </w:pPr>
            <w:r w:rsidRPr="00927CFF">
              <w:rPr>
                <w:b/>
                <w:sz w:val="20"/>
              </w:rPr>
              <w:t xml:space="preserve"> 25,080 </w:t>
            </w:r>
          </w:p>
        </w:tc>
        <w:tc>
          <w:tcPr>
            <w:tcW w:w="868" w:type="dxa"/>
            <w:vAlign w:val="center"/>
          </w:tcPr>
          <w:p w14:paraId="00FB7256" w14:textId="77777777" w:rsidR="00B50935" w:rsidRPr="00927CFF" w:rsidRDefault="00B50935" w:rsidP="00427764">
            <w:pPr>
              <w:spacing w:before="60" w:after="60"/>
              <w:jc w:val="right"/>
              <w:rPr>
                <w:b/>
                <w:noProof/>
                <w:sz w:val="20"/>
              </w:rPr>
            </w:pPr>
            <w:r w:rsidRPr="00927CFF">
              <w:rPr>
                <w:b/>
                <w:sz w:val="20"/>
              </w:rPr>
              <w:t xml:space="preserve"> 25,990 </w:t>
            </w:r>
          </w:p>
        </w:tc>
        <w:tc>
          <w:tcPr>
            <w:tcW w:w="868" w:type="dxa"/>
            <w:vAlign w:val="center"/>
          </w:tcPr>
          <w:p w14:paraId="495DFA50" w14:textId="77777777" w:rsidR="00B50935" w:rsidRPr="00927CFF" w:rsidRDefault="00B50935" w:rsidP="00427764">
            <w:pPr>
              <w:spacing w:before="60" w:after="60"/>
              <w:jc w:val="right"/>
              <w:rPr>
                <w:b/>
                <w:noProof/>
                <w:sz w:val="20"/>
              </w:rPr>
            </w:pPr>
            <w:r w:rsidRPr="00927CFF">
              <w:rPr>
                <w:b/>
                <w:sz w:val="20"/>
              </w:rPr>
              <w:t xml:space="preserve"> 22,990 </w:t>
            </w:r>
          </w:p>
        </w:tc>
        <w:tc>
          <w:tcPr>
            <w:tcW w:w="868" w:type="dxa"/>
            <w:vAlign w:val="center"/>
          </w:tcPr>
          <w:p w14:paraId="35589F93" w14:textId="77777777" w:rsidR="00B50935" w:rsidRPr="00927CFF" w:rsidRDefault="00B50935" w:rsidP="00427764">
            <w:pPr>
              <w:spacing w:before="60" w:after="60"/>
              <w:jc w:val="right"/>
              <w:rPr>
                <w:b/>
                <w:noProof/>
                <w:sz w:val="20"/>
              </w:rPr>
            </w:pPr>
            <w:r w:rsidRPr="00927CFF">
              <w:rPr>
                <w:b/>
                <w:sz w:val="20"/>
              </w:rPr>
              <w:t xml:space="preserve"> 21,990 </w:t>
            </w:r>
          </w:p>
        </w:tc>
        <w:tc>
          <w:tcPr>
            <w:tcW w:w="868" w:type="dxa"/>
            <w:vAlign w:val="center"/>
          </w:tcPr>
          <w:p w14:paraId="23EEA332" w14:textId="77777777" w:rsidR="00B50935" w:rsidRPr="00927CFF" w:rsidRDefault="00B50935" w:rsidP="00427764">
            <w:pPr>
              <w:spacing w:before="60" w:after="60"/>
              <w:jc w:val="right"/>
              <w:rPr>
                <w:b/>
                <w:noProof/>
                <w:sz w:val="20"/>
              </w:rPr>
            </w:pPr>
            <w:r w:rsidRPr="00927CFF">
              <w:rPr>
                <w:b/>
                <w:sz w:val="20"/>
              </w:rPr>
              <w:t xml:space="preserve"> 21,990 </w:t>
            </w:r>
          </w:p>
        </w:tc>
        <w:tc>
          <w:tcPr>
            <w:tcW w:w="1777" w:type="dxa"/>
            <w:vAlign w:val="center"/>
          </w:tcPr>
          <w:p w14:paraId="14F77202" w14:textId="77777777" w:rsidR="00B50935" w:rsidRPr="00927CFF" w:rsidRDefault="00B50935" w:rsidP="00427764">
            <w:pPr>
              <w:spacing w:before="60" w:after="60"/>
              <w:jc w:val="right"/>
              <w:rPr>
                <w:b/>
                <w:noProof/>
                <w:sz w:val="20"/>
              </w:rPr>
            </w:pPr>
            <w:r w:rsidRPr="00927CFF">
              <w:rPr>
                <w:b/>
                <w:sz w:val="20"/>
              </w:rPr>
              <w:t>157,430</w:t>
            </w:r>
          </w:p>
        </w:tc>
      </w:tr>
    </w:tbl>
    <w:p w14:paraId="13147DFA" w14:textId="77777777" w:rsidR="00B50935" w:rsidRPr="00927CFF" w:rsidRDefault="00B50935" w:rsidP="00B50935">
      <w:pPr>
        <w:rPr>
          <w:noProof/>
        </w:rPr>
        <w:sectPr w:rsidR="00B50935" w:rsidRPr="00927CFF" w:rsidSect="00BE6028">
          <w:headerReference w:type="default" r:id="rId11"/>
          <w:footerReference w:type="default" r:id="rId12"/>
          <w:headerReference w:type="first" r:id="rId13"/>
          <w:footerReference w:type="first" r:id="rId14"/>
          <w:pgSz w:w="15840" w:h="12240" w:orient="landscape"/>
          <w:pgMar w:top="1134" w:right="1077" w:bottom="902" w:left="1247" w:header="709" w:footer="510" w:gutter="0"/>
          <w:cols w:space="720"/>
          <w:docGrid w:linePitch="326"/>
        </w:sectPr>
      </w:pPr>
    </w:p>
    <w:p w14:paraId="1431904D" w14:textId="77777777" w:rsidR="00B50935" w:rsidRPr="00927CFF" w:rsidRDefault="00B50935" w:rsidP="00B50935">
      <w:pPr>
        <w:pStyle w:val="Heading3"/>
        <w:rPr>
          <w:bCs w:val="0"/>
          <w:noProof/>
          <w:szCs w:val="24"/>
        </w:rPr>
      </w:pPr>
      <w:bookmarkStart w:id="72" w:name="_Toc514938687"/>
      <w:bookmarkStart w:id="73" w:name="_Toc57735223"/>
      <w:r w:rsidRPr="00927CFF">
        <w:t>Anslåede virkninger for ECDC's bevillinger</w:t>
      </w:r>
      <w:bookmarkEnd w:id="72"/>
      <w:bookmarkEnd w:id="73"/>
      <w:r w:rsidRPr="00927CFF">
        <w:t xml:space="preserve"> </w:t>
      </w:r>
    </w:p>
    <w:p w14:paraId="4C79A174" w14:textId="77777777" w:rsidR="00B50935" w:rsidRPr="00927CFF" w:rsidRDefault="00B50935" w:rsidP="006F7C3E">
      <w:pPr>
        <w:pStyle w:val="ListDash1"/>
        <w:rPr>
          <w:noProof/>
        </w:rPr>
      </w:pPr>
      <w:r w:rsidRPr="00927CFF">
        <w:sym w:font="Wingdings" w:char="F0A8"/>
      </w:r>
      <w:r w:rsidRPr="00927CFF">
        <w:tab/>
        <w:t xml:space="preserve">Forslaget/initiativet medfører ikke anvendelse af aktionsbevillinger </w:t>
      </w:r>
    </w:p>
    <w:p w14:paraId="7133C3EB" w14:textId="77777777" w:rsidR="00B50935" w:rsidRPr="00927CFF" w:rsidRDefault="00B50935" w:rsidP="006F7C3E">
      <w:pPr>
        <w:pStyle w:val="ListDash1"/>
        <w:rPr>
          <w:noProof/>
        </w:rPr>
      </w:pPr>
      <w:r w:rsidRPr="00927CFF">
        <w:sym w:font="Webdings" w:char="F061"/>
      </w:r>
      <w:r w:rsidRPr="00927CFF">
        <w:tab/>
        <w:t>Forslaget/initiativet medfører anvendelse af aktionsbevillinger som anført herunder:</w:t>
      </w:r>
    </w:p>
    <w:p w14:paraId="69EFF3F9" w14:textId="77777777" w:rsidR="00B50935" w:rsidRPr="00927CFF" w:rsidRDefault="00B50935" w:rsidP="00B50935">
      <w:pPr>
        <w:jc w:val="right"/>
        <w:rPr>
          <w:noProof/>
          <w:sz w:val="20"/>
        </w:rPr>
      </w:pPr>
      <w:r w:rsidRPr="00927CFF">
        <w:rPr>
          <w:sz w:val="20"/>
        </w:rPr>
        <w:t>Forpligtelsesbevillinger 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47"/>
        <w:gridCol w:w="542"/>
        <w:gridCol w:w="631"/>
        <w:gridCol w:w="32"/>
        <w:gridCol w:w="9"/>
        <w:gridCol w:w="711"/>
        <w:gridCol w:w="9"/>
        <w:gridCol w:w="531"/>
        <w:gridCol w:w="9"/>
        <w:gridCol w:w="711"/>
        <w:gridCol w:w="9"/>
        <w:gridCol w:w="711"/>
        <w:gridCol w:w="9"/>
        <w:gridCol w:w="711"/>
        <w:gridCol w:w="9"/>
        <w:gridCol w:w="891"/>
        <w:gridCol w:w="51"/>
        <w:gridCol w:w="9"/>
        <w:gridCol w:w="660"/>
        <w:gridCol w:w="12"/>
        <w:gridCol w:w="528"/>
        <w:gridCol w:w="12"/>
        <w:gridCol w:w="636"/>
        <w:gridCol w:w="15"/>
        <w:gridCol w:w="417"/>
        <w:gridCol w:w="15"/>
        <w:gridCol w:w="705"/>
        <w:gridCol w:w="15"/>
        <w:gridCol w:w="48"/>
        <w:gridCol w:w="477"/>
        <w:gridCol w:w="15"/>
        <w:gridCol w:w="708"/>
        <w:gridCol w:w="12"/>
        <w:gridCol w:w="708"/>
        <w:gridCol w:w="12"/>
        <w:gridCol w:w="888"/>
        <w:gridCol w:w="12"/>
      </w:tblGrid>
      <w:tr w:rsidR="00B50935" w:rsidRPr="00927CFF" w14:paraId="65453DFF" w14:textId="77777777" w:rsidTr="00427764">
        <w:trPr>
          <w:gridAfter w:val="1"/>
          <w:wAfter w:w="12" w:type="dxa"/>
          <w:jc w:val="center"/>
        </w:trPr>
        <w:tc>
          <w:tcPr>
            <w:tcW w:w="1696" w:type="dxa"/>
            <w:vMerge w:val="restart"/>
            <w:vAlign w:val="center"/>
          </w:tcPr>
          <w:p w14:paraId="356F7CFC" w14:textId="77777777" w:rsidR="00B50935" w:rsidRPr="00927CFF" w:rsidRDefault="00B50935" w:rsidP="00427764">
            <w:pPr>
              <w:ind w:right="-29"/>
              <w:jc w:val="center"/>
              <w:rPr>
                <w:b/>
                <w:noProof/>
                <w:sz w:val="18"/>
              </w:rPr>
            </w:pPr>
            <w:r w:rsidRPr="00927CFF">
              <w:rPr>
                <w:b/>
                <w:sz w:val="18"/>
              </w:rPr>
              <w:t xml:space="preserve">Der angives mål og resultater </w:t>
            </w:r>
          </w:p>
          <w:p w14:paraId="111AAE1C" w14:textId="77777777" w:rsidR="00B50935" w:rsidRPr="00927CFF" w:rsidRDefault="00B50935" w:rsidP="00427764">
            <w:pPr>
              <w:ind w:right="-29"/>
              <w:jc w:val="center"/>
              <w:rPr>
                <w:b/>
                <w:noProof/>
                <w:sz w:val="18"/>
              </w:rPr>
            </w:pPr>
          </w:p>
          <w:p w14:paraId="4796247D" w14:textId="77777777" w:rsidR="00B50935" w:rsidRPr="00927CFF" w:rsidRDefault="00B50935" w:rsidP="00427764">
            <w:pPr>
              <w:ind w:right="-29"/>
              <w:jc w:val="center"/>
              <w:rPr>
                <w:noProof/>
                <w:sz w:val="18"/>
              </w:rPr>
            </w:pPr>
            <w:r w:rsidRPr="00927CFF">
              <w:rPr>
                <w:sz w:val="18"/>
              </w:rPr>
              <w:sym w:font="Wingdings" w:char="F0F2"/>
            </w:r>
          </w:p>
        </w:tc>
        <w:tc>
          <w:tcPr>
            <w:tcW w:w="447" w:type="dxa"/>
            <w:vAlign w:val="center"/>
          </w:tcPr>
          <w:p w14:paraId="6602B1B7" w14:textId="77777777" w:rsidR="00B50935" w:rsidRPr="00927CFF" w:rsidRDefault="00B50935" w:rsidP="00427764">
            <w:pPr>
              <w:ind w:right="-29"/>
              <w:jc w:val="center"/>
              <w:rPr>
                <w:noProof/>
                <w:sz w:val="18"/>
              </w:rPr>
            </w:pPr>
          </w:p>
        </w:tc>
        <w:tc>
          <w:tcPr>
            <w:tcW w:w="542" w:type="dxa"/>
            <w:vAlign w:val="center"/>
          </w:tcPr>
          <w:p w14:paraId="10689F50" w14:textId="77777777" w:rsidR="00B50935" w:rsidRPr="00927CFF" w:rsidRDefault="00B50935" w:rsidP="00427764">
            <w:pPr>
              <w:ind w:right="-29"/>
              <w:jc w:val="center"/>
              <w:rPr>
                <w:noProof/>
                <w:sz w:val="18"/>
              </w:rPr>
            </w:pPr>
          </w:p>
        </w:tc>
        <w:tc>
          <w:tcPr>
            <w:tcW w:w="1383" w:type="dxa"/>
            <w:gridSpan w:val="4"/>
            <w:tcBorders>
              <w:left w:val="nil"/>
            </w:tcBorders>
            <w:vAlign w:val="center"/>
          </w:tcPr>
          <w:p w14:paraId="18B46DC6" w14:textId="77777777" w:rsidR="00B50935" w:rsidRPr="00927CFF" w:rsidRDefault="00B50935" w:rsidP="00427764">
            <w:pPr>
              <w:ind w:right="-29"/>
              <w:jc w:val="center"/>
              <w:rPr>
                <w:noProof/>
                <w:sz w:val="18"/>
              </w:rPr>
            </w:pPr>
            <w:r w:rsidRPr="00927CFF">
              <w:rPr>
                <w:sz w:val="20"/>
              </w:rPr>
              <w:t>År</w:t>
            </w:r>
            <w:r w:rsidRPr="00927CFF">
              <w:t xml:space="preserve"> </w:t>
            </w:r>
            <w:r w:rsidRPr="00927CFF">
              <w:br/>
            </w:r>
            <w:r w:rsidRPr="00927CFF">
              <w:rPr>
                <w:b/>
                <w:sz w:val="20"/>
              </w:rPr>
              <w:t>2021</w:t>
            </w:r>
          </w:p>
        </w:tc>
        <w:tc>
          <w:tcPr>
            <w:tcW w:w="1260" w:type="dxa"/>
            <w:gridSpan w:val="4"/>
            <w:vAlign w:val="center"/>
          </w:tcPr>
          <w:p w14:paraId="5CE3F0C3" w14:textId="77777777" w:rsidR="00B50935" w:rsidRPr="00927CFF" w:rsidRDefault="00B50935" w:rsidP="00427764">
            <w:pPr>
              <w:ind w:right="-29"/>
              <w:jc w:val="center"/>
              <w:rPr>
                <w:noProof/>
                <w:sz w:val="18"/>
              </w:rPr>
            </w:pPr>
            <w:r w:rsidRPr="00927CFF">
              <w:rPr>
                <w:sz w:val="20"/>
              </w:rPr>
              <w:t>År</w:t>
            </w:r>
            <w:r w:rsidRPr="00927CFF">
              <w:t xml:space="preserve"> </w:t>
            </w:r>
            <w:r w:rsidRPr="00927CFF">
              <w:br/>
            </w:r>
            <w:r w:rsidRPr="00927CFF">
              <w:rPr>
                <w:b/>
                <w:sz w:val="20"/>
              </w:rPr>
              <w:t>2022</w:t>
            </w:r>
          </w:p>
        </w:tc>
        <w:tc>
          <w:tcPr>
            <w:tcW w:w="1440" w:type="dxa"/>
            <w:gridSpan w:val="4"/>
            <w:vAlign w:val="center"/>
          </w:tcPr>
          <w:p w14:paraId="2F984CA5" w14:textId="77777777" w:rsidR="00B50935" w:rsidRPr="00927CFF" w:rsidRDefault="00B50935" w:rsidP="00427764">
            <w:pPr>
              <w:ind w:right="-29"/>
              <w:jc w:val="center"/>
              <w:rPr>
                <w:noProof/>
                <w:sz w:val="18"/>
              </w:rPr>
            </w:pPr>
            <w:r w:rsidRPr="00927CFF">
              <w:rPr>
                <w:sz w:val="20"/>
              </w:rPr>
              <w:t>År</w:t>
            </w:r>
            <w:r w:rsidRPr="00927CFF">
              <w:t xml:space="preserve"> </w:t>
            </w:r>
            <w:r w:rsidRPr="00927CFF">
              <w:br/>
            </w:r>
            <w:r w:rsidRPr="00927CFF">
              <w:rPr>
                <w:b/>
                <w:sz w:val="20"/>
              </w:rPr>
              <w:t>2023</w:t>
            </w:r>
          </w:p>
        </w:tc>
        <w:tc>
          <w:tcPr>
            <w:tcW w:w="1620" w:type="dxa"/>
            <w:gridSpan w:val="5"/>
            <w:vAlign w:val="center"/>
          </w:tcPr>
          <w:p w14:paraId="00C12DB0" w14:textId="77777777" w:rsidR="00B50935" w:rsidRPr="00927CFF" w:rsidRDefault="00B50935" w:rsidP="00427764">
            <w:pPr>
              <w:ind w:right="-29"/>
              <w:jc w:val="center"/>
              <w:rPr>
                <w:noProof/>
                <w:sz w:val="18"/>
              </w:rPr>
            </w:pPr>
            <w:r w:rsidRPr="00927CFF">
              <w:rPr>
                <w:sz w:val="20"/>
              </w:rPr>
              <w:t>År</w:t>
            </w:r>
            <w:r w:rsidRPr="00927CFF">
              <w:t xml:space="preserve"> </w:t>
            </w:r>
            <w:r w:rsidRPr="00927CFF">
              <w:br/>
            </w:r>
            <w:r w:rsidRPr="00927CFF">
              <w:rPr>
                <w:b/>
                <w:sz w:val="20"/>
              </w:rPr>
              <w:t>2024</w:t>
            </w:r>
          </w:p>
        </w:tc>
        <w:tc>
          <w:tcPr>
            <w:tcW w:w="1203" w:type="dxa"/>
            <w:gridSpan w:val="5"/>
            <w:vAlign w:val="center"/>
          </w:tcPr>
          <w:p w14:paraId="0E0260F4" w14:textId="77777777" w:rsidR="00B50935" w:rsidRPr="00927CFF" w:rsidRDefault="00B50935" w:rsidP="00427764">
            <w:pPr>
              <w:jc w:val="center"/>
              <w:rPr>
                <w:noProof/>
                <w:sz w:val="18"/>
              </w:rPr>
            </w:pPr>
            <w:r w:rsidRPr="00927CFF">
              <w:rPr>
                <w:sz w:val="20"/>
              </w:rPr>
              <w:t>År</w:t>
            </w:r>
            <w:r w:rsidRPr="00927CFF">
              <w:t xml:space="preserve"> </w:t>
            </w:r>
            <w:r w:rsidRPr="00927CFF">
              <w:br/>
            </w:r>
            <w:r w:rsidRPr="00927CFF">
              <w:rPr>
                <w:b/>
                <w:sz w:val="20"/>
              </w:rPr>
              <w:t>2025</w:t>
            </w:r>
          </w:p>
        </w:tc>
        <w:tc>
          <w:tcPr>
            <w:tcW w:w="1200" w:type="dxa"/>
            <w:gridSpan w:val="5"/>
            <w:vAlign w:val="center"/>
          </w:tcPr>
          <w:p w14:paraId="0C4E23F9" w14:textId="77777777" w:rsidR="00B50935" w:rsidRPr="00927CFF" w:rsidRDefault="00B50935" w:rsidP="00427764">
            <w:pPr>
              <w:jc w:val="center"/>
              <w:rPr>
                <w:noProof/>
                <w:sz w:val="18"/>
              </w:rPr>
            </w:pPr>
            <w:r w:rsidRPr="00927CFF">
              <w:rPr>
                <w:sz w:val="20"/>
              </w:rPr>
              <w:t>År</w:t>
            </w:r>
            <w:r w:rsidRPr="00927CFF">
              <w:t xml:space="preserve"> </w:t>
            </w:r>
            <w:r w:rsidRPr="00927CFF">
              <w:br/>
            </w:r>
            <w:r w:rsidRPr="00927CFF">
              <w:rPr>
                <w:b/>
                <w:sz w:val="20"/>
              </w:rPr>
              <w:t>2026</w:t>
            </w:r>
          </w:p>
        </w:tc>
        <w:tc>
          <w:tcPr>
            <w:tcW w:w="1200" w:type="dxa"/>
            <w:gridSpan w:val="3"/>
            <w:vAlign w:val="center"/>
          </w:tcPr>
          <w:p w14:paraId="2CC6B055"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2027</w:t>
            </w:r>
            <w:r w:rsidRPr="00927CFF">
              <w:rPr>
                <w:sz w:val="20"/>
              </w:rPr>
              <w:t xml:space="preserve"> ff</w:t>
            </w:r>
          </w:p>
        </w:tc>
        <w:tc>
          <w:tcPr>
            <w:tcW w:w="1620" w:type="dxa"/>
            <w:gridSpan w:val="4"/>
            <w:tcBorders>
              <w:left w:val="nil"/>
              <w:bottom w:val="nil"/>
            </w:tcBorders>
            <w:vAlign w:val="center"/>
          </w:tcPr>
          <w:p w14:paraId="5D6776CB" w14:textId="77777777" w:rsidR="00B50935" w:rsidRPr="00927CFF" w:rsidRDefault="00B50935" w:rsidP="00427764">
            <w:pPr>
              <w:ind w:right="-29"/>
              <w:jc w:val="center"/>
              <w:rPr>
                <w:noProof/>
                <w:sz w:val="18"/>
              </w:rPr>
            </w:pPr>
            <w:r w:rsidRPr="00927CFF">
              <w:rPr>
                <w:b/>
                <w:sz w:val="20"/>
              </w:rPr>
              <w:t>I ALT</w:t>
            </w:r>
          </w:p>
        </w:tc>
      </w:tr>
      <w:tr w:rsidR="00B50935" w:rsidRPr="00927CFF" w14:paraId="4467580F" w14:textId="77777777" w:rsidTr="00427764">
        <w:trPr>
          <w:gridAfter w:val="1"/>
          <w:wAfter w:w="12" w:type="dxa"/>
          <w:jc w:val="center"/>
        </w:trPr>
        <w:tc>
          <w:tcPr>
            <w:tcW w:w="1696" w:type="dxa"/>
            <w:vMerge/>
            <w:vAlign w:val="center"/>
          </w:tcPr>
          <w:p w14:paraId="2C68458A" w14:textId="77777777" w:rsidR="00B50935" w:rsidRPr="00927CFF" w:rsidRDefault="00B50935" w:rsidP="00427764">
            <w:pPr>
              <w:rPr>
                <w:noProof/>
                <w:sz w:val="18"/>
              </w:rPr>
            </w:pPr>
          </w:p>
        </w:tc>
        <w:tc>
          <w:tcPr>
            <w:tcW w:w="11915" w:type="dxa"/>
            <w:gridSpan w:val="36"/>
            <w:vAlign w:val="center"/>
          </w:tcPr>
          <w:p w14:paraId="37409A2C" w14:textId="77777777" w:rsidR="00B50935" w:rsidRPr="00927CFF" w:rsidRDefault="00B50935" w:rsidP="00427764">
            <w:pPr>
              <w:spacing w:before="60" w:after="60"/>
              <w:ind w:right="-29"/>
              <w:jc w:val="center"/>
              <w:rPr>
                <w:noProof/>
                <w:sz w:val="18"/>
              </w:rPr>
            </w:pPr>
            <w:r w:rsidRPr="00927CFF">
              <w:rPr>
                <w:b/>
                <w:sz w:val="18"/>
              </w:rPr>
              <w:t>RESULTATER</w:t>
            </w:r>
          </w:p>
        </w:tc>
      </w:tr>
      <w:tr w:rsidR="00B50935" w:rsidRPr="00927CFF" w14:paraId="56A09EC3" w14:textId="77777777" w:rsidTr="00427764">
        <w:trPr>
          <w:gridAfter w:val="1"/>
          <w:wAfter w:w="12" w:type="dxa"/>
          <w:cantSplit/>
          <w:trHeight w:val="1134"/>
          <w:jc w:val="center"/>
        </w:trPr>
        <w:tc>
          <w:tcPr>
            <w:tcW w:w="1696" w:type="dxa"/>
            <w:vMerge/>
            <w:vAlign w:val="center"/>
          </w:tcPr>
          <w:p w14:paraId="4BAA1BA1" w14:textId="77777777" w:rsidR="00B50935" w:rsidRPr="00927CFF" w:rsidRDefault="00B50935" w:rsidP="00427764">
            <w:pPr>
              <w:rPr>
                <w:noProof/>
                <w:sz w:val="18"/>
              </w:rPr>
            </w:pPr>
          </w:p>
        </w:tc>
        <w:tc>
          <w:tcPr>
            <w:tcW w:w="447" w:type="dxa"/>
            <w:vAlign w:val="center"/>
          </w:tcPr>
          <w:p w14:paraId="57F2C3B5" w14:textId="77777777" w:rsidR="00B50935" w:rsidRPr="00927CFF" w:rsidRDefault="00B50935" w:rsidP="00427764">
            <w:pPr>
              <w:jc w:val="center"/>
              <w:rPr>
                <w:noProof/>
                <w:sz w:val="18"/>
              </w:rPr>
            </w:pPr>
            <w:r w:rsidRPr="00927CFF">
              <w:rPr>
                <w:sz w:val="18"/>
              </w:rPr>
              <w:t>Type</w:t>
            </w:r>
            <w:r w:rsidRPr="00927CFF">
              <w:rPr>
                <w:rStyle w:val="FootnoteReference"/>
                <w:noProof/>
                <w:sz w:val="18"/>
              </w:rPr>
              <w:footnoteReference w:id="19"/>
            </w:r>
          </w:p>
        </w:tc>
        <w:tc>
          <w:tcPr>
            <w:tcW w:w="542" w:type="dxa"/>
            <w:vAlign w:val="center"/>
          </w:tcPr>
          <w:p w14:paraId="174AD6E4" w14:textId="77777777" w:rsidR="00B50935" w:rsidRPr="00927CFF" w:rsidRDefault="00B50935" w:rsidP="00427764">
            <w:pPr>
              <w:jc w:val="center"/>
              <w:rPr>
                <w:noProof/>
              </w:rPr>
            </w:pPr>
            <w:r w:rsidRPr="00927CFF">
              <w:rPr>
                <w:sz w:val="18"/>
              </w:rPr>
              <w:t>Resul</w:t>
            </w:r>
            <w:r w:rsidRPr="00927CFF">
              <w:rPr>
                <w:sz w:val="18"/>
              </w:rPr>
              <w:softHyphen/>
              <w:t>taternes gnsntl. om</w:t>
            </w:r>
            <w:r w:rsidRPr="00927CFF">
              <w:rPr>
                <w:sz w:val="18"/>
              </w:rPr>
              <w:softHyphen/>
              <w:t>kost</w:t>
            </w:r>
            <w:r w:rsidRPr="00927CFF">
              <w:rPr>
                <w:sz w:val="18"/>
              </w:rPr>
              <w:softHyphen/>
              <w:t>ninger</w:t>
            </w:r>
          </w:p>
        </w:tc>
        <w:tc>
          <w:tcPr>
            <w:tcW w:w="663" w:type="dxa"/>
            <w:gridSpan w:val="2"/>
            <w:tcBorders>
              <w:left w:val="nil"/>
              <w:right w:val="dashSmallGap" w:sz="4" w:space="0" w:color="auto"/>
            </w:tcBorders>
            <w:shd w:val="pct10" w:color="auto" w:fill="auto"/>
            <w:textDirection w:val="btLr"/>
            <w:vAlign w:val="center"/>
          </w:tcPr>
          <w:p w14:paraId="2D229E07" w14:textId="77777777" w:rsidR="00B50935" w:rsidRPr="00927CFF" w:rsidRDefault="00B50935" w:rsidP="00427764">
            <w:pPr>
              <w:ind w:left="113" w:right="113"/>
              <w:jc w:val="center"/>
              <w:rPr>
                <w:noProof/>
              </w:rPr>
            </w:pPr>
            <w:r w:rsidRPr="00927CFF">
              <w:rPr>
                <w:sz w:val="18"/>
              </w:rPr>
              <w:t>Antal</w:t>
            </w:r>
          </w:p>
        </w:tc>
        <w:tc>
          <w:tcPr>
            <w:tcW w:w="720" w:type="dxa"/>
            <w:gridSpan w:val="2"/>
            <w:tcBorders>
              <w:left w:val="dashSmallGap" w:sz="4" w:space="0" w:color="auto"/>
            </w:tcBorders>
            <w:shd w:val="pct10" w:color="auto" w:fill="auto"/>
            <w:vAlign w:val="center"/>
          </w:tcPr>
          <w:p w14:paraId="24154B09" w14:textId="77777777" w:rsidR="00B50935" w:rsidRPr="00927CFF" w:rsidRDefault="00B50935" w:rsidP="00427764">
            <w:pPr>
              <w:jc w:val="center"/>
              <w:rPr>
                <w:noProof/>
                <w:sz w:val="18"/>
              </w:rPr>
            </w:pPr>
            <w:r w:rsidRPr="00927CFF">
              <w:rPr>
                <w:sz w:val="18"/>
              </w:rPr>
              <w:t>Om</w:t>
            </w:r>
            <w:r w:rsidRPr="00927CFF">
              <w:rPr>
                <w:sz w:val="18"/>
              </w:rPr>
              <w:softHyphen/>
              <w:t>kost</w:t>
            </w:r>
            <w:r w:rsidRPr="00927CFF">
              <w:rPr>
                <w:sz w:val="18"/>
              </w:rPr>
              <w:softHyphen/>
              <w:t>ninger</w:t>
            </w:r>
          </w:p>
        </w:tc>
        <w:tc>
          <w:tcPr>
            <w:tcW w:w="540" w:type="dxa"/>
            <w:gridSpan w:val="2"/>
            <w:tcBorders>
              <w:right w:val="dashSmallGap" w:sz="4" w:space="0" w:color="auto"/>
            </w:tcBorders>
            <w:shd w:val="pct10" w:color="auto" w:fill="auto"/>
            <w:textDirection w:val="btLr"/>
            <w:vAlign w:val="center"/>
          </w:tcPr>
          <w:p w14:paraId="5FEC5F9A" w14:textId="77777777" w:rsidR="00B50935" w:rsidRPr="00927CFF" w:rsidRDefault="00B50935" w:rsidP="00427764">
            <w:pPr>
              <w:ind w:left="113" w:right="113"/>
              <w:jc w:val="center"/>
              <w:rPr>
                <w:noProof/>
              </w:rPr>
            </w:pPr>
            <w:r w:rsidRPr="00927CFF">
              <w:rPr>
                <w:sz w:val="18"/>
              </w:rPr>
              <w:t>Antal</w:t>
            </w:r>
          </w:p>
        </w:tc>
        <w:tc>
          <w:tcPr>
            <w:tcW w:w="720" w:type="dxa"/>
            <w:gridSpan w:val="2"/>
            <w:tcBorders>
              <w:left w:val="dashSmallGap" w:sz="4" w:space="0" w:color="auto"/>
            </w:tcBorders>
            <w:shd w:val="pct10" w:color="auto" w:fill="auto"/>
            <w:vAlign w:val="center"/>
          </w:tcPr>
          <w:p w14:paraId="0A1C6DCA" w14:textId="77777777" w:rsidR="00B50935" w:rsidRPr="00927CFF" w:rsidRDefault="00B50935" w:rsidP="00427764">
            <w:pPr>
              <w:jc w:val="center"/>
              <w:rPr>
                <w:noProof/>
                <w:sz w:val="18"/>
              </w:rPr>
            </w:pPr>
            <w:r w:rsidRPr="00927CFF">
              <w:rPr>
                <w:sz w:val="18"/>
              </w:rPr>
              <w:t>Om</w:t>
            </w:r>
            <w:r w:rsidRPr="00927CFF">
              <w:rPr>
                <w:sz w:val="18"/>
              </w:rPr>
              <w:softHyphen/>
              <w:t>kost</w:t>
            </w:r>
            <w:r w:rsidRPr="00927CFF">
              <w:rPr>
                <w:sz w:val="18"/>
              </w:rPr>
              <w:softHyphen/>
              <w:t>ninger</w:t>
            </w:r>
          </w:p>
        </w:tc>
        <w:tc>
          <w:tcPr>
            <w:tcW w:w="720" w:type="dxa"/>
            <w:gridSpan w:val="2"/>
            <w:tcBorders>
              <w:right w:val="dashSmallGap" w:sz="4" w:space="0" w:color="auto"/>
            </w:tcBorders>
            <w:shd w:val="pct10" w:color="auto" w:fill="auto"/>
            <w:textDirection w:val="btLr"/>
            <w:vAlign w:val="center"/>
          </w:tcPr>
          <w:p w14:paraId="7FACA5DC" w14:textId="77777777" w:rsidR="00B50935" w:rsidRPr="00927CFF" w:rsidRDefault="00B50935" w:rsidP="00427764">
            <w:pPr>
              <w:ind w:left="113" w:right="113"/>
              <w:jc w:val="center"/>
              <w:rPr>
                <w:noProof/>
              </w:rPr>
            </w:pPr>
            <w:r w:rsidRPr="00927CFF">
              <w:rPr>
                <w:sz w:val="18"/>
              </w:rPr>
              <w:t>Antal</w:t>
            </w:r>
          </w:p>
        </w:tc>
        <w:tc>
          <w:tcPr>
            <w:tcW w:w="720" w:type="dxa"/>
            <w:gridSpan w:val="2"/>
            <w:tcBorders>
              <w:left w:val="dashSmallGap" w:sz="4" w:space="0" w:color="auto"/>
            </w:tcBorders>
            <w:shd w:val="pct10" w:color="auto" w:fill="auto"/>
            <w:vAlign w:val="center"/>
          </w:tcPr>
          <w:p w14:paraId="1D63F411" w14:textId="77777777" w:rsidR="00B50935" w:rsidRPr="00927CFF" w:rsidRDefault="00B50935" w:rsidP="00427764">
            <w:pPr>
              <w:jc w:val="center"/>
              <w:rPr>
                <w:noProof/>
                <w:sz w:val="18"/>
              </w:rPr>
            </w:pPr>
            <w:r w:rsidRPr="00927CFF">
              <w:rPr>
                <w:sz w:val="18"/>
              </w:rPr>
              <w:t>Om</w:t>
            </w:r>
            <w:r w:rsidRPr="00927CFF">
              <w:rPr>
                <w:sz w:val="18"/>
              </w:rPr>
              <w:softHyphen/>
              <w:t>kost</w:t>
            </w:r>
            <w:r w:rsidRPr="00927CFF">
              <w:rPr>
                <w:sz w:val="18"/>
              </w:rPr>
              <w:softHyphen/>
              <w:t>ninger</w:t>
            </w:r>
          </w:p>
        </w:tc>
        <w:tc>
          <w:tcPr>
            <w:tcW w:w="900" w:type="dxa"/>
            <w:gridSpan w:val="2"/>
            <w:tcBorders>
              <w:right w:val="dashSmallGap" w:sz="4" w:space="0" w:color="auto"/>
            </w:tcBorders>
            <w:shd w:val="pct10" w:color="auto" w:fill="auto"/>
            <w:textDirection w:val="btLr"/>
            <w:vAlign w:val="center"/>
          </w:tcPr>
          <w:p w14:paraId="1E96EF7E" w14:textId="77777777" w:rsidR="00B50935" w:rsidRPr="00927CFF" w:rsidRDefault="00B50935" w:rsidP="00427764">
            <w:pPr>
              <w:ind w:left="113" w:right="113"/>
              <w:jc w:val="center"/>
              <w:rPr>
                <w:noProof/>
              </w:rPr>
            </w:pPr>
            <w:r w:rsidRPr="00927CFF">
              <w:rPr>
                <w:sz w:val="18"/>
              </w:rPr>
              <w:t>Antal</w:t>
            </w:r>
          </w:p>
        </w:tc>
        <w:tc>
          <w:tcPr>
            <w:tcW w:w="720" w:type="dxa"/>
            <w:gridSpan w:val="3"/>
            <w:tcBorders>
              <w:left w:val="dashSmallGap" w:sz="4" w:space="0" w:color="auto"/>
            </w:tcBorders>
            <w:shd w:val="pct10" w:color="auto" w:fill="auto"/>
            <w:vAlign w:val="center"/>
          </w:tcPr>
          <w:p w14:paraId="1F6E7AE9" w14:textId="77777777" w:rsidR="00B50935" w:rsidRPr="00927CFF" w:rsidRDefault="00B50935" w:rsidP="00427764">
            <w:pPr>
              <w:jc w:val="center"/>
              <w:rPr>
                <w:noProof/>
                <w:sz w:val="18"/>
              </w:rPr>
            </w:pPr>
            <w:r w:rsidRPr="00927CFF">
              <w:rPr>
                <w:sz w:val="18"/>
              </w:rPr>
              <w:t>Om</w:t>
            </w:r>
            <w:r w:rsidRPr="00927CFF">
              <w:rPr>
                <w:sz w:val="18"/>
              </w:rPr>
              <w:softHyphen/>
              <w:t>kost</w:t>
            </w:r>
            <w:r w:rsidRPr="00927CFF">
              <w:rPr>
                <w:sz w:val="18"/>
              </w:rPr>
              <w:softHyphen/>
              <w:t>ninger</w:t>
            </w:r>
          </w:p>
        </w:tc>
        <w:tc>
          <w:tcPr>
            <w:tcW w:w="540" w:type="dxa"/>
            <w:gridSpan w:val="2"/>
            <w:tcBorders>
              <w:right w:val="dashSmallGap" w:sz="4" w:space="0" w:color="auto"/>
            </w:tcBorders>
            <w:shd w:val="pct10" w:color="auto" w:fill="auto"/>
            <w:textDirection w:val="btLr"/>
            <w:vAlign w:val="center"/>
          </w:tcPr>
          <w:p w14:paraId="6C6DF0B8" w14:textId="77777777" w:rsidR="00B50935" w:rsidRPr="00927CFF" w:rsidRDefault="00B50935" w:rsidP="00427764">
            <w:pPr>
              <w:ind w:left="113" w:right="113"/>
              <w:jc w:val="center"/>
              <w:rPr>
                <w:noProof/>
              </w:rPr>
            </w:pPr>
            <w:r w:rsidRPr="00927CFF">
              <w:rPr>
                <w:sz w:val="18"/>
              </w:rPr>
              <w:t>Antal</w:t>
            </w:r>
          </w:p>
        </w:tc>
        <w:tc>
          <w:tcPr>
            <w:tcW w:w="648" w:type="dxa"/>
            <w:gridSpan w:val="2"/>
            <w:tcBorders>
              <w:left w:val="dashSmallGap" w:sz="4" w:space="0" w:color="auto"/>
            </w:tcBorders>
            <w:shd w:val="pct10" w:color="auto" w:fill="auto"/>
            <w:vAlign w:val="center"/>
          </w:tcPr>
          <w:p w14:paraId="50B8A5E6" w14:textId="77777777" w:rsidR="00B50935" w:rsidRPr="00927CFF" w:rsidRDefault="00B50935" w:rsidP="00427764">
            <w:pPr>
              <w:jc w:val="center"/>
              <w:rPr>
                <w:noProof/>
                <w:sz w:val="18"/>
              </w:rPr>
            </w:pPr>
            <w:r w:rsidRPr="00927CFF">
              <w:rPr>
                <w:sz w:val="18"/>
              </w:rPr>
              <w:t>Om</w:t>
            </w:r>
            <w:r w:rsidRPr="00927CFF">
              <w:rPr>
                <w:sz w:val="18"/>
              </w:rPr>
              <w:softHyphen/>
              <w:t>kost</w:t>
            </w:r>
            <w:r w:rsidRPr="00927CFF">
              <w:rPr>
                <w:sz w:val="18"/>
              </w:rPr>
              <w:softHyphen/>
              <w:t>ninger</w:t>
            </w:r>
          </w:p>
        </w:tc>
        <w:tc>
          <w:tcPr>
            <w:tcW w:w="432" w:type="dxa"/>
            <w:gridSpan w:val="2"/>
            <w:tcBorders>
              <w:right w:val="dashSmallGap" w:sz="4" w:space="0" w:color="auto"/>
            </w:tcBorders>
            <w:shd w:val="pct10" w:color="auto" w:fill="auto"/>
            <w:textDirection w:val="btLr"/>
            <w:vAlign w:val="center"/>
          </w:tcPr>
          <w:p w14:paraId="56C1477D" w14:textId="77777777" w:rsidR="00B50935" w:rsidRPr="00927CFF" w:rsidRDefault="00B50935" w:rsidP="00427764">
            <w:pPr>
              <w:ind w:left="113" w:right="113"/>
              <w:jc w:val="center"/>
              <w:rPr>
                <w:noProof/>
              </w:rPr>
            </w:pPr>
            <w:r w:rsidRPr="00927CFF">
              <w:rPr>
                <w:sz w:val="18"/>
              </w:rPr>
              <w:t>Antal</w:t>
            </w:r>
          </w:p>
        </w:tc>
        <w:tc>
          <w:tcPr>
            <w:tcW w:w="720" w:type="dxa"/>
            <w:gridSpan w:val="2"/>
            <w:tcBorders>
              <w:left w:val="dashSmallGap" w:sz="4" w:space="0" w:color="auto"/>
            </w:tcBorders>
            <w:shd w:val="pct10" w:color="auto" w:fill="auto"/>
            <w:vAlign w:val="center"/>
          </w:tcPr>
          <w:p w14:paraId="4FE06592" w14:textId="77777777" w:rsidR="00B50935" w:rsidRPr="00927CFF" w:rsidRDefault="00B50935" w:rsidP="00427764">
            <w:pPr>
              <w:jc w:val="center"/>
              <w:rPr>
                <w:noProof/>
                <w:sz w:val="18"/>
              </w:rPr>
            </w:pPr>
            <w:r w:rsidRPr="00927CFF">
              <w:rPr>
                <w:sz w:val="18"/>
              </w:rPr>
              <w:t>Om</w:t>
            </w:r>
            <w:r w:rsidRPr="00927CFF">
              <w:rPr>
                <w:sz w:val="18"/>
              </w:rPr>
              <w:softHyphen/>
              <w:t>kost</w:t>
            </w:r>
            <w:r w:rsidRPr="00927CFF">
              <w:rPr>
                <w:sz w:val="18"/>
              </w:rPr>
              <w:softHyphen/>
              <w:t>ninger</w:t>
            </w:r>
          </w:p>
        </w:tc>
        <w:tc>
          <w:tcPr>
            <w:tcW w:w="540" w:type="dxa"/>
            <w:gridSpan w:val="3"/>
            <w:tcBorders>
              <w:right w:val="dashSmallGap" w:sz="4" w:space="0" w:color="auto"/>
            </w:tcBorders>
            <w:shd w:val="pct10" w:color="auto" w:fill="auto"/>
            <w:textDirection w:val="btLr"/>
            <w:vAlign w:val="center"/>
          </w:tcPr>
          <w:p w14:paraId="6EA55FBD" w14:textId="77777777" w:rsidR="00B50935" w:rsidRPr="00927CFF" w:rsidRDefault="00B50935" w:rsidP="00427764">
            <w:pPr>
              <w:ind w:left="113" w:right="113"/>
              <w:jc w:val="center"/>
              <w:rPr>
                <w:noProof/>
              </w:rPr>
            </w:pPr>
            <w:r w:rsidRPr="00927CFF">
              <w:rPr>
                <w:sz w:val="18"/>
              </w:rPr>
              <w:t>Antal</w:t>
            </w:r>
          </w:p>
        </w:tc>
        <w:tc>
          <w:tcPr>
            <w:tcW w:w="723" w:type="dxa"/>
            <w:gridSpan w:val="2"/>
            <w:tcBorders>
              <w:left w:val="dashSmallGap" w:sz="4" w:space="0" w:color="auto"/>
            </w:tcBorders>
            <w:shd w:val="pct10" w:color="auto" w:fill="auto"/>
            <w:vAlign w:val="center"/>
          </w:tcPr>
          <w:p w14:paraId="5956BD5C" w14:textId="77777777" w:rsidR="00B50935" w:rsidRPr="00927CFF" w:rsidRDefault="00B50935" w:rsidP="00427764">
            <w:pPr>
              <w:jc w:val="center"/>
              <w:rPr>
                <w:noProof/>
                <w:sz w:val="18"/>
              </w:rPr>
            </w:pPr>
            <w:r w:rsidRPr="00927CFF">
              <w:rPr>
                <w:sz w:val="18"/>
              </w:rPr>
              <w:t>Om</w:t>
            </w:r>
            <w:r w:rsidRPr="00927CFF">
              <w:rPr>
                <w:sz w:val="18"/>
              </w:rPr>
              <w:softHyphen/>
              <w:t>kost</w:t>
            </w:r>
            <w:r w:rsidRPr="00927CFF">
              <w:rPr>
                <w:sz w:val="18"/>
              </w:rPr>
              <w:softHyphen/>
              <w:t>ninger</w:t>
            </w:r>
          </w:p>
        </w:tc>
        <w:tc>
          <w:tcPr>
            <w:tcW w:w="720" w:type="dxa"/>
            <w:gridSpan w:val="2"/>
            <w:tcBorders>
              <w:right w:val="dashSmallGap" w:sz="4" w:space="0" w:color="auto"/>
            </w:tcBorders>
            <w:shd w:val="pct10" w:color="auto" w:fill="auto"/>
            <w:vAlign w:val="center"/>
          </w:tcPr>
          <w:p w14:paraId="6FAB5B3E" w14:textId="77777777" w:rsidR="00B50935" w:rsidRPr="00927CFF" w:rsidRDefault="00B50935" w:rsidP="00427764">
            <w:pPr>
              <w:jc w:val="center"/>
              <w:rPr>
                <w:noProof/>
                <w:sz w:val="18"/>
              </w:rPr>
            </w:pPr>
            <w:r w:rsidRPr="00927CFF">
              <w:rPr>
                <w:sz w:val="18"/>
              </w:rPr>
              <w:t>Antal resul</w:t>
            </w:r>
            <w:r w:rsidRPr="00927CFF">
              <w:rPr>
                <w:sz w:val="18"/>
              </w:rPr>
              <w:softHyphen/>
              <w:t>tater i alt</w:t>
            </w:r>
          </w:p>
        </w:tc>
        <w:tc>
          <w:tcPr>
            <w:tcW w:w="900" w:type="dxa"/>
            <w:gridSpan w:val="2"/>
            <w:tcBorders>
              <w:left w:val="dashSmallGap" w:sz="4" w:space="0" w:color="auto"/>
            </w:tcBorders>
            <w:shd w:val="pct10" w:color="auto" w:fill="auto"/>
            <w:vAlign w:val="center"/>
          </w:tcPr>
          <w:p w14:paraId="1BD85E26" w14:textId="77777777" w:rsidR="00B50935" w:rsidRPr="00927CFF" w:rsidRDefault="00B50935" w:rsidP="00427764">
            <w:pPr>
              <w:jc w:val="center"/>
              <w:rPr>
                <w:noProof/>
              </w:rPr>
            </w:pPr>
            <w:r w:rsidRPr="00927CFF">
              <w:rPr>
                <w:sz w:val="18"/>
              </w:rPr>
              <w:t>Om</w:t>
            </w:r>
            <w:r w:rsidRPr="00927CFF">
              <w:rPr>
                <w:sz w:val="18"/>
              </w:rPr>
              <w:softHyphen/>
              <w:t>kost</w:t>
            </w:r>
            <w:r w:rsidRPr="00927CFF">
              <w:rPr>
                <w:sz w:val="18"/>
              </w:rPr>
              <w:softHyphen/>
              <w:t>ninger i alt</w:t>
            </w:r>
          </w:p>
        </w:tc>
      </w:tr>
      <w:tr w:rsidR="00B50935" w:rsidRPr="00927CFF" w14:paraId="32F19BFB" w14:textId="77777777" w:rsidTr="00427764">
        <w:trPr>
          <w:gridAfter w:val="1"/>
          <w:wAfter w:w="12" w:type="dxa"/>
          <w:jc w:val="center"/>
        </w:trPr>
        <w:tc>
          <w:tcPr>
            <w:tcW w:w="13611" w:type="dxa"/>
            <w:gridSpan w:val="37"/>
            <w:vAlign w:val="center"/>
          </w:tcPr>
          <w:p w14:paraId="6AF77933" w14:textId="77777777" w:rsidR="00B50935" w:rsidRPr="00927CFF" w:rsidRDefault="00B50935" w:rsidP="00427764">
            <w:pPr>
              <w:spacing w:before="60" w:after="60"/>
              <w:ind w:right="-29"/>
              <w:jc w:val="center"/>
              <w:rPr>
                <w:noProof/>
                <w:sz w:val="18"/>
              </w:rPr>
            </w:pPr>
            <w:r w:rsidRPr="00927CFF">
              <w:t>SPECIFIKT MÅL NR. 1: ECDC skal levere oplysninger rettidigt til Kommissionen, medlemsstaterne, EU-agenturer og internationale organisationer, der beskæftiger sig med folkesundhedsspørgsmål, herunder risikovurderinger.</w:t>
            </w:r>
          </w:p>
        </w:tc>
      </w:tr>
      <w:tr w:rsidR="00B50935" w:rsidRPr="00927CFF" w14:paraId="2412D7B9" w14:textId="77777777" w:rsidTr="00427764">
        <w:trPr>
          <w:gridAfter w:val="1"/>
          <w:wAfter w:w="12" w:type="dxa"/>
          <w:trHeight w:hRule="exact" w:val="3884"/>
          <w:jc w:val="center"/>
        </w:trPr>
        <w:tc>
          <w:tcPr>
            <w:tcW w:w="1696" w:type="dxa"/>
          </w:tcPr>
          <w:p w14:paraId="79F9A8CC" w14:textId="47A82D61" w:rsidR="00B50935" w:rsidRPr="00927CFF" w:rsidRDefault="00B50935" w:rsidP="00427764">
            <w:pPr>
              <w:ind w:right="-29"/>
              <w:jc w:val="center"/>
              <w:rPr>
                <w:noProof/>
                <w:sz w:val="18"/>
              </w:rPr>
            </w:pPr>
            <w:r w:rsidRPr="00927CFF">
              <w:rPr>
                <w:sz w:val="18"/>
              </w:rPr>
              <w:t>— Resultat: Etablering af en ny platform, som EMA og ECDC i fællesskab er vært for med henblik på monitoreringundersøgelser efter markedsføring, monitorering af vaccinens sikkerhed, effektivitet og virkning; kommende covid-19-vacciner bør være de første vacciner, der skal monitoreres under denne platform.</w:t>
            </w:r>
          </w:p>
        </w:tc>
        <w:tc>
          <w:tcPr>
            <w:tcW w:w="447" w:type="dxa"/>
          </w:tcPr>
          <w:p w14:paraId="79CD9849" w14:textId="77777777" w:rsidR="00B50935" w:rsidRPr="00927CFF" w:rsidRDefault="00B50935" w:rsidP="00427764">
            <w:pPr>
              <w:ind w:right="-29"/>
              <w:jc w:val="center"/>
              <w:rPr>
                <w:noProof/>
                <w:sz w:val="18"/>
              </w:rPr>
            </w:pPr>
          </w:p>
        </w:tc>
        <w:tc>
          <w:tcPr>
            <w:tcW w:w="542" w:type="dxa"/>
          </w:tcPr>
          <w:p w14:paraId="5F582439" w14:textId="77777777" w:rsidR="00B50935" w:rsidRPr="00927CFF" w:rsidRDefault="00B50935" w:rsidP="00427764">
            <w:pPr>
              <w:ind w:right="-29"/>
              <w:jc w:val="center"/>
              <w:rPr>
                <w:noProof/>
                <w:sz w:val="18"/>
              </w:rPr>
            </w:pPr>
          </w:p>
        </w:tc>
        <w:tc>
          <w:tcPr>
            <w:tcW w:w="663" w:type="dxa"/>
            <w:gridSpan w:val="2"/>
            <w:tcBorders>
              <w:right w:val="dashSmallGap" w:sz="4" w:space="0" w:color="auto"/>
            </w:tcBorders>
          </w:tcPr>
          <w:p w14:paraId="53729AB6" w14:textId="77777777" w:rsidR="00B50935" w:rsidRPr="00927CFF" w:rsidRDefault="00B50935" w:rsidP="00427764">
            <w:pPr>
              <w:ind w:right="-29"/>
              <w:jc w:val="center"/>
              <w:rPr>
                <w:noProof/>
                <w:sz w:val="18"/>
              </w:rPr>
            </w:pPr>
          </w:p>
        </w:tc>
        <w:tc>
          <w:tcPr>
            <w:tcW w:w="720" w:type="dxa"/>
            <w:gridSpan w:val="2"/>
            <w:tcBorders>
              <w:left w:val="dashSmallGap" w:sz="4" w:space="0" w:color="auto"/>
            </w:tcBorders>
          </w:tcPr>
          <w:p w14:paraId="6EA6298E" w14:textId="77777777" w:rsidR="00B50935" w:rsidRPr="00927CFF" w:rsidRDefault="00B50935" w:rsidP="00427764">
            <w:pPr>
              <w:ind w:right="-29"/>
              <w:jc w:val="center"/>
              <w:rPr>
                <w:noProof/>
                <w:sz w:val="18"/>
              </w:rPr>
            </w:pPr>
            <w:r w:rsidRPr="00927CFF">
              <w:rPr>
                <w:sz w:val="18"/>
              </w:rPr>
              <w:t>7,000</w:t>
            </w:r>
          </w:p>
        </w:tc>
        <w:tc>
          <w:tcPr>
            <w:tcW w:w="540" w:type="dxa"/>
            <w:gridSpan w:val="2"/>
            <w:tcBorders>
              <w:right w:val="dashSmallGap" w:sz="4" w:space="0" w:color="auto"/>
            </w:tcBorders>
          </w:tcPr>
          <w:p w14:paraId="77952CEF" w14:textId="77777777" w:rsidR="00B50935" w:rsidRPr="00927CFF" w:rsidRDefault="00B50935" w:rsidP="00427764">
            <w:pPr>
              <w:ind w:right="-29"/>
              <w:jc w:val="center"/>
              <w:rPr>
                <w:noProof/>
                <w:sz w:val="18"/>
              </w:rPr>
            </w:pPr>
          </w:p>
        </w:tc>
        <w:tc>
          <w:tcPr>
            <w:tcW w:w="720" w:type="dxa"/>
            <w:gridSpan w:val="2"/>
            <w:tcBorders>
              <w:left w:val="dashSmallGap" w:sz="4" w:space="0" w:color="auto"/>
            </w:tcBorders>
          </w:tcPr>
          <w:p w14:paraId="30E9D2DF" w14:textId="77777777" w:rsidR="00B50935" w:rsidRPr="00927CFF" w:rsidRDefault="00B50935" w:rsidP="00427764">
            <w:pPr>
              <w:ind w:right="-29"/>
              <w:jc w:val="center"/>
              <w:rPr>
                <w:noProof/>
                <w:sz w:val="18"/>
              </w:rPr>
            </w:pPr>
            <w:r w:rsidRPr="00927CFF">
              <w:rPr>
                <w:sz w:val="18"/>
              </w:rPr>
              <w:t>7,000</w:t>
            </w:r>
          </w:p>
        </w:tc>
        <w:tc>
          <w:tcPr>
            <w:tcW w:w="720" w:type="dxa"/>
            <w:gridSpan w:val="2"/>
            <w:tcBorders>
              <w:right w:val="dashSmallGap" w:sz="4" w:space="0" w:color="auto"/>
            </w:tcBorders>
          </w:tcPr>
          <w:p w14:paraId="154B8D35" w14:textId="77777777" w:rsidR="00B50935" w:rsidRPr="00927CFF" w:rsidRDefault="00B50935" w:rsidP="00427764">
            <w:pPr>
              <w:ind w:right="-29"/>
              <w:jc w:val="center"/>
              <w:rPr>
                <w:noProof/>
                <w:sz w:val="18"/>
              </w:rPr>
            </w:pPr>
          </w:p>
        </w:tc>
        <w:tc>
          <w:tcPr>
            <w:tcW w:w="720" w:type="dxa"/>
            <w:gridSpan w:val="2"/>
            <w:tcBorders>
              <w:left w:val="dashSmallGap" w:sz="4" w:space="0" w:color="auto"/>
            </w:tcBorders>
          </w:tcPr>
          <w:p w14:paraId="0E74D5B7" w14:textId="77777777" w:rsidR="00B50935" w:rsidRPr="00927CFF" w:rsidRDefault="00B50935" w:rsidP="00427764">
            <w:pPr>
              <w:ind w:right="-29"/>
              <w:jc w:val="center"/>
              <w:rPr>
                <w:noProof/>
                <w:sz w:val="18"/>
              </w:rPr>
            </w:pPr>
            <w:r w:rsidRPr="00927CFF">
              <w:rPr>
                <w:sz w:val="18"/>
              </w:rPr>
              <w:t>6,800</w:t>
            </w:r>
          </w:p>
        </w:tc>
        <w:tc>
          <w:tcPr>
            <w:tcW w:w="900" w:type="dxa"/>
            <w:gridSpan w:val="2"/>
            <w:tcBorders>
              <w:right w:val="dashSmallGap" w:sz="4" w:space="0" w:color="auto"/>
            </w:tcBorders>
          </w:tcPr>
          <w:p w14:paraId="33378E72" w14:textId="77777777" w:rsidR="00B50935" w:rsidRPr="00927CFF" w:rsidRDefault="00B50935" w:rsidP="00427764">
            <w:pPr>
              <w:ind w:right="-29"/>
              <w:jc w:val="center"/>
              <w:rPr>
                <w:noProof/>
                <w:sz w:val="18"/>
              </w:rPr>
            </w:pPr>
          </w:p>
        </w:tc>
        <w:tc>
          <w:tcPr>
            <w:tcW w:w="720" w:type="dxa"/>
            <w:gridSpan w:val="3"/>
            <w:tcBorders>
              <w:left w:val="dashSmallGap" w:sz="4" w:space="0" w:color="auto"/>
            </w:tcBorders>
          </w:tcPr>
          <w:p w14:paraId="75607165" w14:textId="77777777" w:rsidR="00B50935" w:rsidRPr="00927CFF" w:rsidRDefault="00B50935" w:rsidP="00427764">
            <w:pPr>
              <w:ind w:right="-29"/>
              <w:jc w:val="center"/>
              <w:rPr>
                <w:noProof/>
                <w:sz w:val="18"/>
              </w:rPr>
            </w:pPr>
            <w:r w:rsidRPr="00927CFF">
              <w:rPr>
                <w:sz w:val="18"/>
              </w:rPr>
              <w:t>6,800</w:t>
            </w:r>
          </w:p>
        </w:tc>
        <w:tc>
          <w:tcPr>
            <w:tcW w:w="540" w:type="dxa"/>
            <w:gridSpan w:val="2"/>
            <w:tcBorders>
              <w:right w:val="dashSmallGap" w:sz="4" w:space="0" w:color="auto"/>
            </w:tcBorders>
          </w:tcPr>
          <w:p w14:paraId="0FEB228F" w14:textId="77777777" w:rsidR="00B50935" w:rsidRPr="00927CFF" w:rsidRDefault="00B50935" w:rsidP="00427764">
            <w:pPr>
              <w:ind w:right="-29"/>
              <w:jc w:val="center"/>
              <w:rPr>
                <w:noProof/>
                <w:sz w:val="18"/>
              </w:rPr>
            </w:pPr>
          </w:p>
        </w:tc>
        <w:tc>
          <w:tcPr>
            <w:tcW w:w="648" w:type="dxa"/>
            <w:gridSpan w:val="2"/>
            <w:tcBorders>
              <w:left w:val="dashSmallGap" w:sz="4" w:space="0" w:color="auto"/>
            </w:tcBorders>
          </w:tcPr>
          <w:p w14:paraId="4A998CF5" w14:textId="77777777" w:rsidR="00B50935" w:rsidRPr="00927CFF" w:rsidRDefault="00B50935" w:rsidP="00427764">
            <w:pPr>
              <w:ind w:right="-29"/>
              <w:jc w:val="center"/>
              <w:rPr>
                <w:noProof/>
                <w:sz w:val="18"/>
              </w:rPr>
            </w:pPr>
            <w:r w:rsidRPr="00927CFF">
              <w:rPr>
                <w:sz w:val="18"/>
              </w:rPr>
              <w:t>6,800</w:t>
            </w:r>
          </w:p>
        </w:tc>
        <w:tc>
          <w:tcPr>
            <w:tcW w:w="432" w:type="dxa"/>
            <w:gridSpan w:val="2"/>
            <w:tcBorders>
              <w:right w:val="dashSmallGap" w:sz="4" w:space="0" w:color="auto"/>
            </w:tcBorders>
          </w:tcPr>
          <w:p w14:paraId="7FC17801" w14:textId="77777777" w:rsidR="00B50935" w:rsidRPr="00927CFF" w:rsidRDefault="00B50935" w:rsidP="00427764">
            <w:pPr>
              <w:ind w:right="-29"/>
              <w:jc w:val="center"/>
              <w:rPr>
                <w:noProof/>
                <w:sz w:val="18"/>
              </w:rPr>
            </w:pPr>
          </w:p>
        </w:tc>
        <w:tc>
          <w:tcPr>
            <w:tcW w:w="720" w:type="dxa"/>
            <w:gridSpan w:val="2"/>
            <w:tcBorders>
              <w:left w:val="dashSmallGap" w:sz="4" w:space="0" w:color="auto"/>
            </w:tcBorders>
          </w:tcPr>
          <w:p w14:paraId="3C25B8DF" w14:textId="77777777" w:rsidR="00B50935" w:rsidRPr="00927CFF" w:rsidRDefault="00B50935" w:rsidP="00427764">
            <w:pPr>
              <w:ind w:right="-29"/>
              <w:jc w:val="center"/>
              <w:rPr>
                <w:noProof/>
                <w:sz w:val="18"/>
              </w:rPr>
            </w:pPr>
            <w:r w:rsidRPr="00927CFF">
              <w:rPr>
                <w:sz w:val="18"/>
              </w:rPr>
              <w:t>6,800</w:t>
            </w:r>
          </w:p>
        </w:tc>
        <w:tc>
          <w:tcPr>
            <w:tcW w:w="540" w:type="dxa"/>
            <w:gridSpan w:val="3"/>
            <w:tcBorders>
              <w:right w:val="dashSmallGap" w:sz="4" w:space="0" w:color="auto"/>
            </w:tcBorders>
          </w:tcPr>
          <w:p w14:paraId="0E321C41" w14:textId="77777777" w:rsidR="00B50935" w:rsidRPr="00927CFF" w:rsidRDefault="00B50935" w:rsidP="00427764">
            <w:pPr>
              <w:ind w:right="-29"/>
              <w:jc w:val="center"/>
              <w:rPr>
                <w:noProof/>
                <w:sz w:val="18"/>
              </w:rPr>
            </w:pPr>
          </w:p>
        </w:tc>
        <w:tc>
          <w:tcPr>
            <w:tcW w:w="723" w:type="dxa"/>
            <w:gridSpan w:val="2"/>
            <w:tcBorders>
              <w:left w:val="dashSmallGap" w:sz="4" w:space="0" w:color="auto"/>
            </w:tcBorders>
          </w:tcPr>
          <w:p w14:paraId="3372A9E7" w14:textId="77777777" w:rsidR="00B50935" w:rsidRPr="00927CFF" w:rsidRDefault="00B50935" w:rsidP="00427764">
            <w:pPr>
              <w:ind w:right="-29"/>
              <w:jc w:val="center"/>
              <w:rPr>
                <w:noProof/>
                <w:sz w:val="18"/>
              </w:rPr>
            </w:pPr>
            <w:r w:rsidRPr="00927CFF">
              <w:rPr>
                <w:sz w:val="18"/>
              </w:rPr>
              <w:t>6,800</w:t>
            </w:r>
          </w:p>
        </w:tc>
        <w:tc>
          <w:tcPr>
            <w:tcW w:w="720" w:type="dxa"/>
            <w:gridSpan w:val="2"/>
          </w:tcPr>
          <w:p w14:paraId="50ECD6E9" w14:textId="77777777" w:rsidR="00B50935" w:rsidRPr="00927CFF" w:rsidRDefault="00B50935" w:rsidP="00427764">
            <w:pPr>
              <w:ind w:right="-29"/>
              <w:jc w:val="center"/>
              <w:rPr>
                <w:noProof/>
                <w:sz w:val="18"/>
              </w:rPr>
            </w:pPr>
          </w:p>
        </w:tc>
        <w:tc>
          <w:tcPr>
            <w:tcW w:w="900" w:type="dxa"/>
            <w:gridSpan w:val="2"/>
          </w:tcPr>
          <w:p w14:paraId="28FD9A3D" w14:textId="77777777" w:rsidR="00B50935" w:rsidRPr="00927CFF" w:rsidRDefault="00B50935" w:rsidP="00427764">
            <w:pPr>
              <w:ind w:right="-29"/>
              <w:jc w:val="center"/>
              <w:rPr>
                <w:noProof/>
                <w:sz w:val="18"/>
              </w:rPr>
            </w:pPr>
            <w:r w:rsidRPr="00927CFF">
              <w:rPr>
                <w:sz w:val="18"/>
              </w:rPr>
              <w:t>48,000</w:t>
            </w:r>
          </w:p>
        </w:tc>
      </w:tr>
      <w:tr w:rsidR="00B50935" w:rsidRPr="00927CFF" w14:paraId="7C757BF9" w14:textId="77777777" w:rsidTr="00427764">
        <w:trPr>
          <w:gridAfter w:val="1"/>
          <w:wAfter w:w="12" w:type="dxa"/>
          <w:trHeight w:hRule="exact" w:val="369"/>
          <w:jc w:val="center"/>
        </w:trPr>
        <w:tc>
          <w:tcPr>
            <w:tcW w:w="1696" w:type="dxa"/>
          </w:tcPr>
          <w:p w14:paraId="01EAAB94" w14:textId="77777777" w:rsidR="00B50935" w:rsidRPr="00927CFF" w:rsidRDefault="00B50935" w:rsidP="00427764">
            <w:pPr>
              <w:ind w:right="-29"/>
              <w:jc w:val="center"/>
              <w:rPr>
                <w:noProof/>
                <w:sz w:val="18"/>
              </w:rPr>
            </w:pPr>
            <w:r w:rsidRPr="00927CFF">
              <w:rPr>
                <w:sz w:val="18"/>
              </w:rPr>
              <w:t>- Resultat</w:t>
            </w:r>
          </w:p>
        </w:tc>
        <w:tc>
          <w:tcPr>
            <w:tcW w:w="447" w:type="dxa"/>
          </w:tcPr>
          <w:p w14:paraId="22C4F84D" w14:textId="77777777" w:rsidR="00B50935" w:rsidRPr="00927CFF" w:rsidRDefault="00B50935" w:rsidP="00427764">
            <w:pPr>
              <w:ind w:right="-29"/>
              <w:jc w:val="center"/>
              <w:rPr>
                <w:noProof/>
                <w:sz w:val="18"/>
              </w:rPr>
            </w:pPr>
          </w:p>
        </w:tc>
        <w:tc>
          <w:tcPr>
            <w:tcW w:w="542" w:type="dxa"/>
          </w:tcPr>
          <w:p w14:paraId="797669E7" w14:textId="77777777" w:rsidR="00B50935" w:rsidRPr="00927CFF" w:rsidRDefault="00B50935" w:rsidP="00427764">
            <w:pPr>
              <w:ind w:right="-29"/>
              <w:jc w:val="center"/>
              <w:rPr>
                <w:noProof/>
                <w:sz w:val="18"/>
              </w:rPr>
            </w:pPr>
          </w:p>
        </w:tc>
        <w:tc>
          <w:tcPr>
            <w:tcW w:w="663" w:type="dxa"/>
            <w:gridSpan w:val="2"/>
            <w:tcBorders>
              <w:right w:val="dashSmallGap" w:sz="4" w:space="0" w:color="auto"/>
            </w:tcBorders>
          </w:tcPr>
          <w:p w14:paraId="4EC9C225" w14:textId="77777777" w:rsidR="00B50935" w:rsidRPr="00927CFF" w:rsidRDefault="00B50935" w:rsidP="00427764">
            <w:pPr>
              <w:ind w:right="-29"/>
              <w:jc w:val="center"/>
              <w:rPr>
                <w:noProof/>
                <w:sz w:val="18"/>
              </w:rPr>
            </w:pPr>
          </w:p>
        </w:tc>
        <w:tc>
          <w:tcPr>
            <w:tcW w:w="720" w:type="dxa"/>
            <w:gridSpan w:val="2"/>
            <w:tcBorders>
              <w:left w:val="dashSmallGap" w:sz="4" w:space="0" w:color="auto"/>
            </w:tcBorders>
          </w:tcPr>
          <w:p w14:paraId="2D29EFC4" w14:textId="77777777" w:rsidR="00B50935" w:rsidRPr="00927CFF" w:rsidRDefault="00B50935" w:rsidP="00427764">
            <w:pPr>
              <w:ind w:right="-29"/>
              <w:jc w:val="center"/>
              <w:rPr>
                <w:noProof/>
                <w:sz w:val="18"/>
              </w:rPr>
            </w:pPr>
          </w:p>
        </w:tc>
        <w:tc>
          <w:tcPr>
            <w:tcW w:w="540" w:type="dxa"/>
            <w:gridSpan w:val="2"/>
            <w:tcBorders>
              <w:right w:val="dashSmallGap" w:sz="4" w:space="0" w:color="auto"/>
            </w:tcBorders>
          </w:tcPr>
          <w:p w14:paraId="3CE00260" w14:textId="77777777" w:rsidR="00B50935" w:rsidRPr="00927CFF" w:rsidRDefault="00B50935" w:rsidP="00427764">
            <w:pPr>
              <w:ind w:right="-29"/>
              <w:jc w:val="center"/>
              <w:rPr>
                <w:noProof/>
                <w:sz w:val="18"/>
              </w:rPr>
            </w:pPr>
          </w:p>
        </w:tc>
        <w:tc>
          <w:tcPr>
            <w:tcW w:w="720" w:type="dxa"/>
            <w:gridSpan w:val="2"/>
            <w:tcBorders>
              <w:left w:val="dashSmallGap" w:sz="4" w:space="0" w:color="auto"/>
            </w:tcBorders>
          </w:tcPr>
          <w:p w14:paraId="78C80459" w14:textId="77777777" w:rsidR="00B50935" w:rsidRPr="00927CFF" w:rsidRDefault="00B50935" w:rsidP="00427764">
            <w:pPr>
              <w:ind w:right="-29"/>
              <w:jc w:val="center"/>
              <w:rPr>
                <w:noProof/>
                <w:sz w:val="18"/>
              </w:rPr>
            </w:pPr>
          </w:p>
        </w:tc>
        <w:tc>
          <w:tcPr>
            <w:tcW w:w="720" w:type="dxa"/>
            <w:gridSpan w:val="2"/>
            <w:tcBorders>
              <w:right w:val="dashSmallGap" w:sz="4" w:space="0" w:color="auto"/>
            </w:tcBorders>
          </w:tcPr>
          <w:p w14:paraId="2C5BC49E" w14:textId="77777777" w:rsidR="00B50935" w:rsidRPr="00927CFF" w:rsidRDefault="00B50935" w:rsidP="00427764">
            <w:pPr>
              <w:ind w:right="-29"/>
              <w:jc w:val="center"/>
              <w:rPr>
                <w:noProof/>
                <w:sz w:val="18"/>
              </w:rPr>
            </w:pPr>
          </w:p>
        </w:tc>
        <w:tc>
          <w:tcPr>
            <w:tcW w:w="720" w:type="dxa"/>
            <w:gridSpan w:val="2"/>
            <w:tcBorders>
              <w:left w:val="dashSmallGap" w:sz="4" w:space="0" w:color="auto"/>
            </w:tcBorders>
          </w:tcPr>
          <w:p w14:paraId="5792A5A8" w14:textId="77777777" w:rsidR="00B50935" w:rsidRPr="00927CFF" w:rsidRDefault="00B50935" w:rsidP="00427764">
            <w:pPr>
              <w:ind w:right="-29"/>
              <w:jc w:val="center"/>
              <w:rPr>
                <w:noProof/>
                <w:sz w:val="18"/>
              </w:rPr>
            </w:pPr>
          </w:p>
        </w:tc>
        <w:tc>
          <w:tcPr>
            <w:tcW w:w="900" w:type="dxa"/>
            <w:gridSpan w:val="2"/>
            <w:tcBorders>
              <w:right w:val="dashSmallGap" w:sz="4" w:space="0" w:color="auto"/>
            </w:tcBorders>
          </w:tcPr>
          <w:p w14:paraId="2FEA0A14" w14:textId="77777777" w:rsidR="00B50935" w:rsidRPr="00927CFF" w:rsidRDefault="00B50935" w:rsidP="00427764">
            <w:pPr>
              <w:ind w:right="-29"/>
              <w:jc w:val="center"/>
              <w:rPr>
                <w:noProof/>
                <w:sz w:val="18"/>
              </w:rPr>
            </w:pPr>
          </w:p>
        </w:tc>
        <w:tc>
          <w:tcPr>
            <w:tcW w:w="720" w:type="dxa"/>
            <w:gridSpan w:val="3"/>
            <w:tcBorders>
              <w:left w:val="dashSmallGap" w:sz="4" w:space="0" w:color="auto"/>
            </w:tcBorders>
          </w:tcPr>
          <w:p w14:paraId="40917842" w14:textId="77777777" w:rsidR="00B50935" w:rsidRPr="00927CFF" w:rsidRDefault="00B50935" w:rsidP="00427764">
            <w:pPr>
              <w:ind w:right="-29"/>
              <w:jc w:val="center"/>
              <w:rPr>
                <w:noProof/>
                <w:sz w:val="18"/>
              </w:rPr>
            </w:pPr>
          </w:p>
        </w:tc>
        <w:tc>
          <w:tcPr>
            <w:tcW w:w="540" w:type="dxa"/>
            <w:gridSpan w:val="2"/>
            <w:tcBorders>
              <w:right w:val="dashSmallGap" w:sz="4" w:space="0" w:color="auto"/>
            </w:tcBorders>
          </w:tcPr>
          <w:p w14:paraId="27BF5166" w14:textId="77777777" w:rsidR="00B50935" w:rsidRPr="00927CFF" w:rsidRDefault="00B50935" w:rsidP="00427764">
            <w:pPr>
              <w:ind w:right="-29"/>
              <w:jc w:val="center"/>
              <w:rPr>
                <w:noProof/>
                <w:sz w:val="18"/>
              </w:rPr>
            </w:pPr>
          </w:p>
        </w:tc>
        <w:tc>
          <w:tcPr>
            <w:tcW w:w="648" w:type="dxa"/>
            <w:gridSpan w:val="2"/>
            <w:tcBorders>
              <w:left w:val="dashSmallGap" w:sz="4" w:space="0" w:color="auto"/>
            </w:tcBorders>
          </w:tcPr>
          <w:p w14:paraId="71A26C3A" w14:textId="77777777" w:rsidR="00B50935" w:rsidRPr="00927CFF" w:rsidRDefault="00B50935" w:rsidP="00427764">
            <w:pPr>
              <w:ind w:right="-29"/>
              <w:jc w:val="center"/>
              <w:rPr>
                <w:noProof/>
                <w:sz w:val="18"/>
              </w:rPr>
            </w:pPr>
          </w:p>
        </w:tc>
        <w:tc>
          <w:tcPr>
            <w:tcW w:w="432" w:type="dxa"/>
            <w:gridSpan w:val="2"/>
            <w:tcBorders>
              <w:right w:val="dashSmallGap" w:sz="4" w:space="0" w:color="auto"/>
            </w:tcBorders>
          </w:tcPr>
          <w:p w14:paraId="7F1ED36B" w14:textId="77777777" w:rsidR="00B50935" w:rsidRPr="00927CFF" w:rsidRDefault="00B50935" w:rsidP="00427764">
            <w:pPr>
              <w:ind w:right="-29"/>
              <w:jc w:val="center"/>
              <w:rPr>
                <w:noProof/>
                <w:sz w:val="18"/>
              </w:rPr>
            </w:pPr>
          </w:p>
        </w:tc>
        <w:tc>
          <w:tcPr>
            <w:tcW w:w="720" w:type="dxa"/>
            <w:gridSpan w:val="2"/>
            <w:tcBorders>
              <w:left w:val="dashSmallGap" w:sz="4" w:space="0" w:color="auto"/>
            </w:tcBorders>
          </w:tcPr>
          <w:p w14:paraId="5CA1B4DE" w14:textId="77777777" w:rsidR="00B50935" w:rsidRPr="00927CFF" w:rsidRDefault="00B50935" w:rsidP="00427764">
            <w:pPr>
              <w:ind w:right="-29"/>
              <w:jc w:val="center"/>
              <w:rPr>
                <w:noProof/>
                <w:sz w:val="18"/>
              </w:rPr>
            </w:pPr>
          </w:p>
        </w:tc>
        <w:tc>
          <w:tcPr>
            <w:tcW w:w="540" w:type="dxa"/>
            <w:gridSpan w:val="3"/>
            <w:tcBorders>
              <w:right w:val="dashSmallGap" w:sz="4" w:space="0" w:color="auto"/>
            </w:tcBorders>
          </w:tcPr>
          <w:p w14:paraId="42A4925F" w14:textId="77777777" w:rsidR="00B50935" w:rsidRPr="00927CFF" w:rsidRDefault="00B50935" w:rsidP="00427764">
            <w:pPr>
              <w:ind w:right="-29"/>
              <w:jc w:val="center"/>
              <w:rPr>
                <w:noProof/>
                <w:sz w:val="18"/>
              </w:rPr>
            </w:pPr>
          </w:p>
        </w:tc>
        <w:tc>
          <w:tcPr>
            <w:tcW w:w="723" w:type="dxa"/>
            <w:gridSpan w:val="2"/>
            <w:tcBorders>
              <w:left w:val="dashSmallGap" w:sz="4" w:space="0" w:color="auto"/>
            </w:tcBorders>
          </w:tcPr>
          <w:p w14:paraId="3E902BAA" w14:textId="77777777" w:rsidR="00B50935" w:rsidRPr="00927CFF" w:rsidRDefault="00B50935" w:rsidP="00427764">
            <w:pPr>
              <w:ind w:right="-29"/>
              <w:jc w:val="center"/>
              <w:rPr>
                <w:noProof/>
                <w:sz w:val="18"/>
              </w:rPr>
            </w:pPr>
          </w:p>
        </w:tc>
        <w:tc>
          <w:tcPr>
            <w:tcW w:w="720" w:type="dxa"/>
            <w:gridSpan w:val="2"/>
          </w:tcPr>
          <w:p w14:paraId="3BE7FAD7" w14:textId="77777777" w:rsidR="00B50935" w:rsidRPr="00927CFF" w:rsidRDefault="00B50935" w:rsidP="00427764">
            <w:pPr>
              <w:ind w:right="-29"/>
              <w:jc w:val="center"/>
              <w:rPr>
                <w:noProof/>
                <w:sz w:val="18"/>
              </w:rPr>
            </w:pPr>
          </w:p>
        </w:tc>
        <w:tc>
          <w:tcPr>
            <w:tcW w:w="900" w:type="dxa"/>
            <w:gridSpan w:val="2"/>
          </w:tcPr>
          <w:p w14:paraId="4D8EDB07" w14:textId="77777777" w:rsidR="00B50935" w:rsidRPr="00927CFF" w:rsidRDefault="00B50935" w:rsidP="00427764">
            <w:pPr>
              <w:ind w:right="-29"/>
              <w:jc w:val="center"/>
              <w:rPr>
                <w:noProof/>
                <w:sz w:val="18"/>
              </w:rPr>
            </w:pPr>
          </w:p>
        </w:tc>
      </w:tr>
      <w:tr w:rsidR="00B50935" w:rsidRPr="00927CFF" w14:paraId="12676278" w14:textId="77777777" w:rsidTr="00427764">
        <w:trPr>
          <w:gridAfter w:val="1"/>
          <w:wAfter w:w="12" w:type="dxa"/>
          <w:trHeight w:hRule="exact" w:val="369"/>
          <w:jc w:val="center"/>
        </w:trPr>
        <w:tc>
          <w:tcPr>
            <w:tcW w:w="1696" w:type="dxa"/>
          </w:tcPr>
          <w:p w14:paraId="4221F6E5" w14:textId="77777777" w:rsidR="00B50935" w:rsidRPr="00927CFF" w:rsidRDefault="00B50935" w:rsidP="00427764">
            <w:pPr>
              <w:ind w:right="-29"/>
              <w:jc w:val="center"/>
              <w:rPr>
                <w:noProof/>
                <w:sz w:val="18"/>
              </w:rPr>
            </w:pPr>
            <w:r w:rsidRPr="00927CFF">
              <w:rPr>
                <w:sz w:val="18"/>
              </w:rPr>
              <w:t>- Resultat</w:t>
            </w:r>
          </w:p>
        </w:tc>
        <w:tc>
          <w:tcPr>
            <w:tcW w:w="447" w:type="dxa"/>
          </w:tcPr>
          <w:p w14:paraId="2C097759" w14:textId="77777777" w:rsidR="00B50935" w:rsidRPr="00927CFF" w:rsidRDefault="00B50935" w:rsidP="00427764">
            <w:pPr>
              <w:ind w:right="-29"/>
              <w:jc w:val="center"/>
              <w:rPr>
                <w:noProof/>
                <w:sz w:val="18"/>
              </w:rPr>
            </w:pPr>
          </w:p>
        </w:tc>
        <w:tc>
          <w:tcPr>
            <w:tcW w:w="542" w:type="dxa"/>
          </w:tcPr>
          <w:p w14:paraId="0234681A" w14:textId="77777777" w:rsidR="00B50935" w:rsidRPr="00927CFF" w:rsidRDefault="00B50935" w:rsidP="00427764">
            <w:pPr>
              <w:ind w:right="-29"/>
              <w:jc w:val="center"/>
              <w:rPr>
                <w:noProof/>
                <w:sz w:val="18"/>
              </w:rPr>
            </w:pPr>
          </w:p>
        </w:tc>
        <w:tc>
          <w:tcPr>
            <w:tcW w:w="663" w:type="dxa"/>
            <w:gridSpan w:val="2"/>
          </w:tcPr>
          <w:p w14:paraId="2F8A6DF6" w14:textId="77777777" w:rsidR="00B50935" w:rsidRPr="00927CFF" w:rsidRDefault="00B50935" w:rsidP="00427764">
            <w:pPr>
              <w:ind w:right="-29"/>
              <w:jc w:val="center"/>
              <w:rPr>
                <w:noProof/>
                <w:sz w:val="18"/>
              </w:rPr>
            </w:pPr>
          </w:p>
        </w:tc>
        <w:tc>
          <w:tcPr>
            <w:tcW w:w="720" w:type="dxa"/>
            <w:gridSpan w:val="2"/>
          </w:tcPr>
          <w:p w14:paraId="6CA938E7" w14:textId="77777777" w:rsidR="00B50935" w:rsidRPr="00927CFF" w:rsidRDefault="00B50935" w:rsidP="00427764">
            <w:pPr>
              <w:ind w:right="-29"/>
              <w:jc w:val="center"/>
              <w:rPr>
                <w:noProof/>
                <w:sz w:val="18"/>
              </w:rPr>
            </w:pPr>
          </w:p>
        </w:tc>
        <w:tc>
          <w:tcPr>
            <w:tcW w:w="540" w:type="dxa"/>
            <w:gridSpan w:val="2"/>
          </w:tcPr>
          <w:p w14:paraId="32F8F226" w14:textId="77777777" w:rsidR="00B50935" w:rsidRPr="00927CFF" w:rsidRDefault="00B50935" w:rsidP="00427764">
            <w:pPr>
              <w:ind w:right="-29"/>
              <w:jc w:val="center"/>
              <w:rPr>
                <w:noProof/>
                <w:sz w:val="18"/>
              </w:rPr>
            </w:pPr>
          </w:p>
        </w:tc>
        <w:tc>
          <w:tcPr>
            <w:tcW w:w="720" w:type="dxa"/>
            <w:gridSpan w:val="2"/>
          </w:tcPr>
          <w:p w14:paraId="136E7BF1" w14:textId="77777777" w:rsidR="00B50935" w:rsidRPr="00927CFF" w:rsidRDefault="00B50935" w:rsidP="00427764">
            <w:pPr>
              <w:ind w:right="-29"/>
              <w:jc w:val="center"/>
              <w:rPr>
                <w:noProof/>
                <w:sz w:val="18"/>
              </w:rPr>
            </w:pPr>
          </w:p>
        </w:tc>
        <w:tc>
          <w:tcPr>
            <w:tcW w:w="720" w:type="dxa"/>
            <w:gridSpan w:val="2"/>
          </w:tcPr>
          <w:p w14:paraId="109581C1" w14:textId="77777777" w:rsidR="00B50935" w:rsidRPr="00927CFF" w:rsidRDefault="00B50935" w:rsidP="00427764">
            <w:pPr>
              <w:ind w:right="-29"/>
              <w:jc w:val="center"/>
              <w:rPr>
                <w:noProof/>
                <w:sz w:val="18"/>
              </w:rPr>
            </w:pPr>
          </w:p>
        </w:tc>
        <w:tc>
          <w:tcPr>
            <w:tcW w:w="720" w:type="dxa"/>
            <w:gridSpan w:val="2"/>
          </w:tcPr>
          <w:p w14:paraId="529F7B3D" w14:textId="77777777" w:rsidR="00B50935" w:rsidRPr="00927CFF" w:rsidRDefault="00B50935" w:rsidP="00427764">
            <w:pPr>
              <w:ind w:right="-29"/>
              <w:jc w:val="center"/>
              <w:rPr>
                <w:noProof/>
                <w:sz w:val="18"/>
              </w:rPr>
            </w:pPr>
          </w:p>
        </w:tc>
        <w:tc>
          <w:tcPr>
            <w:tcW w:w="900" w:type="dxa"/>
            <w:gridSpan w:val="2"/>
          </w:tcPr>
          <w:p w14:paraId="4B47C0DB" w14:textId="77777777" w:rsidR="00B50935" w:rsidRPr="00927CFF" w:rsidRDefault="00B50935" w:rsidP="00427764">
            <w:pPr>
              <w:ind w:right="-29"/>
              <w:jc w:val="center"/>
              <w:rPr>
                <w:noProof/>
                <w:sz w:val="18"/>
              </w:rPr>
            </w:pPr>
          </w:p>
        </w:tc>
        <w:tc>
          <w:tcPr>
            <w:tcW w:w="720" w:type="dxa"/>
            <w:gridSpan w:val="3"/>
          </w:tcPr>
          <w:p w14:paraId="1ABE6867" w14:textId="77777777" w:rsidR="00B50935" w:rsidRPr="00927CFF" w:rsidRDefault="00B50935" w:rsidP="00427764">
            <w:pPr>
              <w:ind w:right="-29"/>
              <w:jc w:val="center"/>
              <w:rPr>
                <w:noProof/>
                <w:sz w:val="18"/>
              </w:rPr>
            </w:pPr>
          </w:p>
        </w:tc>
        <w:tc>
          <w:tcPr>
            <w:tcW w:w="540" w:type="dxa"/>
            <w:gridSpan w:val="2"/>
          </w:tcPr>
          <w:p w14:paraId="15B7FEE7" w14:textId="77777777" w:rsidR="00B50935" w:rsidRPr="00927CFF" w:rsidRDefault="00B50935" w:rsidP="00427764">
            <w:pPr>
              <w:ind w:right="-29"/>
              <w:jc w:val="center"/>
              <w:rPr>
                <w:noProof/>
                <w:sz w:val="18"/>
              </w:rPr>
            </w:pPr>
          </w:p>
        </w:tc>
        <w:tc>
          <w:tcPr>
            <w:tcW w:w="648" w:type="dxa"/>
            <w:gridSpan w:val="2"/>
          </w:tcPr>
          <w:p w14:paraId="4EBAA255" w14:textId="77777777" w:rsidR="00B50935" w:rsidRPr="00927CFF" w:rsidRDefault="00B50935" w:rsidP="00427764">
            <w:pPr>
              <w:ind w:right="-29"/>
              <w:jc w:val="center"/>
              <w:rPr>
                <w:noProof/>
                <w:sz w:val="18"/>
              </w:rPr>
            </w:pPr>
          </w:p>
        </w:tc>
        <w:tc>
          <w:tcPr>
            <w:tcW w:w="432" w:type="dxa"/>
            <w:gridSpan w:val="2"/>
          </w:tcPr>
          <w:p w14:paraId="68F27C7B" w14:textId="77777777" w:rsidR="00B50935" w:rsidRPr="00927CFF" w:rsidRDefault="00B50935" w:rsidP="00427764">
            <w:pPr>
              <w:ind w:right="-29"/>
              <w:jc w:val="center"/>
              <w:rPr>
                <w:noProof/>
                <w:sz w:val="18"/>
              </w:rPr>
            </w:pPr>
          </w:p>
        </w:tc>
        <w:tc>
          <w:tcPr>
            <w:tcW w:w="720" w:type="dxa"/>
            <w:gridSpan w:val="2"/>
          </w:tcPr>
          <w:p w14:paraId="399E6036" w14:textId="77777777" w:rsidR="00B50935" w:rsidRPr="00927CFF" w:rsidRDefault="00B50935" w:rsidP="00427764">
            <w:pPr>
              <w:ind w:right="-29"/>
              <w:jc w:val="center"/>
              <w:rPr>
                <w:noProof/>
                <w:sz w:val="18"/>
              </w:rPr>
            </w:pPr>
          </w:p>
        </w:tc>
        <w:tc>
          <w:tcPr>
            <w:tcW w:w="540" w:type="dxa"/>
            <w:gridSpan w:val="3"/>
          </w:tcPr>
          <w:p w14:paraId="0BDDD62E" w14:textId="77777777" w:rsidR="00B50935" w:rsidRPr="00927CFF" w:rsidRDefault="00B50935" w:rsidP="00427764">
            <w:pPr>
              <w:ind w:right="-29"/>
              <w:jc w:val="center"/>
              <w:rPr>
                <w:noProof/>
                <w:sz w:val="18"/>
              </w:rPr>
            </w:pPr>
          </w:p>
        </w:tc>
        <w:tc>
          <w:tcPr>
            <w:tcW w:w="723" w:type="dxa"/>
            <w:gridSpan w:val="2"/>
          </w:tcPr>
          <w:p w14:paraId="586E5F07" w14:textId="77777777" w:rsidR="00B50935" w:rsidRPr="00927CFF" w:rsidRDefault="00B50935" w:rsidP="00427764">
            <w:pPr>
              <w:ind w:right="-29"/>
              <w:jc w:val="center"/>
              <w:rPr>
                <w:noProof/>
                <w:sz w:val="18"/>
              </w:rPr>
            </w:pPr>
          </w:p>
        </w:tc>
        <w:tc>
          <w:tcPr>
            <w:tcW w:w="720" w:type="dxa"/>
            <w:gridSpan w:val="2"/>
          </w:tcPr>
          <w:p w14:paraId="1D4071DA" w14:textId="77777777" w:rsidR="00B50935" w:rsidRPr="00927CFF" w:rsidRDefault="00B50935" w:rsidP="00427764">
            <w:pPr>
              <w:ind w:right="-29"/>
              <w:jc w:val="center"/>
              <w:rPr>
                <w:noProof/>
                <w:sz w:val="18"/>
              </w:rPr>
            </w:pPr>
          </w:p>
        </w:tc>
        <w:tc>
          <w:tcPr>
            <w:tcW w:w="900" w:type="dxa"/>
            <w:gridSpan w:val="2"/>
          </w:tcPr>
          <w:p w14:paraId="4C5C77A9" w14:textId="77777777" w:rsidR="00B50935" w:rsidRPr="00927CFF" w:rsidRDefault="00B50935" w:rsidP="00427764">
            <w:pPr>
              <w:ind w:right="-29"/>
              <w:jc w:val="center"/>
              <w:rPr>
                <w:noProof/>
                <w:sz w:val="18"/>
              </w:rPr>
            </w:pPr>
          </w:p>
        </w:tc>
      </w:tr>
      <w:tr w:rsidR="00B50935" w:rsidRPr="00927CFF" w14:paraId="2D4A36D9" w14:textId="77777777" w:rsidTr="00427764">
        <w:trPr>
          <w:gridAfter w:val="1"/>
          <w:wAfter w:w="12" w:type="dxa"/>
          <w:jc w:val="center"/>
        </w:trPr>
        <w:tc>
          <w:tcPr>
            <w:tcW w:w="2685" w:type="dxa"/>
            <w:gridSpan w:val="3"/>
            <w:tcBorders>
              <w:bottom w:val="single" w:sz="12" w:space="0" w:color="auto"/>
            </w:tcBorders>
            <w:vAlign w:val="center"/>
          </w:tcPr>
          <w:p w14:paraId="2339416E" w14:textId="77777777" w:rsidR="00B50935" w:rsidRPr="00927CFF" w:rsidRDefault="00B50935" w:rsidP="00427764">
            <w:pPr>
              <w:ind w:right="-29"/>
              <w:jc w:val="center"/>
              <w:rPr>
                <w:noProof/>
                <w:sz w:val="18"/>
              </w:rPr>
            </w:pPr>
            <w:r w:rsidRPr="00927CFF">
              <w:rPr>
                <w:sz w:val="18"/>
              </w:rPr>
              <w:t>Subtotal for specifikt mål nr. 1</w:t>
            </w:r>
          </w:p>
        </w:tc>
        <w:tc>
          <w:tcPr>
            <w:tcW w:w="663" w:type="dxa"/>
            <w:gridSpan w:val="2"/>
            <w:tcBorders>
              <w:bottom w:val="single" w:sz="12" w:space="0" w:color="auto"/>
            </w:tcBorders>
          </w:tcPr>
          <w:p w14:paraId="668FD666"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37210529" w14:textId="77777777" w:rsidR="00B50935" w:rsidRPr="00927CFF" w:rsidRDefault="00B50935" w:rsidP="00427764">
            <w:pPr>
              <w:ind w:right="-29"/>
              <w:jc w:val="center"/>
              <w:rPr>
                <w:noProof/>
                <w:sz w:val="18"/>
              </w:rPr>
            </w:pPr>
            <w:r w:rsidRPr="00927CFF">
              <w:rPr>
                <w:sz w:val="18"/>
              </w:rPr>
              <w:t>7,000</w:t>
            </w:r>
          </w:p>
        </w:tc>
        <w:tc>
          <w:tcPr>
            <w:tcW w:w="540" w:type="dxa"/>
            <w:gridSpan w:val="2"/>
            <w:tcBorders>
              <w:bottom w:val="single" w:sz="12" w:space="0" w:color="auto"/>
            </w:tcBorders>
          </w:tcPr>
          <w:p w14:paraId="08CFC446"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25A964C2" w14:textId="77777777" w:rsidR="00B50935" w:rsidRPr="00927CFF" w:rsidRDefault="00B50935" w:rsidP="00427764">
            <w:pPr>
              <w:ind w:right="-29"/>
              <w:jc w:val="center"/>
              <w:rPr>
                <w:noProof/>
                <w:sz w:val="18"/>
              </w:rPr>
            </w:pPr>
            <w:r w:rsidRPr="00927CFF">
              <w:rPr>
                <w:sz w:val="18"/>
              </w:rPr>
              <w:t>7,000</w:t>
            </w:r>
          </w:p>
        </w:tc>
        <w:tc>
          <w:tcPr>
            <w:tcW w:w="720" w:type="dxa"/>
            <w:gridSpan w:val="2"/>
            <w:tcBorders>
              <w:bottom w:val="single" w:sz="12" w:space="0" w:color="auto"/>
            </w:tcBorders>
          </w:tcPr>
          <w:p w14:paraId="6E8B2A36"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6BDF3B3F" w14:textId="77777777" w:rsidR="00B50935" w:rsidRPr="00927CFF" w:rsidRDefault="00B50935" w:rsidP="00427764">
            <w:pPr>
              <w:ind w:right="-29"/>
              <w:jc w:val="center"/>
              <w:rPr>
                <w:noProof/>
                <w:sz w:val="18"/>
              </w:rPr>
            </w:pPr>
            <w:r w:rsidRPr="00927CFF">
              <w:rPr>
                <w:sz w:val="18"/>
              </w:rPr>
              <w:t>6,800</w:t>
            </w:r>
          </w:p>
        </w:tc>
        <w:tc>
          <w:tcPr>
            <w:tcW w:w="900" w:type="dxa"/>
            <w:gridSpan w:val="2"/>
            <w:tcBorders>
              <w:bottom w:val="single" w:sz="12" w:space="0" w:color="auto"/>
            </w:tcBorders>
          </w:tcPr>
          <w:p w14:paraId="6DF0D3CC" w14:textId="77777777" w:rsidR="00B50935" w:rsidRPr="00927CFF" w:rsidRDefault="00B50935" w:rsidP="00427764">
            <w:pPr>
              <w:ind w:right="-29"/>
              <w:jc w:val="center"/>
              <w:rPr>
                <w:noProof/>
                <w:sz w:val="18"/>
              </w:rPr>
            </w:pPr>
          </w:p>
        </w:tc>
        <w:tc>
          <w:tcPr>
            <w:tcW w:w="720" w:type="dxa"/>
            <w:gridSpan w:val="3"/>
            <w:tcBorders>
              <w:bottom w:val="single" w:sz="12" w:space="0" w:color="auto"/>
            </w:tcBorders>
          </w:tcPr>
          <w:p w14:paraId="4AFA3950" w14:textId="77777777" w:rsidR="00B50935" w:rsidRPr="00927CFF" w:rsidRDefault="00B50935" w:rsidP="00427764">
            <w:pPr>
              <w:ind w:right="-29"/>
              <w:jc w:val="center"/>
              <w:rPr>
                <w:noProof/>
                <w:sz w:val="18"/>
              </w:rPr>
            </w:pPr>
            <w:r w:rsidRPr="00927CFF">
              <w:rPr>
                <w:sz w:val="18"/>
              </w:rPr>
              <w:t>6,800</w:t>
            </w:r>
          </w:p>
        </w:tc>
        <w:tc>
          <w:tcPr>
            <w:tcW w:w="540" w:type="dxa"/>
            <w:gridSpan w:val="2"/>
            <w:tcBorders>
              <w:bottom w:val="single" w:sz="12" w:space="0" w:color="auto"/>
            </w:tcBorders>
          </w:tcPr>
          <w:p w14:paraId="7C7583CE" w14:textId="77777777" w:rsidR="00B50935" w:rsidRPr="00927CFF" w:rsidRDefault="00B50935" w:rsidP="00427764">
            <w:pPr>
              <w:ind w:right="-29"/>
              <w:jc w:val="center"/>
              <w:rPr>
                <w:noProof/>
                <w:sz w:val="18"/>
              </w:rPr>
            </w:pPr>
          </w:p>
        </w:tc>
        <w:tc>
          <w:tcPr>
            <w:tcW w:w="648" w:type="dxa"/>
            <w:gridSpan w:val="2"/>
            <w:tcBorders>
              <w:bottom w:val="single" w:sz="12" w:space="0" w:color="auto"/>
            </w:tcBorders>
          </w:tcPr>
          <w:p w14:paraId="434E7C8F" w14:textId="77777777" w:rsidR="00B50935" w:rsidRPr="00927CFF" w:rsidRDefault="00B50935" w:rsidP="00427764">
            <w:pPr>
              <w:ind w:right="-29"/>
              <w:jc w:val="center"/>
              <w:rPr>
                <w:noProof/>
                <w:sz w:val="18"/>
              </w:rPr>
            </w:pPr>
            <w:r w:rsidRPr="00927CFF">
              <w:rPr>
                <w:sz w:val="18"/>
              </w:rPr>
              <w:t>6,800</w:t>
            </w:r>
          </w:p>
        </w:tc>
        <w:tc>
          <w:tcPr>
            <w:tcW w:w="432" w:type="dxa"/>
            <w:gridSpan w:val="2"/>
            <w:tcBorders>
              <w:bottom w:val="single" w:sz="12" w:space="0" w:color="auto"/>
            </w:tcBorders>
          </w:tcPr>
          <w:p w14:paraId="350D4434"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58FE58F4" w14:textId="77777777" w:rsidR="00B50935" w:rsidRPr="00927CFF" w:rsidRDefault="00B50935" w:rsidP="00427764">
            <w:pPr>
              <w:ind w:right="-29"/>
              <w:jc w:val="center"/>
              <w:rPr>
                <w:noProof/>
                <w:sz w:val="18"/>
              </w:rPr>
            </w:pPr>
            <w:r w:rsidRPr="00927CFF">
              <w:rPr>
                <w:sz w:val="18"/>
              </w:rPr>
              <w:t>6,800</w:t>
            </w:r>
          </w:p>
        </w:tc>
        <w:tc>
          <w:tcPr>
            <w:tcW w:w="540" w:type="dxa"/>
            <w:gridSpan w:val="3"/>
            <w:tcBorders>
              <w:bottom w:val="single" w:sz="12" w:space="0" w:color="auto"/>
            </w:tcBorders>
          </w:tcPr>
          <w:p w14:paraId="30A76F38" w14:textId="77777777" w:rsidR="00B50935" w:rsidRPr="00927CFF" w:rsidRDefault="00B50935" w:rsidP="00427764">
            <w:pPr>
              <w:ind w:right="-29"/>
              <w:jc w:val="center"/>
              <w:rPr>
                <w:noProof/>
                <w:sz w:val="18"/>
              </w:rPr>
            </w:pPr>
          </w:p>
        </w:tc>
        <w:tc>
          <w:tcPr>
            <w:tcW w:w="723" w:type="dxa"/>
            <w:gridSpan w:val="2"/>
            <w:tcBorders>
              <w:bottom w:val="single" w:sz="12" w:space="0" w:color="auto"/>
            </w:tcBorders>
          </w:tcPr>
          <w:p w14:paraId="2262845F" w14:textId="77777777" w:rsidR="00B50935" w:rsidRPr="00927CFF" w:rsidRDefault="00B50935" w:rsidP="00427764">
            <w:pPr>
              <w:ind w:right="-29"/>
              <w:jc w:val="center"/>
              <w:rPr>
                <w:noProof/>
                <w:sz w:val="18"/>
              </w:rPr>
            </w:pPr>
            <w:r w:rsidRPr="00927CFF">
              <w:rPr>
                <w:sz w:val="18"/>
              </w:rPr>
              <w:t>6,800</w:t>
            </w:r>
          </w:p>
        </w:tc>
        <w:tc>
          <w:tcPr>
            <w:tcW w:w="720" w:type="dxa"/>
            <w:gridSpan w:val="2"/>
            <w:tcBorders>
              <w:bottom w:val="single" w:sz="12" w:space="0" w:color="auto"/>
            </w:tcBorders>
          </w:tcPr>
          <w:p w14:paraId="387CFFDD" w14:textId="77777777" w:rsidR="00B50935" w:rsidRPr="00927CFF" w:rsidRDefault="00B50935" w:rsidP="00427764">
            <w:pPr>
              <w:ind w:right="-29"/>
              <w:jc w:val="center"/>
              <w:rPr>
                <w:noProof/>
                <w:sz w:val="18"/>
              </w:rPr>
            </w:pPr>
          </w:p>
        </w:tc>
        <w:tc>
          <w:tcPr>
            <w:tcW w:w="900" w:type="dxa"/>
            <w:gridSpan w:val="2"/>
            <w:tcBorders>
              <w:bottom w:val="single" w:sz="12" w:space="0" w:color="auto"/>
            </w:tcBorders>
          </w:tcPr>
          <w:p w14:paraId="2E708279" w14:textId="77777777" w:rsidR="00B50935" w:rsidRPr="00927CFF" w:rsidRDefault="00B50935" w:rsidP="00427764">
            <w:pPr>
              <w:ind w:right="-29"/>
              <w:jc w:val="center"/>
              <w:rPr>
                <w:noProof/>
                <w:sz w:val="18"/>
              </w:rPr>
            </w:pPr>
            <w:r w:rsidRPr="00927CFF">
              <w:rPr>
                <w:sz w:val="18"/>
              </w:rPr>
              <w:t>48,000</w:t>
            </w:r>
          </w:p>
        </w:tc>
      </w:tr>
      <w:tr w:rsidR="00B50935" w:rsidRPr="00927CFF" w14:paraId="47F80B6C" w14:textId="77777777" w:rsidTr="00427764">
        <w:trPr>
          <w:gridAfter w:val="1"/>
          <w:wAfter w:w="12" w:type="dxa"/>
          <w:jc w:val="center"/>
        </w:trPr>
        <w:tc>
          <w:tcPr>
            <w:tcW w:w="13611" w:type="dxa"/>
            <w:gridSpan w:val="37"/>
            <w:tcBorders>
              <w:bottom w:val="single" w:sz="12" w:space="0" w:color="auto"/>
            </w:tcBorders>
            <w:vAlign w:val="center"/>
          </w:tcPr>
          <w:p w14:paraId="1326E2F9" w14:textId="77777777" w:rsidR="00B50935" w:rsidRPr="00927CFF" w:rsidRDefault="00B50935" w:rsidP="00427764">
            <w:pPr>
              <w:ind w:right="-29"/>
              <w:jc w:val="center"/>
              <w:rPr>
                <w:noProof/>
                <w:sz w:val="18"/>
              </w:rPr>
            </w:pPr>
            <w:r w:rsidRPr="00927CFF">
              <w:rPr>
                <w:sz w:val="18"/>
              </w:rPr>
              <w:t>SPECIFIKT MÅL NR. 2: ECDC skal yde videnskabelig og teknisk ekspertbistand til medlemsstaterne og Kommissionen vedrørende beredskabs- og indsatsplanlægning, herunder uddannelse.</w:t>
            </w:r>
          </w:p>
          <w:p w14:paraId="55DE3084" w14:textId="77777777" w:rsidR="00B50935" w:rsidRPr="00927CFF" w:rsidRDefault="00B50935" w:rsidP="00427764">
            <w:pPr>
              <w:ind w:right="-29"/>
              <w:jc w:val="center"/>
              <w:rPr>
                <w:noProof/>
                <w:sz w:val="18"/>
              </w:rPr>
            </w:pPr>
          </w:p>
        </w:tc>
      </w:tr>
      <w:tr w:rsidR="00B50935" w:rsidRPr="00927CFF" w14:paraId="1C006380" w14:textId="77777777" w:rsidTr="00427764">
        <w:trPr>
          <w:gridAfter w:val="1"/>
          <w:wAfter w:w="12" w:type="dxa"/>
          <w:jc w:val="center"/>
        </w:trPr>
        <w:tc>
          <w:tcPr>
            <w:tcW w:w="2685" w:type="dxa"/>
            <w:gridSpan w:val="3"/>
            <w:tcBorders>
              <w:bottom w:val="single" w:sz="12" w:space="0" w:color="auto"/>
            </w:tcBorders>
            <w:vAlign w:val="center"/>
          </w:tcPr>
          <w:p w14:paraId="11DB156A" w14:textId="77777777" w:rsidR="00B50935" w:rsidRPr="00927CFF" w:rsidRDefault="00B50935" w:rsidP="00427764">
            <w:pPr>
              <w:ind w:right="-29"/>
              <w:jc w:val="center"/>
              <w:rPr>
                <w:noProof/>
                <w:sz w:val="18"/>
              </w:rPr>
            </w:pPr>
            <w:r w:rsidRPr="00927CFF">
              <w:rPr>
                <w:sz w:val="18"/>
              </w:rPr>
              <w:t>Resultat:  uddannelsesprogrammer for specialister, navnlig i epidemiologisk overvågning og feltundersøgelser, og evne til at definere sundhedsmæssige foranstaltninger til bekæmpelse af sygdomsudbrud.</w:t>
            </w:r>
          </w:p>
        </w:tc>
        <w:tc>
          <w:tcPr>
            <w:tcW w:w="663" w:type="dxa"/>
            <w:gridSpan w:val="2"/>
            <w:tcBorders>
              <w:bottom w:val="single" w:sz="12" w:space="0" w:color="auto"/>
            </w:tcBorders>
          </w:tcPr>
          <w:p w14:paraId="1CD13B8F"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21E68B55" w14:textId="77777777" w:rsidR="00B50935" w:rsidRPr="00927CFF" w:rsidRDefault="00B50935" w:rsidP="00427764">
            <w:pPr>
              <w:ind w:right="-29"/>
              <w:jc w:val="center"/>
              <w:rPr>
                <w:noProof/>
                <w:sz w:val="18"/>
              </w:rPr>
            </w:pPr>
            <w:r w:rsidRPr="00927CFF">
              <w:rPr>
                <w:sz w:val="18"/>
              </w:rPr>
              <w:t>0,100</w:t>
            </w:r>
          </w:p>
        </w:tc>
        <w:tc>
          <w:tcPr>
            <w:tcW w:w="540" w:type="dxa"/>
            <w:gridSpan w:val="2"/>
            <w:tcBorders>
              <w:bottom w:val="single" w:sz="12" w:space="0" w:color="auto"/>
            </w:tcBorders>
          </w:tcPr>
          <w:p w14:paraId="247C0011"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441B4AE4" w14:textId="77777777" w:rsidR="00B50935" w:rsidRPr="00927CFF" w:rsidRDefault="00B50935" w:rsidP="00427764">
            <w:pPr>
              <w:ind w:right="-29"/>
              <w:jc w:val="center"/>
              <w:rPr>
                <w:noProof/>
                <w:sz w:val="18"/>
              </w:rPr>
            </w:pPr>
            <w:r w:rsidRPr="00927CFF">
              <w:rPr>
                <w:sz w:val="18"/>
              </w:rPr>
              <w:t>0,100</w:t>
            </w:r>
          </w:p>
        </w:tc>
        <w:tc>
          <w:tcPr>
            <w:tcW w:w="720" w:type="dxa"/>
            <w:gridSpan w:val="2"/>
            <w:tcBorders>
              <w:bottom w:val="single" w:sz="12" w:space="0" w:color="auto"/>
            </w:tcBorders>
          </w:tcPr>
          <w:p w14:paraId="6614E7F0"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4B12DD98" w14:textId="77777777" w:rsidR="00B50935" w:rsidRPr="00927CFF" w:rsidRDefault="00B50935" w:rsidP="00427764">
            <w:pPr>
              <w:ind w:right="-29"/>
              <w:jc w:val="center"/>
              <w:rPr>
                <w:noProof/>
                <w:sz w:val="18"/>
              </w:rPr>
            </w:pPr>
            <w:r w:rsidRPr="00927CFF">
              <w:rPr>
                <w:sz w:val="18"/>
              </w:rPr>
              <w:t>0,100</w:t>
            </w:r>
          </w:p>
        </w:tc>
        <w:tc>
          <w:tcPr>
            <w:tcW w:w="900" w:type="dxa"/>
            <w:gridSpan w:val="2"/>
            <w:tcBorders>
              <w:bottom w:val="single" w:sz="12" w:space="0" w:color="auto"/>
            </w:tcBorders>
          </w:tcPr>
          <w:p w14:paraId="2DCBF047" w14:textId="77777777" w:rsidR="00B50935" w:rsidRPr="00927CFF" w:rsidRDefault="00B50935" w:rsidP="00427764">
            <w:pPr>
              <w:ind w:right="-29"/>
              <w:jc w:val="center"/>
              <w:rPr>
                <w:noProof/>
                <w:sz w:val="18"/>
              </w:rPr>
            </w:pPr>
          </w:p>
        </w:tc>
        <w:tc>
          <w:tcPr>
            <w:tcW w:w="720" w:type="dxa"/>
            <w:gridSpan w:val="3"/>
            <w:tcBorders>
              <w:bottom w:val="single" w:sz="12" w:space="0" w:color="auto"/>
            </w:tcBorders>
          </w:tcPr>
          <w:p w14:paraId="03CDA864" w14:textId="77777777" w:rsidR="00B50935" w:rsidRPr="00927CFF" w:rsidRDefault="00B50935" w:rsidP="00427764">
            <w:pPr>
              <w:ind w:right="-29"/>
              <w:jc w:val="center"/>
              <w:rPr>
                <w:noProof/>
                <w:sz w:val="18"/>
              </w:rPr>
            </w:pPr>
            <w:r w:rsidRPr="00927CFF">
              <w:rPr>
                <w:sz w:val="18"/>
              </w:rPr>
              <w:t>0,100</w:t>
            </w:r>
          </w:p>
        </w:tc>
        <w:tc>
          <w:tcPr>
            <w:tcW w:w="540" w:type="dxa"/>
            <w:gridSpan w:val="2"/>
            <w:tcBorders>
              <w:bottom w:val="single" w:sz="12" w:space="0" w:color="auto"/>
            </w:tcBorders>
          </w:tcPr>
          <w:p w14:paraId="03C1BA95" w14:textId="77777777" w:rsidR="00B50935" w:rsidRPr="00927CFF" w:rsidRDefault="00B50935" w:rsidP="00427764">
            <w:pPr>
              <w:ind w:right="-29"/>
              <w:jc w:val="center"/>
              <w:rPr>
                <w:noProof/>
                <w:sz w:val="18"/>
              </w:rPr>
            </w:pPr>
          </w:p>
        </w:tc>
        <w:tc>
          <w:tcPr>
            <w:tcW w:w="648" w:type="dxa"/>
            <w:gridSpan w:val="2"/>
            <w:tcBorders>
              <w:bottom w:val="single" w:sz="12" w:space="0" w:color="auto"/>
            </w:tcBorders>
          </w:tcPr>
          <w:p w14:paraId="3A1F86B9" w14:textId="77777777" w:rsidR="00B50935" w:rsidRPr="00927CFF" w:rsidRDefault="00B50935" w:rsidP="00427764">
            <w:pPr>
              <w:ind w:right="-29"/>
              <w:jc w:val="center"/>
              <w:rPr>
                <w:noProof/>
                <w:sz w:val="18"/>
              </w:rPr>
            </w:pPr>
            <w:r w:rsidRPr="00927CFF">
              <w:rPr>
                <w:sz w:val="18"/>
              </w:rPr>
              <w:t>0,100</w:t>
            </w:r>
          </w:p>
        </w:tc>
        <w:tc>
          <w:tcPr>
            <w:tcW w:w="432" w:type="dxa"/>
            <w:gridSpan w:val="2"/>
            <w:tcBorders>
              <w:bottom w:val="single" w:sz="12" w:space="0" w:color="auto"/>
            </w:tcBorders>
          </w:tcPr>
          <w:p w14:paraId="66804192"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61605A20" w14:textId="77777777" w:rsidR="00B50935" w:rsidRPr="00927CFF" w:rsidRDefault="00B50935" w:rsidP="00427764">
            <w:pPr>
              <w:ind w:right="-29"/>
              <w:jc w:val="center"/>
              <w:rPr>
                <w:noProof/>
                <w:sz w:val="18"/>
              </w:rPr>
            </w:pPr>
            <w:r w:rsidRPr="00927CFF">
              <w:rPr>
                <w:sz w:val="18"/>
              </w:rPr>
              <w:t>0,100</w:t>
            </w:r>
          </w:p>
        </w:tc>
        <w:tc>
          <w:tcPr>
            <w:tcW w:w="540" w:type="dxa"/>
            <w:gridSpan w:val="3"/>
            <w:tcBorders>
              <w:bottom w:val="single" w:sz="12" w:space="0" w:color="auto"/>
            </w:tcBorders>
          </w:tcPr>
          <w:p w14:paraId="486E6088" w14:textId="77777777" w:rsidR="00B50935" w:rsidRPr="00927CFF" w:rsidRDefault="00B50935" w:rsidP="00427764">
            <w:pPr>
              <w:ind w:right="-29"/>
              <w:jc w:val="center"/>
              <w:rPr>
                <w:noProof/>
                <w:sz w:val="18"/>
              </w:rPr>
            </w:pPr>
          </w:p>
        </w:tc>
        <w:tc>
          <w:tcPr>
            <w:tcW w:w="723" w:type="dxa"/>
            <w:gridSpan w:val="2"/>
            <w:tcBorders>
              <w:bottom w:val="single" w:sz="12" w:space="0" w:color="auto"/>
            </w:tcBorders>
          </w:tcPr>
          <w:p w14:paraId="4D7A1241" w14:textId="77777777" w:rsidR="00B50935" w:rsidRPr="00927CFF" w:rsidRDefault="00B50935" w:rsidP="00427764">
            <w:pPr>
              <w:ind w:right="-29"/>
              <w:jc w:val="center"/>
              <w:rPr>
                <w:noProof/>
                <w:sz w:val="18"/>
              </w:rPr>
            </w:pPr>
            <w:r w:rsidRPr="00927CFF">
              <w:rPr>
                <w:sz w:val="18"/>
              </w:rPr>
              <w:t>0,100</w:t>
            </w:r>
          </w:p>
        </w:tc>
        <w:tc>
          <w:tcPr>
            <w:tcW w:w="720" w:type="dxa"/>
            <w:gridSpan w:val="2"/>
            <w:tcBorders>
              <w:bottom w:val="single" w:sz="12" w:space="0" w:color="auto"/>
            </w:tcBorders>
          </w:tcPr>
          <w:p w14:paraId="5F1B2113" w14:textId="77777777" w:rsidR="00B50935" w:rsidRPr="00927CFF" w:rsidRDefault="00B50935" w:rsidP="00427764">
            <w:pPr>
              <w:ind w:right="-29"/>
              <w:jc w:val="center"/>
              <w:rPr>
                <w:noProof/>
                <w:sz w:val="18"/>
              </w:rPr>
            </w:pPr>
          </w:p>
        </w:tc>
        <w:tc>
          <w:tcPr>
            <w:tcW w:w="900" w:type="dxa"/>
            <w:gridSpan w:val="2"/>
            <w:tcBorders>
              <w:bottom w:val="single" w:sz="12" w:space="0" w:color="auto"/>
            </w:tcBorders>
          </w:tcPr>
          <w:p w14:paraId="2ED0D176" w14:textId="77777777" w:rsidR="00B50935" w:rsidRPr="00927CFF" w:rsidRDefault="00B50935" w:rsidP="00427764">
            <w:pPr>
              <w:ind w:right="-29"/>
              <w:jc w:val="center"/>
              <w:rPr>
                <w:noProof/>
                <w:sz w:val="18"/>
              </w:rPr>
            </w:pPr>
            <w:r w:rsidRPr="00927CFF">
              <w:rPr>
                <w:sz w:val="18"/>
              </w:rPr>
              <w:t>0,700</w:t>
            </w:r>
          </w:p>
        </w:tc>
      </w:tr>
      <w:tr w:rsidR="00B50935" w:rsidRPr="00927CFF" w14:paraId="0B0AF14A" w14:textId="77777777" w:rsidTr="00427764">
        <w:trPr>
          <w:gridAfter w:val="1"/>
          <w:wAfter w:w="12" w:type="dxa"/>
          <w:jc w:val="center"/>
        </w:trPr>
        <w:tc>
          <w:tcPr>
            <w:tcW w:w="2685" w:type="dxa"/>
            <w:gridSpan w:val="3"/>
            <w:tcBorders>
              <w:bottom w:val="single" w:sz="12" w:space="0" w:color="auto"/>
            </w:tcBorders>
            <w:vAlign w:val="center"/>
          </w:tcPr>
          <w:p w14:paraId="55F5F1DA" w14:textId="77777777" w:rsidR="00B50935" w:rsidRPr="00927CFF" w:rsidRDefault="00B50935" w:rsidP="00427764">
            <w:pPr>
              <w:ind w:right="-29"/>
              <w:jc w:val="center"/>
              <w:rPr>
                <w:noProof/>
                <w:sz w:val="18"/>
              </w:rPr>
            </w:pPr>
            <w:r w:rsidRPr="00927CFF">
              <w:rPr>
                <w:sz w:val="18"/>
              </w:rPr>
              <w:t>Resultat: beredskabs- og indsatsplanlægningsaktiviteter, herunder modellering, monitorering og vurdering</w:t>
            </w:r>
          </w:p>
        </w:tc>
        <w:tc>
          <w:tcPr>
            <w:tcW w:w="663" w:type="dxa"/>
            <w:gridSpan w:val="2"/>
            <w:tcBorders>
              <w:bottom w:val="single" w:sz="12" w:space="0" w:color="auto"/>
            </w:tcBorders>
          </w:tcPr>
          <w:p w14:paraId="574C158E"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1CE3CEDE" w14:textId="77777777" w:rsidR="00B50935" w:rsidRPr="00927CFF" w:rsidRDefault="00B50935" w:rsidP="00427764">
            <w:pPr>
              <w:ind w:right="-29"/>
              <w:jc w:val="center"/>
              <w:rPr>
                <w:noProof/>
                <w:sz w:val="18"/>
              </w:rPr>
            </w:pPr>
            <w:r w:rsidRPr="00927CFF">
              <w:rPr>
                <w:sz w:val="18"/>
              </w:rPr>
              <w:t>1,000</w:t>
            </w:r>
          </w:p>
        </w:tc>
        <w:tc>
          <w:tcPr>
            <w:tcW w:w="540" w:type="dxa"/>
            <w:gridSpan w:val="2"/>
            <w:tcBorders>
              <w:bottom w:val="single" w:sz="12" w:space="0" w:color="auto"/>
            </w:tcBorders>
          </w:tcPr>
          <w:p w14:paraId="6A83CBCD"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5D2E574E" w14:textId="77777777" w:rsidR="00B50935" w:rsidRPr="00927CFF" w:rsidRDefault="00B50935" w:rsidP="00427764">
            <w:pPr>
              <w:ind w:right="-29"/>
              <w:jc w:val="center"/>
              <w:rPr>
                <w:noProof/>
                <w:sz w:val="18"/>
              </w:rPr>
            </w:pPr>
            <w:r w:rsidRPr="00927CFF">
              <w:rPr>
                <w:sz w:val="18"/>
              </w:rPr>
              <w:t>1,000</w:t>
            </w:r>
          </w:p>
        </w:tc>
        <w:tc>
          <w:tcPr>
            <w:tcW w:w="720" w:type="dxa"/>
            <w:gridSpan w:val="2"/>
            <w:tcBorders>
              <w:bottom w:val="single" w:sz="12" w:space="0" w:color="auto"/>
            </w:tcBorders>
          </w:tcPr>
          <w:p w14:paraId="55D83163"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61EB8BF0" w14:textId="77777777" w:rsidR="00B50935" w:rsidRPr="00927CFF" w:rsidRDefault="00B50935" w:rsidP="00427764">
            <w:pPr>
              <w:ind w:right="-29"/>
              <w:jc w:val="center"/>
              <w:rPr>
                <w:noProof/>
                <w:sz w:val="18"/>
              </w:rPr>
            </w:pPr>
            <w:r w:rsidRPr="00927CFF">
              <w:rPr>
                <w:sz w:val="18"/>
              </w:rPr>
              <w:t>1,000</w:t>
            </w:r>
          </w:p>
        </w:tc>
        <w:tc>
          <w:tcPr>
            <w:tcW w:w="900" w:type="dxa"/>
            <w:gridSpan w:val="2"/>
            <w:tcBorders>
              <w:bottom w:val="single" w:sz="12" w:space="0" w:color="auto"/>
            </w:tcBorders>
          </w:tcPr>
          <w:p w14:paraId="24646263" w14:textId="77777777" w:rsidR="00B50935" w:rsidRPr="00927CFF" w:rsidRDefault="00B50935" w:rsidP="00427764">
            <w:pPr>
              <w:ind w:right="-29"/>
              <w:jc w:val="center"/>
              <w:rPr>
                <w:noProof/>
                <w:sz w:val="18"/>
              </w:rPr>
            </w:pPr>
          </w:p>
        </w:tc>
        <w:tc>
          <w:tcPr>
            <w:tcW w:w="720" w:type="dxa"/>
            <w:gridSpan w:val="3"/>
            <w:tcBorders>
              <w:bottom w:val="single" w:sz="12" w:space="0" w:color="auto"/>
            </w:tcBorders>
          </w:tcPr>
          <w:p w14:paraId="3A1F2E88" w14:textId="77777777" w:rsidR="00B50935" w:rsidRPr="00927CFF" w:rsidRDefault="00B50935" w:rsidP="00427764">
            <w:pPr>
              <w:ind w:right="-29"/>
              <w:jc w:val="center"/>
              <w:rPr>
                <w:noProof/>
                <w:sz w:val="18"/>
              </w:rPr>
            </w:pPr>
            <w:r w:rsidRPr="00927CFF">
              <w:rPr>
                <w:sz w:val="18"/>
              </w:rPr>
              <w:t>1,000</w:t>
            </w:r>
          </w:p>
        </w:tc>
        <w:tc>
          <w:tcPr>
            <w:tcW w:w="540" w:type="dxa"/>
            <w:gridSpan w:val="2"/>
            <w:tcBorders>
              <w:bottom w:val="single" w:sz="12" w:space="0" w:color="auto"/>
            </w:tcBorders>
          </w:tcPr>
          <w:p w14:paraId="5948E495" w14:textId="77777777" w:rsidR="00B50935" w:rsidRPr="00927CFF" w:rsidRDefault="00B50935" w:rsidP="00427764">
            <w:pPr>
              <w:ind w:right="-29"/>
              <w:jc w:val="center"/>
              <w:rPr>
                <w:noProof/>
                <w:sz w:val="18"/>
              </w:rPr>
            </w:pPr>
          </w:p>
        </w:tc>
        <w:tc>
          <w:tcPr>
            <w:tcW w:w="648" w:type="dxa"/>
            <w:gridSpan w:val="2"/>
            <w:tcBorders>
              <w:bottom w:val="single" w:sz="12" w:space="0" w:color="auto"/>
            </w:tcBorders>
          </w:tcPr>
          <w:p w14:paraId="5C76056A" w14:textId="77777777" w:rsidR="00B50935" w:rsidRPr="00927CFF" w:rsidRDefault="00B50935" w:rsidP="00427764">
            <w:pPr>
              <w:ind w:right="-29"/>
              <w:jc w:val="center"/>
              <w:rPr>
                <w:noProof/>
                <w:sz w:val="18"/>
              </w:rPr>
            </w:pPr>
            <w:r w:rsidRPr="00927CFF">
              <w:rPr>
                <w:sz w:val="18"/>
              </w:rPr>
              <w:t>1,000</w:t>
            </w:r>
          </w:p>
        </w:tc>
        <w:tc>
          <w:tcPr>
            <w:tcW w:w="432" w:type="dxa"/>
            <w:gridSpan w:val="2"/>
            <w:tcBorders>
              <w:bottom w:val="single" w:sz="12" w:space="0" w:color="auto"/>
            </w:tcBorders>
          </w:tcPr>
          <w:p w14:paraId="36BA92D1"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2E9F3791" w14:textId="77777777" w:rsidR="00B50935" w:rsidRPr="00927CFF" w:rsidRDefault="00B50935" w:rsidP="00427764">
            <w:pPr>
              <w:ind w:right="-29"/>
              <w:jc w:val="center"/>
              <w:rPr>
                <w:noProof/>
                <w:sz w:val="18"/>
              </w:rPr>
            </w:pPr>
            <w:r w:rsidRPr="00927CFF">
              <w:rPr>
                <w:sz w:val="18"/>
              </w:rPr>
              <w:t>1,000</w:t>
            </w:r>
          </w:p>
        </w:tc>
        <w:tc>
          <w:tcPr>
            <w:tcW w:w="540" w:type="dxa"/>
            <w:gridSpan w:val="3"/>
            <w:tcBorders>
              <w:bottom w:val="single" w:sz="12" w:space="0" w:color="auto"/>
            </w:tcBorders>
          </w:tcPr>
          <w:p w14:paraId="2D236EC6" w14:textId="77777777" w:rsidR="00B50935" w:rsidRPr="00927CFF" w:rsidRDefault="00B50935" w:rsidP="00427764">
            <w:pPr>
              <w:ind w:right="-29"/>
              <w:jc w:val="center"/>
              <w:rPr>
                <w:noProof/>
                <w:sz w:val="18"/>
              </w:rPr>
            </w:pPr>
          </w:p>
        </w:tc>
        <w:tc>
          <w:tcPr>
            <w:tcW w:w="723" w:type="dxa"/>
            <w:gridSpan w:val="2"/>
            <w:tcBorders>
              <w:bottom w:val="single" w:sz="12" w:space="0" w:color="auto"/>
            </w:tcBorders>
          </w:tcPr>
          <w:p w14:paraId="435D6524" w14:textId="77777777" w:rsidR="00B50935" w:rsidRPr="00927CFF" w:rsidRDefault="00B50935" w:rsidP="00427764">
            <w:pPr>
              <w:ind w:right="-29"/>
              <w:jc w:val="center"/>
              <w:rPr>
                <w:noProof/>
                <w:sz w:val="18"/>
              </w:rPr>
            </w:pPr>
            <w:r w:rsidRPr="00927CFF">
              <w:rPr>
                <w:sz w:val="18"/>
              </w:rPr>
              <w:t>1,000</w:t>
            </w:r>
          </w:p>
        </w:tc>
        <w:tc>
          <w:tcPr>
            <w:tcW w:w="720" w:type="dxa"/>
            <w:gridSpan w:val="2"/>
            <w:tcBorders>
              <w:bottom w:val="single" w:sz="12" w:space="0" w:color="auto"/>
            </w:tcBorders>
          </w:tcPr>
          <w:p w14:paraId="70FDED4B" w14:textId="77777777" w:rsidR="00B50935" w:rsidRPr="00927CFF" w:rsidRDefault="00B50935" w:rsidP="00427764">
            <w:pPr>
              <w:ind w:right="-29"/>
              <w:jc w:val="center"/>
              <w:rPr>
                <w:noProof/>
                <w:sz w:val="18"/>
              </w:rPr>
            </w:pPr>
          </w:p>
        </w:tc>
        <w:tc>
          <w:tcPr>
            <w:tcW w:w="900" w:type="dxa"/>
            <w:gridSpan w:val="2"/>
            <w:tcBorders>
              <w:bottom w:val="single" w:sz="12" w:space="0" w:color="auto"/>
            </w:tcBorders>
          </w:tcPr>
          <w:p w14:paraId="58854091" w14:textId="77777777" w:rsidR="00B50935" w:rsidRPr="00927CFF" w:rsidRDefault="00B50935" w:rsidP="00427764">
            <w:pPr>
              <w:ind w:right="-29"/>
              <w:jc w:val="center"/>
              <w:rPr>
                <w:noProof/>
                <w:sz w:val="18"/>
              </w:rPr>
            </w:pPr>
            <w:r w:rsidRPr="00927CFF">
              <w:rPr>
                <w:sz w:val="18"/>
              </w:rPr>
              <w:t>7,000</w:t>
            </w:r>
          </w:p>
        </w:tc>
      </w:tr>
      <w:tr w:rsidR="00B50935" w:rsidRPr="00927CFF" w14:paraId="13D50A7F" w14:textId="77777777" w:rsidTr="00427764">
        <w:trPr>
          <w:gridAfter w:val="1"/>
          <w:wAfter w:w="12" w:type="dxa"/>
          <w:jc w:val="center"/>
        </w:trPr>
        <w:tc>
          <w:tcPr>
            <w:tcW w:w="2685" w:type="dxa"/>
            <w:gridSpan w:val="3"/>
            <w:tcBorders>
              <w:bottom w:val="single" w:sz="12" w:space="0" w:color="auto"/>
            </w:tcBorders>
            <w:vAlign w:val="center"/>
          </w:tcPr>
          <w:p w14:paraId="3DD76BF7" w14:textId="77777777" w:rsidR="00B50935" w:rsidRPr="00927CFF" w:rsidRDefault="00B50935" w:rsidP="00427764">
            <w:pPr>
              <w:ind w:right="-29"/>
              <w:jc w:val="center"/>
              <w:rPr>
                <w:noProof/>
                <w:sz w:val="18"/>
              </w:rPr>
            </w:pPr>
            <w:r w:rsidRPr="00927CFF">
              <w:rPr>
                <w:sz w:val="18"/>
              </w:rPr>
              <w:t>Subtotal for specifikt mål nr. 2</w:t>
            </w:r>
          </w:p>
        </w:tc>
        <w:tc>
          <w:tcPr>
            <w:tcW w:w="663" w:type="dxa"/>
            <w:gridSpan w:val="2"/>
            <w:tcBorders>
              <w:bottom w:val="single" w:sz="12" w:space="0" w:color="auto"/>
            </w:tcBorders>
          </w:tcPr>
          <w:p w14:paraId="0C55B288"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4EAED00A" w14:textId="77777777" w:rsidR="00B50935" w:rsidRPr="00927CFF" w:rsidRDefault="00B50935" w:rsidP="00427764">
            <w:pPr>
              <w:ind w:right="-29"/>
              <w:jc w:val="center"/>
              <w:rPr>
                <w:noProof/>
                <w:sz w:val="18"/>
              </w:rPr>
            </w:pPr>
            <w:r w:rsidRPr="00927CFF">
              <w:rPr>
                <w:sz w:val="18"/>
              </w:rPr>
              <w:t>1,100</w:t>
            </w:r>
          </w:p>
        </w:tc>
        <w:tc>
          <w:tcPr>
            <w:tcW w:w="540" w:type="dxa"/>
            <w:gridSpan w:val="2"/>
            <w:tcBorders>
              <w:bottom w:val="single" w:sz="12" w:space="0" w:color="auto"/>
            </w:tcBorders>
          </w:tcPr>
          <w:p w14:paraId="236FF829"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198FFF49" w14:textId="77777777" w:rsidR="00B50935" w:rsidRPr="00927CFF" w:rsidRDefault="00B50935" w:rsidP="00427764">
            <w:pPr>
              <w:ind w:right="-29"/>
              <w:jc w:val="center"/>
              <w:rPr>
                <w:noProof/>
                <w:sz w:val="18"/>
              </w:rPr>
            </w:pPr>
            <w:r w:rsidRPr="00927CFF">
              <w:rPr>
                <w:sz w:val="18"/>
              </w:rPr>
              <w:t>1,100</w:t>
            </w:r>
          </w:p>
        </w:tc>
        <w:tc>
          <w:tcPr>
            <w:tcW w:w="720" w:type="dxa"/>
            <w:gridSpan w:val="2"/>
            <w:tcBorders>
              <w:bottom w:val="single" w:sz="12" w:space="0" w:color="auto"/>
            </w:tcBorders>
          </w:tcPr>
          <w:p w14:paraId="44414473"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16EBBAB5" w14:textId="77777777" w:rsidR="00B50935" w:rsidRPr="00927CFF" w:rsidRDefault="00B50935" w:rsidP="00427764">
            <w:pPr>
              <w:ind w:right="-29"/>
              <w:jc w:val="center"/>
              <w:rPr>
                <w:noProof/>
                <w:sz w:val="18"/>
              </w:rPr>
            </w:pPr>
            <w:r w:rsidRPr="00927CFF">
              <w:rPr>
                <w:sz w:val="18"/>
              </w:rPr>
              <w:t>1,100</w:t>
            </w:r>
          </w:p>
        </w:tc>
        <w:tc>
          <w:tcPr>
            <w:tcW w:w="900" w:type="dxa"/>
            <w:gridSpan w:val="2"/>
            <w:tcBorders>
              <w:bottom w:val="single" w:sz="12" w:space="0" w:color="auto"/>
            </w:tcBorders>
          </w:tcPr>
          <w:p w14:paraId="6C667DCE" w14:textId="77777777" w:rsidR="00B50935" w:rsidRPr="00927CFF" w:rsidRDefault="00B50935" w:rsidP="00427764">
            <w:pPr>
              <w:ind w:right="-29"/>
              <w:jc w:val="center"/>
              <w:rPr>
                <w:noProof/>
                <w:sz w:val="18"/>
              </w:rPr>
            </w:pPr>
          </w:p>
        </w:tc>
        <w:tc>
          <w:tcPr>
            <w:tcW w:w="720" w:type="dxa"/>
            <w:gridSpan w:val="3"/>
            <w:tcBorders>
              <w:bottom w:val="single" w:sz="12" w:space="0" w:color="auto"/>
            </w:tcBorders>
          </w:tcPr>
          <w:p w14:paraId="32F52FB0" w14:textId="77777777" w:rsidR="00B50935" w:rsidRPr="00927CFF" w:rsidRDefault="00B50935" w:rsidP="00427764">
            <w:pPr>
              <w:ind w:right="-29"/>
              <w:jc w:val="center"/>
              <w:rPr>
                <w:noProof/>
                <w:sz w:val="18"/>
              </w:rPr>
            </w:pPr>
            <w:r w:rsidRPr="00927CFF">
              <w:rPr>
                <w:sz w:val="18"/>
              </w:rPr>
              <w:t>1,100</w:t>
            </w:r>
          </w:p>
        </w:tc>
        <w:tc>
          <w:tcPr>
            <w:tcW w:w="540" w:type="dxa"/>
            <w:gridSpan w:val="2"/>
            <w:tcBorders>
              <w:bottom w:val="single" w:sz="12" w:space="0" w:color="auto"/>
            </w:tcBorders>
          </w:tcPr>
          <w:p w14:paraId="0333437D" w14:textId="77777777" w:rsidR="00B50935" w:rsidRPr="00927CFF" w:rsidRDefault="00B50935" w:rsidP="00427764">
            <w:pPr>
              <w:ind w:right="-29"/>
              <w:jc w:val="center"/>
              <w:rPr>
                <w:noProof/>
                <w:sz w:val="18"/>
              </w:rPr>
            </w:pPr>
          </w:p>
        </w:tc>
        <w:tc>
          <w:tcPr>
            <w:tcW w:w="648" w:type="dxa"/>
            <w:gridSpan w:val="2"/>
            <w:tcBorders>
              <w:bottom w:val="single" w:sz="12" w:space="0" w:color="auto"/>
            </w:tcBorders>
          </w:tcPr>
          <w:p w14:paraId="60B0D000" w14:textId="77777777" w:rsidR="00B50935" w:rsidRPr="00927CFF" w:rsidRDefault="00B50935" w:rsidP="00427764">
            <w:pPr>
              <w:ind w:right="-29"/>
              <w:jc w:val="center"/>
              <w:rPr>
                <w:noProof/>
                <w:sz w:val="18"/>
              </w:rPr>
            </w:pPr>
            <w:r w:rsidRPr="00927CFF">
              <w:rPr>
                <w:sz w:val="18"/>
              </w:rPr>
              <w:t>1,100</w:t>
            </w:r>
          </w:p>
        </w:tc>
        <w:tc>
          <w:tcPr>
            <w:tcW w:w="432" w:type="dxa"/>
            <w:gridSpan w:val="2"/>
            <w:tcBorders>
              <w:bottom w:val="single" w:sz="12" w:space="0" w:color="auto"/>
            </w:tcBorders>
          </w:tcPr>
          <w:p w14:paraId="7A2875AD"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7D377158" w14:textId="77777777" w:rsidR="00B50935" w:rsidRPr="00927CFF" w:rsidRDefault="00B50935" w:rsidP="00427764">
            <w:pPr>
              <w:ind w:right="-29"/>
              <w:jc w:val="center"/>
              <w:rPr>
                <w:noProof/>
                <w:sz w:val="18"/>
              </w:rPr>
            </w:pPr>
            <w:r w:rsidRPr="00927CFF">
              <w:rPr>
                <w:sz w:val="18"/>
              </w:rPr>
              <w:t>1,100</w:t>
            </w:r>
          </w:p>
        </w:tc>
        <w:tc>
          <w:tcPr>
            <w:tcW w:w="540" w:type="dxa"/>
            <w:gridSpan w:val="3"/>
            <w:tcBorders>
              <w:bottom w:val="single" w:sz="12" w:space="0" w:color="auto"/>
            </w:tcBorders>
          </w:tcPr>
          <w:p w14:paraId="530434C7" w14:textId="77777777" w:rsidR="00B50935" w:rsidRPr="00927CFF" w:rsidRDefault="00B50935" w:rsidP="00427764">
            <w:pPr>
              <w:ind w:right="-29"/>
              <w:jc w:val="center"/>
              <w:rPr>
                <w:noProof/>
                <w:sz w:val="18"/>
              </w:rPr>
            </w:pPr>
          </w:p>
        </w:tc>
        <w:tc>
          <w:tcPr>
            <w:tcW w:w="723" w:type="dxa"/>
            <w:gridSpan w:val="2"/>
            <w:tcBorders>
              <w:bottom w:val="single" w:sz="12" w:space="0" w:color="auto"/>
            </w:tcBorders>
          </w:tcPr>
          <w:p w14:paraId="6369A137" w14:textId="77777777" w:rsidR="00B50935" w:rsidRPr="00927CFF" w:rsidRDefault="00B50935" w:rsidP="00427764">
            <w:pPr>
              <w:ind w:right="-29"/>
              <w:jc w:val="center"/>
              <w:rPr>
                <w:noProof/>
                <w:sz w:val="18"/>
              </w:rPr>
            </w:pPr>
            <w:r w:rsidRPr="00927CFF">
              <w:rPr>
                <w:sz w:val="18"/>
              </w:rPr>
              <w:t>1,100</w:t>
            </w:r>
          </w:p>
        </w:tc>
        <w:tc>
          <w:tcPr>
            <w:tcW w:w="720" w:type="dxa"/>
            <w:gridSpan w:val="2"/>
            <w:tcBorders>
              <w:bottom w:val="single" w:sz="12" w:space="0" w:color="auto"/>
            </w:tcBorders>
          </w:tcPr>
          <w:p w14:paraId="665A9C89" w14:textId="77777777" w:rsidR="00B50935" w:rsidRPr="00927CFF" w:rsidRDefault="00B50935" w:rsidP="00427764">
            <w:pPr>
              <w:ind w:right="-29"/>
              <w:jc w:val="center"/>
              <w:rPr>
                <w:noProof/>
                <w:sz w:val="18"/>
              </w:rPr>
            </w:pPr>
          </w:p>
        </w:tc>
        <w:tc>
          <w:tcPr>
            <w:tcW w:w="900" w:type="dxa"/>
            <w:gridSpan w:val="2"/>
            <w:tcBorders>
              <w:bottom w:val="single" w:sz="12" w:space="0" w:color="auto"/>
            </w:tcBorders>
          </w:tcPr>
          <w:p w14:paraId="3D3420A4" w14:textId="77777777" w:rsidR="00B50935" w:rsidRPr="00927CFF" w:rsidRDefault="00B50935" w:rsidP="00427764">
            <w:pPr>
              <w:ind w:right="-29"/>
              <w:jc w:val="center"/>
              <w:rPr>
                <w:noProof/>
                <w:sz w:val="18"/>
              </w:rPr>
            </w:pPr>
            <w:r w:rsidRPr="00927CFF">
              <w:rPr>
                <w:sz w:val="18"/>
              </w:rPr>
              <w:t>7,700</w:t>
            </w:r>
          </w:p>
        </w:tc>
      </w:tr>
      <w:tr w:rsidR="00B50935" w:rsidRPr="00927CFF" w14:paraId="087563D4" w14:textId="77777777" w:rsidTr="00427764">
        <w:trPr>
          <w:gridAfter w:val="1"/>
          <w:wAfter w:w="12" w:type="dxa"/>
          <w:jc w:val="center"/>
        </w:trPr>
        <w:tc>
          <w:tcPr>
            <w:tcW w:w="2685" w:type="dxa"/>
            <w:gridSpan w:val="3"/>
            <w:tcBorders>
              <w:bottom w:val="single" w:sz="12" w:space="0" w:color="auto"/>
            </w:tcBorders>
            <w:vAlign w:val="center"/>
          </w:tcPr>
          <w:p w14:paraId="6F007896" w14:textId="77777777" w:rsidR="00B50935" w:rsidRPr="00927CFF" w:rsidRDefault="00B50935" w:rsidP="00427764">
            <w:pPr>
              <w:ind w:right="-29"/>
              <w:jc w:val="center"/>
              <w:rPr>
                <w:noProof/>
                <w:sz w:val="18"/>
              </w:rPr>
            </w:pPr>
          </w:p>
        </w:tc>
        <w:tc>
          <w:tcPr>
            <w:tcW w:w="663" w:type="dxa"/>
            <w:gridSpan w:val="2"/>
            <w:tcBorders>
              <w:bottom w:val="single" w:sz="12" w:space="0" w:color="auto"/>
            </w:tcBorders>
          </w:tcPr>
          <w:p w14:paraId="001EF327"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3E62DEEF" w14:textId="77777777" w:rsidR="00B50935" w:rsidRPr="00927CFF" w:rsidRDefault="00B50935" w:rsidP="00427764">
            <w:pPr>
              <w:ind w:right="-29"/>
              <w:jc w:val="center"/>
              <w:rPr>
                <w:noProof/>
                <w:sz w:val="18"/>
              </w:rPr>
            </w:pPr>
          </w:p>
        </w:tc>
        <w:tc>
          <w:tcPr>
            <w:tcW w:w="540" w:type="dxa"/>
            <w:gridSpan w:val="2"/>
            <w:tcBorders>
              <w:bottom w:val="single" w:sz="12" w:space="0" w:color="auto"/>
            </w:tcBorders>
          </w:tcPr>
          <w:p w14:paraId="720F4067"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4E26A5E1"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3BB68952"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64BEEDCC" w14:textId="77777777" w:rsidR="00B50935" w:rsidRPr="00927CFF" w:rsidRDefault="00B50935" w:rsidP="00427764">
            <w:pPr>
              <w:ind w:right="-29"/>
              <w:jc w:val="center"/>
              <w:rPr>
                <w:noProof/>
                <w:sz w:val="18"/>
              </w:rPr>
            </w:pPr>
          </w:p>
        </w:tc>
        <w:tc>
          <w:tcPr>
            <w:tcW w:w="900" w:type="dxa"/>
            <w:gridSpan w:val="2"/>
            <w:tcBorders>
              <w:bottom w:val="single" w:sz="12" w:space="0" w:color="auto"/>
            </w:tcBorders>
          </w:tcPr>
          <w:p w14:paraId="0BB5913D" w14:textId="77777777" w:rsidR="00B50935" w:rsidRPr="00927CFF" w:rsidRDefault="00B50935" w:rsidP="00427764">
            <w:pPr>
              <w:ind w:right="-29"/>
              <w:jc w:val="center"/>
              <w:rPr>
                <w:noProof/>
                <w:sz w:val="18"/>
              </w:rPr>
            </w:pPr>
          </w:p>
        </w:tc>
        <w:tc>
          <w:tcPr>
            <w:tcW w:w="720" w:type="dxa"/>
            <w:gridSpan w:val="3"/>
            <w:tcBorders>
              <w:bottom w:val="single" w:sz="12" w:space="0" w:color="auto"/>
            </w:tcBorders>
          </w:tcPr>
          <w:p w14:paraId="4F919ABD" w14:textId="77777777" w:rsidR="00B50935" w:rsidRPr="00927CFF" w:rsidRDefault="00B50935" w:rsidP="00427764">
            <w:pPr>
              <w:ind w:right="-29"/>
              <w:jc w:val="center"/>
              <w:rPr>
                <w:noProof/>
                <w:sz w:val="18"/>
              </w:rPr>
            </w:pPr>
          </w:p>
        </w:tc>
        <w:tc>
          <w:tcPr>
            <w:tcW w:w="540" w:type="dxa"/>
            <w:gridSpan w:val="2"/>
            <w:tcBorders>
              <w:bottom w:val="single" w:sz="12" w:space="0" w:color="auto"/>
            </w:tcBorders>
          </w:tcPr>
          <w:p w14:paraId="1FEA2CBD" w14:textId="77777777" w:rsidR="00B50935" w:rsidRPr="00927CFF" w:rsidRDefault="00B50935" w:rsidP="00427764">
            <w:pPr>
              <w:ind w:right="-29"/>
              <w:jc w:val="center"/>
              <w:rPr>
                <w:noProof/>
                <w:sz w:val="18"/>
              </w:rPr>
            </w:pPr>
          </w:p>
        </w:tc>
        <w:tc>
          <w:tcPr>
            <w:tcW w:w="648" w:type="dxa"/>
            <w:gridSpan w:val="2"/>
            <w:tcBorders>
              <w:bottom w:val="single" w:sz="12" w:space="0" w:color="auto"/>
            </w:tcBorders>
          </w:tcPr>
          <w:p w14:paraId="75C30D99" w14:textId="77777777" w:rsidR="00B50935" w:rsidRPr="00927CFF" w:rsidRDefault="00B50935" w:rsidP="00427764">
            <w:pPr>
              <w:ind w:right="-29"/>
              <w:jc w:val="center"/>
              <w:rPr>
                <w:noProof/>
                <w:sz w:val="18"/>
              </w:rPr>
            </w:pPr>
          </w:p>
        </w:tc>
        <w:tc>
          <w:tcPr>
            <w:tcW w:w="432" w:type="dxa"/>
            <w:gridSpan w:val="2"/>
            <w:tcBorders>
              <w:bottom w:val="single" w:sz="12" w:space="0" w:color="auto"/>
            </w:tcBorders>
          </w:tcPr>
          <w:p w14:paraId="56ED9699"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73B75AB3" w14:textId="77777777" w:rsidR="00B50935" w:rsidRPr="00927CFF" w:rsidRDefault="00B50935" w:rsidP="00427764">
            <w:pPr>
              <w:ind w:right="-29"/>
              <w:jc w:val="center"/>
              <w:rPr>
                <w:noProof/>
                <w:sz w:val="18"/>
              </w:rPr>
            </w:pPr>
          </w:p>
        </w:tc>
        <w:tc>
          <w:tcPr>
            <w:tcW w:w="540" w:type="dxa"/>
            <w:gridSpan w:val="3"/>
            <w:tcBorders>
              <w:bottom w:val="single" w:sz="12" w:space="0" w:color="auto"/>
            </w:tcBorders>
          </w:tcPr>
          <w:p w14:paraId="5C1F6D2D" w14:textId="77777777" w:rsidR="00B50935" w:rsidRPr="00927CFF" w:rsidRDefault="00B50935" w:rsidP="00427764">
            <w:pPr>
              <w:ind w:right="-29"/>
              <w:jc w:val="center"/>
              <w:rPr>
                <w:noProof/>
                <w:sz w:val="18"/>
              </w:rPr>
            </w:pPr>
          </w:p>
        </w:tc>
        <w:tc>
          <w:tcPr>
            <w:tcW w:w="723" w:type="dxa"/>
            <w:gridSpan w:val="2"/>
            <w:tcBorders>
              <w:bottom w:val="single" w:sz="12" w:space="0" w:color="auto"/>
            </w:tcBorders>
          </w:tcPr>
          <w:p w14:paraId="3CAC43C5"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37B0B00A" w14:textId="77777777" w:rsidR="00B50935" w:rsidRPr="00927CFF" w:rsidRDefault="00B50935" w:rsidP="00427764">
            <w:pPr>
              <w:ind w:right="-29"/>
              <w:jc w:val="center"/>
              <w:rPr>
                <w:noProof/>
                <w:sz w:val="18"/>
              </w:rPr>
            </w:pPr>
          </w:p>
        </w:tc>
        <w:tc>
          <w:tcPr>
            <w:tcW w:w="900" w:type="dxa"/>
            <w:gridSpan w:val="2"/>
            <w:tcBorders>
              <w:bottom w:val="single" w:sz="12" w:space="0" w:color="auto"/>
            </w:tcBorders>
          </w:tcPr>
          <w:p w14:paraId="105E3073" w14:textId="77777777" w:rsidR="00B50935" w:rsidRPr="00927CFF" w:rsidRDefault="00B50935" w:rsidP="00427764">
            <w:pPr>
              <w:ind w:right="-29"/>
              <w:jc w:val="center"/>
              <w:rPr>
                <w:noProof/>
                <w:sz w:val="18"/>
              </w:rPr>
            </w:pPr>
          </w:p>
        </w:tc>
      </w:tr>
      <w:tr w:rsidR="00B50935" w:rsidRPr="00927CFF" w14:paraId="3E958F3D" w14:textId="77777777" w:rsidTr="00427764">
        <w:trPr>
          <w:gridAfter w:val="1"/>
          <w:wAfter w:w="12" w:type="dxa"/>
          <w:jc w:val="center"/>
        </w:trPr>
        <w:tc>
          <w:tcPr>
            <w:tcW w:w="13611" w:type="dxa"/>
            <w:gridSpan w:val="37"/>
            <w:vAlign w:val="center"/>
          </w:tcPr>
          <w:p w14:paraId="1A836A66" w14:textId="77777777" w:rsidR="00B50935" w:rsidRPr="00927CFF" w:rsidRDefault="00B50935" w:rsidP="00427764">
            <w:pPr>
              <w:spacing w:before="60" w:after="60"/>
              <w:ind w:right="-29"/>
              <w:jc w:val="center"/>
              <w:rPr>
                <w:noProof/>
                <w:sz w:val="18"/>
              </w:rPr>
            </w:pPr>
            <w:r w:rsidRPr="00927CFF">
              <w:rPr>
                <w:sz w:val="18"/>
              </w:rPr>
              <w:t>SPECIFIKT MÅL NR. 3: ECDC skal drive specifikke net inden for overførbare sygdomme og stoffer af menneskelig oprindelse.</w:t>
            </w:r>
          </w:p>
        </w:tc>
      </w:tr>
      <w:tr w:rsidR="00B50935" w:rsidRPr="00927CFF" w14:paraId="38580B08" w14:textId="77777777" w:rsidTr="00427764">
        <w:trPr>
          <w:gridAfter w:val="1"/>
          <w:wAfter w:w="12" w:type="dxa"/>
          <w:trHeight w:hRule="exact" w:val="1697"/>
          <w:jc w:val="center"/>
        </w:trPr>
        <w:tc>
          <w:tcPr>
            <w:tcW w:w="1696" w:type="dxa"/>
          </w:tcPr>
          <w:p w14:paraId="0AA4FC3E" w14:textId="77777777" w:rsidR="00B50935" w:rsidRPr="00927CFF" w:rsidRDefault="00B50935" w:rsidP="00427764">
            <w:pPr>
              <w:ind w:right="-29"/>
              <w:jc w:val="center"/>
              <w:rPr>
                <w:noProof/>
                <w:sz w:val="18"/>
              </w:rPr>
            </w:pPr>
            <w:r w:rsidRPr="00927CFF">
              <w:rPr>
                <w:sz w:val="18"/>
              </w:rPr>
              <w:t>- Resultat: nyt netværk for transfusion, transplantation og medicinsk assisteret reproduktion</w:t>
            </w:r>
          </w:p>
        </w:tc>
        <w:tc>
          <w:tcPr>
            <w:tcW w:w="447" w:type="dxa"/>
          </w:tcPr>
          <w:p w14:paraId="766D8B45" w14:textId="77777777" w:rsidR="00B50935" w:rsidRPr="00927CFF" w:rsidRDefault="00B50935" w:rsidP="00427764">
            <w:pPr>
              <w:ind w:right="-29"/>
              <w:jc w:val="center"/>
              <w:rPr>
                <w:noProof/>
                <w:sz w:val="18"/>
              </w:rPr>
            </w:pPr>
          </w:p>
        </w:tc>
        <w:tc>
          <w:tcPr>
            <w:tcW w:w="542" w:type="dxa"/>
          </w:tcPr>
          <w:p w14:paraId="6384D179" w14:textId="77777777" w:rsidR="00B50935" w:rsidRPr="00927CFF" w:rsidRDefault="00B50935" w:rsidP="00427764">
            <w:pPr>
              <w:ind w:right="-29"/>
              <w:jc w:val="center"/>
              <w:rPr>
                <w:noProof/>
                <w:sz w:val="18"/>
              </w:rPr>
            </w:pPr>
          </w:p>
        </w:tc>
        <w:tc>
          <w:tcPr>
            <w:tcW w:w="663" w:type="dxa"/>
            <w:gridSpan w:val="2"/>
          </w:tcPr>
          <w:p w14:paraId="7964EF16" w14:textId="77777777" w:rsidR="00B50935" w:rsidRPr="00927CFF" w:rsidRDefault="00B50935" w:rsidP="00427764">
            <w:pPr>
              <w:ind w:right="-29"/>
              <w:jc w:val="center"/>
              <w:rPr>
                <w:noProof/>
                <w:sz w:val="18"/>
              </w:rPr>
            </w:pPr>
          </w:p>
        </w:tc>
        <w:tc>
          <w:tcPr>
            <w:tcW w:w="720" w:type="dxa"/>
            <w:gridSpan w:val="2"/>
          </w:tcPr>
          <w:p w14:paraId="303520EB" w14:textId="77777777" w:rsidR="00B50935" w:rsidRPr="00927CFF" w:rsidRDefault="00B50935" w:rsidP="00427764">
            <w:pPr>
              <w:ind w:right="-29"/>
              <w:jc w:val="center"/>
              <w:rPr>
                <w:noProof/>
                <w:sz w:val="18"/>
              </w:rPr>
            </w:pPr>
            <w:r w:rsidRPr="00927CFF">
              <w:rPr>
                <w:sz w:val="18"/>
              </w:rPr>
              <w:t>0,300</w:t>
            </w:r>
          </w:p>
        </w:tc>
        <w:tc>
          <w:tcPr>
            <w:tcW w:w="540" w:type="dxa"/>
            <w:gridSpan w:val="2"/>
          </w:tcPr>
          <w:p w14:paraId="013CB004" w14:textId="77777777" w:rsidR="00B50935" w:rsidRPr="00927CFF" w:rsidRDefault="00B50935" w:rsidP="00427764">
            <w:pPr>
              <w:ind w:right="-29"/>
              <w:jc w:val="center"/>
              <w:rPr>
                <w:noProof/>
                <w:sz w:val="18"/>
              </w:rPr>
            </w:pPr>
          </w:p>
        </w:tc>
        <w:tc>
          <w:tcPr>
            <w:tcW w:w="720" w:type="dxa"/>
            <w:gridSpan w:val="2"/>
          </w:tcPr>
          <w:p w14:paraId="1039385D" w14:textId="77777777" w:rsidR="00B50935" w:rsidRPr="00927CFF" w:rsidRDefault="00B50935" w:rsidP="00427764">
            <w:pPr>
              <w:ind w:right="-29"/>
              <w:jc w:val="center"/>
              <w:rPr>
                <w:noProof/>
                <w:sz w:val="18"/>
              </w:rPr>
            </w:pPr>
            <w:r w:rsidRPr="00927CFF">
              <w:rPr>
                <w:sz w:val="18"/>
              </w:rPr>
              <w:t>0,300</w:t>
            </w:r>
          </w:p>
        </w:tc>
        <w:tc>
          <w:tcPr>
            <w:tcW w:w="720" w:type="dxa"/>
            <w:gridSpan w:val="2"/>
          </w:tcPr>
          <w:p w14:paraId="7E33F005" w14:textId="77777777" w:rsidR="00B50935" w:rsidRPr="00927CFF" w:rsidRDefault="00B50935" w:rsidP="00427764">
            <w:pPr>
              <w:ind w:right="-29"/>
              <w:jc w:val="center"/>
              <w:rPr>
                <w:noProof/>
                <w:sz w:val="18"/>
              </w:rPr>
            </w:pPr>
          </w:p>
        </w:tc>
        <w:tc>
          <w:tcPr>
            <w:tcW w:w="720" w:type="dxa"/>
            <w:gridSpan w:val="2"/>
          </w:tcPr>
          <w:p w14:paraId="298BE9EA" w14:textId="77777777" w:rsidR="00B50935" w:rsidRPr="00927CFF" w:rsidRDefault="00B50935" w:rsidP="00427764">
            <w:pPr>
              <w:ind w:right="-29"/>
              <w:jc w:val="center"/>
              <w:rPr>
                <w:noProof/>
                <w:sz w:val="18"/>
              </w:rPr>
            </w:pPr>
            <w:r w:rsidRPr="00927CFF">
              <w:rPr>
                <w:sz w:val="18"/>
              </w:rPr>
              <w:t>0,300</w:t>
            </w:r>
          </w:p>
        </w:tc>
        <w:tc>
          <w:tcPr>
            <w:tcW w:w="900" w:type="dxa"/>
            <w:gridSpan w:val="2"/>
          </w:tcPr>
          <w:p w14:paraId="77997C10" w14:textId="77777777" w:rsidR="00B50935" w:rsidRPr="00927CFF" w:rsidRDefault="00B50935" w:rsidP="00427764">
            <w:pPr>
              <w:ind w:right="-29"/>
              <w:jc w:val="center"/>
              <w:rPr>
                <w:noProof/>
                <w:sz w:val="18"/>
              </w:rPr>
            </w:pPr>
          </w:p>
        </w:tc>
        <w:tc>
          <w:tcPr>
            <w:tcW w:w="720" w:type="dxa"/>
            <w:gridSpan w:val="3"/>
          </w:tcPr>
          <w:p w14:paraId="56396BA5" w14:textId="77777777" w:rsidR="00B50935" w:rsidRPr="00927CFF" w:rsidRDefault="00B50935" w:rsidP="00427764">
            <w:pPr>
              <w:ind w:right="-29"/>
              <w:jc w:val="center"/>
              <w:rPr>
                <w:noProof/>
                <w:sz w:val="18"/>
              </w:rPr>
            </w:pPr>
            <w:r w:rsidRPr="00927CFF">
              <w:rPr>
                <w:sz w:val="18"/>
              </w:rPr>
              <w:t>0,300</w:t>
            </w:r>
          </w:p>
        </w:tc>
        <w:tc>
          <w:tcPr>
            <w:tcW w:w="540" w:type="dxa"/>
            <w:gridSpan w:val="2"/>
          </w:tcPr>
          <w:p w14:paraId="73E38044" w14:textId="77777777" w:rsidR="00B50935" w:rsidRPr="00927CFF" w:rsidRDefault="00B50935" w:rsidP="00427764">
            <w:pPr>
              <w:ind w:right="-29"/>
              <w:jc w:val="center"/>
              <w:rPr>
                <w:noProof/>
                <w:sz w:val="18"/>
              </w:rPr>
            </w:pPr>
          </w:p>
        </w:tc>
        <w:tc>
          <w:tcPr>
            <w:tcW w:w="648" w:type="dxa"/>
            <w:gridSpan w:val="2"/>
          </w:tcPr>
          <w:p w14:paraId="79BC9D0C" w14:textId="77777777" w:rsidR="00B50935" w:rsidRPr="00927CFF" w:rsidRDefault="00B50935" w:rsidP="00427764">
            <w:pPr>
              <w:ind w:right="-29"/>
              <w:jc w:val="center"/>
              <w:rPr>
                <w:noProof/>
                <w:sz w:val="18"/>
              </w:rPr>
            </w:pPr>
            <w:r w:rsidRPr="00927CFF">
              <w:rPr>
                <w:sz w:val="18"/>
              </w:rPr>
              <w:t>0,300</w:t>
            </w:r>
          </w:p>
        </w:tc>
        <w:tc>
          <w:tcPr>
            <w:tcW w:w="432" w:type="dxa"/>
            <w:gridSpan w:val="2"/>
          </w:tcPr>
          <w:p w14:paraId="53E1C860" w14:textId="77777777" w:rsidR="00B50935" w:rsidRPr="00927CFF" w:rsidRDefault="00B50935" w:rsidP="00427764">
            <w:pPr>
              <w:ind w:right="-29"/>
              <w:jc w:val="center"/>
              <w:rPr>
                <w:noProof/>
                <w:sz w:val="18"/>
              </w:rPr>
            </w:pPr>
          </w:p>
        </w:tc>
        <w:tc>
          <w:tcPr>
            <w:tcW w:w="720" w:type="dxa"/>
            <w:gridSpan w:val="2"/>
          </w:tcPr>
          <w:p w14:paraId="17D0DDD3" w14:textId="77777777" w:rsidR="00B50935" w:rsidRPr="00927CFF" w:rsidRDefault="00B50935" w:rsidP="00427764">
            <w:pPr>
              <w:ind w:right="-29"/>
              <w:jc w:val="center"/>
              <w:rPr>
                <w:noProof/>
                <w:sz w:val="18"/>
              </w:rPr>
            </w:pPr>
            <w:r w:rsidRPr="00927CFF">
              <w:rPr>
                <w:sz w:val="18"/>
              </w:rPr>
              <w:t>0,300</w:t>
            </w:r>
          </w:p>
        </w:tc>
        <w:tc>
          <w:tcPr>
            <w:tcW w:w="540" w:type="dxa"/>
            <w:gridSpan w:val="3"/>
          </w:tcPr>
          <w:p w14:paraId="42DA9E0D" w14:textId="77777777" w:rsidR="00B50935" w:rsidRPr="00927CFF" w:rsidRDefault="00B50935" w:rsidP="00427764">
            <w:pPr>
              <w:ind w:right="-29"/>
              <w:jc w:val="center"/>
              <w:rPr>
                <w:noProof/>
                <w:sz w:val="18"/>
              </w:rPr>
            </w:pPr>
          </w:p>
        </w:tc>
        <w:tc>
          <w:tcPr>
            <w:tcW w:w="723" w:type="dxa"/>
            <w:gridSpan w:val="2"/>
          </w:tcPr>
          <w:p w14:paraId="57EE2D9E" w14:textId="77777777" w:rsidR="00B50935" w:rsidRPr="00927CFF" w:rsidRDefault="00B50935" w:rsidP="00427764">
            <w:pPr>
              <w:ind w:right="-29"/>
              <w:jc w:val="center"/>
              <w:rPr>
                <w:noProof/>
                <w:sz w:val="18"/>
              </w:rPr>
            </w:pPr>
            <w:r w:rsidRPr="00927CFF">
              <w:rPr>
                <w:sz w:val="18"/>
              </w:rPr>
              <w:t>0,300</w:t>
            </w:r>
          </w:p>
        </w:tc>
        <w:tc>
          <w:tcPr>
            <w:tcW w:w="720" w:type="dxa"/>
            <w:gridSpan w:val="2"/>
          </w:tcPr>
          <w:p w14:paraId="6758D885" w14:textId="77777777" w:rsidR="00B50935" w:rsidRPr="00927CFF" w:rsidRDefault="00B50935" w:rsidP="00427764">
            <w:pPr>
              <w:ind w:right="-29"/>
              <w:jc w:val="center"/>
              <w:rPr>
                <w:noProof/>
                <w:sz w:val="18"/>
              </w:rPr>
            </w:pPr>
          </w:p>
        </w:tc>
        <w:tc>
          <w:tcPr>
            <w:tcW w:w="900" w:type="dxa"/>
            <w:gridSpan w:val="2"/>
          </w:tcPr>
          <w:p w14:paraId="56774327" w14:textId="77777777" w:rsidR="00B50935" w:rsidRPr="00927CFF" w:rsidRDefault="00B50935" w:rsidP="00427764">
            <w:pPr>
              <w:ind w:right="-29"/>
              <w:jc w:val="center"/>
              <w:rPr>
                <w:noProof/>
                <w:sz w:val="18"/>
              </w:rPr>
            </w:pPr>
            <w:r w:rsidRPr="00927CFF">
              <w:rPr>
                <w:sz w:val="18"/>
              </w:rPr>
              <w:t>2,100</w:t>
            </w:r>
          </w:p>
        </w:tc>
      </w:tr>
      <w:tr w:rsidR="00B50935" w:rsidRPr="00927CFF" w14:paraId="184907D6" w14:textId="77777777" w:rsidTr="00427764">
        <w:trPr>
          <w:gridAfter w:val="1"/>
          <w:wAfter w:w="12" w:type="dxa"/>
          <w:trHeight w:hRule="exact" w:val="1967"/>
          <w:jc w:val="center"/>
        </w:trPr>
        <w:tc>
          <w:tcPr>
            <w:tcW w:w="1696" w:type="dxa"/>
          </w:tcPr>
          <w:p w14:paraId="24ABFFE9" w14:textId="77777777" w:rsidR="00B50935" w:rsidRPr="00927CFF" w:rsidRDefault="00B50935" w:rsidP="00427764">
            <w:pPr>
              <w:ind w:right="-29"/>
              <w:jc w:val="center"/>
              <w:rPr>
                <w:noProof/>
                <w:sz w:val="18"/>
              </w:rPr>
            </w:pPr>
            <w:r w:rsidRPr="00927CFF">
              <w:rPr>
                <w:sz w:val="18"/>
              </w:rPr>
              <w:t>- Resultat: styrke netværket af laboratorier i overensstemmelse med Kommissionens meddelelse C(2020) 2391 "Retningslinjer vedrørende test til in vitro-diagnostik af covid-19 og deres ydeevne"</w:t>
            </w:r>
          </w:p>
        </w:tc>
        <w:tc>
          <w:tcPr>
            <w:tcW w:w="447" w:type="dxa"/>
          </w:tcPr>
          <w:p w14:paraId="7585447D" w14:textId="77777777" w:rsidR="00B50935" w:rsidRPr="00927CFF" w:rsidRDefault="00B50935" w:rsidP="00427764">
            <w:pPr>
              <w:ind w:right="-29"/>
              <w:jc w:val="center"/>
              <w:rPr>
                <w:noProof/>
                <w:sz w:val="18"/>
              </w:rPr>
            </w:pPr>
          </w:p>
        </w:tc>
        <w:tc>
          <w:tcPr>
            <w:tcW w:w="542" w:type="dxa"/>
          </w:tcPr>
          <w:p w14:paraId="14A16E1E" w14:textId="77777777" w:rsidR="00B50935" w:rsidRPr="00927CFF" w:rsidRDefault="00B50935" w:rsidP="00427764">
            <w:pPr>
              <w:ind w:right="-29"/>
              <w:jc w:val="center"/>
              <w:rPr>
                <w:noProof/>
                <w:sz w:val="18"/>
              </w:rPr>
            </w:pPr>
          </w:p>
        </w:tc>
        <w:tc>
          <w:tcPr>
            <w:tcW w:w="663" w:type="dxa"/>
            <w:gridSpan w:val="2"/>
          </w:tcPr>
          <w:p w14:paraId="100A2E5F" w14:textId="77777777" w:rsidR="00B50935" w:rsidRPr="00927CFF" w:rsidRDefault="00B50935" w:rsidP="00427764">
            <w:pPr>
              <w:ind w:right="-29"/>
              <w:jc w:val="center"/>
              <w:rPr>
                <w:noProof/>
                <w:sz w:val="18"/>
              </w:rPr>
            </w:pPr>
          </w:p>
        </w:tc>
        <w:tc>
          <w:tcPr>
            <w:tcW w:w="720" w:type="dxa"/>
            <w:gridSpan w:val="2"/>
          </w:tcPr>
          <w:p w14:paraId="71A1B233" w14:textId="77777777" w:rsidR="00B50935" w:rsidRPr="00927CFF" w:rsidRDefault="00B50935" w:rsidP="00427764">
            <w:pPr>
              <w:ind w:right="-29"/>
              <w:jc w:val="center"/>
              <w:rPr>
                <w:noProof/>
                <w:sz w:val="18"/>
              </w:rPr>
            </w:pPr>
            <w:r w:rsidRPr="00927CFF">
              <w:rPr>
                <w:sz w:val="18"/>
              </w:rPr>
              <w:t>0,200</w:t>
            </w:r>
          </w:p>
        </w:tc>
        <w:tc>
          <w:tcPr>
            <w:tcW w:w="540" w:type="dxa"/>
            <w:gridSpan w:val="2"/>
          </w:tcPr>
          <w:p w14:paraId="633E3780" w14:textId="77777777" w:rsidR="00B50935" w:rsidRPr="00927CFF" w:rsidRDefault="00B50935" w:rsidP="00427764">
            <w:pPr>
              <w:ind w:right="-29"/>
              <w:jc w:val="center"/>
              <w:rPr>
                <w:noProof/>
                <w:sz w:val="18"/>
              </w:rPr>
            </w:pPr>
          </w:p>
        </w:tc>
        <w:tc>
          <w:tcPr>
            <w:tcW w:w="720" w:type="dxa"/>
            <w:gridSpan w:val="2"/>
          </w:tcPr>
          <w:p w14:paraId="64E415C5" w14:textId="77777777" w:rsidR="00B50935" w:rsidRPr="00927CFF" w:rsidRDefault="00B50935" w:rsidP="00427764">
            <w:pPr>
              <w:ind w:right="-29"/>
              <w:jc w:val="center"/>
              <w:rPr>
                <w:noProof/>
                <w:sz w:val="18"/>
              </w:rPr>
            </w:pPr>
            <w:r w:rsidRPr="00927CFF">
              <w:rPr>
                <w:sz w:val="18"/>
              </w:rPr>
              <w:t>0,200</w:t>
            </w:r>
          </w:p>
        </w:tc>
        <w:tc>
          <w:tcPr>
            <w:tcW w:w="720" w:type="dxa"/>
            <w:gridSpan w:val="2"/>
          </w:tcPr>
          <w:p w14:paraId="1D241277" w14:textId="77777777" w:rsidR="00B50935" w:rsidRPr="00927CFF" w:rsidRDefault="00B50935" w:rsidP="00427764">
            <w:pPr>
              <w:ind w:right="-29"/>
              <w:jc w:val="center"/>
              <w:rPr>
                <w:noProof/>
                <w:sz w:val="18"/>
              </w:rPr>
            </w:pPr>
          </w:p>
        </w:tc>
        <w:tc>
          <w:tcPr>
            <w:tcW w:w="720" w:type="dxa"/>
            <w:gridSpan w:val="2"/>
          </w:tcPr>
          <w:p w14:paraId="0BE5284A" w14:textId="77777777" w:rsidR="00B50935" w:rsidRPr="00927CFF" w:rsidRDefault="00B50935" w:rsidP="00427764">
            <w:pPr>
              <w:ind w:right="-29"/>
              <w:jc w:val="center"/>
              <w:rPr>
                <w:noProof/>
                <w:sz w:val="18"/>
              </w:rPr>
            </w:pPr>
            <w:r w:rsidRPr="00927CFF">
              <w:rPr>
                <w:sz w:val="18"/>
              </w:rPr>
              <w:t>0,200</w:t>
            </w:r>
          </w:p>
        </w:tc>
        <w:tc>
          <w:tcPr>
            <w:tcW w:w="900" w:type="dxa"/>
            <w:gridSpan w:val="2"/>
          </w:tcPr>
          <w:p w14:paraId="7147562D" w14:textId="77777777" w:rsidR="00B50935" w:rsidRPr="00927CFF" w:rsidRDefault="00B50935" w:rsidP="00427764">
            <w:pPr>
              <w:ind w:right="-29"/>
              <w:jc w:val="center"/>
              <w:rPr>
                <w:noProof/>
                <w:sz w:val="18"/>
              </w:rPr>
            </w:pPr>
          </w:p>
        </w:tc>
        <w:tc>
          <w:tcPr>
            <w:tcW w:w="720" w:type="dxa"/>
            <w:gridSpan w:val="3"/>
          </w:tcPr>
          <w:p w14:paraId="58C1FE7F" w14:textId="77777777" w:rsidR="00B50935" w:rsidRPr="00927CFF" w:rsidRDefault="00B50935" w:rsidP="00427764">
            <w:pPr>
              <w:ind w:right="-29"/>
              <w:jc w:val="center"/>
              <w:rPr>
                <w:noProof/>
                <w:sz w:val="18"/>
              </w:rPr>
            </w:pPr>
            <w:r w:rsidRPr="00927CFF">
              <w:rPr>
                <w:sz w:val="18"/>
              </w:rPr>
              <w:t>0,200</w:t>
            </w:r>
          </w:p>
        </w:tc>
        <w:tc>
          <w:tcPr>
            <w:tcW w:w="540" w:type="dxa"/>
            <w:gridSpan w:val="2"/>
          </w:tcPr>
          <w:p w14:paraId="254D3B9C" w14:textId="77777777" w:rsidR="00B50935" w:rsidRPr="00927CFF" w:rsidRDefault="00B50935" w:rsidP="00427764">
            <w:pPr>
              <w:ind w:right="-29"/>
              <w:jc w:val="center"/>
              <w:rPr>
                <w:noProof/>
                <w:sz w:val="18"/>
              </w:rPr>
            </w:pPr>
          </w:p>
        </w:tc>
        <w:tc>
          <w:tcPr>
            <w:tcW w:w="648" w:type="dxa"/>
            <w:gridSpan w:val="2"/>
          </w:tcPr>
          <w:p w14:paraId="1EF4919C" w14:textId="77777777" w:rsidR="00B50935" w:rsidRPr="00927CFF" w:rsidRDefault="00B50935" w:rsidP="00427764">
            <w:pPr>
              <w:ind w:right="-29"/>
              <w:jc w:val="center"/>
              <w:rPr>
                <w:noProof/>
                <w:sz w:val="18"/>
              </w:rPr>
            </w:pPr>
            <w:r w:rsidRPr="00927CFF">
              <w:rPr>
                <w:sz w:val="18"/>
              </w:rPr>
              <w:t>0,200</w:t>
            </w:r>
          </w:p>
        </w:tc>
        <w:tc>
          <w:tcPr>
            <w:tcW w:w="432" w:type="dxa"/>
            <w:gridSpan w:val="2"/>
          </w:tcPr>
          <w:p w14:paraId="2782E185" w14:textId="77777777" w:rsidR="00B50935" w:rsidRPr="00927CFF" w:rsidRDefault="00B50935" w:rsidP="00427764">
            <w:pPr>
              <w:ind w:right="-29"/>
              <w:jc w:val="center"/>
              <w:rPr>
                <w:noProof/>
                <w:sz w:val="18"/>
              </w:rPr>
            </w:pPr>
          </w:p>
        </w:tc>
        <w:tc>
          <w:tcPr>
            <w:tcW w:w="720" w:type="dxa"/>
            <w:gridSpan w:val="2"/>
          </w:tcPr>
          <w:p w14:paraId="6312689B" w14:textId="77777777" w:rsidR="00B50935" w:rsidRPr="00927CFF" w:rsidRDefault="00B50935" w:rsidP="00427764">
            <w:pPr>
              <w:ind w:right="-29"/>
              <w:jc w:val="center"/>
              <w:rPr>
                <w:noProof/>
                <w:sz w:val="18"/>
              </w:rPr>
            </w:pPr>
            <w:r w:rsidRPr="00927CFF">
              <w:rPr>
                <w:sz w:val="18"/>
              </w:rPr>
              <w:t>0,200</w:t>
            </w:r>
          </w:p>
        </w:tc>
        <w:tc>
          <w:tcPr>
            <w:tcW w:w="540" w:type="dxa"/>
            <w:gridSpan w:val="3"/>
          </w:tcPr>
          <w:p w14:paraId="5443F27A" w14:textId="77777777" w:rsidR="00B50935" w:rsidRPr="00927CFF" w:rsidRDefault="00B50935" w:rsidP="00427764">
            <w:pPr>
              <w:ind w:right="-29"/>
              <w:jc w:val="center"/>
              <w:rPr>
                <w:noProof/>
                <w:sz w:val="18"/>
              </w:rPr>
            </w:pPr>
          </w:p>
        </w:tc>
        <w:tc>
          <w:tcPr>
            <w:tcW w:w="723" w:type="dxa"/>
            <w:gridSpan w:val="2"/>
          </w:tcPr>
          <w:p w14:paraId="4DBA08F0" w14:textId="77777777" w:rsidR="00B50935" w:rsidRPr="00927CFF" w:rsidRDefault="00B50935" w:rsidP="00427764">
            <w:pPr>
              <w:ind w:right="-29"/>
              <w:jc w:val="center"/>
              <w:rPr>
                <w:noProof/>
                <w:sz w:val="18"/>
              </w:rPr>
            </w:pPr>
            <w:r w:rsidRPr="00927CFF">
              <w:rPr>
                <w:sz w:val="18"/>
              </w:rPr>
              <w:t>0,200</w:t>
            </w:r>
          </w:p>
        </w:tc>
        <w:tc>
          <w:tcPr>
            <w:tcW w:w="720" w:type="dxa"/>
            <w:gridSpan w:val="2"/>
          </w:tcPr>
          <w:p w14:paraId="74F5B820" w14:textId="77777777" w:rsidR="00B50935" w:rsidRPr="00927CFF" w:rsidRDefault="00B50935" w:rsidP="00427764">
            <w:pPr>
              <w:ind w:right="-29"/>
              <w:jc w:val="center"/>
              <w:rPr>
                <w:noProof/>
                <w:sz w:val="18"/>
              </w:rPr>
            </w:pPr>
          </w:p>
        </w:tc>
        <w:tc>
          <w:tcPr>
            <w:tcW w:w="900" w:type="dxa"/>
            <w:gridSpan w:val="2"/>
          </w:tcPr>
          <w:p w14:paraId="11A594C5" w14:textId="77777777" w:rsidR="00B50935" w:rsidRPr="00927CFF" w:rsidRDefault="00B50935" w:rsidP="00427764">
            <w:pPr>
              <w:ind w:right="-29"/>
              <w:jc w:val="center"/>
              <w:rPr>
                <w:noProof/>
                <w:sz w:val="18"/>
              </w:rPr>
            </w:pPr>
            <w:r w:rsidRPr="00927CFF">
              <w:rPr>
                <w:sz w:val="18"/>
              </w:rPr>
              <w:t>1,400</w:t>
            </w:r>
          </w:p>
        </w:tc>
      </w:tr>
      <w:tr w:rsidR="00B50935" w:rsidRPr="00927CFF" w14:paraId="430C34D9" w14:textId="77777777" w:rsidTr="00427764">
        <w:trPr>
          <w:gridAfter w:val="1"/>
          <w:wAfter w:w="12" w:type="dxa"/>
          <w:jc w:val="center"/>
        </w:trPr>
        <w:tc>
          <w:tcPr>
            <w:tcW w:w="2685" w:type="dxa"/>
            <w:gridSpan w:val="3"/>
            <w:tcBorders>
              <w:bottom w:val="single" w:sz="12" w:space="0" w:color="auto"/>
            </w:tcBorders>
            <w:vAlign w:val="center"/>
          </w:tcPr>
          <w:p w14:paraId="44BE4E0C" w14:textId="77777777" w:rsidR="00B50935" w:rsidRPr="00927CFF" w:rsidRDefault="00B50935" w:rsidP="00427764">
            <w:pPr>
              <w:jc w:val="center"/>
              <w:rPr>
                <w:noProof/>
                <w:sz w:val="18"/>
              </w:rPr>
            </w:pPr>
            <w:r w:rsidRPr="00927CFF">
              <w:rPr>
                <w:sz w:val="18"/>
              </w:rPr>
              <w:t>Subtotal for specifikt mål nr. 3</w:t>
            </w:r>
          </w:p>
        </w:tc>
        <w:tc>
          <w:tcPr>
            <w:tcW w:w="663" w:type="dxa"/>
            <w:gridSpan w:val="2"/>
            <w:tcBorders>
              <w:bottom w:val="single" w:sz="12" w:space="0" w:color="auto"/>
            </w:tcBorders>
          </w:tcPr>
          <w:p w14:paraId="53C4E9C4"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4448E203" w14:textId="77777777" w:rsidR="00B50935" w:rsidRPr="00927CFF" w:rsidRDefault="00B50935" w:rsidP="00427764">
            <w:pPr>
              <w:ind w:right="-29"/>
              <w:jc w:val="center"/>
              <w:rPr>
                <w:noProof/>
                <w:sz w:val="18"/>
              </w:rPr>
            </w:pPr>
            <w:r w:rsidRPr="00927CFF">
              <w:rPr>
                <w:sz w:val="18"/>
              </w:rPr>
              <w:t>0,500</w:t>
            </w:r>
          </w:p>
        </w:tc>
        <w:tc>
          <w:tcPr>
            <w:tcW w:w="540" w:type="dxa"/>
            <w:gridSpan w:val="2"/>
            <w:tcBorders>
              <w:bottom w:val="single" w:sz="12" w:space="0" w:color="auto"/>
            </w:tcBorders>
          </w:tcPr>
          <w:p w14:paraId="3B1376D0"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74C1EEB6" w14:textId="77777777" w:rsidR="00B50935" w:rsidRPr="00927CFF" w:rsidRDefault="00B50935" w:rsidP="00427764">
            <w:pPr>
              <w:ind w:right="-29"/>
              <w:jc w:val="center"/>
              <w:rPr>
                <w:noProof/>
                <w:sz w:val="18"/>
              </w:rPr>
            </w:pPr>
            <w:r w:rsidRPr="00927CFF">
              <w:rPr>
                <w:sz w:val="18"/>
              </w:rPr>
              <w:t>0,500</w:t>
            </w:r>
          </w:p>
        </w:tc>
        <w:tc>
          <w:tcPr>
            <w:tcW w:w="720" w:type="dxa"/>
            <w:gridSpan w:val="2"/>
            <w:tcBorders>
              <w:bottom w:val="single" w:sz="12" w:space="0" w:color="auto"/>
            </w:tcBorders>
          </w:tcPr>
          <w:p w14:paraId="4EEFC490"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5F54994F" w14:textId="77777777" w:rsidR="00B50935" w:rsidRPr="00927CFF" w:rsidRDefault="00B50935" w:rsidP="00427764">
            <w:pPr>
              <w:ind w:right="-29"/>
              <w:jc w:val="center"/>
              <w:rPr>
                <w:noProof/>
                <w:sz w:val="18"/>
              </w:rPr>
            </w:pPr>
            <w:r w:rsidRPr="00927CFF">
              <w:rPr>
                <w:sz w:val="18"/>
              </w:rPr>
              <w:t>0,500</w:t>
            </w:r>
          </w:p>
        </w:tc>
        <w:tc>
          <w:tcPr>
            <w:tcW w:w="951" w:type="dxa"/>
            <w:gridSpan w:val="3"/>
            <w:tcBorders>
              <w:bottom w:val="single" w:sz="12" w:space="0" w:color="auto"/>
            </w:tcBorders>
          </w:tcPr>
          <w:p w14:paraId="4B8A531A" w14:textId="77777777" w:rsidR="00B50935" w:rsidRPr="00927CFF" w:rsidRDefault="00B50935" w:rsidP="00427764">
            <w:pPr>
              <w:ind w:right="-29"/>
              <w:jc w:val="center"/>
              <w:rPr>
                <w:noProof/>
                <w:sz w:val="18"/>
              </w:rPr>
            </w:pPr>
          </w:p>
        </w:tc>
        <w:tc>
          <w:tcPr>
            <w:tcW w:w="669" w:type="dxa"/>
            <w:gridSpan w:val="2"/>
            <w:tcBorders>
              <w:bottom w:val="single" w:sz="12" w:space="0" w:color="auto"/>
            </w:tcBorders>
          </w:tcPr>
          <w:p w14:paraId="14A2D966" w14:textId="77777777" w:rsidR="00B50935" w:rsidRPr="00927CFF" w:rsidRDefault="00B50935" w:rsidP="00427764">
            <w:pPr>
              <w:ind w:right="-29"/>
              <w:jc w:val="center"/>
              <w:rPr>
                <w:noProof/>
                <w:sz w:val="18"/>
              </w:rPr>
            </w:pPr>
            <w:r w:rsidRPr="00927CFF">
              <w:rPr>
                <w:sz w:val="18"/>
              </w:rPr>
              <w:t>0,500</w:t>
            </w:r>
          </w:p>
        </w:tc>
        <w:tc>
          <w:tcPr>
            <w:tcW w:w="540" w:type="dxa"/>
            <w:gridSpan w:val="2"/>
            <w:tcBorders>
              <w:bottom w:val="single" w:sz="12" w:space="0" w:color="auto"/>
            </w:tcBorders>
          </w:tcPr>
          <w:p w14:paraId="467AE66F" w14:textId="77777777" w:rsidR="00B50935" w:rsidRPr="00927CFF" w:rsidRDefault="00B50935" w:rsidP="00427764">
            <w:pPr>
              <w:ind w:right="-29"/>
              <w:jc w:val="center"/>
              <w:rPr>
                <w:noProof/>
                <w:sz w:val="18"/>
              </w:rPr>
            </w:pPr>
          </w:p>
        </w:tc>
        <w:tc>
          <w:tcPr>
            <w:tcW w:w="648" w:type="dxa"/>
            <w:gridSpan w:val="2"/>
            <w:tcBorders>
              <w:bottom w:val="single" w:sz="12" w:space="0" w:color="auto"/>
            </w:tcBorders>
          </w:tcPr>
          <w:p w14:paraId="73E71BFE" w14:textId="77777777" w:rsidR="00B50935" w:rsidRPr="00927CFF" w:rsidRDefault="00B50935" w:rsidP="00427764">
            <w:pPr>
              <w:ind w:right="-29"/>
              <w:jc w:val="center"/>
              <w:rPr>
                <w:noProof/>
                <w:sz w:val="18"/>
              </w:rPr>
            </w:pPr>
            <w:r w:rsidRPr="00927CFF">
              <w:rPr>
                <w:sz w:val="18"/>
              </w:rPr>
              <w:t>0,500</w:t>
            </w:r>
          </w:p>
        </w:tc>
        <w:tc>
          <w:tcPr>
            <w:tcW w:w="432" w:type="dxa"/>
            <w:gridSpan w:val="2"/>
            <w:tcBorders>
              <w:bottom w:val="single" w:sz="12" w:space="0" w:color="auto"/>
            </w:tcBorders>
          </w:tcPr>
          <w:p w14:paraId="0429E027" w14:textId="77777777" w:rsidR="00B50935" w:rsidRPr="00927CFF" w:rsidRDefault="00B50935" w:rsidP="00427764">
            <w:pPr>
              <w:ind w:right="-29"/>
              <w:jc w:val="center"/>
              <w:rPr>
                <w:noProof/>
                <w:sz w:val="18"/>
              </w:rPr>
            </w:pPr>
          </w:p>
        </w:tc>
        <w:tc>
          <w:tcPr>
            <w:tcW w:w="720" w:type="dxa"/>
            <w:gridSpan w:val="2"/>
            <w:tcBorders>
              <w:bottom w:val="single" w:sz="12" w:space="0" w:color="auto"/>
            </w:tcBorders>
          </w:tcPr>
          <w:p w14:paraId="5588FBD4" w14:textId="77777777" w:rsidR="00B50935" w:rsidRPr="00927CFF" w:rsidRDefault="00B50935" w:rsidP="00427764">
            <w:pPr>
              <w:ind w:right="-29"/>
              <w:jc w:val="center"/>
              <w:rPr>
                <w:noProof/>
                <w:sz w:val="18"/>
              </w:rPr>
            </w:pPr>
            <w:r w:rsidRPr="00927CFF">
              <w:rPr>
                <w:sz w:val="18"/>
              </w:rPr>
              <w:t>0,500</w:t>
            </w:r>
          </w:p>
        </w:tc>
        <w:tc>
          <w:tcPr>
            <w:tcW w:w="540" w:type="dxa"/>
            <w:gridSpan w:val="3"/>
            <w:tcBorders>
              <w:bottom w:val="single" w:sz="12" w:space="0" w:color="auto"/>
            </w:tcBorders>
          </w:tcPr>
          <w:p w14:paraId="0331CEAF" w14:textId="77777777" w:rsidR="00B50935" w:rsidRPr="00927CFF" w:rsidRDefault="00B50935" w:rsidP="00427764">
            <w:pPr>
              <w:ind w:right="-29"/>
              <w:jc w:val="center"/>
              <w:rPr>
                <w:noProof/>
                <w:sz w:val="18"/>
              </w:rPr>
            </w:pPr>
          </w:p>
        </w:tc>
        <w:tc>
          <w:tcPr>
            <w:tcW w:w="723" w:type="dxa"/>
            <w:gridSpan w:val="2"/>
            <w:tcBorders>
              <w:bottom w:val="single" w:sz="12" w:space="0" w:color="auto"/>
            </w:tcBorders>
          </w:tcPr>
          <w:p w14:paraId="28D2BACF" w14:textId="77777777" w:rsidR="00B50935" w:rsidRPr="00927CFF" w:rsidRDefault="00B50935" w:rsidP="00427764">
            <w:pPr>
              <w:ind w:right="-29"/>
              <w:jc w:val="center"/>
              <w:rPr>
                <w:noProof/>
                <w:sz w:val="18"/>
              </w:rPr>
            </w:pPr>
            <w:r w:rsidRPr="00927CFF">
              <w:rPr>
                <w:sz w:val="18"/>
              </w:rPr>
              <w:t>0,500</w:t>
            </w:r>
          </w:p>
        </w:tc>
        <w:tc>
          <w:tcPr>
            <w:tcW w:w="720" w:type="dxa"/>
            <w:gridSpan w:val="2"/>
            <w:tcBorders>
              <w:bottom w:val="single" w:sz="12" w:space="0" w:color="auto"/>
            </w:tcBorders>
          </w:tcPr>
          <w:p w14:paraId="375569A0" w14:textId="77777777" w:rsidR="00B50935" w:rsidRPr="00927CFF" w:rsidRDefault="00B50935" w:rsidP="00427764">
            <w:pPr>
              <w:ind w:right="-29"/>
              <w:jc w:val="center"/>
              <w:rPr>
                <w:noProof/>
                <w:sz w:val="18"/>
              </w:rPr>
            </w:pPr>
          </w:p>
        </w:tc>
        <w:tc>
          <w:tcPr>
            <w:tcW w:w="900" w:type="dxa"/>
            <w:gridSpan w:val="2"/>
            <w:tcBorders>
              <w:bottom w:val="single" w:sz="12" w:space="0" w:color="auto"/>
            </w:tcBorders>
          </w:tcPr>
          <w:p w14:paraId="62C1E21C" w14:textId="77777777" w:rsidR="00B50935" w:rsidRPr="00927CFF" w:rsidRDefault="00B50935" w:rsidP="00427764">
            <w:pPr>
              <w:ind w:right="-29"/>
              <w:jc w:val="center"/>
              <w:rPr>
                <w:noProof/>
                <w:sz w:val="18"/>
              </w:rPr>
            </w:pPr>
            <w:r w:rsidRPr="00927CFF">
              <w:rPr>
                <w:sz w:val="18"/>
              </w:rPr>
              <w:t>3,500</w:t>
            </w:r>
          </w:p>
        </w:tc>
      </w:tr>
      <w:tr w:rsidR="00B50935" w:rsidRPr="00927CFF" w14:paraId="289B59CF" w14:textId="77777777" w:rsidTr="00427764">
        <w:trPr>
          <w:jc w:val="center"/>
        </w:trPr>
        <w:tc>
          <w:tcPr>
            <w:tcW w:w="13623" w:type="dxa"/>
            <w:gridSpan w:val="38"/>
            <w:tcBorders>
              <w:top w:val="single" w:sz="12" w:space="0" w:color="auto"/>
              <w:left w:val="single" w:sz="12" w:space="0" w:color="auto"/>
              <w:bottom w:val="single" w:sz="12" w:space="0" w:color="auto"/>
              <w:right w:val="single" w:sz="12" w:space="0" w:color="auto"/>
            </w:tcBorders>
            <w:vAlign w:val="center"/>
          </w:tcPr>
          <w:p w14:paraId="46543928" w14:textId="77777777" w:rsidR="00B50935" w:rsidRPr="00927CFF" w:rsidRDefault="00B50935" w:rsidP="00427764">
            <w:pPr>
              <w:ind w:right="-29"/>
              <w:jc w:val="center"/>
              <w:rPr>
                <w:noProof/>
                <w:sz w:val="18"/>
              </w:rPr>
            </w:pPr>
            <w:r w:rsidRPr="00927CFF">
              <w:rPr>
                <w:sz w:val="18"/>
              </w:rPr>
              <w:t>SPECIFIKT MÅL NR. 4: ECDC skal koordinere dataindsamling, -validering, -analyse og -formidling på EU-plan og således etablere et robust europæisk overvågningssystem for overførbare sygdomme inden for rammerne af det europæiske sundhedsdataområde.</w:t>
            </w:r>
          </w:p>
          <w:p w14:paraId="28218295" w14:textId="77777777" w:rsidR="00B50935" w:rsidRPr="00927CFF" w:rsidRDefault="00B50935" w:rsidP="00427764">
            <w:pPr>
              <w:spacing w:before="180" w:after="180"/>
              <w:ind w:right="-29"/>
              <w:jc w:val="center"/>
              <w:rPr>
                <w:noProof/>
                <w:sz w:val="18"/>
              </w:rPr>
            </w:pPr>
          </w:p>
        </w:tc>
      </w:tr>
      <w:tr w:rsidR="00B50935" w:rsidRPr="00927CFF" w14:paraId="5301F81E" w14:textId="77777777" w:rsidTr="00427764">
        <w:trPr>
          <w:jc w:val="center"/>
        </w:trPr>
        <w:tc>
          <w:tcPr>
            <w:tcW w:w="2685" w:type="dxa"/>
            <w:gridSpan w:val="3"/>
            <w:tcBorders>
              <w:top w:val="single" w:sz="12" w:space="0" w:color="auto"/>
              <w:left w:val="single" w:sz="12" w:space="0" w:color="auto"/>
              <w:bottom w:val="single" w:sz="12" w:space="0" w:color="auto"/>
            </w:tcBorders>
            <w:vAlign w:val="center"/>
          </w:tcPr>
          <w:p w14:paraId="6AD11F35" w14:textId="77777777" w:rsidR="00B50935" w:rsidRPr="00927CFF" w:rsidRDefault="00B50935" w:rsidP="00427764">
            <w:pPr>
              <w:ind w:right="-29"/>
              <w:jc w:val="center"/>
              <w:rPr>
                <w:b/>
                <w:noProof/>
                <w:sz w:val="18"/>
              </w:rPr>
            </w:pPr>
            <w:r w:rsidRPr="00927CFF">
              <w:rPr>
                <w:sz w:val="18"/>
              </w:rPr>
              <w:t>Resultat: ny knude ved ECDC med henblik på fremsendelse af oplysninger fra det nationale niveau til ECDC ved at udvide TESSy (større kapacitet).</w:t>
            </w:r>
          </w:p>
        </w:tc>
        <w:tc>
          <w:tcPr>
            <w:tcW w:w="672" w:type="dxa"/>
            <w:gridSpan w:val="3"/>
            <w:tcBorders>
              <w:top w:val="single" w:sz="12" w:space="0" w:color="auto"/>
              <w:bottom w:val="single" w:sz="12" w:space="0" w:color="auto"/>
            </w:tcBorders>
          </w:tcPr>
          <w:p w14:paraId="73A71941"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C80CD1E" w14:textId="77777777" w:rsidR="00B50935" w:rsidRPr="00927CFF" w:rsidRDefault="00B50935" w:rsidP="00427764">
            <w:pPr>
              <w:spacing w:before="180" w:after="180"/>
              <w:ind w:right="-29"/>
              <w:jc w:val="center"/>
              <w:rPr>
                <w:noProof/>
                <w:sz w:val="18"/>
              </w:rPr>
            </w:pPr>
            <w:r w:rsidRPr="00927CFF">
              <w:rPr>
                <w:sz w:val="18"/>
              </w:rPr>
              <w:t>2,000</w:t>
            </w:r>
          </w:p>
        </w:tc>
        <w:tc>
          <w:tcPr>
            <w:tcW w:w="540" w:type="dxa"/>
            <w:gridSpan w:val="2"/>
            <w:tcBorders>
              <w:top w:val="single" w:sz="12" w:space="0" w:color="auto"/>
              <w:bottom w:val="single" w:sz="12" w:space="0" w:color="auto"/>
            </w:tcBorders>
          </w:tcPr>
          <w:p w14:paraId="2449F781"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4A8D03A" w14:textId="77777777" w:rsidR="00B50935" w:rsidRPr="00927CFF" w:rsidRDefault="00B50935" w:rsidP="00427764">
            <w:pPr>
              <w:spacing w:before="180" w:after="180"/>
              <w:ind w:right="-29"/>
              <w:jc w:val="center"/>
              <w:rPr>
                <w:noProof/>
                <w:sz w:val="18"/>
              </w:rPr>
            </w:pPr>
            <w:r w:rsidRPr="00927CFF">
              <w:rPr>
                <w:sz w:val="18"/>
              </w:rPr>
              <w:t>5,000</w:t>
            </w:r>
          </w:p>
        </w:tc>
        <w:tc>
          <w:tcPr>
            <w:tcW w:w="720" w:type="dxa"/>
            <w:gridSpan w:val="2"/>
            <w:tcBorders>
              <w:top w:val="single" w:sz="12" w:space="0" w:color="auto"/>
              <w:bottom w:val="single" w:sz="12" w:space="0" w:color="auto"/>
            </w:tcBorders>
          </w:tcPr>
          <w:p w14:paraId="1B491C09"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EC54C60" w14:textId="77777777" w:rsidR="00B50935" w:rsidRPr="00927CFF" w:rsidRDefault="00B50935" w:rsidP="00427764">
            <w:pPr>
              <w:spacing w:before="180" w:after="180"/>
              <w:ind w:right="-29"/>
              <w:jc w:val="center"/>
              <w:rPr>
                <w:noProof/>
                <w:sz w:val="18"/>
              </w:rPr>
            </w:pPr>
            <w:r w:rsidRPr="00927CFF">
              <w:rPr>
                <w:sz w:val="18"/>
              </w:rPr>
              <w:t>5,000</w:t>
            </w:r>
          </w:p>
        </w:tc>
        <w:tc>
          <w:tcPr>
            <w:tcW w:w="951" w:type="dxa"/>
            <w:gridSpan w:val="3"/>
            <w:tcBorders>
              <w:top w:val="single" w:sz="12" w:space="0" w:color="auto"/>
              <w:bottom w:val="single" w:sz="12" w:space="0" w:color="auto"/>
            </w:tcBorders>
          </w:tcPr>
          <w:p w14:paraId="520FE72D" w14:textId="77777777" w:rsidR="00B50935" w:rsidRPr="00927CFF" w:rsidRDefault="00B50935" w:rsidP="00427764">
            <w:pPr>
              <w:spacing w:before="180" w:after="180"/>
              <w:ind w:right="-29"/>
              <w:jc w:val="center"/>
              <w:rPr>
                <w:noProof/>
                <w:sz w:val="18"/>
              </w:rPr>
            </w:pPr>
          </w:p>
        </w:tc>
        <w:tc>
          <w:tcPr>
            <w:tcW w:w="672" w:type="dxa"/>
            <w:gridSpan w:val="2"/>
            <w:tcBorders>
              <w:top w:val="single" w:sz="12" w:space="0" w:color="auto"/>
              <w:bottom w:val="single" w:sz="12" w:space="0" w:color="auto"/>
            </w:tcBorders>
          </w:tcPr>
          <w:p w14:paraId="47247D31" w14:textId="77777777" w:rsidR="00B50935" w:rsidRPr="00927CFF" w:rsidRDefault="00B50935" w:rsidP="00427764">
            <w:pPr>
              <w:spacing w:before="180" w:after="180"/>
              <w:ind w:right="-29"/>
              <w:jc w:val="center"/>
              <w:rPr>
                <w:noProof/>
                <w:sz w:val="18"/>
              </w:rPr>
            </w:pPr>
            <w:r w:rsidRPr="00927CFF">
              <w:rPr>
                <w:sz w:val="18"/>
              </w:rPr>
              <w:t>5,000</w:t>
            </w:r>
          </w:p>
        </w:tc>
        <w:tc>
          <w:tcPr>
            <w:tcW w:w="540" w:type="dxa"/>
            <w:gridSpan w:val="2"/>
            <w:tcBorders>
              <w:top w:val="single" w:sz="12" w:space="0" w:color="auto"/>
              <w:bottom w:val="single" w:sz="12" w:space="0" w:color="auto"/>
            </w:tcBorders>
          </w:tcPr>
          <w:p w14:paraId="5DE3A474" w14:textId="77777777" w:rsidR="00B50935" w:rsidRPr="00927CFF" w:rsidRDefault="00B50935" w:rsidP="00427764">
            <w:pPr>
              <w:spacing w:before="180" w:after="180"/>
              <w:ind w:right="-29"/>
              <w:jc w:val="center"/>
              <w:rPr>
                <w:noProof/>
                <w:sz w:val="18"/>
              </w:rPr>
            </w:pPr>
          </w:p>
        </w:tc>
        <w:tc>
          <w:tcPr>
            <w:tcW w:w="651" w:type="dxa"/>
            <w:gridSpan w:val="2"/>
            <w:tcBorders>
              <w:top w:val="single" w:sz="12" w:space="0" w:color="auto"/>
              <w:bottom w:val="single" w:sz="12" w:space="0" w:color="auto"/>
            </w:tcBorders>
          </w:tcPr>
          <w:p w14:paraId="0128E650" w14:textId="77777777" w:rsidR="00B50935" w:rsidRPr="00927CFF" w:rsidRDefault="00B50935" w:rsidP="00427764">
            <w:pPr>
              <w:spacing w:before="180" w:after="180"/>
              <w:ind w:right="-29"/>
              <w:jc w:val="center"/>
              <w:rPr>
                <w:noProof/>
                <w:sz w:val="18"/>
              </w:rPr>
            </w:pPr>
            <w:r w:rsidRPr="00927CFF">
              <w:rPr>
                <w:sz w:val="18"/>
              </w:rPr>
              <w:t>3,000</w:t>
            </w:r>
          </w:p>
        </w:tc>
        <w:tc>
          <w:tcPr>
            <w:tcW w:w="432" w:type="dxa"/>
            <w:gridSpan w:val="2"/>
            <w:tcBorders>
              <w:top w:val="single" w:sz="12" w:space="0" w:color="auto"/>
              <w:bottom w:val="single" w:sz="12" w:space="0" w:color="auto"/>
            </w:tcBorders>
          </w:tcPr>
          <w:p w14:paraId="19183B52"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1A86B5E" w14:textId="77777777" w:rsidR="00B50935" w:rsidRPr="00927CFF" w:rsidRDefault="00B50935" w:rsidP="00427764">
            <w:pPr>
              <w:spacing w:before="180" w:after="180"/>
              <w:ind w:right="-29"/>
              <w:jc w:val="center"/>
              <w:rPr>
                <w:noProof/>
                <w:sz w:val="18"/>
              </w:rPr>
            </w:pPr>
            <w:r w:rsidRPr="00927CFF">
              <w:rPr>
                <w:sz w:val="18"/>
              </w:rPr>
              <w:t>2,000</w:t>
            </w:r>
          </w:p>
        </w:tc>
        <w:tc>
          <w:tcPr>
            <w:tcW w:w="540" w:type="dxa"/>
            <w:gridSpan w:val="3"/>
            <w:tcBorders>
              <w:top w:val="single" w:sz="12" w:space="0" w:color="auto"/>
              <w:bottom w:val="single" w:sz="12" w:space="0" w:color="auto"/>
            </w:tcBorders>
          </w:tcPr>
          <w:p w14:paraId="452BCB6E"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C2807B0" w14:textId="77777777" w:rsidR="00B50935" w:rsidRPr="00927CFF" w:rsidRDefault="00B50935" w:rsidP="00427764">
            <w:pPr>
              <w:spacing w:before="180" w:after="180"/>
              <w:ind w:right="-29"/>
              <w:jc w:val="center"/>
              <w:rPr>
                <w:noProof/>
                <w:sz w:val="18"/>
              </w:rPr>
            </w:pPr>
            <w:r w:rsidRPr="00927CFF">
              <w:rPr>
                <w:sz w:val="18"/>
              </w:rPr>
              <w:t>2,000</w:t>
            </w:r>
          </w:p>
        </w:tc>
        <w:tc>
          <w:tcPr>
            <w:tcW w:w="720" w:type="dxa"/>
            <w:gridSpan w:val="2"/>
            <w:tcBorders>
              <w:top w:val="single" w:sz="12" w:space="0" w:color="auto"/>
              <w:bottom w:val="single" w:sz="12" w:space="0" w:color="auto"/>
            </w:tcBorders>
          </w:tcPr>
          <w:p w14:paraId="66BBC4C6"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4C78D7F7" w14:textId="77777777" w:rsidR="00B50935" w:rsidRPr="00927CFF" w:rsidRDefault="00B50935" w:rsidP="00427764">
            <w:pPr>
              <w:spacing w:before="180" w:after="180"/>
              <w:ind w:right="-29"/>
              <w:jc w:val="center"/>
              <w:rPr>
                <w:noProof/>
                <w:sz w:val="18"/>
              </w:rPr>
            </w:pPr>
            <w:r w:rsidRPr="00927CFF">
              <w:rPr>
                <w:sz w:val="18"/>
              </w:rPr>
              <w:t>24,000</w:t>
            </w:r>
          </w:p>
        </w:tc>
      </w:tr>
      <w:tr w:rsidR="00B50935" w:rsidRPr="00927CFF" w14:paraId="5DF9F193"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0D988B7E" w14:textId="77777777" w:rsidR="00B50935" w:rsidRPr="00927CFF" w:rsidRDefault="00B50935" w:rsidP="00427764">
            <w:pPr>
              <w:ind w:right="-29"/>
              <w:jc w:val="center"/>
              <w:rPr>
                <w:noProof/>
                <w:sz w:val="18"/>
              </w:rPr>
            </w:pPr>
            <w:r w:rsidRPr="00927CFF">
              <w:rPr>
                <w:sz w:val="18"/>
              </w:rPr>
              <w:t>Resultat: et styrket system for tidlig varsling og reaktion, der gør systemet mere skalerbart, uden at det ændrer formålet med systemet til støtte for hurtig udveksling af oplysninger med epidemiologiske institutioner og offentlige forskningsinstitutioner under pandemi på nationalt plan og EU-plan.</w:t>
            </w:r>
          </w:p>
        </w:tc>
        <w:tc>
          <w:tcPr>
            <w:tcW w:w="631" w:type="dxa"/>
            <w:tcBorders>
              <w:top w:val="single" w:sz="12" w:space="0" w:color="auto"/>
              <w:bottom w:val="single" w:sz="12" w:space="0" w:color="auto"/>
            </w:tcBorders>
          </w:tcPr>
          <w:p w14:paraId="302C062A" w14:textId="77777777" w:rsidR="00B50935" w:rsidRPr="00927CFF" w:rsidRDefault="00B50935" w:rsidP="00427764">
            <w:pPr>
              <w:spacing w:before="180" w:after="180"/>
              <w:ind w:right="-29"/>
              <w:jc w:val="center"/>
              <w:rPr>
                <w:noProof/>
                <w:sz w:val="18"/>
              </w:rPr>
            </w:pPr>
          </w:p>
        </w:tc>
        <w:tc>
          <w:tcPr>
            <w:tcW w:w="752" w:type="dxa"/>
            <w:gridSpan w:val="3"/>
            <w:tcBorders>
              <w:top w:val="single" w:sz="12" w:space="0" w:color="auto"/>
              <w:bottom w:val="single" w:sz="12" w:space="0" w:color="auto"/>
            </w:tcBorders>
          </w:tcPr>
          <w:p w14:paraId="23F5453D" w14:textId="77777777" w:rsidR="00B50935" w:rsidRPr="00927CFF" w:rsidRDefault="00B50935" w:rsidP="00427764">
            <w:pPr>
              <w:spacing w:before="180" w:after="180"/>
              <w:ind w:right="-29"/>
              <w:jc w:val="center"/>
              <w:rPr>
                <w:noProof/>
                <w:sz w:val="18"/>
              </w:rPr>
            </w:pPr>
            <w:r w:rsidRPr="00927CFF">
              <w:rPr>
                <w:sz w:val="18"/>
              </w:rPr>
              <w:t>1,000</w:t>
            </w:r>
          </w:p>
        </w:tc>
        <w:tc>
          <w:tcPr>
            <w:tcW w:w="540" w:type="dxa"/>
            <w:gridSpan w:val="2"/>
            <w:tcBorders>
              <w:top w:val="single" w:sz="12" w:space="0" w:color="auto"/>
              <w:bottom w:val="single" w:sz="12" w:space="0" w:color="auto"/>
            </w:tcBorders>
          </w:tcPr>
          <w:p w14:paraId="136DEFAF"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B90BABA" w14:textId="77777777" w:rsidR="00B50935" w:rsidRPr="00927CFF" w:rsidRDefault="00B50935" w:rsidP="00427764">
            <w:pPr>
              <w:spacing w:before="180" w:after="180"/>
              <w:ind w:right="-29"/>
              <w:jc w:val="center"/>
              <w:rPr>
                <w:noProof/>
                <w:sz w:val="18"/>
              </w:rPr>
            </w:pPr>
            <w:r w:rsidRPr="00927CFF">
              <w:rPr>
                <w:sz w:val="18"/>
              </w:rPr>
              <w:t>2,000</w:t>
            </w:r>
          </w:p>
        </w:tc>
        <w:tc>
          <w:tcPr>
            <w:tcW w:w="720" w:type="dxa"/>
            <w:gridSpan w:val="2"/>
            <w:tcBorders>
              <w:top w:val="single" w:sz="12" w:space="0" w:color="auto"/>
              <w:bottom w:val="single" w:sz="12" w:space="0" w:color="auto"/>
            </w:tcBorders>
          </w:tcPr>
          <w:p w14:paraId="7A586D93"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D7091EC" w14:textId="77777777" w:rsidR="00B50935" w:rsidRPr="00927CFF" w:rsidRDefault="00B50935" w:rsidP="00427764">
            <w:pPr>
              <w:spacing w:before="180" w:after="180"/>
              <w:ind w:right="-29"/>
              <w:jc w:val="center"/>
              <w:rPr>
                <w:noProof/>
                <w:sz w:val="18"/>
              </w:rPr>
            </w:pPr>
            <w:r w:rsidRPr="00927CFF">
              <w:rPr>
                <w:sz w:val="18"/>
              </w:rPr>
              <w:t>2,000</w:t>
            </w:r>
          </w:p>
        </w:tc>
        <w:tc>
          <w:tcPr>
            <w:tcW w:w="900" w:type="dxa"/>
            <w:gridSpan w:val="2"/>
            <w:tcBorders>
              <w:top w:val="single" w:sz="12" w:space="0" w:color="auto"/>
              <w:bottom w:val="single" w:sz="12" w:space="0" w:color="auto"/>
            </w:tcBorders>
          </w:tcPr>
          <w:p w14:paraId="529AC567" w14:textId="77777777" w:rsidR="00B50935" w:rsidRPr="00927CFF"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1693E2E0" w14:textId="77777777" w:rsidR="00B50935" w:rsidRPr="00927CFF" w:rsidRDefault="00B50935" w:rsidP="00427764">
            <w:pPr>
              <w:spacing w:before="180" w:after="180"/>
              <w:ind w:right="-29"/>
              <w:jc w:val="center"/>
              <w:rPr>
                <w:noProof/>
                <w:sz w:val="18"/>
              </w:rPr>
            </w:pPr>
            <w:r w:rsidRPr="00927CFF">
              <w:rPr>
                <w:sz w:val="18"/>
              </w:rPr>
              <w:t>2,000</w:t>
            </w:r>
          </w:p>
        </w:tc>
        <w:tc>
          <w:tcPr>
            <w:tcW w:w="540" w:type="dxa"/>
            <w:gridSpan w:val="2"/>
            <w:tcBorders>
              <w:top w:val="single" w:sz="12" w:space="0" w:color="auto"/>
              <w:bottom w:val="single" w:sz="12" w:space="0" w:color="auto"/>
            </w:tcBorders>
          </w:tcPr>
          <w:p w14:paraId="427378C7" w14:textId="77777777" w:rsidR="00B50935" w:rsidRPr="00927CFF"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62ED361E" w14:textId="77777777" w:rsidR="00B50935" w:rsidRPr="00927CFF" w:rsidRDefault="00B50935" w:rsidP="00427764">
            <w:pPr>
              <w:spacing w:before="180" w:after="180"/>
              <w:ind w:right="-29"/>
              <w:jc w:val="center"/>
              <w:rPr>
                <w:noProof/>
                <w:sz w:val="18"/>
              </w:rPr>
            </w:pPr>
            <w:r w:rsidRPr="00927CFF">
              <w:rPr>
                <w:sz w:val="18"/>
              </w:rPr>
              <w:t>1,000</w:t>
            </w:r>
          </w:p>
        </w:tc>
        <w:tc>
          <w:tcPr>
            <w:tcW w:w="432" w:type="dxa"/>
            <w:gridSpan w:val="2"/>
            <w:tcBorders>
              <w:top w:val="single" w:sz="12" w:space="0" w:color="auto"/>
              <w:bottom w:val="single" w:sz="12" w:space="0" w:color="auto"/>
            </w:tcBorders>
          </w:tcPr>
          <w:p w14:paraId="41421635"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1F5ACC04" w14:textId="77777777" w:rsidR="00B50935" w:rsidRPr="00927CFF" w:rsidRDefault="00B50935" w:rsidP="00427764">
            <w:pPr>
              <w:spacing w:before="180" w:after="180"/>
              <w:ind w:right="-29"/>
              <w:jc w:val="center"/>
              <w:rPr>
                <w:noProof/>
                <w:sz w:val="18"/>
              </w:rPr>
            </w:pPr>
            <w:r w:rsidRPr="00927CFF">
              <w:rPr>
                <w:sz w:val="18"/>
              </w:rPr>
              <w:t>1,000</w:t>
            </w:r>
          </w:p>
        </w:tc>
        <w:tc>
          <w:tcPr>
            <w:tcW w:w="540" w:type="dxa"/>
            <w:gridSpan w:val="3"/>
            <w:tcBorders>
              <w:top w:val="single" w:sz="12" w:space="0" w:color="auto"/>
              <w:bottom w:val="single" w:sz="12" w:space="0" w:color="auto"/>
            </w:tcBorders>
          </w:tcPr>
          <w:p w14:paraId="79518A58" w14:textId="77777777" w:rsidR="00B50935" w:rsidRPr="00927CFF"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48354A74" w14:textId="77777777" w:rsidR="00B50935" w:rsidRPr="00927CFF" w:rsidRDefault="00B50935" w:rsidP="00427764">
            <w:pPr>
              <w:spacing w:before="180" w:after="180"/>
              <w:ind w:right="-29"/>
              <w:jc w:val="center"/>
              <w:rPr>
                <w:noProof/>
                <w:sz w:val="18"/>
              </w:rPr>
            </w:pPr>
            <w:r w:rsidRPr="00927CFF">
              <w:rPr>
                <w:sz w:val="18"/>
              </w:rPr>
              <w:t>1,000</w:t>
            </w:r>
          </w:p>
        </w:tc>
        <w:tc>
          <w:tcPr>
            <w:tcW w:w="720" w:type="dxa"/>
            <w:gridSpan w:val="2"/>
            <w:tcBorders>
              <w:top w:val="single" w:sz="12" w:space="0" w:color="auto"/>
              <w:bottom w:val="single" w:sz="12" w:space="0" w:color="auto"/>
            </w:tcBorders>
          </w:tcPr>
          <w:p w14:paraId="3F7620FA"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31DBF2AF" w14:textId="77777777" w:rsidR="00B50935" w:rsidRPr="00927CFF" w:rsidRDefault="00B50935" w:rsidP="00427764">
            <w:pPr>
              <w:spacing w:before="180" w:after="180"/>
              <w:ind w:right="-29"/>
              <w:jc w:val="center"/>
              <w:rPr>
                <w:noProof/>
                <w:sz w:val="18"/>
              </w:rPr>
            </w:pPr>
            <w:r w:rsidRPr="00927CFF">
              <w:rPr>
                <w:sz w:val="18"/>
              </w:rPr>
              <w:t>10,000</w:t>
            </w:r>
          </w:p>
        </w:tc>
      </w:tr>
      <w:tr w:rsidR="00B50935" w:rsidRPr="00927CFF" w14:paraId="24D2CCFB"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8B5719D" w14:textId="77777777" w:rsidR="00B50935" w:rsidRPr="00927CFF" w:rsidRDefault="00B50935" w:rsidP="00427764">
            <w:pPr>
              <w:ind w:right="-29"/>
              <w:jc w:val="center"/>
              <w:rPr>
                <w:b/>
                <w:noProof/>
                <w:sz w:val="18"/>
              </w:rPr>
            </w:pPr>
            <w:r w:rsidRPr="00927CFF">
              <w:rPr>
                <w:sz w:val="18"/>
              </w:rPr>
              <w:t>Subtotal for specifikt mål nr. 4</w:t>
            </w:r>
          </w:p>
        </w:tc>
        <w:tc>
          <w:tcPr>
            <w:tcW w:w="663" w:type="dxa"/>
            <w:gridSpan w:val="2"/>
            <w:tcBorders>
              <w:top w:val="single" w:sz="12" w:space="0" w:color="auto"/>
              <w:bottom w:val="single" w:sz="12" w:space="0" w:color="auto"/>
            </w:tcBorders>
          </w:tcPr>
          <w:p w14:paraId="43D46C60"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74E7EA2" w14:textId="77777777" w:rsidR="00B50935" w:rsidRPr="00927CFF" w:rsidRDefault="00B50935" w:rsidP="00427764">
            <w:pPr>
              <w:spacing w:before="180" w:after="180"/>
              <w:ind w:right="-29"/>
              <w:jc w:val="center"/>
              <w:rPr>
                <w:noProof/>
                <w:sz w:val="18"/>
              </w:rPr>
            </w:pPr>
            <w:r w:rsidRPr="00927CFF">
              <w:rPr>
                <w:sz w:val="18"/>
              </w:rPr>
              <w:t>3,000</w:t>
            </w:r>
          </w:p>
        </w:tc>
        <w:tc>
          <w:tcPr>
            <w:tcW w:w="540" w:type="dxa"/>
            <w:gridSpan w:val="2"/>
            <w:tcBorders>
              <w:top w:val="single" w:sz="12" w:space="0" w:color="auto"/>
              <w:bottom w:val="single" w:sz="12" w:space="0" w:color="auto"/>
            </w:tcBorders>
          </w:tcPr>
          <w:p w14:paraId="295CEBF0"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CD41CEB" w14:textId="77777777" w:rsidR="00B50935" w:rsidRPr="00927CFF" w:rsidRDefault="00B50935" w:rsidP="00427764">
            <w:pPr>
              <w:spacing w:before="180" w:after="180"/>
              <w:ind w:right="-29"/>
              <w:jc w:val="center"/>
              <w:rPr>
                <w:noProof/>
                <w:sz w:val="18"/>
              </w:rPr>
            </w:pPr>
            <w:r w:rsidRPr="00927CFF">
              <w:rPr>
                <w:sz w:val="18"/>
              </w:rPr>
              <w:t>7,000</w:t>
            </w:r>
          </w:p>
        </w:tc>
        <w:tc>
          <w:tcPr>
            <w:tcW w:w="720" w:type="dxa"/>
            <w:gridSpan w:val="2"/>
            <w:tcBorders>
              <w:top w:val="single" w:sz="12" w:space="0" w:color="auto"/>
              <w:bottom w:val="single" w:sz="12" w:space="0" w:color="auto"/>
            </w:tcBorders>
          </w:tcPr>
          <w:p w14:paraId="20664F32"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0FF8F354" w14:textId="77777777" w:rsidR="00B50935" w:rsidRPr="00927CFF" w:rsidRDefault="00B50935" w:rsidP="00427764">
            <w:pPr>
              <w:spacing w:before="180" w:after="180"/>
              <w:ind w:right="-29"/>
              <w:jc w:val="center"/>
              <w:rPr>
                <w:noProof/>
                <w:sz w:val="18"/>
              </w:rPr>
            </w:pPr>
            <w:r w:rsidRPr="00927CFF">
              <w:rPr>
                <w:sz w:val="18"/>
              </w:rPr>
              <w:t>7,000</w:t>
            </w:r>
          </w:p>
        </w:tc>
        <w:tc>
          <w:tcPr>
            <w:tcW w:w="900" w:type="dxa"/>
            <w:gridSpan w:val="2"/>
            <w:tcBorders>
              <w:top w:val="single" w:sz="12" w:space="0" w:color="auto"/>
              <w:bottom w:val="single" w:sz="12" w:space="0" w:color="auto"/>
            </w:tcBorders>
          </w:tcPr>
          <w:p w14:paraId="5C9B9FE7" w14:textId="77777777" w:rsidR="00B50935" w:rsidRPr="00927CFF"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59523835" w14:textId="77777777" w:rsidR="00B50935" w:rsidRPr="00927CFF" w:rsidRDefault="00B50935" w:rsidP="00427764">
            <w:pPr>
              <w:spacing w:before="180" w:after="180"/>
              <w:ind w:right="-29"/>
              <w:jc w:val="center"/>
              <w:rPr>
                <w:noProof/>
                <w:sz w:val="18"/>
              </w:rPr>
            </w:pPr>
            <w:r w:rsidRPr="00927CFF">
              <w:rPr>
                <w:sz w:val="18"/>
              </w:rPr>
              <w:t>7,000</w:t>
            </w:r>
          </w:p>
        </w:tc>
        <w:tc>
          <w:tcPr>
            <w:tcW w:w="540" w:type="dxa"/>
            <w:gridSpan w:val="2"/>
            <w:tcBorders>
              <w:top w:val="single" w:sz="12" w:space="0" w:color="auto"/>
              <w:bottom w:val="single" w:sz="12" w:space="0" w:color="auto"/>
            </w:tcBorders>
          </w:tcPr>
          <w:p w14:paraId="42433A8C" w14:textId="77777777" w:rsidR="00B50935" w:rsidRPr="00927CFF"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2829D8EA" w14:textId="77777777" w:rsidR="00B50935" w:rsidRPr="00927CFF" w:rsidRDefault="00B50935" w:rsidP="00427764">
            <w:pPr>
              <w:spacing w:before="180" w:after="180"/>
              <w:ind w:right="-29"/>
              <w:jc w:val="center"/>
              <w:rPr>
                <w:noProof/>
                <w:sz w:val="18"/>
              </w:rPr>
            </w:pPr>
            <w:r w:rsidRPr="00927CFF">
              <w:rPr>
                <w:sz w:val="18"/>
              </w:rPr>
              <w:t>4,000</w:t>
            </w:r>
          </w:p>
        </w:tc>
        <w:tc>
          <w:tcPr>
            <w:tcW w:w="432" w:type="dxa"/>
            <w:gridSpan w:val="2"/>
            <w:tcBorders>
              <w:top w:val="single" w:sz="12" w:space="0" w:color="auto"/>
              <w:bottom w:val="single" w:sz="12" w:space="0" w:color="auto"/>
            </w:tcBorders>
          </w:tcPr>
          <w:p w14:paraId="68734A7E"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9FDBA89" w14:textId="77777777" w:rsidR="00B50935" w:rsidRPr="00927CFF" w:rsidRDefault="00B50935" w:rsidP="00427764">
            <w:pPr>
              <w:spacing w:before="180" w:after="180"/>
              <w:ind w:right="-29"/>
              <w:jc w:val="center"/>
              <w:rPr>
                <w:noProof/>
                <w:sz w:val="18"/>
              </w:rPr>
            </w:pPr>
            <w:r w:rsidRPr="00927CFF">
              <w:rPr>
                <w:sz w:val="18"/>
              </w:rPr>
              <w:t>3,000</w:t>
            </w:r>
          </w:p>
        </w:tc>
        <w:tc>
          <w:tcPr>
            <w:tcW w:w="540" w:type="dxa"/>
            <w:gridSpan w:val="3"/>
            <w:tcBorders>
              <w:top w:val="single" w:sz="12" w:space="0" w:color="auto"/>
              <w:bottom w:val="single" w:sz="12" w:space="0" w:color="auto"/>
            </w:tcBorders>
          </w:tcPr>
          <w:p w14:paraId="05E9EFCB" w14:textId="77777777" w:rsidR="00B50935" w:rsidRPr="00927CFF"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7AA0DFF0" w14:textId="77777777" w:rsidR="00B50935" w:rsidRPr="00927CFF" w:rsidRDefault="00B50935" w:rsidP="00427764">
            <w:pPr>
              <w:spacing w:before="180" w:after="180"/>
              <w:ind w:right="-29"/>
              <w:jc w:val="center"/>
              <w:rPr>
                <w:noProof/>
                <w:sz w:val="18"/>
              </w:rPr>
            </w:pPr>
            <w:r w:rsidRPr="00927CFF">
              <w:rPr>
                <w:sz w:val="18"/>
              </w:rPr>
              <w:t>3,000</w:t>
            </w:r>
          </w:p>
        </w:tc>
        <w:tc>
          <w:tcPr>
            <w:tcW w:w="720" w:type="dxa"/>
            <w:gridSpan w:val="2"/>
            <w:tcBorders>
              <w:top w:val="single" w:sz="12" w:space="0" w:color="auto"/>
              <w:bottom w:val="single" w:sz="12" w:space="0" w:color="auto"/>
            </w:tcBorders>
          </w:tcPr>
          <w:p w14:paraId="08BBE5F0"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2B70E375" w14:textId="77777777" w:rsidR="00B50935" w:rsidRPr="00927CFF" w:rsidRDefault="00B50935" w:rsidP="00427764">
            <w:pPr>
              <w:spacing w:before="180" w:after="180"/>
              <w:ind w:right="-29"/>
              <w:jc w:val="center"/>
              <w:rPr>
                <w:noProof/>
                <w:sz w:val="18"/>
              </w:rPr>
            </w:pPr>
            <w:r w:rsidRPr="00927CFF">
              <w:rPr>
                <w:sz w:val="18"/>
              </w:rPr>
              <w:t>34,000</w:t>
            </w:r>
          </w:p>
        </w:tc>
      </w:tr>
      <w:tr w:rsidR="00B50935" w:rsidRPr="00927CFF" w14:paraId="371CEB02" w14:textId="77777777" w:rsidTr="00427764">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14:paraId="460E8BFB" w14:textId="30B541DC" w:rsidR="00B50935" w:rsidRPr="00927CFF" w:rsidRDefault="00B50935" w:rsidP="00427764">
            <w:pPr>
              <w:spacing w:before="180" w:after="180"/>
              <w:ind w:right="-29"/>
              <w:jc w:val="center"/>
              <w:rPr>
                <w:noProof/>
                <w:sz w:val="18"/>
              </w:rPr>
            </w:pPr>
            <w:r w:rsidRPr="00927CFF">
              <w:rPr>
                <w:sz w:val="18"/>
              </w:rPr>
              <w:t>SPECIFIKT MÅL NR. 5: ECDC skal være vært for et indsatsteam ("EU-sundhedstaskforce") for til stadighed at hjælpe landene med at forberede beredskabet og hurtigt gribe ind i en sundhedskrise.</w:t>
            </w:r>
          </w:p>
        </w:tc>
      </w:tr>
      <w:tr w:rsidR="00B50935" w:rsidRPr="00927CFF" w14:paraId="0D366676"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6B7088DC" w14:textId="77777777" w:rsidR="00B50935" w:rsidRPr="00927CFF" w:rsidRDefault="00B50935" w:rsidP="00427764">
            <w:pPr>
              <w:ind w:right="-29"/>
              <w:jc w:val="center"/>
              <w:rPr>
                <w:noProof/>
                <w:sz w:val="18"/>
              </w:rPr>
            </w:pPr>
            <w:r w:rsidRPr="00927CFF">
              <w:rPr>
                <w:sz w:val="18"/>
              </w:rPr>
              <w:t>Resultat: proaktiv, efterspørgselsstyret, praktisk støtte til EU/EØS-landene</w:t>
            </w:r>
          </w:p>
        </w:tc>
        <w:tc>
          <w:tcPr>
            <w:tcW w:w="663" w:type="dxa"/>
            <w:gridSpan w:val="2"/>
            <w:tcBorders>
              <w:top w:val="single" w:sz="12" w:space="0" w:color="auto"/>
              <w:bottom w:val="single" w:sz="12" w:space="0" w:color="auto"/>
            </w:tcBorders>
          </w:tcPr>
          <w:p w14:paraId="573F57A8"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412AC10" w14:textId="77777777" w:rsidR="00B50935" w:rsidRPr="00927CFF" w:rsidRDefault="00B50935" w:rsidP="00427764">
            <w:pPr>
              <w:spacing w:before="180" w:after="180"/>
              <w:ind w:right="-29"/>
              <w:jc w:val="center"/>
              <w:rPr>
                <w:noProof/>
                <w:sz w:val="18"/>
              </w:rPr>
            </w:pPr>
            <w:r w:rsidRPr="00927CFF">
              <w:rPr>
                <w:sz w:val="18"/>
              </w:rPr>
              <w:t>0,500</w:t>
            </w:r>
          </w:p>
        </w:tc>
        <w:tc>
          <w:tcPr>
            <w:tcW w:w="540" w:type="dxa"/>
            <w:gridSpan w:val="2"/>
            <w:tcBorders>
              <w:top w:val="single" w:sz="12" w:space="0" w:color="auto"/>
              <w:bottom w:val="single" w:sz="12" w:space="0" w:color="auto"/>
            </w:tcBorders>
          </w:tcPr>
          <w:p w14:paraId="4B5FA818"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FC08918" w14:textId="77777777" w:rsidR="00B50935" w:rsidRPr="00927CFF" w:rsidRDefault="00B50935" w:rsidP="00427764">
            <w:pPr>
              <w:spacing w:before="180" w:after="180"/>
              <w:ind w:right="-29"/>
              <w:jc w:val="center"/>
              <w:rPr>
                <w:noProof/>
                <w:sz w:val="18"/>
              </w:rPr>
            </w:pPr>
            <w:r w:rsidRPr="00927CFF">
              <w:rPr>
                <w:sz w:val="18"/>
              </w:rPr>
              <w:t>0,500</w:t>
            </w:r>
          </w:p>
        </w:tc>
        <w:tc>
          <w:tcPr>
            <w:tcW w:w="720" w:type="dxa"/>
            <w:gridSpan w:val="2"/>
            <w:tcBorders>
              <w:top w:val="single" w:sz="12" w:space="0" w:color="auto"/>
              <w:bottom w:val="single" w:sz="12" w:space="0" w:color="auto"/>
            </w:tcBorders>
          </w:tcPr>
          <w:p w14:paraId="08583889"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B7D98F1" w14:textId="77777777" w:rsidR="00B50935" w:rsidRPr="00927CFF" w:rsidRDefault="00B50935" w:rsidP="00427764">
            <w:pPr>
              <w:spacing w:before="180" w:after="180"/>
              <w:ind w:right="-29"/>
              <w:jc w:val="center"/>
              <w:rPr>
                <w:noProof/>
                <w:sz w:val="18"/>
              </w:rPr>
            </w:pPr>
            <w:r w:rsidRPr="00927CFF">
              <w:rPr>
                <w:sz w:val="18"/>
              </w:rPr>
              <w:t>0,500</w:t>
            </w:r>
          </w:p>
        </w:tc>
        <w:tc>
          <w:tcPr>
            <w:tcW w:w="900" w:type="dxa"/>
            <w:gridSpan w:val="2"/>
            <w:tcBorders>
              <w:top w:val="single" w:sz="12" w:space="0" w:color="auto"/>
              <w:bottom w:val="single" w:sz="12" w:space="0" w:color="auto"/>
            </w:tcBorders>
          </w:tcPr>
          <w:p w14:paraId="5C611FBA" w14:textId="77777777" w:rsidR="00B50935" w:rsidRPr="00927CFF"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150B1C08" w14:textId="77777777" w:rsidR="00B50935" w:rsidRPr="00927CFF" w:rsidRDefault="00B50935" w:rsidP="00427764">
            <w:pPr>
              <w:spacing w:before="180" w:after="180"/>
              <w:ind w:right="-29"/>
              <w:jc w:val="center"/>
              <w:rPr>
                <w:noProof/>
                <w:sz w:val="18"/>
              </w:rPr>
            </w:pPr>
            <w:r w:rsidRPr="00927CFF">
              <w:rPr>
                <w:sz w:val="18"/>
              </w:rPr>
              <w:t>0,500</w:t>
            </w:r>
          </w:p>
        </w:tc>
        <w:tc>
          <w:tcPr>
            <w:tcW w:w="540" w:type="dxa"/>
            <w:gridSpan w:val="2"/>
            <w:tcBorders>
              <w:top w:val="single" w:sz="12" w:space="0" w:color="auto"/>
              <w:bottom w:val="single" w:sz="12" w:space="0" w:color="auto"/>
            </w:tcBorders>
          </w:tcPr>
          <w:p w14:paraId="663F233D" w14:textId="77777777" w:rsidR="00B50935" w:rsidRPr="00927CFF"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1F37CE2D" w14:textId="77777777" w:rsidR="00B50935" w:rsidRPr="00927CFF" w:rsidRDefault="00B50935" w:rsidP="00427764">
            <w:pPr>
              <w:spacing w:before="180" w:after="180"/>
              <w:ind w:right="-29"/>
              <w:jc w:val="center"/>
              <w:rPr>
                <w:noProof/>
                <w:sz w:val="18"/>
              </w:rPr>
            </w:pPr>
            <w:r w:rsidRPr="00927CFF">
              <w:rPr>
                <w:sz w:val="18"/>
              </w:rPr>
              <w:t>0,500</w:t>
            </w:r>
          </w:p>
        </w:tc>
        <w:tc>
          <w:tcPr>
            <w:tcW w:w="432" w:type="dxa"/>
            <w:gridSpan w:val="2"/>
            <w:tcBorders>
              <w:top w:val="single" w:sz="12" w:space="0" w:color="auto"/>
              <w:bottom w:val="single" w:sz="12" w:space="0" w:color="auto"/>
            </w:tcBorders>
          </w:tcPr>
          <w:p w14:paraId="3AED6738"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09DA523" w14:textId="77777777" w:rsidR="00B50935" w:rsidRPr="00927CFF" w:rsidRDefault="00B50935" w:rsidP="00427764">
            <w:pPr>
              <w:spacing w:before="180" w:after="180"/>
              <w:ind w:right="-29"/>
              <w:jc w:val="center"/>
              <w:rPr>
                <w:noProof/>
                <w:sz w:val="18"/>
              </w:rPr>
            </w:pPr>
            <w:r w:rsidRPr="00927CFF">
              <w:rPr>
                <w:sz w:val="18"/>
              </w:rPr>
              <w:t>0,500</w:t>
            </w:r>
          </w:p>
        </w:tc>
        <w:tc>
          <w:tcPr>
            <w:tcW w:w="540" w:type="dxa"/>
            <w:gridSpan w:val="3"/>
            <w:tcBorders>
              <w:top w:val="single" w:sz="12" w:space="0" w:color="auto"/>
              <w:bottom w:val="single" w:sz="12" w:space="0" w:color="auto"/>
            </w:tcBorders>
          </w:tcPr>
          <w:p w14:paraId="7AD508BA" w14:textId="77777777" w:rsidR="00B50935" w:rsidRPr="00927CFF"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59BCBFAE" w14:textId="77777777" w:rsidR="00B50935" w:rsidRPr="00927CFF" w:rsidRDefault="00B50935" w:rsidP="00427764">
            <w:pPr>
              <w:spacing w:before="180" w:after="180"/>
              <w:ind w:right="-29"/>
              <w:jc w:val="center"/>
              <w:rPr>
                <w:noProof/>
                <w:sz w:val="18"/>
              </w:rPr>
            </w:pPr>
            <w:r w:rsidRPr="00927CFF">
              <w:rPr>
                <w:sz w:val="18"/>
              </w:rPr>
              <w:t>0,500</w:t>
            </w:r>
          </w:p>
        </w:tc>
        <w:tc>
          <w:tcPr>
            <w:tcW w:w="720" w:type="dxa"/>
            <w:gridSpan w:val="2"/>
            <w:tcBorders>
              <w:top w:val="single" w:sz="12" w:space="0" w:color="auto"/>
              <w:bottom w:val="single" w:sz="12" w:space="0" w:color="auto"/>
            </w:tcBorders>
          </w:tcPr>
          <w:p w14:paraId="391256A5"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0F92C904" w14:textId="77777777" w:rsidR="00B50935" w:rsidRPr="00927CFF" w:rsidRDefault="00B50935" w:rsidP="00427764">
            <w:pPr>
              <w:spacing w:before="180" w:after="180"/>
              <w:ind w:right="-29"/>
              <w:jc w:val="center"/>
              <w:rPr>
                <w:noProof/>
                <w:sz w:val="18"/>
              </w:rPr>
            </w:pPr>
            <w:r w:rsidRPr="00927CFF">
              <w:rPr>
                <w:sz w:val="18"/>
              </w:rPr>
              <w:t>3,500</w:t>
            </w:r>
          </w:p>
        </w:tc>
      </w:tr>
      <w:tr w:rsidR="00B50935" w:rsidRPr="00927CFF" w14:paraId="1E4BCB06"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7B0585B2" w14:textId="77777777" w:rsidR="00B50935" w:rsidRPr="00927CFF" w:rsidRDefault="00B50935" w:rsidP="00427764">
            <w:pPr>
              <w:ind w:right="-29"/>
              <w:jc w:val="center"/>
              <w:rPr>
                <w:noProof/>
                <w:sz w:val="18"/>
              </w:rPr>
            </w:pPr>
            <w:r w:rsidRPr="00927CFF">
              <w:rPr>
                <w:sz w:val="18"/>
              </w:rPr>
              <w:t>Resultat: lokal indsats i EU's kriseområder — efter anmodning, koordinering med nationale specialister, der støtter teamet</w:t>
            </w:r>
          </w:p>
        </w:tc>
        <w:tc>
          <w:tcPr>
            <w:tcW w:w="663" w:type="dxa"/>
            <w:gridSpan w:val="2"/>
            <w:tcBorders>
              <w:top w:val="single" w:sz="12" w:space="0" w:color="auto"/>
              <w:bottom w:val="single" w:sz="12" w:space="0" w:color="auto"/>
            </w:tcBorders>
          </w:tcPr>
          <w:p w14:paraId="1DE6ECC9"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F169CE2" w14:textId="77777777" w:rsidR="00B50935" w:rsidRPr="00927CFF" w:rsidRDefault="00B50935" w:rsidP="00427764">
            <w:pPr>
              <w:spacing w:before="180" w:after="180"/>
              <w:ind w:right="-29"/>
              <w:jc w:val="center"/>
              <w:rPr>
                <w:noProof/>
                <w:sz w:val="18"/>
              </w:rPr>
            </w:pPr>
            <w:r w:rsidRPr="00927CFF">
              <w:rPr>
                <w:sz w:val="18"/>
              </w:rPr>
              <w:t>0,100</w:t>
            </w:r>
          </w:p>
        </w:tc>
        <w:tc>
          <w:tcPr>
            <w:tcW w:w="540" w:type="dxa"/>
            <w:gridSpan w:val="2"/>
            <w:tcBorders>
              <w:top w:val="single" w:sz="12" w:space="0" w:color="auto"/>
              <w:bottom w:val="single" w:sz="12" w:space="0" w:color="auto"/>
            </w:tcBorders>
          </w:tcPr>
          <w:p w14:paraId="618D56FA"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064E9C9A" w14:textId="77777777" w:rsidR="00B50935" w:rsidRPr="00927CFF" w:rsidRDefault="00B50935" w:rsidP="00427764">
            <w:pPr>
              <w:spacing w:before="180" w:after="180"/>
              <w:ind w:right="-29"/>
              <w:jc w:val="center"/>
              <w:rPr>
                <w:noProof/>
                <w:sz w:val="18"/>
              </w:rPr>
            </w:pPr>
            <w:r w:rsidRPr="00927CFF">
              <w:rPr>
                <w:sz w:val="18"/>
              </w:rPr>
              <w:t>0,100</w:t>
            </w:r>
          </w:p>
        </w:tc>
        <w:tc>
          <w:tcPr>
            <w:tcW w:w="720" w:type="dxa"/>
            <w:gridSpan w:val="2"/>
            <w:tcBorders>
              <w:top w:val="single" w:sz="12" w:space="0" w:color="auto"/>
              <w:bottom w:val="single" w:sz="12" w:space="0" w:color="auto"/>
            </w:tcBorders>
          </w:tcPr>
          <w:p w14:paraId="10DA6304"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515443B" w14:textId="77777777" w:rsidR="00B50935" w:rsidRPr="00927CFF" w:rsidRDefault="00B50935" w:rsidP="00427764">
            <w:pPr>
              <w:spacing w:before="180" w:after="180"/>
              <w:ind w:right="-29"/>
              <w:jc w:val="center"/>
              <w:rPr>
                <w:noProof/>
                <w:sz w:val="18"/>
              </w:rPr>
            </w:pPr>
            <w:r w:rsidRPr="00927CFF">
              <w:rPr>
                <w:sz w:val="18"/>
              </w:rPr>
              <w:t>0,100</w:t>
            </w:r>
          </w:p>
        </w:tc>
        <w:tc>
          <w:tcPr>
            <w:tcW w:w="900" w:type="dxa"/>
            <w:gridSpan w:val="2"/>
            <w:tcBorders>
              <w:top w:val="single" w:sz="12" w:space="0" w:color="auto"/>
              <w:bottom w:val="single" w:sz="12" w:space="0" w:color="auto"/>
            </w:tcBorders>
          </w:tcPr>
          <w:p w14:paraId="3BE7529E" w14:textId="77777777" w:rsidR="00B50935" w:rsidRPr="00927CFF"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3459404E" w14:textId="77777777" w:rsidR="00B50935" w:rsidRPr="00927CFF" w:rsidRDefault="00B50935" w:rsidP="00427764">
            <w:pPr>
              <w:spacing w:before="180" w:after="180"/>
              <w:ind w:right="-29"/>
              <w:jc w:val="center"/>
              <w:rPr>
                <w:noProof/>
                <w:sz w:val="18"/>
              </w:rPr>
            </w:pPr>
            <w:r w:rsidRPr="00927CFF">
              <w:rPr>
                <w:sz w:val="18"/>
              </w:rPr>
              <w:t>0,100</w:t>
            </w:r>
          </w:p>
        </w:tc>
        <w:tc>
          <w:tcPr>
            <w:tcW w:w="540" w:type="dxa"/>
            <w:gridSpan w:val="2"/>
            <w:tcBorders>
              <w:top w:val="single" w:sz="12" w:space="0" w:color="auto"/>
              <w:bottom w:val="single" w:sz="12" w:space="0" w:color="auto"/>
            </w:tcBorders>
          </w:tcPr>
          <w:p w14:paraId="5F04C00F" w14:textId="77777777" w:rsidR="00B50935" w:rsidRPr="00927CFF"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5448E37A" w14:textId="77777777" w:rsidR="00B50935" w:rsidRPr="00927CFF" w:rsidRDefault="00B50935" w:rsidP="00427764">
            <w:pPr>
              <w:spacing w:before="180" w:after="180"/>
              <w:ind w:right="-29"/>
              <w:jc w:val="center"/>
              <w:rPr>
                <w:noProof/>
                <w:sz w:val="18"/>
              </w:rPr>
            </w:pPr>
            <w:r w:rsidRPr="00927CFF">
              <w:rPr>
                <w:sz w:val="18"/>
              </w:rPr>
              <w:t>0,100</w:t>
            </w:r>
          </w:p>
        </w:tc>
        <w:tc>
          <w:tcPr>
            <w:tcW w:w="432" w:type="dxa"/>
            <w:gridSpan w:val="2"/>
            <w:tcBorders>
              <w:top w:val="single" w:sz="12" w:space="0" w:color="auto"/>
              <w:bottom w:val="single" w:sz="12" w:space="0" w:color="auto"/>
            </w:tcBorders>
          </w:tcPr>
          <w:p w14:paraId="0B4BABF8"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1110B1A" w14:textId="77777777" w:rsidR="00B50935" w:rsidRPr="00927CFF" w:rsidRDefault="00B50935" w:rsidP="00427764">
            <w:pPr>
              <w:spacing w:before="180" w:after="180"/>
              <w:ind w:right="-29"/>
              <w:jc w:val="center"/>
              <w:rPr>
                <w:noProof/>
                <w:sz w:val="18"/>
              </w:rPr>
            </w:pPr>
            <w:r w:rsidRPr="00927CFF">
              <w:rPr>
                <w:sz w:val="18"/>
              </w:rPr>
              <w:t>0,100</w:t>
            </w:r>
          </w:p>
        </w:tc>
        <w:tc>
          <w:tcPr>
            <w:tcW w:w="540" w:type="dxa"/>
            <w:gridSpan w:val="3"/>
            <w:tcBorders>
              <w:top w:val="single" w:sz="12" w:space="0" w:color="auto"/>
              <w:bottom w:val="single" w:sz="12" w:space="0" w:color="auto"/>
            </w:tcBorders>
          </w:tcPr>
          <w:p w14:paraId="35E3E59F" w14:textId="77777777" w:rsidR="00B50935" w:rsidRPr="00927CFF"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02ECE44D" w14:textId="77777777" w:rsidR="00B50935" w:rsidRPr="00927CFF" w:rsidRDefault="00B50935" w:rsidP="00427764">
            <w:pPr>
              <w:spacing w:before="180" w:after="180"/>
              <w:ind w:right="-29"/>
              <w:jc w:val="center"/>
              <w:rPr>
                <w:noProof/>
                <w:sz w:val="18"/>
              </w:rPr>
            </w:pPr>
            <w:r w:rsidRPr="00927CFF">
              <w:rPr>
                <w:sz w:val="18"/>
              </w:rPr>
              <w:t>0,100</w:t>
            </w:r>
          </w:p>
        </w:tc>
        <w:tc>
          <w:tcPr>
            <w:tcW w:w="720" w:type="dxa"/>
            <w:gridSpan w:val="2"/>
            <w:tcBorders>
              <w:top w:val="single" w:sz="12" w:space="0" w:color="auto"/>
              <w:bottom w:val="single" w:sz="12" w:space="0" w:color="auto"/>
            </w:tcBorders>
          </w:tcPr>
          <w:p w14:paraId="54FF01CA"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55F4757B" w14:textId="77777777" w:rsidR="00B50935" w:rsidRPr="00927CFF" w:rsidRDefault="00B50935" w:rsidP="00427764">
            <w:pPr>
              <w:spacing w:before="180" w:after="180"/>
              <w:ind w:right="-29"/>
              <w:jc w:val="center"/>
              <w:rPr>
                <w:noProof/>
                <w:sz w:val="18"/>
              </w:rPr>
            </w:pPr>
            <w:r w:rsidRPr="00927CFF">
              <w:rPr>
                <w:sz w:val="18"/>
              </w:rPr>
              <w:t>0,700</w:t>
            </w:r>
          </w:p>
        </w:tc>
      </w:tr>
      <w:tr w:rsidR="00B50935" w:rsidRPr="00927CFF" w14:paraId="0E835E63"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CB868C3" w14:textId="77777777" w:rsidR="00B50935" w:rsidRPr="00927CFF" w:rsidRDefault="00B50935" w:rsidP="00427764">
            <w:pPr>
              <w:ind w:right="-29"/>
              <w:jc w:val="center"/>
              <w:rPr>
                <w:noProof/>
                <w:sz w:val="18"/>
              </w:rPr>
            </w:pPr>
            <w:r w:rsidRPr="00927CFF">
              <w:rPr>
                <w:sz w:val="18"/>
              </w:rPr>
              <w:t>Subtotal for specifikt mål nr. 5</w:t>
            </w:r>
          </w:p>
        </w:tc>
        <w:tc>
          <w:tcPr>
            <w:tcW w:w="663" w:type="dxa"/>
            <w:gridSpan w:val="2"/>
            <w:tcBorders>
              <w:top w:val="single" w:sz="12" w:space="0" w:color="auto"/>
              <w:bottom w:val="single" w:sz="12" w:space="0" w:color="auto"/>
            </w:tcBorders>
          </w:tcPr>
          <w:p w14:paraId="2997FAE6"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6811F46" w14:textId="77777777" w:rsidR="00B50935" w:rsidRPr="00927CFF" w:rsidRDefault="00B50935" w:rsidP="00427764">
            <w:pPr>
              <w:spacing w:before="180" w:after="180"/>
              <w:ind w:right="-29"/>
              <w:jc w:val="center"/>
              <w:rPr>
                <w:noProof/>
                <w:sz w:val="18"/>
              </w:rPr>
            </w:pPr>
            <w:r w:rsidRPr="00927CFF">
              <w:rPr>
                <w:sz w:val="18"/>
              </w:rPr>
              <w:t>0,600</w:t>
            </w:r>
          </w:p>
        </w:tc>
        <w:tc>
          <w:tcPr>
            <w:tcW w:w="540" w:type="dxa"/>
            <w:gridSpan w:val="2"/>
            <w:tcBorders>
              <w:top w:val="single" w:sz="12" w:space="0" w:color="auto"/>
              <w:bottom w:val="single" w:sz="12" w:space="0" w:color="auto"/>
            </w:tcBorders>
          </w:tcPr>
          <w:p w14:paraId="62999279"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8952830" w14:textId="77777777" w:rsidR="00B50935" w:rsidRPr="00927CFF" w:rsidRDefault="00B50935" w:rsidP="00427764">
            <w:pPr>
              <w:spacing w:before="180" w:after="180"/>
              <w:ind w:right="-29"/>
              <w:jc w:val="center"/>
              <w:rPr>
                <w:noProof/>
                <w:sz w:val="18"/>
              </w:rPr>
            </w:pPr>
            <w:r w:rsidRPr="00927CFF">
              <w:rPr>
                <w:sz w:val="18"/>
              </w:rPr>
              <w:t>0,600</w:t>
            </w:r>
          </w:p>
        </w:tc>
        <w:tc>
          <w:tcPr>
            <w:tcW w:w="720" w:type="dxa"/>
            <w:gridSpan w:val="2"/>
            <w:tcBorders>
              <w:top w:val="single" w:sz="12" w:space="0" w:color="auto"/>
              <w:bottom w:val="single" w:sz="12" w:space="0" w:color="auto"/>
            </w:tcBorders>
          </w:tcPr>
          <w:p w14:paraId="4D33996C"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F9191DC" w14:textId="77777777" w:rsidR="00B50935" w:rsidRPr="00927CFF" w:rsidRDefault="00B50935" w:rsidP="00427764">
            <w:pPr>
              <w:spacing w:before="180" w:after="180"/>
              <w:ind w:right="-29"/>
              <w:jc w:val="center"/>
              <w:rPr>
                <w:noProof/>
                <w:sz w:val="18"/>
              </w:rPr>
            </w:pPr>
            <w:r w:rsidRPr="00927CFF">
              <w:rPr>
                <w:sz w:val="18"/>
              </w:rPr>
              <w:t>0,600</w:t>
            </w:r>
          </w:p>
        </w:tc>
        <w:tc>
          <w:tcPr>
            <w:tcW w:w="900" w:type="dxa"/>
            <w:gridSpan w:val="2"/>
            <w:tcBorders>
              <w:top w:val="single" w:sz="12" w:space="0" w:color="auto"/>
              <w:bottom w:val="single" w:sz="12" w:space="0" w:color="auto"/>
            </w:tcBorders>
          </w:tcPr>
          <w:p w14:paraId="1E9585A8" w14:textId="77777777" w:rsidR="00B50935" w:rsidRPr="00927CFF"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6935449D" w14:textId="77777777" w:rsidR="00B50935" w:rsidRPr="00927CFF" w:rsidRDefault="00B50935" w:rsidP="00427764">
            <w:pPr>
              <w:spacing w:before="180" w:after="180"/>
              <w:ind w:right="-29"/>
              <w:jc w:val="center"/>
              <w:rPr>
                <w:noProof/>
                <w:sz w:val="18"/>
              </w:rPr>
            </w:pPr>
            <w:r w:rsidRPr="00927CFF">
              <w:rPr>
                <w:sz w:val="18"/>
              </w:rPr>
              <w:t>0,600</w:t>
            </w:r>
          </w:p>
        </w:tc>
        <w:tc>
          <w:tcPr>
            <w:tcW w:w="540" w:type="dxa"/>
            <w:gridSpan w:val="2"/>
            <w:tcBorders>
              <w:top w:val="single" w:sz="12" w:space="0" w:color="auto"/>
              <w:bottom w:val="single" w:sz="12" w:space="0" w:color="auto"/>
            </w:tcBorders>
          </w:tcPr>
          <w:p w14:paraId="3B9618EC" w14:textId="77777777" w:rsidR="00B50935" w:rsidRPr="00927CFF"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0846E011" w14:textId="77777777" w:rsidR="00B50935" w:rsidRPr="00927CFF" w:rsidRDefault="00B50935" w:rsidP="00427764">
            <w:pPr>
              <w:spacing w:before="180" w:after="180"/>
              <w:ind w:right="-29"/>
              <w:jc w:val="center"/>
              <w:rPr>
                <w:noProof/>
                <w:sz w:val="18"/>
              </w:rPr>
            </w:pPr>
            <w:r w:rsidRPr="00927CFF">
              <w:rPr>
                <w:sz w:val="18"/>
              </w:rPr>
              <w:t>0,600</w:t>
            </w:r>
          </w:p>
        </w:tc>
        <w:tc>
          <w:tcPr>
            <w:tcW w:w="432" w:type="dxa"/>
            <w:gridSpan w:val="2"/>
            <w:tcBorders>
              <w:top w:val="single" w:sz="12" w:space="0" w:color="auto"/>
              <w:bottom w:val="single" w:sz="12" w:space="0" w:color="auto"/>
            </w:tcBorders>
          </w:tcPr>
          <w:p w14:paraId="220EA6D9"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7238EED" w14:textId="77777777" w:rsidR="00B50935" w:rsidRPr="00927CFF" w:rsidRDefault="00B50935" w:rsidP="00427764">
            <w:pPr>
              <w:spacing w:before="180" w:after="180"/>
              <w:ind w:right="-29"/>
              <w:jc w:val="center"/>
              <w:rPr>
                <w:noProof/>
                <w:sz w:val="18"/>
              </w:rPr>
            </w:pPr>
            <w:r w:rsidRPr="00927CFF">
              <w:rPr>
                <w:sz w:val="18"/>
              </w:rPr>
              <w:t>0,600</w:t>
            </w:r>
          </w:p>
        </w:tc>
        <w:tc>
          <w:tcPr>
            <w:tcW w:w="540" w:type="dxa"/>
            <w:gridSpan w:val="3"/>
            <w:tcBorders>
              <w:top w:val="single" w:sz="12" w:space="0" w:color="auto"/>
              <w:bottom w:val="single" w:sz="12" w:space="0" w:color="auto"/>
            </w:tcBorders>
          </w:tcPr>
          <w:p w14:paraId="1A2EE780" w14:textId="77777777" w:rsidR="00B50935" w:rsidRPr="00927CFF"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1473E555" w14:textId="77777777" w:rsidR="00B50935" w:rsidRPr="00927CFF" w:rsidRDefault="00B50935" w:rsidP="00427764">
            <w:pPr>
              <w:spacing w:before="180" w:after="180"/>
              <w:ind w:right="-29"/>
              <w:jc w:val="center"/>
              <w:rPr>
                <w:noProof/>
                <w:sz w:val="18"/>
              </w:rPr>
            </w:pPr>
            <w:r w:rsidRPr="00927CFF">
              <w:rPr>
                <w:sz w:val="18"/>
              </w:rPr>
              <w:t>0,600</w:t>
            </w:r>
          </w:p>
        </w:tc>
        <w:tc>
          <w:tcPr>
            <w:tcW w:w="720" w:type="dxa"/>
            <w:gridSpan w:val="2"/>
            <w:tcBorders>
              <w:top w:val="single" w:sz="12" w:space="0" w:color="auto"/>
              <w:bottom w:val="single" w:sz="12" w:space="0" w:color="auto"/>
            </w:tcBorders>
          </w:tcPr>
          <w:p w14:paraId="3D319A76"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32FF7DA1" w14:textId="77777777" w:rsidR="00B50935" w:rsidRPr="00927CFF" w:rsidRDefault="00B50935" w:rsidP="00427764">
            <w:pPr>
              <w:spacing w:before="180" w:after="180"/>
              <w:ind w:right="-29"/>
              <w:jc w:val="center"/>
              <w:rPr>
                <w:noProof/>
                <w:sz w:val="18"/>
              </w:rPr>
            </w:pPr>
            <w:r w:rsidRPr="00927CFF">
              <w:rPr>
                <w:sz w:val="18"/>
              </w:rPr>
              <w:t>4,200</w:t>
            </w:r>
          </w:p>
        </w:tc>
      </w:tr>
      <w:tr w:rsidR="00B50935" w:rsidRPr="00927CFF" w14:paraId="0CD7410C" w14:textId="77777777" w:rsidTr="00427764">
        <w:trPr>
          <w:gridAfter w:val="1"/>
          <w:wAfter w:w="12" w:type="dxa"/>
          <w:jc w:val="center"/>
        </w:trPr>
        <w:tc>
          <w:tcPr>
            <w:tcW w:w="13611" w:type="dxa"/>
            <w:gridSpan w:val="37"/>
            <w:tcBorders>
              <w:top w:val="single" w:sz="12" w:space="0" w:color="auto"/>
              <w:left w:val="single" w:sz="12" w:space="0" w:color="auto"/>
              <w:bottom w:val="single" w:sz="12" w:space="0" w:color="auto"/>
              <w:right w:val="single" w:sz="12" w:space="0" w:color="auto"/>
            </w:tcBorders>
            <w:vAlign w:val="center"/>
          </w:tcPr>
          <w:p w14:paraId="60C8A7B9" w14:textId="77777777" w:rsidR="00B50935" w:rsidRPr="00927CFF" w:rsidRDefault="00B50935" w:rsidP="00427764">
            <w:pPr>
              <w:spacing w:before="180" w:after="180"/>
              <w:ind w:right="-29"/>
              <w:jc w:val="center"/>
              <w:rPr>
                <w:noProof/>
                <w:sz w:val="18"/>
              </w:rPr>
            </w:pPr>
            <w:r w:rsidRPr="00927CFF">
              <w:rPr>
                <w:sz w:val="18"/>
              </w:rPr>
              <w:t>SPECIFIKT MÅL NR. 6: ECDC skal forbedre det internationale samarbejde og indsamle regionale/nationale efterretninger.</w:t>
            </w:r>
          </w:p>
        </w:tc>
      </w:tr>
      <w:tr w:rsidR="00B50935" w:rsidRPr="00927CFF" w14:paraId="247853D7"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38E71EDC" w14:textId="77777777" w:rsidR="00B50935" w:rsidRPr="00927CFF" w:rsidRDefault="00B50935" w:rsidP="00427764">
            <w:pPr>
              <w:ind w:right="-29"/>
              <w:jc w:val="center"/>
              <w:rPr>
                <w:noProof/>
                <w:sz w:val="18"/>
              </w:rPr>
            </w:pPr>
            <w:r w:rsidRPr="00927CFF">
              <w:rPr>
                <w:sz w:val="18"/>
              </w:rPr>
              <w:t>Resultat: koordinering på stedet med internationale myndigheder og andre sygdomsagenturer</w:t>
            </w:r>
          </w:p>
        </w:tc>
        <w:tc>
          <w:tcPr>
            <w:tcW w:w="663" w:type="dxa"/>
            <w:gridSpan w:val="2"/>
            <w:tcBorders>
              <w:top w:val="single" w:sz="12" w:space="0" w:color="auto"/>
              <w:bottom w:val="single" w:sz="12" w:space="0" w:color="auto"/>
            </w:tcBorders>
          </w:tcPr>
          <w:p w14:paraId="1597ABED"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76AB59F1" w14:textId="77777777" w:rsidR="00B50935" w:rsidRPr="00927CFF" w:rsidRDefault="00B50935" w:rsidP="00427764">
            <w:pPr>
              <w:spacing w:before="180" w:after="180"/>
              <w:ind w:right="-29"/>
              <w:jc w:val="center"/>
              <w:rPr>
                <w:noProof/>
                <w:sz w:val="18"/>
              </w:rPr>
            </w:pPr>
            <w:r w:rsidRPr="00927CFF">
              <w:rPr>
                <w:sz w:val="18"/>
              </w:rPr>
              <w:t>0,050</w:t>
            </w:r>
          </w:p>
        </w:tc>
        <w:tc>
          <w:tcPr>
            <w:tcW w:w="540" w:type="dxa"/>
            <w:gridSpan w:val="2"/>
            <w:tcBorders>
              <w:top w:val="single" w:sz="12" w:space="0" w:color="auto"/>
              <w:bottom w:val="single" w:sz="12" w:space="0" w:color="auto"/>
            </w:tcBorders>
          </w:tcPr>
          <w:p w14:paraId="26A67142"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A53AA72" w14:textId="77777777" w:rsidR="00B50935" w:rsidRPr="00927CFF" w:rsidRDefault="00B50935" w:rsidP="00427764">
            <w:pPr>
              <w:spacing w:before="180" w:after="180"/>
              <w:ind w:right="-29"/>
              <w:jc w:val="center"/>
              <w:rPr>
                <w:noProof/>
                <w:sz w:val="18"/>
              </w:rPr>
            </w:pPr>
            <w:r w:rsidRPr="00927CFF">
              <w:rPr>
                <w:sz w:val="18"/>
              </w:rPr>
              <w:t>0,150</w:t>
            </w:r>
          </w:p>
        </w:tc>
        <w:tc>
          <w:tcPr>
            <w:tcW w:w="720" w:type="dxa"/>
            <w:gridSpan w:val="2"/>
            <w:tcBorders>
              <w:top w:val="single" w:sz="12" w:space="0" w:color="auto"/>
              <w:bottom w:val="single" w:sz="12" w:space="0" w:color="auto"/>
            </w:tcBorders>
          </w:tcPr>
          <w:p w14:paraId="56BEBD77"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E776734" w14:textId="77777777" w:rsidR="00B50935" w:rsidRPr="00927CFF" w:rsidRDefault="00B50935" w:rsidP="00427764">
            <w:pPr>
              <w:spacing w:before="180" w:after="180"/>
              <w:ind w:right="-29"/>
              <w:jc w:val="center"/>
              <w:rPr>
                <w:noProof/>
                <w:sz w:val="18"/>
              </w:rPr>
            </w:pPr>
            <w:r w:rsidRPr="00927CFF">
              <w:rPr>
                <w:sz w:val="18"/>
              </w:rPr>
              <w:t>0,350</w:t>
            </w:r>
          </w:p>
        </w:tc>
        <w:tc>
          <w:tcPr>
            <w:tcW w:w="900" w:type="dxa"/>
            <w:gridSpan w:val="2"/>
            <w:tcBorders>
              <w:top w:val="single" w:sz="12" w:space="0" w:color="auto"/>
              <w:bottom w:val="single" w:sz="12" w:space="0" w:color="auto"/>
            </w:tcBorders>
          </w:tcPr>
          <w:p w14:paraId="75BF2216" w14:textId="77777777" w:rsidR="00B50935" w:rsidRPr="00927CFF"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408B8AEC" w14:textId="77777777" w:rsidR="00B50935" w:rsidRPr="00927CFF" w:rsidRDefault="00B50935" w:rsidP="00427764">
            <w:pPr>
              <w:spacing w:before="180" w:after="180"/>
              <w:ind w:right="-29"/>
              <w:jc w:val="center"/>
              <w:rPr>
                <w:noProof/>
                <w:sz w:val="18"/>
              </w:rPr>
            </w:pPr>
            <w:r w:rsidRPr="00927CFF">
              <w:rPr>
                <w:sz w:val="18"/>
              </w:rPr>
              <w:t>0,500</w:t>
            </w:r>
          </w:p>
        </w:tc>
        <w:tc>
          <w:tcPr>
            <w:tcW w:w="540" w:type="dxa"/>
            <w:gridSpan w:val="2"/>
            <w:tcBorders>
              <w:top w:val="single" w:sz="12" w:space="0" w:color="auto"/>
              <w:bottom w:val="single" w:sz="12" w:space="0" w:color="auto"/>
            </w:tcBorders>
          </w:tcPr>
          <w:p w14:paraId="445D4CFC" w14:textId="77777777" w:rsidR="00B50935" w:rsidRPr="00927CFF"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4A5F43CD" w14:textId="77777777" w:rsidR="00B50935" w:rsidRPr="00927CFF" w:rsidRDefault="00B50935" w:rsidP="00427764">
            <w:pPr>
              <w:spacing w:before="180" w:after="180"/>
              <w:ind w:right="-29"/>
              <w:jc w:val="center"/>
              <w:rPr>
                <w:noProof/>
                <w:sz w:val="18"/>
              </w:rPr>
            </w:pPr>
            <w:r w:rsidRPr="00927CFF">
              <w:rPr>
                <w:sz w:val="18"/>
              </w:rPr>
              <w:t>0,500</w:t>
            </w:r>
          </w:p>
        </w:tc>
        <w:tc>
          <w:tcPr>
            <w:tcW w:w="432" w:type="dxa"/>
            <w:gridSpan w:val="2"/>
            <w:tcBorders>
              <w:top w:val="single" w:sz="12" w:space="0" w:color="auto"/>
              <w:bottom w:val="single" w:sz="12" w:space="0" w:color="auto"/>
            </w:tcBorders>
          </w:tcPr>
          <w:p w14:paraId="43B8EAA9" w14:textId="77777777" w:rsidR="00B50935" w:rsidRPr="00927CFF" w:rsidRDefault="00B50935" w:rsidP="00427764">
            <w:pPr>
              <w:spacing w:before="180" w:after="180"/>
              <w:ind w:right="-29"/>
              <w:rPr>
                <w:noProof/>
                <w:sz w:val="18"/>
              </w:rPr>
            </w:pPr>
          </w:p>
        </w:tc>
        <w:tc>
          <w:tcPr>
            <w:tcW w:w="720" w:type="dxa"/>
            <w:gridSpan w:val="2"/>
            <w:tcBorders>
              <w:top w:val="single" w:sz="12" w:space="0" w:color="auto"/>
              <w:bottom w:val="single" w:sz="12" w:space="0" w:color="auto"/>
            </w:tcBorders>
          </w:tcPr>
          <w:p w14:paraId="280F3169" w14:textId="77777777" w:rsidR="00B50935" w:rsidRPr="00927CFF" w:rsidRDefault="00B50935" w:rsidP="00427764">
            <w:pPr>
              <w:spacing w:before="180" w:after="180"/>
              <w:ind w:right="-29"/>
              <w:jc w:val="center"/>
              <w:rPr>
                <w:noProof/>
                <w:sz w:val="18"/>
              </w:rPr>
            </w:pPr>
            <w:r w:rsidRPr="00927CFF">
              <w:rPr>
                <w:sz w:val="18"/>
              </w:rPr>
              <w:t>0,500</w:t>
            </w:r>
          </w:p>
        </w:tc>
        <w:tc>
          <w:tcPr>
            <w:tcW w:w="540" w:type="dxa"/>
            <w:gridSpan w:val="3"/>
            <w:tcBorders>
              <w:top w:val="single" w:sz="12" w:space="0" w:color="auto"/>
              <w:bottom w:val="single" w:sz="12" w:space="0" w:color="auto"/>
            </w:tcBorders>
          </w:tcPr>
          <w:p w14:paraId="69E73EB7" w14:textId="77777777" w:rsidR="00B50935" w:rsidRPr="00927CFF"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675DEDCF" w14:textId="77777777" w:rsidR="00B50935" w:rsidRPr="00927CFF" w:rsidRDefault="00B50935" w:rsidP="00427764">
            <w:pPr>
              <w:spacing w:before="180" w:after="180"/>
              <w:ind w:right="-29"/>
              <w:jc w:val="center"/>
              <w:rPr>
                <w:noProof/>
                <w:sz w:val="18"/>
              </w:rPr>
            </w:pPr>
            <w:r w:rsidRPr="00927CFF">
              <w:rPr>
                <w:sz w:val="18"/>
              </w:rPr>
              <w:t>0,500</w:t>
            </w:r>
          </w:p>
        </w:tc>
        <w:tc>
          <w:tcPr>
            <w:tcW w:w="720" w:type="dxa"/>
            <w:gridSpan w:val="2"/>
            <w:tcBorders>
              <w:top w:val="single" w:sz="12" w:space="0" w:color="auto"/>
              <w:bottom w:val="single" w:sz="12" w:space="0" w:color="auto"/>
            </w:tcBorders>
          </w:tcPr>
          <w:p w14:paraId="19791DA8"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56736862" w14:textId="77777777" w:rsidR="00B50935" w:rsidRPr="00927CFF" w:rsidRDefault="00B50935" w:rsidP="00427764">
            <w:pPr>
              <w:spacing w:before="180" w:after="180"/>
              <w:ind w:right="-29"/>
              <w:jc w:val="center"/>
              <w:rPr>
                <w:noProof/>
                <w:sz w:val="18"/>
              </w:rPr>
            </w:pPr>
            <w:r w:rsidRPr="00927CFF">
              <w:rPr>
                <w:sz w:val="18"/>
              </w:rPr>
              <w:t>2,550</w:t>
            </w:r>
          </w:p>
        </w:tc>
      </w:tr>
      <w:tr w:rsidR="00B50935" w:rsidRPr="00927CFF" w14:paraId="5ABE9410"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37352996" w14:textId="77777777" w:rsidR="00B50935" w:rsidRPr="00927CFF" w:rsidRDefault="00B50935" w:rsidP="00427764">
            <w:pPr>
              <w:ind w:right="-29"/>
              <w:jc w:val="center"/>
              <w:rPr>
                <w:noProof/>
                <w:sz w:val="18"/>
              </w:rPr>
            </w:pPr>
            <w:r w:rsidRPr="00927CFF">
              <w:rPr>
                <w:sz w:val="18"/>
              </w:rPr>
              <w:t>Resultat: indsamling af lokale efterretninger og ydelse af ekspertbistand</w:t>
            </w:r>
          </w:p>
        </w:tc>
        <w:tc>
          <w:tcPr>
            <w:tcW w:w="663" w:type="dxa"/>
            <w:gridSpan w:val="2"/>
            <w:tcBorders>
              <w:top w:val="single" w:sz="12" w:space="0" w:color="auto"/>
              <w:bottom w:val="single" w:sz="12" w:space="0" w:color="auto"/>
            </w:tcBorders>
          </w:tcPr>
          <w:p w14:paraId="0D89281A"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1D4214B" w14:textId="77777777" w:rsidR="00B50935" w:rsidRPr="00927CFF" w:rsidRDefault="00B50935" w:rsidP="00427764">
            <w:pPr>
              <w:spacing w:before="180" w:after="180"/>
              <w:ind w:right="-29"/>
              <w:jc w:val="center"/>
              <w:rPr>
                <w:noProof/>
                <w:sz w:val="18"/>
              </w:rPr>
            </w:pPr>
            <w:r w:rsidRPr="00927CFF">
              <w:rPr>
                <w:sz w:val="18"/>
              </w:rPr>
              <w:t>0,050</w:t>
            </w:r>
          </w:p>
        </w:tc>
        <w:tc>
          <w:tcPr>
            <w:tcW w:w="540" w:type="dxa"/>
            <w:gridSpan w:val="2"/>
            <w:tcBorders>
              <w:top w:val="single" w:sz="12" w:space="0" w:color="auto"/>
              <w:bottom w:val="single" w:sz="12" w:space="0" w:color="auto"/>
            </w:tcBorders>
          </w:tcPr>
          <w:p w14:paraId="220E2EC3"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1524B3A1" w14:textId="77777777" w:rsidR="00B50935" w:rsidRPr="00927CFF" w:rsidRDefault="00B50935" w:rsidP="00427764">
            <w:pPr>
              <w:spacing w:before="180" w:after="180"/>
              <w:ind w:right="-29"/>
              <w:jc w:val="center"/>
              <w:rPr>
                <w:noProof/>
                <w:sz w:val="18"/>
              </w:rPr>
            </w:pPr>
            <w:r w:rsidRPr="00927CFF">
              <w:rPr>
                <w:sz w:val="18"/>
              </w:rPr>
              <w:t>0,150</w:t>
            </w:r>
          </w:p>
        </w:tc>
        <w:tc>
          <w:tcPr>
            <w:tcW w:w="720" w:type="dxa"/>
            <w:gridSpan w:val="2"/>
            <w:tcBorders>
              <w:top w:val="single" w:sz="12" w:space="0" w:color="auto"/>
              <w:bottom w:val="single" w:sz="12" w:space="0" w:color="auto"/>
            </w:tcBorders>
          </w:tcPr>
          <w:p w14:paraId="3C0BD139"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2C665837" w14:textId="77777777" w:rsidR="00B50935" w:rsidRPr="00927CFF" w:rsidRDefault="00B50935" w:rsidP="00427764">
            <w:pPr>
              <w:spacing w:before="180" w:after="180"/>
              <w:ind w:right="-29"/>
              <w:jc w:val="center"/>
              <w:rPr>
                <w:noProof/>
                <w:sz w:val="18"/>
              </w:rPr>
            </w:pPr>
            <w:r w:rsidRPr="00927CFF">
              <w:rPr>
                <w:sz w:val="18"/>
              </w:rPr>
              <w:t>0,350</w:t>
            </w:r>
          </w:p>
        </w:tc>
        <w:tc>
          <w:tcPr>
            <w:tcW w:w="900" w:type="dxa"/>
            <w:gridSpan w:val="2"/>
            <w:tcBorders>
              <w:top w:val="single" w:sz="12" w:space="0" w:color="auto"/>
              <w:bottom w:val="single" w:sz="12" w:space="0" w:color="auto"/>
            </w:tcBorders>
          </w:tcPr>
          <w:p w14:paraId="6D530E05" w14:textId="77777777" w:rsidR="00B50935" w:rsidRPr="00927CFF"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264DC011" w14:textId="77777777" w:rsidR="00B50935" w:rsidRPr="00927CFF" w:rsidRDefault="00B50935" w:rsidP="00427764">
            <w:pPr>
              <w:spacing w:before="180" w:after="180"/>
              <w:ind w:right="-29"/>
              <w:jc w:val="center"/>
              <w:rPr>
                <w:noProof/>
                <w:sz w:val="18"/>
              </w:rPr>
            </w:pPr>
            <w:r w:rsidRPr="00927CFF">
              <w:rPr>
                <w:sz w:val="18"/>
              </w:rPr>
              <w:t>0,500</w:t>
            </w:r>
          </w:p>
        </w:tc>
        <w:tc>
          <w:tcPr>
            <w:tcW w:w="540" w:type="dxa"/>
            <w:gridSpan w:val="2"/>
            <w:tcBorders>
              <w:top w:val="single" w:sz="12" w:space="0" w:color="auto"/>
              <w:bottom w:val="single" w:sz="12" w:space="0" w:color="auto"/>
            </w:tcBorders>
          </w:tcPr>
          <w:p w14:paraId="0FCE1589" w14:textId="77777777" w:rsidR="00B50935" w:rsidRPr="00927CFF"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701CD593" w14:textId="77777777" w:rsidR="00B50935" w:rsidRPr="00927CFF" w:rsidRDefault="00B50935" w:rsidP="00427764">
            <w:pPr>
              <w:spacing w:before="180" w:after="180"/>
              <w:ind w:right="-29"/>
              <w:jc w:val="center"/>
              <w:rPr>
                <w:noProof/>
                <w:sz w:val="18"/>
              </w:rPr>
            </w:pPr>
            <w:r w:rsidRPr="00927CFF">
              <w:rPr>
                <w:sz w:val="18"/>
              </w:rPr>
              <w:t>0,500</w:t>
            </w:r>
          </w:p>
        </w:tc>
        <w:tc>
          <w:tcPr>
            <w:tcW w:w="432" w:type="dxa"/>
            <w:gridSpan w:val="2"/>
            <w:tcBorders>
              <w:top w:val="single" w:sz="12" w:space="0" w:color="auto"/>
              <w:bottom w:val="single" w:sz="12" w:space="0" w:color="auto"/>
            </w:tcBorders>
          </w:tcPr>
          <w:p w14:paraId="1D3A5A12"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29E2D25" w14:textId="77777777" w:rsidR="00B50935" w:rsidRPr="00927CFF" w:rsidRDefault="00B50935" w:rsidP="00427764">
            <w:pPr>
              <w:spacing w:before="180" w:after="180"/>
              <w:ind w:right="-29"/>
              <w:jc w:val="center"/>
              <w:rPr>
                <w:noProof/>
                <w:sz w:val="18"/>
              </w:rPr>
            </w:pPr>
            <w:r w:rsidRPr="00927CFF">
              <w:rPr>
                <w:sz w:val="18"/>
              </w:rPr>
              <w:t>0,500</w:t>
            </w:r>
          </w:p>
        </w:tc>
        <w:tc>
          <w:tcPr>
            <w:tcW w:w="540" w:type="dxa"/>
            <w:gridSpan w:val="3"/>
            <w:tcBorders>
              <w:top w:val="single" w:sz="12" w:space="0" w:color="auto"/>
              <w:bottom w:val="single" w:sz="12" w:space="0" w:color="auto"/>
            </w:tcBorders>
          </w:tcPr>
          <w:p w14:paraId="6936BEA7" w14:textId="77777777" w:rsidR="00B50935" w:rsidRPr="00927CFF"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743D012E" w14:textId="77777777" w:rsidR="00B50935" w:rsidRPr="00927CFF" w:rsidRDefault="00B50935" w:rsidP="00427764">
            <w:pPr>
              <w:spacing w:before="180" w:after="180"/>
              <w:ind w:right="-29"/>
              <w:jc w:val="center"/>
              <w:rPr>
                <w:noProof/>
                <w:sz w:val="18"/>
              </w:rPr>
            </w:pPr>
            <w:r w:rsidRPr="00927CFF">
              <w:rPr>
                <w:sz w:val="18"/>
              </w:rPr>
              <w:t>0,500</w:t>
            </w:r>
          </w:p>
        </w:tc>
        <w:tc>
          <w:tcPr>
            <w:tcW w:w="720" w:type="dxa"/>
            <w:gridSpan w:val="2"/>
            <w:tcBorders>
              <w:top w:val="single" w:sz="12" w:space="0" w:color="auto"/>
              <w:bottom w:val="single" w:sz="12" w:space="0" w:color="auto"/>
            </w:tcBorders>
          </w:tcPr>
          <w:p w14:paraId="63632CDB"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6EBCC42B" w14:textId="77777777" w:rsidR="00B50935" w:rsidRPr="00927CFF" w:rsidRDefault="00B50935" w:rsidP="00427764">
            <w:pPr>
              <w:spacing w:before="180" w:after="180"/>
              <w:ind w:right="-29"/>
              <w:jc w:val="center"/>
              <w:rPr>
                <w:noProof/>
                <w:sz w:val="18"/>
              </w:rPr>
            </w:pPr>
            <w:r w:rsidRPr="00927CFF">
              <w:rPr>
                <w:sz w:val="18"/>
              </w:rPr>
              <w:t>2,550</w:t>
            </w:r>
          </w:p>
        </w:tc>
      </w:tr>
      <w:tr w:rsidR="00B50935" w:rsidRPr="00927CFF" w14:paraId="38486388"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5C43201F" w14:textId="77777777" w:rsidR="00B50935" w:rsidRPr="00927CFF" w:rsidRDefault="00B50935" w:rsidP="00427764">
            <w:pPr>
              <w:ind w:right="-29"/>
              <w:jc w:val="center"/>
              <w:rPr>
                <w:noProof/>
                <w:sz w:val="18"/>
              </w:rPr>
            </w:pPr>
            <w:r w:rsidRPr="00927CFF">
              <w:rPr>
                <w:sz w:val="18"/>
              </w:rPr>
              <w:t>Subtotal for specifikt mål nr. 6</w:t>
            </w:r>
          </w:p>
        </w:tc>
        <w:tc>
          <w:tcPr>
            <w:tcW w:w="663" w:type="dxa"/>
            <w:gridSpan w:val="2"/>
            <w:tcBorders>
              <w:top w:val="single" w:sz="12" w:space="0" w:color="auto"/>
              <w:bottom w:val="single" w:sz="12" w:space="0" w:color="auto"/>
            </w:tcBorders>
          </w:tcPr>
          <w:p w14:paraId="16343E33"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6D42E472" w14:textId="77777777" w:rsidR="00B50935" w:rsidRPr="00927CFF" w:rsidRDefault="00B50935" w:rsidP="00427764">
            <w:pPr>
              <w:spacing w:before="180" w:after="180"/>
              <w:ind w:right="-29"/>
              <w:jc w:val="center"/>
              <w:rPr>
                <w:noProof/>
                <w:sz w:val="18"/>
              </w:rPr>
            </w:pPr>
            <w:r w:rsidRPr="00927CFF">
              <w:rPr>
                <w:sz w:val="18"/>
              </w:rPr>
              <w:t>0,100</w:t>
            </w:r>
          </w:p>
        </w:tc>
        <w:tc>
          <w:tcPr>
            <w:tcW w:w="540" w:type="dxa"/>
            <w:gridSpan w:val="2"/>
            <w:tcBorders>
              <w:top w:val="single" w:sz="12" w:space="0" w:color="auto"/>
              <w:bottom w:val="single" w:sz="12" w:space="0" w:color="auto"/>
            </w:tcBorders>
          </w:tcPr>
          <w:p w14:paraId="3A42D2EA"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30A22B42" w14:textId="77777777" w:rsidR="00B50935" w:rsidRPr="00927CFF" w:rsidRDefault="00B50935" w:rsidP="00427764">
            <w:pPr>
              <w:spacing w:before="180" w:after="180"/>
              <w:ind w:right="-29"/>
              <w:jc w:val="center"/>
              <w:rPr>
                <w:noProof/>
                <w:sz w:val="18"/>
              </w:rPr>
            </w:pPr>
            <w:r w:rsidRPr="00927CFF">
              <w:rPr>
                <w:sz w:val="18"/>
              </w:rPr>
              <w:t>0,300</w:t>
            </w:r>
          </w:p>
        </w:tc>
        <w:tc>
          <w:tcPr>
            <w:tcW w:w="720" w:type="dxa"/>
            <w:gridSpan w:val="2"/>
            <w:tcBorders>
              <w:top w:val="single" w:sz="12" w:space="0" w:color="auto"/>
              <w:bottom w:val="single" w:sz="12" w:space="0" w:color="auto"/>
            </w:tcBorders>
          </w:tcPr>
          <w:p w14:paraId="58624B0E"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4DE64E3F" w14:textId="77777777" w:rsidR="00B50935" w:rsidRPr="00927CFF" w:rsidRDefault="00B50935" w:rsidP="00427764">
            <w:pPr>
              <w:spacing w:before="180" w:after="180"/>
              <w:ind w:right="-29"/>
              <w:jc w:val="center"/>
              <w:rPr>
                <w:noProof/>
                <w:sz w:val="18"/>
              </w:rPr>
            </w:pPr>
            <w:r w:rsidRPr="00927CFF">
              <w:rPr>
                <w:sz w:val="18"/>
              </w:rPr>
              <w:t>0,700</w:t>
            </w:r>
          </w:p>
        </w:tc>
        <w:tc>
          <w:tcPr>
            <w:tcW w:w="900" w:type="dxa"/>
            <w:gridSpan w:val="2"/>
            <w:tcBorders>
              <w:top w:val="single" w:sz="12" w:space="0" w:color="auto"/>
              <w:bottom w:val="single" w:sz="12" w:space="0" w:color="auto"/>
            </w:tcBorders>
          </w:tcPr>
          <w:p w14:paraId="1754B1E3" w14:textId="77777777" w:rsidR="00B50935" w:rsidRPr="00927CFF" w:rsidRDefault="00B50935" w:rsidP="00427764">
            <w:pPr>
              <w:spacing w:before="180" w:after="180"/>
              <w:ind w:right="-29"/>
              <w:jc w:val="center"/>
              <w:rPr>
                <w:noProof/>
                <w:sz w:val="18"/>
              </w:rPr>
            </w:pPr>
          </w:p>
        </w:tc>
        <w:tc>
          <w:tcPr>
            <w:tcW w:w="720" w:type="dxa"/>
            <w:gridSpan w:val="3"/>
            <w:tcBorders>
              <w:top w:val="single" w:sz="12" w:space="0" w:color="auto"/>
              <w:bottom w:val="single" w:sz="12" w:space="0" w:color="auto"/>
            </w:tcBorders>
          </w:tcPr>
          <w:p w14:paraId="273913A1" w14:textId="77777777" w:rsidR="00B50935" w:rsidRPr="00927CFF" w:rsidRDefault="00B50935" w:rsidP="00427764">
            <w:pPr>
              <w:spacing w:before="180" w:after="180"/>
              <w:ind w:right="-29"/>
              <w:jc w:val="center"/>
              <w:rPr>
                <w:noProof/>
                <w:sz w:val="18"/>
              </w:rPr>
            </w:pPr>
            <w:r w:rsidRPr="00927CFF">
              <w:rPr>
                <w:sz w:val="18"/>
              </w:rPr>
              <w:t>1,000</w:t>
            </w:r>
          </w:p>
        </w:tc>
        <w:tc>
          <w:tcPr>
            <w:tcW w:w="540" w:type="dxa"/>
            <w:gridSpan w:val="2"/>
            <w:tcBorders>
              <w:top w:val="single" w:sz="12" w:space="0" w:color="auto"/>
              <w:bottom w:val="single" w:sz="12" w:space="0" w:color="auto"/>
            </w:tcBorders>
          </w:tcPr>
          <w:p w14:paraId="53B2C9E0" w14:textId="77777777" w:rsidR="00B50935" w:rsidRPr="00927CFF" w:rsidRDefault="00B50935" w:rsidP="00427764">
            <w:pPr>
              <w:spacing w:before="180" w:after="180"/>
              <w:ind w:right="-29"/>
              <w:jc w:val="center"/>
              <w:rPr>
                <w:noProof/>
                <w:sz w:val="18"/>
              </w:rPr>
            </w:pPr>
          </w:p>
        </w:tc>
        <w:tc>
          <w:tcPr>
            <w:tcW w:w="648" w:type="dxa"/>
            <w:gridSpan w:val="2"/>
            <w:tcBorders>
              <w:top w:val="single" w:sz="12" w:space="0" w:color="auto"/>
              <w:bottom w:val="single" w:sz="12" w:space="0" w:color="auto"/>
            </w:tcBorders>
          </w:tcPr>
          <w:p w14:paraId="0CF76DAB" w14:textId="77777777" w:rsidR="00B50935" w:rsidRPr="00927CFF" w:rsidRDefault="00B50935" w:rsidP="00427764">
            <w:pPr>
              <w:spacing w:before="180" w:after="180"/>
              <w:ind w:right="-29"/>
              <w:jc w:val="center"/>
              <w:rPr>
                <w:noProof/>
                <w:sz w:val="18"/>
              </w:rPr>
            </w:pPr>
            <w:r w:rsidRPr="00927CFF">
              <w:rPr>
                <w:sz w:val="18"/>
              </w:rPr>
              <w:t>1,000</w:t>
            </w:r>
          </w:p>
        </w:tc>
        <w:tc>
          <w:tcPr>
            <w:tcW w:w="432" w:type="dxa"/>
            <w:gridSpan w:val="2"/>
            <w:tcBorders>
              <w:top w:val="single" w:sz="12" w:space="0" w:color="auto"/>
              <w:bottom w:val="single" w:sz="12" w:space="0" w:color="auto"/>
            </w:tcBorders>
          </w:tcPr>
          <w:p w14:paraId="0B37040E" w14:textId="77777777" w:rsidR="00B50935" w:rsidRPr="00927CFF" w:rsidRDefault="00B50935" w:rsidP="00427764">
            <w:pPr>
              <w:spacing w:before="180" w:after="180"/>
              <w:ind w:right="-29"/>
              <w:jc w:val="center"/>
              <w:rPr>
                <w:noProof/>
                <w:sz w:val="18"/>
              </w:rPr>
            </w:pPr>
          </w:p>
        </w:tc>
        <w:tc>
          <w:tcPr>
            <w:tcW w:w="720" w:type="dxa"/>
            <w:gridSpan w:val="2"/>
            <w:tcBorders>
              <w:top w:val="single" w:sz="12" w:space="0" w:color="auto"/>
              <w:bottom w:val="single" w:sz="12" w:space="0" w:color="auto"/>
            </w:tcBorders>
          </w:tcPr>
          <w:p w14:paraId="58A332C6" w14:textId="77777777" w:rsidR="00B50935" w:rsidRPr="00927CFF" w:rsidRDefault="00B50935" w:rsidP="00427764">
            <w:pPr>
              <w:spacing w:before="180" w:after="180"/>
              <w:ind w:right="-29"/>
              <w:jc w:val="center"/>
              <w:rPr>
                <w:noProof/>
                <w:sz w:val="18"/>
              </w:rPr>
            </w:pPr>
            <w:r w:rsidRPr="00927CFF">
              <w:rPr>
                <w:sz w:val="18"/>
              </w:rPr>
              <w:t>1,000</w:t>
            </w:r>
          </w:p>
        </w:tc>
        <w:tc>
          <w:tcPr>
            <w:tcW w:w="540" w:type="dxa"/>
            <w:gridSpan w:val="3"/>
            <w:tcBorders>
              <w:top w:val="single" w:sz="12" w:space="0" w:color="auto"/>
              <w:bottom w:val="single" w:sz="12" w:space="0" w:color="auto"/>
            </w:tcBorders>
          </w:tcPr>
          <w:p w14:paraId="07DFBDC9" w14:textId="77777777" w:rsidR="00B50935" w:rsidRPr="00927CFF" w:rsidRDefault="00B50935" w:rsidP="00427764">
            <w:pPr>
              <w:spacing w:before="180" w:after="180"/>
              <w:ind w:right="-29"/>
              <w:jc w:val="center"/>
              <w:rPr>
                <w:noProof/>
                <w:sz w:val="18"/>
              </w:rPr>
            </w:pPr>
          </w:p>
        </w:tc>
        <w:tc>
          <w:tcPr>
            <w:tcW w:w="723" w:type="dxa"/>
            <w:gridSpan w:val="2"/>
            <w:tcBorders>
              <w:top w:val="single" w:sz="12" w:space="0" w:color="auto"/>
              <w:bottom w:val="single" w:sz="12" w:space="0" w:color="auto"/>
            </w:tcBorders>
          </w:tcPr>
          <w:p w14:paraId="2D80720E" w14:textId="77777777" w:rsidR="00B50935" w:rsidRPr="00927CFF" w:rsidRDefault="00B50935" w:rsidP="00427764">
            <w:pPr>
              <w:spacing w:before="180" w:after="180"/>
              <w:ind w:right="-29"/>
              <w:jc w:val="center"/>
              <w:rPr>
                <w:noProof/>
                <w:sz w:val="18"/>
              </w:rPr>
            </w:pPr>
            <w:r w:rsidRPr="00927CFF">
              <w:rPr>
                <w:sz w:val="18"/>
              </w:rPr>
              <w:t>1,000</w:t>
            </w:r>
          </w:p>
        </w:tc>
        <w:tc>
          <w:tcPr>
            <w:tcW w:w="720" w:type="dxa"/>
            <w:gridSpan w:val="2"/>
            <w:tcBorders>
              <w:top w:val="single" w:sz="12" w:space="0" w:color="auto"/>
              <w:bottom w:val="single" w:sz="12" w:space="0" w:color="auto"/>
            </w:tcBorders>
          </w:tcPr>
          <w:p w14:paraId="33A4591B" w14:textId="77777777" w:rsidR="00B50935" w:rsidRPr="00927CFF" w:rsidRDefault="00B50935" w:rsidP="00427764">
            <w:pPr>
              <w:spacing w:before="180" w:after="180"/>
              <w:ind w:right="-29"/>
              <w:jc w:val="center"/>
              <w:rPr>
                <w:noProof/>
                <w:sz w:val="18"/>
              </w:rPr>
            </w:pPr>
          </w:p>
        </w:tc>
        <w:tc>
          <w:tcPr>
            <w:tcW w:w="900" w:type="dxa"/>
            <w:gridSpan w:val="2"/>
            <w:tcBorders>
              <w:top w:val="single" w:sz="12" w:space="0" w:color="auto"/>
              <w:bottom w:val="single" w:sz="12" w:space="0" w:color="auto"/>
              <w:right w:val="single" w:sz="12" w:space="0" w:color="auto"/>
            </w:tcBorders>
          </w:tcPr>
          <w:p w14:paraId="42FB285E" w14:textId="77777777" w:rsidR="00B50935" w:rsidRPr="00927CFF" w:rsidRDefault="00B50935" w:rsidP="00427764">
            <w:pPr>
              <w:spacing w:before="180" w:after="180"/>
              <w:ind w:right="-29"/>
              <w:jc w:val="center"/>
              <w:rPr>
                <w:noProof/>
                <w:sz w:val="18"/>
              </w:rPr>
            </w:pPr>
            <w:r w:rsidRPr="00927CFF">
              <w:rPr>
                <w:sz w:val="18"/>
              </w:rPr>
              <w:t>5,100</w:t>
            </w:r>
          </w:p>
        </w:tc>
      </w:tr>
      <w:tr w:rsidR="00B50935" w:rsidRPr="00927CFF" w14:paraId="65D1A2CC" w14:textId="77777777" w:rsidTr="00427764">
        <w:trPr>
          <w:gridAfter w:val="1"/>
          <w:wAfter w:w="12" w:type="dxa"/>
          <w:jc w:val="center"/>
        </w:trPr>
        <w:tc>
          <w:tcPr>
            <w:tcW w:w="2685" w:type="dxa"/>
            <w:gridSpan w:val="3"/>
            <w:tcBorders>
              <w:top w:val="single" w:sz="12" w:space="0" w:color="auto"/>
              <w:left w:val="single" w:sz="12" w:space="0" w:color="auto"/>
              <w:bottom w:val="single" w:sz="12" w:space="0" w:color="auto"/>
            </w:tcBorders>
            <w:vAlign w:val="center"/>
          </w:tcPr>
          <w:p w14:paraId="4C1F39E3" w14:textId="77777777" w:rsidR="00B50935" w:rsidRPr="00927CFF" w:rsidRDefault="00B50935" w:rsidP="00427764">
            <w:pPr>
              <w:ind w:right="-29"/>
              <w:jc w:val="center"/>
              <w:rPr>
                <w:b/>
                <w:noProof/>
                <w:sz w:val="18"/>
              </w:rPr>
            </w:pPr>
            <w:r w:rsidRPr="00927CFF">
              <w:rPr>
                <w:b/>
                <w:sz w:val="18"/>
              </w:rPr>
              <w:t>OMKOSTNINGER I ALT</w:t>
            </w:r>
          </w:p>
        </w:tc>
        <w:tc>
          <w:tcPr>
            <w:tcW w:w="663" w:type="dxa"/>
            <w:gridSpan w:val="2"/>
            <w:tcBorders>
              <w:top w:val="single" w:sz="12" w:space="0" w:color="auto"/>
              <w:bottom w:val="single" w:sz="12" w:space="0" w:color="auto"/>
            </w:tcBorders>
          </w:tcPr>
          <w:p w14:paraId="64FC9F5E" w14:textId="77777777" w:rsidR="00B50935" w:rsidRPr="00927CFF"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A7AB430" w14:textId="77777777" w:rsidR="00B50935" w:rsidRPr="00927CFF" w:rsidRDefault="00B50935" w:rsidP="00427764">
            <w:pPr>
              <w:spacing w:before="180" w:after="180"/>
              <w:ind w:right="-29"/>
              <w:jc w:val="center"/>
              <w:rPr>
                <w:b/>
                <w:noProof/>
                <w:sz w:val="18"/>
              </w:rPr>
            </w:pPr>
            <w:r w:rsidRPr="00927CFF">
              <w:rPr>
                <w:b/>
                <w:sz w:val="18"/>
              </w:rPr>
              <w:t>12,300</w:t>
            </w:r>
          </w:p>
        </w:tc>
        <w:tc>
          <w:tcPr>
            <w:tcW w:w="540" w:type="dxa"/>
            <w:gridSpan w:val="2"/>
            <w:tcBorders>
              <w:top w:val="single" w:sz="12" w:space="0" w:color="auto"/>
              <w:bottom w:val="single" w:sz="12" w:space="0" w:color="auto"/>
            </w:tcBorders>
          </w:tcPr>
          <w:p w14:paraId="605F6383" w14:textId="77777777" w:rsidR="00B50935" w:rsidRPr="00927CFF"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6797CC5" w14:textId="77777777" w:rsidR="00B50935" w:rsidRPr="00927CFF" w:rsidRDefault="00B50935" w:rsidP="00427764">
            <w:pPr>
              <w:spacing w:before="180" w:after="180"/>
              <w:ind w:right="-29"/>
              <w:jc w:val="center"/>
              <w:rPr>
                <w:b/>
                <w:noProof/>
                <w:sz w:val="18"/>
              </w:rPr>
            </w:pPr>
            <w:r w:rsidRPr="00927CFF">
              <w:rPr>
                <w:b/>
                <w:sz w:val="18"/>
              </w:rPr>
              <w:t>16,500</w:t>
            </w:r>
          </w:p>
        </w:tc>
        <w:tc>
          <w:tcPr>
            <w:tcW w:w="720" w:type="dxa"/>
            <w:gridSpan w:val="2"/>
            <w:tcBorders>
              <w:top w:val="single" w:sz="12" w:space="0" w:color="auto"/>
              <w:bottom w:val="single" w:sz="12" w:space="0" w:color="auto"/>
            </w:tcBorders>
          </w:tcPr>
          <w:p w14:paraId="3DB465C9" w14:textId="77777777" w:rsidR="00B50935" w:rsidRPr="00927CFF"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4CB1B027" w14:textId="77777777" w:rsidR="00B50935" w:rsidRPr="00927CFF" w:rsidRDefault="00B50935" w:rsidP="00427764">
            <w:pPr>
              <w:spacing w:before="180" w:after="180"/>
              <w:ind w:right="-29"/>
              <w:jc w:val="center"/>
              <w:rPr>
                <w:b/>
                <w:noProof/>
                <w:sz w:val="18"/>
              </w:rPr>
            </w:pPr>
            <w:r w:rsidRPr="00927CFF">
              <w:rPr>
                <w:b/>
                <w:sz w:val="18"/>
              </w:rPr>
              <w:t>16,700</w:t>
            </w:r>
          </w:p>
        </w:tc>
        <w:tc>
          <w:tcPr>
            <w:tcW w:w="900" w:type="dxa"/>
            <w:gridSpan w:val="2"/>
            <w:tcBorders>
              <w:top w:val="single" w:sz="12" w:space="0" w:color="auto"/>
              <w:bottom w:val="single" w:sz="12" w:space="0" w:color="auto"/>
            </w:tcBorders>
          </w:tcPr>
          <w:p w14:paraId="57BFA3BB" w14:textId="77777777" w:rsidR="00B50935" w:rsidRPr="00927CFF" w:rsidRDefault="00B50935" w:rsidP="00427764">
            <w:pPr>
              <w:spacing w:before="180" w:after="180"/>
              <w:ind w:right="-29"/>
              <w:jc w:val="center"/>
              <w:rPr>
                <w:b/>
                <w:noProof/>
                <w:sz w:val="18"/>
              </w:rPr>
            </w:pPr>
          </w:p>
        </w:tc>
        <w:tc>
          <w:tcPr>
            <w:tcW w:w="720" w:type="dxa"/>
            <w:gridSpan w:val="3"/>
            <w:tcBorders>
              <w:top w:val="single" w:sz="12" w:space="0" w:color="auto"/>
              <w:bottom w:val="single" w:sz="12" w:space="0" w:color="auto"/>
            </w:tcBorders>
          </w:tcPr>
          <w:p w14:paraId="6DF9156C" w14:textId="77777777" w:rsidR="00B50935" w:rsidRPr="00927CFF" w:rsidRDefault="00B50935" w:rsidP="00427764">
            <w:pPr>
              <w:spacing w:before="180" w:after="180"/>
              <w:ind w:right="-29"/>
              <w:jc w:val="center"/>
              <w:rPr>
                <w:b/>
                <w:noProof/>
                <w:sz w:val="18"/>
              </w:rPr>
            </w:pPr>
            <w:r w:rsidRPr="00927CFF">
              <w:rPr>
                <w:b/>
                <w:sz w:val="18"/>
              </w:rPr>
              <w:t>17,000</w:t>
            </w:r>
          </w:p>
        </w:tc>
        <w:tc>
          <w:tcPr>
            <w:tcW w:w="540" w:type="dxa"/>
            <w:gridSpan w:val="2"/>
            <w:tcBorders>
              <w:top w:val="single" w:sz="12" w:space="0" w:color="auto"/>
              <w:bottom w:val="single" w:sz="12" w:space="0" w:color="auto"/>
            </w:tcBorders>
          </w:tcPr>
          <w:p w14:paraId="07B7BDEF" w14:textId="77777777" w:rsidR="00B50935" w:rsidRPr="00927CFF" w:rsidRDefault="00B50935" w:rsidP="00427764">
            <w:pPr>
              <w:spacing w:before="180" w:after="180"/>
              <w:ind w:right="-29"/>
              <w:jc w:val="center"/>
              <w:rPr>
                <w:b/>
                <w:noProof/>
                <w:sz w:val="18"/>
              </w:rPr>
            </w:pPr>
          </w:p>
        </w:tc>
        <w:tc>
          <w:tcPr>
            <w:tcW w:w="648" w:type="dxa"/>
            <w:gridSpan w:val="2"/>
            <w:tcBorders>
              <w:top w:val="single" w:sz="12" w:space="0" w:color="auto"/>
              <w:bottom w:val="single" w:sz="12" w:space="0" w:color="auto"/>
            </w:tcBorders>
          </w:tcPr>
          <w:p w14:paraId="2EFE2A4E" w14:textId="77777777" w:rsidR="00B50935" w:rsidRPr="00927CFF" w:rsidRDefault="00B50935" w:rsidP="00427764">
            <w:pPr>
              <w:spacing w:before="180" w:after="180"/>
              <w:ind w:right="-29"/>
              <w:jc w:val="center"/>
              <w:rPr>
                <w:b/>
                <w:noProof/>
                <w:sz w:val="18"/>
              </w:rPr>
            </w:pPr>
            <w:r w:rsidRPr="00927CFF">
              <w:rPr>
                <w:b/>
                <w:sz w:val="16"/>
              </w:rPr>
              <w:t>14,000</w:t>
            </w:r>
          </w:p>
        </w:tc>
        <w:tc>
          <w:tcPr>
            <w:tcW w:w="432" w:type="dxa"/>
            <w:gridSpan w:val="2"/>
            <w:tcBorders>
              <w:top w:val="single" w:sz="12" w:space="0" w:color="auto"/>
              <w:bottom w:val="single" w:sz="12" w:space="0" w:color="auto"/>
            </w:tcBorders>
          </w:tcPr>
          <w:p w14:paraId="67A9B9D1" w14:textId="77777777" w:rsidR="00B50935" w:rsidRPr="00927CFF" w:rsidRDefault="00B50935" w:rsidP="00427764">
            <w:pPr>
              <w:spacing w:before="180" w:after="180"/>
              <w:ind w:right="-29"/>
              <w:jc w:val="center"/>
              <w:rPr>
                <w:b/>
                <w:noProof/>
                <w:sz w:val="18"/>
              </w:rPr>
            </w:pPr>
          </w:p>
        </w:tc>
        <w:tc>
          <w:tcPr>
            <w:tcW w:w="720" w:type="dxa"/>
            <w:gridSpan w:val="2"/>
            <w:tcBorders>
              <w:top w:val="single" w:sz="12" w:space="0" w:color="auto"/>
              <w:bottom w:val="single" w:sz="12" w:space="0" w:color="auto"/>
            </w:tcBorders>
          </w:tcPr>
          <w:p w14:paraId="754A6BB4" w14:textId="77777777" w:rsidR="00B50935" w:rsidRPr="00927CFF" w:rsidRDefault="00B50935" w:rsidP="00427764">
            <w:pPr>
              <w:spacing w:before="180" w:after="180"/>
              <w:ind w:right="-29"/>
              <w:jc w:val="center"/>
              <w:rPr>
                <w:b/>
                <w:noProof/>
                <w:sz w:val="18"/>
              </w:rPr>
            </w:pPr>
            <w:r w:rsidRPr="00927CFF">
              <w:rPr>
                <w:b/>
                <w:sz w:val="18"/>
              </w:rPr>
              <w:t>13,000</w:t>
            </w:r>
          </w:p>
        </w:tc>
        <w:tc>
          <w:tcPr>
            <w:tcW w:w="540" w:type="dxa"/>
            <w:gridSpan w:val="3"/>
            <w:tcBorders>
              <w:top w:val="single" w:sz="12" w:space="0" w:color="auto"/>
              <w:bottom w:val="single" w:sz="12" w:space="0" w:color="auto"/>
            </w:tcBorders>
          </w:tcPr>
          <w:p w14:paraId="4312BDFE" w14:textId="77777777" w:rsidR="00B50935" w:rsidRPr="00927CFF" w:rsidRDefault="00B50935" w:rsidP="00427764">
            <w:pPr>
              <w:spacing w:before="180" w:after="180"/>
              <w:ind w:right="-29"/>
              <w:jc w:val="center"/>
              <w:rPr>
                <w:b/>
                <w:noProof/>
                <w:sz w:val="18"/>
              </w:rPr>
            </w:pPr>
          </w:p>
        </w:tc>
        <w:tc>
          <w:tcPr>
            <w:tcW w:w="723" w:type="dxa"/>
            <w:gridSpan w:val="2"/>
            <w:tcBorders>
              <w:top w:val="single" w:sz="12" w:space="0" w:color="auto"/>
              <w:bottom w:val="single" w:sz="12" w:space="0" w:color="auto"/>
            </w:tcBorders>
          </w:tcPr>
          <w:p w14:paraId="410F9ECD" w14:textId="77777777" w:rsidR="00B50935" w:rsidRPr="00927CFF" w:rsidRDefault="00B50935" w:rsidP="00427764">
            <w:pPr>
              <w:spacing w:before="180" w:after="180"/>
              <w:ind w:right="-29"/>
              <w:jc w:val="center"/>
              <w:rPr>
                <w:b/>
                <w:noProof/>
                <w:sz w:val="18"/>
              </w:rPr>
            </w:pPr>
            <w:r w:rsidRPr="00927CFF">
              <w:rPr>
                <w:b/>
                <w:sz w:val="18"/>
              </w:rPr>
              <w:t>13,000</w:t>
            </w:r>
          </w:p>
        </w:tc>
        <w:tc>
          <w:tcPr>
            <w:tcW w:w="720" w:type="dxa"/>
            <w:gridSpan w:val="2"/>
            <w:tcBorders>
              <w:top w:val="single" w:sz="12" w:space="0" w:color="auto"/>
              <w:bottom w:val="single" w:sz="12" w:space="0" w:color="auto"/>
            </w:tcBorders>
          </w:tcPr>
          <w:p w14:paraId="0F4BFD09" w14:textId="77777777" w:rsidR="00B50935" w:rsidRPr="00927CFF" w:rsidRDefault="00B50935" w:rsidP="00427764">
            <w:pPr>
              <w:spacing w:before="180" w:after="180"/>
              <w:ind w:right="-29"/>
              <w:jc w:val="center"/>
              <w:rPr>
                <w:b/>
                <w:noProof/>
                <w:sz w:val="18"/>
              </w:rPr>
            </w:pPr>
          </w:p>
        </w:tc>
        <w:tc>
          <w:tcPr>
            <w:tcW w:w="900" w:type="dxa"/>
            <w:gridSpan w:val="2"/>
            <w:tcBorders>
              <w:top w:val="single" w:sz="12" w:space="0" w:color="auto"/>
              <w:bottom w:val="single" w:sz="12" w:space="0" w:color="auto"/>
              <w:right w:val="single" w:sz="12" w:space="0" w:color="auto"/>
            </w:tcBorders>
          </w:tcPr>
          <w:p w14:paraId="7136FE96" w14:textId="77777777" w:rsidR="00B50935" w:rsidRPr="00927CFF" w:rsidRDefault="00B50935" w:rsidP="00427764">
            <w:pPr>
              <w:spacing w:before="180" w:after="180"/>
              <w:ind w:right="-29"/>
              <w:jc w:val="center"/>
              <w:rPr>
                <w:b/>
                <w:noProof/>
                <w:sz w:val="18"/>
              </w:rPr>
            </w:pPr>
            <w:r w:rsidRPr="00927CFF">
              <w:rPr>
                <w:b/>
                <w:sz w:val="18"/>
              </w:rPr>
              <w:t>102,500</w:t>
            </w:r>
          </w:p>
        </w:tc>
      </w:tr>
    </w:tbl>
    <w:p w14:paraId="365F51F0" w14:textId="77777777" w:rsidR="00B50935" w:rsidRPr="00927CFF" w:rsidRDefault="00B50935" w:rsidP="00B50935">
      <w:pPr>
        <w:rPr>
          <w:noProof/>
        </w:rPr>
        <w:sectPr w:rsidR="00B50935" w:rsidRPr="00927CFF" w:rsidSect="00BE6028">
          <w:headerReference w:type="default" r:id="rId15"/>
          <w:footerReference w:type="default" r:id="rId16"/>
          <w:headerReference w:type="first" r:id="rId17"/>
          <w:footerReference w:type="first" r:id="rId18"/>
          <w:pgSz w:w="15840" w:h="12240" w:orient="landscape"/>
          <w:pgMar w:top="1418" w:right="902" w:bottom="902" w:left="567" w:header="709" w:footer="709" w:gutter="0"/>
          <w:cols w:space="720"/>
          <w:docGrid w:linePitch="326"/>
        </w:sectPr>
      </w:pPr>
    </w:p>
    <w:p w14:paraId="01D73843" w14:textId="77777777" w:rsidR="00B50935" w:rsidRPr="00927CFF" w:rsidRDefault="00B50935" w:rsidP="00B50935">
      <w:pPr>
        <w:pStyle w:val="Heading3"/>
        <w:rPr>
          <w:bCs w:val="0"/>
          <w:noProof/>
          <w:szCs w:val="24"/>
        </w:rPr>
      </w:pPr>
      <w:bookmarkStart w:id="74" w:name="_Toc514938688"/>
      <w:bookmarkStart w:id="75" w:name="_Toc57735224"/>
      <w:r w:rsidRPr="00927CFF">
        <w:t>Anslåede virkninger for [organet]s menneskelige ressourcer</w:t>
      </w:r>
      <w:bookmarkEnd w:id="74"/>
      <w:bookmarkEnd w:id="75"/>
      <w:r w:rsidRPr="00927CFF">
        <w:t xml:space="preserve"> </w:t>
      </w:r>
    </w:p>
    <w:p w14:paraId="38960E2C" w14:textId="77777777" w:rsidR="00B50935" w:rsidRPr="00927CFF" w:rsidRDefault="00B50935" w:rsidP="00B50935">
      <w:pPr>
        <w:pStyle w:val="Heading4"/>
        <w:rPr>
          <w:bCs w:val="0"/>
          <w:noProof/>
          <w:szCs w:val="24"/>
        </w:rPr>
      </w:pPr>
      <w:r w:rsidRPr="00927CFF">
        <w:t xml:space="preserve">Resumé </w:t>
      </w:r>
    </w:p>
    <w:p w14:paraId="6FAA91CA" w14:textId="77777777" w:rsidR="00B50935" w:rsidRPr="00927CFF" w:rsidRDefault="00B50935" w:rsidP="006F7C3E">
      <w:pPr>
        <w:pStyle w:val="ListDash1"/>
        <w:rPr>
          <w:noProof/>
        </w:rPr>
      </w:pPr>
      <w:r w:rsidRPr="00927CFF">
        <w:sym w:font="Wingdings" w:char="F0A8"/>
      </w:r>
      <w:r w:rsidRPr="00927CFF">
        <w:tab/>
        <w:t xml:space="preserve">Forslaget/initiativet medfører ikke anvendelse af administrationsbevillinger </w:t>
      </w:r>
    </w:p>
    <w:p w14:paraId="7DA7E120" w14:textId="77777777" w:rsidR="00B50935" w:rsidRPr="00927CFF" w:rsidRDefault="00B50935" w:rsidP="006F7C3E">
      <w:pPr>
        <w:pStyle w:val="ListDash1"/>
        <w:rPr>
          <w:noProof/>
        </w:rPr>
      </w:pPr>
      <w:r w:rsidRPr="00927CFF">
        <w:sym w:font="Webdings" w:char="F061"/>
      </w:r>
      <w:r w:rsidRPr="00927CFF">
        <w:tab/>
        <w:t>Forslaget/initiativet medfører anvendelse af administrationsbevillinger som anført herunder:</w:t>
      </w:r>
    </w:p>
    <w:p w14:paraId="2C747473" w14:textId="77777777" w:rsidR="00B50935" w:rsidRPr="002902A6" w:rsidRDefault="00B50935" w:rsidP="00B50935">
      <w:pPr>
        <w:rPr>
          <w:noProof/>
          <w:sz w:val="20"/>
          <w:lang w:val="it-IT"/>
        </w:rPr>
      </w:pPr>
      <w:r w:rsidRPr="002902A6">
        <w:rPr>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27CFF" w14:paraId="7D7DE097" w14:textId="77777777" w:rsidTr="00427764">
        <w:trPr>
          <w:trHeight w:val="585"/>
        </w:trPr>
        <w:tc>
          <w:tcPr>
            <w:tcW w:w="1980" w:type="dxa"/>
          </w:tcPr>
          <w:p w14:paraId="0AA421F1" w14:textId="77777777" w:rsidR="00B50935" w:rsidRPr="002902A6" w:rsidRDefault="00B50935" w:rsidP="00427764">
            <w:pPr>
              <w:spacing w:before="60" w:after="60"/>
              <w:rPr>
                <w:noProof/>
                <w:sz w:val="20"/>
                <w:lang w:val="it-IT"/>
              </w:rPr>
            </w:pPr>
          </w:p>
        </w:tc>
        <w:tc>
          <w:tcPr>
            <w:tcW w:w="1080" w:type="dxa"/>
            <w:vAlign w:val="center"/>
          </w:tcPr>
          <w:p w14:paraId="55B6DCF0" w14:textId="77777777" w:rsidR="00B50935" w:rsidRPr="00927CFF" w:rsidRDefault="00B50935" w:rsidP="00427764">
            <w:pPr>
              <w:spacing w:before="60" w:after="60"/>
              <w:jc w:val="center"/>
              <w:rPr>
                <w:noProof/>
                <w:sz w:val="20"/>
              </w:rPr>
            </w:pPr>
            <w:r w:rsidRPr="00927CFF">
              <w:rPr>
                <w:sz w:val="20"/>
              </w:rPr>
              <w:t>År</w:t>
            </w:r>
            <w:r w:rsidRPr="00927CFF">
              <w:t xml:space="preserve"> </w:t>
            </w:r>
            <w:r w:rsidRPr="00927CFF">
              <w:br/>
            </w:r>
            <w:r w:rsidRPr="00927CFF">
              <w:rPr>
                <w:b/>
                <w:sz w:val="20"/>
              </w:rPr>
              <w:t>2021</w:t>
            </w:r>
          </w:p>
        </w:tc>
        <w:tc>
          <w:tcPr>
            <w:tcW w:w="1080" w:type="dxa"/>
            <w:vAlign w:val="center"/>
          </w:tcPr>
          <w:p w14:paraId="6346BA7A" w14:textId="77777777" w:rsidR="00B50935" w:rsidRPr="00927CFF" w:rsidRDefault="00B50935" w:rsidP="00427764">
            <w:pPr>
              <w:spacing w:before="60" w:after="60"/>
              <w:jc w:val="center"/>
              <w:rPr>
                <w:noProof/>
                <w:sz w:val="20"/>
              </w:rPr>
            </w:pPr>
            <w:r w:rsidRPr="00927CFF">
              <w:rPr>
                <w:sz w:val="20"/>
              </w:rPr>
              <w:t>År</w:t>
            </w:r>
            <w:r w:rsidRPr="00927CFF">
              <w:t xml:space="preserve"> </w:t>
            </w:r>
            <w:r w:rsidRPr="00927CFF">
              <w:br/>
            </w:r>
            <w:r w:rsidRPr="00927CFF">
              <w:rPr>
                <w:b/>
                <w:sz w:val="20"/>
              </w:rPr>
              <w:t>2022</w:t>
            </w:r>
          </w:p>
        </w:tc>
        <w:tc>
          <w:tcPr>
            <w:tcW w:w="1080" w:type="dxa"/>
            <w:vAlign w:val="center"/>
          </w:tcPr>
          <w:p w14:paraId="2B6CCB9D" w14:textId="77777777" w:rsidR="00B50935" w:rsidRPr="00927CFF" w:rsidRDefault="00B50935" w:rsidP="00427764">
            <w:pPr>
              <w:spacing w:before="60" w:after="60"/>
              <w:jc w:val="center"/>
              <w:rPr>
                <w:noProof/>
                <w:sz w:val="20"/>
              </w:rPr>
            </w:pPr>
            <w:r w:rsidRPr="00927CFF">
              <w:rPr>
                <w:sz w:val="20"/>
              </w:rPr>
              <w:t>År</w:t>
            </w:r>
            <w:r w:rsidRPr="00927CFF">
              <w:t xml:space="preserve"> </w:t>
            </w:r>
            <w:r w:rsidRPr="00927CFF">
              <w:br/>
            </w:r>
            <w:r w:rsidRPr="00927CFF">
              <w:rPr>
                <w:b/>
                <w:sz w:val="20"/>
              </w:rPr>
              <w:t>2023</w:t>
            </w:r>
          </w:p>
        </w:tc>
        <w:tc>
          <w:tcPr>
            <w:tcW w:w="1080" w:type="dxa"/>
            <w:vAlign w:val="center"/>
          </w:tcPr>
          <w:p w14:paraId="07CC1217" w14:textId="77777777" w:rsidR="00B50935" w:rsidRPr="00927CFF" w:rsidRDefault="00B50935" w:rsidP="00427764">
            <w:pPr>
              <w:spacing w:before="60" w:after="60"/>
              <w:jc w:val="center"/>
              <w:rPr>
                <w:noProof/>
                <w:sz w:val="20"/>
              </w:rPr>
            </w:pPr>
            <w:r w:rsidRPr="00927CFF">
              <w:rPr>
                <w:sz w:val="20"/>
              </w:rPr>
              <w:t>År</w:t>
            </w:r>
            <w:r w:rsidRPr="00927CFF">
              <w:t xml:space="preserve"> </w:t>
            </w:r>
            <w:r w:rsidRPr="00927CFF">
              <w:br/>
            </w:r>
            <w:r w:rsidRPr="00927CFF">
              <w:rPr>
                <w:b/>
                <w:sz w:val="20"/>
              </w:rPr>
              <w:t>2024</w:t>
            </w:r>
          </w:p>
        </w:tc>
        <w:tc>
          <w:tcPr>
            <w:tcW w:w="1080" w:type="dxa"/>
            <w:vAlign w:val="center"/>
          </w:tcPr>
          <w:p w14:paraId="3ADEBDD8"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2025</w:t>
            </w:r>
          </w:p>
        </w:tc>
        <w:tc>
          <w:tcPr>
            <w:tcW w:w="1080" w:type="dxa"/>
            <w:vAlign w:val="center"/>
          </w:tcPr>
          <w:p w14:paraId="0E25D7DF"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2026</w:t>
            </w:r>
          </w:p>
        </w:tc>
        <w:tc>
          <w:tcPr>
            <w:tcW w:w="1080" w:type="dxa"/>
            <w:vAlign w:val="center"/>
          </w:tcPr>
          <w:p w14:paraId="5CD735AA"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2027</w:t>
            </w:r>
            <w:r w:rsidRPr="00927CFF">
              <w:rPr>
                <w:sz w:val="20"/>
              </w:rPr>
              <w:t xml:space="preserve"> ff</w:t>
            </w:r>
          </w:p>
        </w:tc>
        <w:tc>
          <w:tcPr>
            <w:tcW w:w="1080" w:type="dxa"/>
            <w:vAlign w:val="center"/>
          </w:tcPr>
          <w:p w14:paraId="4732A8AD" w14:textId="77777777" w:rsidR="00B50935" w:rsidRPr="00927CFF" w:rsidRDefault="00B50935" w:rsidP="00427764">
            <w:pPr>
              <w:spacing w:before="60" w:after="60"/>
              <w:jc w:val="center"/>
              <w:rPr>
                <w:b/>
                <w:noProof/>
                <w:sz w:val="20"/>
              </w:rPr>
            </w:pPr>
            <w:r w:rsidRPr="00927CFF">
              <w:rPr>
                <w:b/>
                <w:sz w:val="20"/>
              </w:rPr>
              <w:t>I ALT</w:t>
            </w:r>
          </w:p>
        </w:tc>
      </w:tr>
    </w:tbl>
    <w:p w14:paraId="611E08B3" w14:textId="77777777" w:rsidR="00B50935" w:rsidRPr="00927CFF" w:rsidRDefault="00B50935" w:rsidP="00B50935">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27CFF" w14:paraId="59F8BFE7" w14:textId="77777777" w:rsidTr="00427764">
        <w:trPr>
          <w:trHeight w:val="585"/>
        </w:trPr>
        <w:tc>
          <w:tcPr>
            <w:tcW w:w="1980" w:type="dxa"/>
            <w:shd w:val="clear" w:color="auto" w:fill="D9D9D9" w:themeFill="background1" w:themeFillShade="D9"/>
            <w:vAlign w:val="center"/>
          </w:tcPr>
          <w:p w14:paraId="5840A101" w14:textId="77777777" w:rsidR="00B50935" w:rsidRPr="00927CFF" w:rsidRDefault="00B50935" w:rsidP="00427764">
            <w:pPr>
              <w:spacing w:before="60" w:after="60"/>
              <w:jc w:val="center"/>
              <w:rPr>
                <w:noProof/>
              </w:rPr>
            </w:pPr>
            <w:r w:rsidRPr="00927CFF">
              <w:rPr>
                <w:sz w:val="18"/>
              </w:rPr>
              <w:t>Midlertidigt ansatte (AD)</w:t>
            </w:r>
          </w:p>
        </w:tc>
        <w:tc>
          <w:tcPr>
            <w:tcW w:w="1080" w:type="dxa"/>
            <w:vAlign w:val="bottom"/>
          </w:tcPr>
          <w:p w14:paraId="426D855F" w14:textId="77777777" w:rsidR="00B50935" w:rsidRPr="00927CFF" w:rsidRDefault="00B50935" w:rsidP="00427764">
            <w:pPr>
              <w:spacing w:before="60" w:after="60"/>
              <w:jc w:val="right"/>
              <w:rPr>
                <w:noProof/>
                <w:sz w:val="20"/>
              </w:rPr>
            </w:pPr>
            <w:r w:rsidRPr="00927CFF">
              <w:rPr>
                <w:color w:val="000000"/>
                <w:sz w:val="22"/>
              </w:rPr>
              <w:t>1,650</w:t>
            </w:r>
          </w:p>
        </w:tc>
        <w:tc>
          <w:tcPr>
            <w:tcW w:w="1080" w:type="dxa"/>
            <w:vAlign w:val="bottom"/>
          </w:tcPr>
          <w:p w14:paraId="7EA25776" w14:textId="77777777" w:rsidR="00B50935" w:rsidRPr="00927CFF" w:rsidRDefault="00B50935" w:rsidP="00427764">
            <w:pPr>
              <w:spacing w:before="60" w:after="60"/>
              <w:jc w:val="right"/>
              <w:rPr>
                <w:noProof/>
                <w:sz w:val="20"/>
              </w:rPr>
            </w:pPr>
            <w:r w:rsidRPr="00927CFF">
              <w:rPr>
                <w:color w:val="000000"/>
                <w:sz w:val="22"/>
              </w:rPr>
              <w:t>3,300</w:t>
            </w:r>
          </w:p>
        </w:tc>
        <w:tc>
          <w:tcPr>
            <w:tcW w:w="1080" w:type="dxa"/>
            <w:vAlign w:val="bottom"/>
          </w:tcPr>
          <w:p w14:paraId="350254C9" w14:textId="77777777" w:rsidR="00B50935" w:rsidRPr="00927CFF" w:rsidRDefault="00B50935" w:rsidP="00427764">
            <w:pPr>
              <w:spacing w:before="60" w:after="60"/>
              <w:jc w:val="right"/>
              <w:rPr>
                <w:noProof/>
                <w:sz w:val="20"/>
              </w:rPr>
            </w:pPr>
            <w:r w:rsidRPr="00927CFF">
              <w:rPr>
                <w:color w:val="000000"/>
                <w:sz w:val="22"/>
              </w:rPr>
              <w:t>4,350</w:t>
            </w:r>
          </w:p>
        </w:tc>
        <w:tc>
          <w:tcPr>
            <w:tcW w:w="1080" w:type="dxa"/>
            <w:vAlign w:val="bottom"/>
          </w:tcPr>
          <w:p w14:paraId="357B73DE" w14:textId="77777777" w:rsidR="00B50935" w:rsidRPr="00927CFF" w:rsidRDefault="00B50935" w:rsidP="00427764">
            <w:pPr>
              <w:spacing w:before="60" w:after="60"/>
              <w:jc w:val="right"/>
              <w:rPr>
                <w:noProof/>
                <w:sz w:val="20"/>
              </w:rPr>
            </w:pPr>
            <w:r w:rsidRPr="00927CFF">
              <w:rPr>
                <w:color w:val="000000"/>
                <w:sz w:val="22"/>
              </w:rPr>
              <w:t>4,800</w:t>
            </w:r>
          </w:p>
        </w:tc>
        <w:tc>
          <w:tcPr>
            <w:tcW w:w="1080" w:type="dxa"/>
            <w:vAlign w:val="bottom"/>
          </w:tcPr>
          <w:p w14:paraId="5C18E51D" w14:textId="77777777" w:rsidR="00B50935" w:rsidRPr="00927CFF" w:rsidRDefault="00B50935" w:rsidP="00427764">
            <w:pPr>
              <w:spacing w:before="60" w:after="60"/>
              <w:jc w:val="right"/>
              <w:rPr>
                <w:noProof/>
                <w:sz w:val="20"/>
              </w:rPr>
            </w:pPr>
            <w:r w:rsidRPr="00927CFF">
              <w:rPr>
                <w:color w:val="000000"/>
                <w:sz w:val="22"/>
              </w:rPr>
              <w:t>4,800</w:t>
            </w:r>
          </w:p>
        </w:tc>
        <w:tc>
          <w:tcPr>
            <w:tcW w:w="1080" w:type="dxa"/>
            <w:vAlign w:val="bottom"/>
          </w:tcPr>
          <w:p w14:paraId="421A5EBB" w14:textId="77777777" w:rsidR="00B50935" w:rsidRPr="00927CFF" w:rsidRDefault="00B50935" w:rsidP="00427764">
            <w:pPr>
              <w:spacing w:before="60" w:after="60"/>
              <w:jc w:val="right"/>
              <w:rPr>
                <w:noProof/>
                <w:sz w:val="20"/>
              </w:rPr>
            </w:pPr>
            <w:r w:rsidRPr="00927CFF">
              <w:rPr>
                <w:color w:val="000000"/>
                <w:sz w:val="22"/>
              </w:rPr>
              <w:t>4,800</w:t>
            </w:r>
          </w:p>
        </w:tc>
        <w:tc>
          <w:tcPr>
            <w:tcW w:w="1080" w:type="dxa"/>
            <w:vAlign w:val="bottom"/>
          </w:tcPr>
          <w:p w14:paraId="08B0F392" w14:textId="77777777" w:rsidR="00B50935" w:rsidRPr="00927CFF" w:rsidRDefault="00B50935" w:rsidP="00427764">
            <w:pPr>
              <w:spacing w:before="60" w:after="60"/>
              <w:jc w:val="right"/>
              <w:rPr>
                <w:b/>
                <w:noProof/>
                <w:sz w:val="20"/>
              </w:rPr>
            </w:pPr>
            <w:r w:rsidRPr="00927CFF">
              <w:rPr>
                <w:color w:val="000000"/>
                <w:sz w:val="22"/>
              </w:rPr>
              <w:t>4,800</w:t>
            </w:r>
          </w:p>
        </w:tc>
        <w:tc>
          <w:tcPr>
            <w:tcW w:w="1080" w:type="dxa"/>
            <w:vAlign w:val="bottom"/>
          </w:tcPr>
          <w:p w14:paraId="077CCE08" w14:textId="77777777" w:rsidR="00B50935" w:rsidRPr="00927CFF" w:rsidRDefault="00B50935" w:rsidP="00427764">
            <w:pPr>
              <w:spacing w:before="60" w:after="60"/>
              <w:jc w:val="right"/>
              <w:rPr>
                <w:b/>
                <w:noProof/>
                <w:sz w:val="20"/>
              </w:rPr>
            </w:pPr>
            <w:r w:rsidRPr="00927CFF">
              <w:rPr>
                <w:b/>
                <w:bCs/>
                <w:color w:val="000000"/>
                <w:sz w:val="22"/>
              </w:rPr>
              <w:t>28,500</w:t>
            </w:r>
          </w:p>
        </w:tc>
      </w:tr>
      <w:tr w:rsidR="00B50935" w:rsidRPr="00927CFF" w14:paraId="7916EC51" w14:textId="77777777" w:rsidTr="00427764">
        <w:trPr>
          <w:trHeight w:val="585"/>
        </w:trPr>
        <w:tc>
          <w:tcPr>
            <w:tcW w:w="1980" w:type="dxa"/>
            <w:shd w:val="clear" w:color="auto" w:fill="BFBFBF" w:themeFill="background1" w:themeFillShade="BF"/>
            <w:vAlign w:val="center"/>
          </w:tcPr>
          <w:p w14:paraId="36E6E732" w14:textId="77777777" w:rsidR="00B50935" w:rsidRPr="00927CFF" w:rsidRDefault="00B50935" w:rsidP="00427764">
            <w:pPr>
              <w:spacing w:before="60" w:after="60"/>
              <w:ind w:left="72"/>
              <w:rPr>
                <w:noProof/>
              </w:rPr>
            </w:pPr>
            <w:r w:rsidRPr="00927CFF">
              <w:rPr>
                <w:sz w:val="20"/>
              </w:rPr>
              <w:t>Midlertidigt ansatte (AST)</w:t>
            </w:r>
          </w:p>
        </w:tc>
        <w:tc>
          <w:tcPr>
            <w:tcW w:w="1080" w:type="dxa"/>
            <w:vAlign w:val="bottom"/>
          </w:tcPr>
          <w:p w14:paraId="534040AE" w14:textId="77777777" w:rsidR="00B50935" w:rsidRPr="00927CFF" w:rsidRDefault="00B50935" w:rsidP="00427764">
            <w:pPr>
              <w:spacing w:before="60" w:after="60"/>
              <w:jc w:val="right"/>
              <w:rPr>
                <w:noProof/>
                <w:sz w:val="20"/>
              </w:rPr>
            </w:pPr>
            <w:r w:rsidRPr="00927CFF">
              <w:rPr>
                <w:color w:val="000000"/>
                <w:sz w:val="22"/>
              </w:rPr>
              <w:t>1,050</w:t>
            </w:r>
          </w:p>
        </w:tc>
        <w:tc>
          <w:tcPr>
            <w:tcW w:w="1080" w:type="dxa"/>
            <w:vAlign w:val="bottom"/>
          </w:tcPr>
          <w:p w14:paraId="62FE330B" w14:textId="77777777" w:rsidR="00B50935" w:rsidRPr="00927CFF" w:rsidRDefault="00B50935" w:rsidP="00427764">
            <w:pPr>
              <w:spacing w:before="60" w:after="60"/>
              <w:jc w:val="right"/>
              <w:rPr>
                <w:noProof/>
                <w:sz w:val="20"/>
              </w:rPr>
            </w:pPr>
            <w:r w:rsidRPr="00927CFF">
              <w:rPr>
                <w:color w:val="000000"/>
                <w:sz w:val="22"/>
              </w:rPr>
              <w:t>1,950</w:t>
            </w:r>
          </w:p>
        </w:tc>
        <w:tc>
          <w:tcPr>
            <w:tcW w:w="1080" w:type="dxa"/>
            <w:vAlign w:val="bottom"/>
          </w:tcPr>
          <w:p w14:paraId="4CF9130C" w14:textId="77777777" w:rsidR="00B50935" w:rsidRPr="00927CFF" w:rsidRDefault="00B50935" w:rsidP="00427764">
            <w:pPr>
              <w:spacing w:before="60" w:after="60"/>
              <w:jc w:val="right"/>
              <w:rPr>
                <w:noProof/>
                <w:sz w:val="20"/>
              </w:rPr>
            </w:pPr>
            <w:r w:rsidRPr="00927CFF">
              <w:rPr>
                <w:color w:val="000000"/>
                <w:sz w:val="22"/>
              </w:rPr>
              <w:t>1,950</w:t>
            </w:r>
          </w:p>
        </w:tc>
        <w:tc>
          <w:tcPr>
            <w:tcW w:w="1080" w:type="dxa"/>
            <w:vAlign w:val="bottom"/>
          </w:tcPr>
          <w:p w14:paraId="0A5C9C56" w14:textId="77777777" w:rsidR="00B50935" w:rsidRPr="00927CFF" w:rsidRDefault="00B50935" w:rsidP="00427764">
            <w:pPr>
              <w:spacing w:before="60" w:after="60"/>
              <w:jc w:val="right"/>
              <w:rPr>
                <w:noProof/>
                <w:sz w:val="20"/>
              </w:rPr>
            </w:pPr>
            <w:r w:rsidRPr="00927CFF">
              <w:rPr>
                <w:color w:val="000000"/>
                <w:sz w:val="22"/>
              </w:rPr>
              <w:t>1,950</w:t>
            </w:r>
          </w:p>
        </w:tc>
        <w:tc>
          <w:tcPr>
            <w:tcW w:w="1080" w:type="dxa"/>
            <w:vAlign w:val="bottom"/>
          </w:tcPr>
          <w:p w14:paraId="1DE65514" w14:textId="77777777" w:rsidR="00B50935" w:rsidRPr="00927CFF" w:rsidRDefault="00B50935" w:rsidP="00427764">
            <w:pPr>
              <w:spacing w:before="60" w:after="60"/>
              <w:jc w:val="right"/>
              <w:rPr>
                <w:noProof/>
                <w:sz w:val="20"/>
              </w:rPr>
            </w:pPr>
            <w:r w:rsidRPr="00927CFF">
              <w:rPr>
                <w:color w:val="000000"/>
                <w:sz w:val="22"/>
              </w:rPr>
              <w:t>1,950</w:t>
            </w:r>
          </w:p>
        </w:tc>
        <w:tc>
          <w:tcPr>
            <w:tcW w:w="1080" w:type="dxa"/>
            <w:vAlign w:val="bottom"/>
          </w:tcPr>
          <w:p w14:paraId="285A9ED5" w14:textId="77777777" w:rsidR="00B50935" w:rsidRPr="00927CFF" w:rsidRDefault="00B50935" w:rsidP="00427764">
            <w:pPr>
              <w:spacing w:before="60" w:after="60"/>
              <w:jc w:val="right"/>
              <w:rPr>
                <w:noProof/>
                <w:sz w:val="20"/>
              </w:rPr>
            </w:pPr>
            <w:r w:rsidRPr="00927CFF">
              <w:rPr>
                <w:color w:val="000000"/>
                <w:sz w:val="22"/>
              </w:rPr>
              <w:t>1,950</w:t>
            </w:r>
          </w:p>
        </w:tc>
        <w:tc>
          <w:tcPr>
            <w:tcW w:w="1080" w:type="dxa"/>
            <w:vAlign w:val="bottom"/>
          </w:tcPr>
          <w:p w14:paraId="378C1E8E" w14:textId="77777777" w:rsidR="00B50935" w:rsidRPr="00927CFF" w:rsidRDefault="00B50935" w:rsidP="00427764">
            <w:pPr>
              <w:spacing w:before="60" w:after="60"/>
              <w:jc w:val="right"/>
              <w:rPr>
                <w:b/>
                <w:noProof/>
                <w:sz w:val="20"/>
              </w:rPr>
            </w:pPr>
            <w:r w:rsidRPr="00927CFF">
              <w:rPr>
                <w:color w:val="000000"/>
                <w:sz w:val="22"/>
              </w:rPr>
              <w:t>1,950</w:t>
            </w:r>
          </w:p>
        </w:tc>
        <w:tc>
          <w:tcPr>
            <w:tcW w:w="1080" w:type="dxa"/>
            <w:vAlign w:val="bottom"/>
          </w:tcPr>
          <w:p w14:paraId="157D0AE0" w14:textId="77777777" w:rsidR="00B50935" w:rsidRPr="00927CFF" w:rsidRDefault="00B50935" w:rsidP="00427764">
            <w:pPr>
              <w:spacing w:before="60" w:after="60"/>
              <w:jc w:val="right"/>
              <w:rPr>
                <w:b/>
                <w:noProof/>
                <w:sz w:val="20"/>
              </w:rPr>
            </w:pPr>
            <w:r w:rsidRPr="00927CFF">
              <w:rPr>
                <w:b/>
                <w:bCs/>
                <w:color w:val="000000"/>
                <w:sz w:val="22"/>
              </w:rPr>
              <w:t>12,750</w:t>
            </w:r>
          </w:p>
        </w:tc>
      </w:tr>
      <w:tr w:rsidR="00B50935" w:rsidRPr="00927CFF" w14:paraId="3CA9DC6C" w14:textId="77777777" w:rsidTr="00427764">
        <w:trPr>
          <w:trHeight w:val="585"/>
        </w:trPr>
        <w:tc>
          <w:tcPr>
            <w:tcW w:w="1980" w:type="dxa"/>
            <w:shd w:val="clear" w:color="auto" w:fill="BFBFBF" w:themeFill="background1" w:themeFillShade="BF"/>
            <w:vAlign w:val="center"/>
          </w:tcPr>
          <w:p w14:paraId="7F74E16C" w14:textId="77777777" w:rsidR="00B50935" w:rsidRPr="00927CFF" w:rsidRDefault="00B50935" w:rsidP="00427764">
            <w:pPr>
              <w:spacing w:before="60" w:after="60"/>
              <w:ind w:left="72"/>
              <w:rPr>
                <w:noProof/>
              </w:rPr>
            </w:pPr>
            <w:r w:rsidRPr="00927CFF">
              <w:rPr>
                <w:sz w:val="20"/>
              </w:rPr>
              <w:t>Kontraktansatte</w:t>
            </w:r>
          </w:p>
        </w:tc>
        <w:tc>
          <w:tcPr>
            <w:tcW w:w="1080" w:type="dxa"/>
            <w:shd w:val="clear" w:color="auto" w:fill="BFBFBF" w:themeFill="background1" w:themeFillShade="BF"/>
            <w:vAlign w:val="bottom"/>
          </w:tcPr>
          <w:p w14:paraId="41F8F222" w14:textId="77777777" w:rsidR="00B50935" w:rsidRPr="00927CFF" w:rsidRDefault="00B50935" w:rsidP="00427764">
            <w:pPr>
              <w:spacing w:before="60" w:after="60"/>
              <w:jc w:val="right"/>
              <w:rPr>
                <w:color w:val="000000"/>
                <w:sz w:val="20"/>
                <w:szCs w:val="20"/>
              </w:rPr>
            </w:pPr>
            <w:r w:rsidRPr="00927CFF">
              <w:rPr>
                <w:color w:val="000000"/>
                <w:sz w:val="22"/>
              </w:rPr>
              <w:t>1,040</w:t>
            </w:r>
          </w:p>
        </w:tc>
        <w:tc>
          <w:tcPr>
            <w:tcW w:w="1080" w:type="dxa"/>
            <w:shd w:val="clear" w:color="auto" w:fill="BFBFBF" w:themeFill="background1" w:themeFillShade="BF"/>
            <w:vAlign w:val="bottom"/>
          </w:tcPr>
          <w:p w14:paraId="066DCC9C" w14:textId="77777777" w:rsidR="00B50935" w:rsidRPr="00927CFF" w:rsidRDefault="00B50935" w:rsidP="00427764">
            <w:pPr>
              <w:spacing w:before="60" w:after="60"/>
              <w:jc w:val="right"/>
              <w:rPr>
                <w:noProof/>
                <w:sz w:val="20"/>
              </w:rPr>
            </w:pPr>
            <w:r w:rsidRPr="00927CFF">
              <w:rPr>
                <w:color w:val="000000"/>
                <w:sz w:val="22"/>
              </w:rPr>
              <w:t>1,600</w:t>
            </w:r>
          </w:p>
        </w:tc>
        <w:tc>
          <w:tcPr>
            <w:tcW w:w="1080" w:type="dxa"/>
            <w:shd w:val="clear" w:color="auto" w:fill="BFBFBF" w:themeFill="background1" w:themeFillShade="BF"/>
            <w:vAlign w:val="bottom"/>
          </w:tcPr>
          <w:p w14:paraId="3D4F305F" w14:textId="77777777" w:rsidR="00B50935" w:rsidRPr="00927CFF" w:rsidRDefault="00B50935" w:rsidP="00427764">
            <w:pPr>
              <w:spacing w:before="60" w:after="60"/>
              <w:jc w:val="right"/>
              <w:rPr>
                <w:noProof/>
                <w:sz w:val="20"/>
              </w:rPr>
            </w:pPr>
            <w:r w:rsidRPr="00927CFF">
              <w:rPr>
                <w:color w:val="000000"/>
                <w:sz w:val="22"/>
              </w:rPr>
              <w:t>2,080</w:t>
            </w:r>
          </w:p>
        </w:tc>
        <w:tc>
          <w:tcPr>
            <w:tcW w:w="1080" w:type="dxa"/>
            <w:shd w:val="clear" w:color="auto" w:fill="BFBFBF" w:themeFill="background1" w:themeFillShade="BF"/>
            <w:vAlign w:val="bottom"/>
          </w:tcPr>
          <w:p w14:paraId="21FF9317" w14:textId="77777777" w:rsidR="00B50935" w:rsidRPr="00927CFF" w:rsidRDefault="00B50935" w:rsidP="00427764">
            <w:pPr>
              <w:spacing w:before="60" w:after="60"/>
              <w:jc w:val="right"/>
              <w:rPr>
                <w:noProof/>
                <w:sz w:val="20"/>
              </w:rPr>
            </w:pPr>
            <w:r w:rsidRPr="00927CFF">
              <w:rPr>
                <w:color w:val="000000"/>
                <w:sz w:val="22"/>
              </w:rPr>
              <w:t>2,240</w:t>
            </w:r>
          </w:p>
        </w:tc>
        <w:tc>
          <w:tcPr>
            <w:tcW w:w="1080" w:type="dxa"/>
            <w:shd w:val="clear" w:color="auto" w:fill="BFBFBF" w:themeFill="background1" w:themeFillShade="BF"/>
            <w:vAlign w:val="bottom"/>
          </w:tcPr>
          <w:p w14:paraId="64BAA661" w14:textId="77777777" w:rsidR="00B50935" w:rsidRPr="00927CFF" w:rsidRDefault="00B50935" w:rsidP="00427764">
            <w:pPr>
              <w:spacing w:before="60" w:after="60"/>
              <w:jc w:val="right"/>
              <w:rPr>
                <w:noProof/>
                <w:sz w:val="20"/>
              </w:rPr>
            </w:pPr>
            <w:r w:rsidRPr="00927CFF">
              <w:rPr>
                <w:color w:val="000000"/>
                <w:sz w:val="22"/>
              </w:rPr>
              <w:t>2,240</w:t>
            </w:r>
          </w:p>
        </w:tc>
        <w:tc>
          <w:tcPr>
            <w:tcW w:w="1080" w:type="dxa"/>
            <w:shd w:val="clear" w:color="auto" w:fill="BFBFBF" w:themeFill="background1" w:themeFillShade="BF"/>
            <w:vAlign w:val="bottom"/>
          </w:tcPr>
          <w:p w14:paraId="678DCCF3" w14:textId="77777777" w:rsidR="00B50935" w:rsidRPr="00927CFF" w:rsidRDefault="00B50935" w:rsidP="00427764">
            <w:pPr>
              <w:spacing w:before="60" w:after="60"/>
              <w:jc w:val="right"/>
              <w:rPr>
                <w:noProof/>
                <w:sz w:val="20"/>
              </w:rPr>
            </w:pPr>
            <w:r w:rsidRPr="00927CFF">
              <w:rPr>
                <w:color w:val="000000"/>
                <w:sz w:val="22"/>
              </w:rPr>
              <w:t>2,240</w:t>
            </w:r>
          </w:p>
        </w:tc>
        <w:tc>
          <w:tcPr>
            <w:tcW w:w="1080" w:type="dxa"/>
            <w:shd w:val="clear" w:color="auto" w:fill="BFBFBF" w:themeFill="background1" w:themeFillShade="BF"/>
            <w:vAlign w:val="bottom"/>
          </w:tcPr>
          <w:p w14:paraId="45FC6DD4" w14:textId="77777777" w:rsidR="00B50935" w:rsidRPr="00927CFF" w:rsidRDefault="00B50935" w:rsidP="00427764">
            <w:pPr>
              <w:spacing w:before="60" w:after="60"/>
              <w:jc w:val="right"/>
              <w:rPr>
                <w:b/>
                <w:noProof/>
                <w:sz w:val="20"/>
              </w:rPr>
            </w:pPr>
            <w:r w:rsidRPr="00927CFF">
              <w:rPr>
                <w:color w:val="000000"/>
                <w:sz w:val="22"/>
              </w:rPr>
              <w:t>2,240</w:t>
            </w:r>
          </w:p>
        </w:tc>
        <w:tc>
          <w:tcPr>
            <w:tcW w:w="1080" w:type="dxa"/>
            <w:shd w:val="clear" w:color="auto" w:fill="BFBFBF" w:themeFill="background1" w:themeFillShade="BF"/>
            <w:vAlign w:val="bottom"/>
          </w:tcPr>
          <w:p w14:paraId="000E38E8" w14:textId="77777777" w:rsidR="00B50935" w:rsidRPr="00927CFF" w:rsidRDefault="00B50935" w:rsidP="00427764">
            <w:pPr>
              <w:spacing w:before="60" w:after="60"/>
              <w:jc w:val="right"/>
              <w:rPr>
                <w:b/>
                <w:noProof/>
                <w:sz w:val="20"/>
              </w:rPr>
            </w:pPr>
            <w:r w:rsidRPr="00927CFF">
              <w:rPr>
                <w:b/>
                <w:bCs/>
                <w:color w:val="000000"/>
                <w:sz w:val="22"/>
              </w:rPr>
              <w:t>13,680</w:t>
            </w:r>
          </w:p>
        </w:tc>
      </w:tr>
      <w:tr w:rsidR="00B50935" w:rsidRPr="00927CFF" w14:paraId="25B488CE" w14:textId="77777777" w:rsidTr="00427764">
        <w:trPr>
          <w:trHeight w:val="585"/>
        </w:trPr>
        <w:tc>
          <w:tcPr>
            <w:tcW w:w="1980" w:type="dxa"/>
            <w:shd w:val="clear" w:color="auto" w:fill="CCCCCC"/>
            <w:vAlign w:val="center"/>
          </w:tcPr>
          <w:p w14:paraId="5B79E14B" w14:textId="77777777" w:rsidR="00B50935" w:rsidRPr="00927CFF" w:rsidRDefault="00B50935" w:rsidP="00427764">
            <w:pPr>
              <w:spacing w:before="60" w:after="60"/>
              <w:jc w:val="center"/>
              <w:rPr>
                <w:noProof/>
              </w:rPr>
            </w:pPr>
            <w:r w:rsidRPr="00927CFF">
              <w:rPr>
                <w:sz w:val="18"/>
              </w:rPr>
              <w:t>Udstationerede nationale eksperter</w:t>
            </w:r>
          </w:p>
        </w:tc>
        <w:tc>
          <w:tcPr>
            <w:tcW w:w="1080" w:type="dxa"/>
            <w:vAlign w:val="center"/>
          </w:tcPr>
          <w:p w14:paraId="6DC4DB5A"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341FF51F"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490B6F9E"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56C5D391"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7E525357"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37541F80"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314944BF" w14:textId="77777777" w:rsidR="00B50935" w:rsidRPr="00927CFF" w:rsidRDefault="00B50935" w:rsidP="00427764">
            <w:pPr>
              <w:spacing w:before="60" w:after="60"/>
              <w:jc w:val="right"/>
              <w:rPr>
                <w:b/>
                <w:noProof/>
                <w:sz w:val="20"/>
              </w:rPr>
            </w:pPr>
            <w:r w:rsidRPr="00927CFF">
              <w:rPr>
                <w:b/>
                <w:sz w:val="20"/>
              </w:rPr>
              <w:t>0</w:t>
            </w:r>
          </w:p>
        </w:tc>
        <w:tc>
          <w:tcPr>
            <w:tcW w:w="1080" w:type="dxa"/>
            <w:vAlign w:val="center"/>
          </w:tcPr>
          <w:p w14:paraId="62DF25A8" w14:textId="77777777" w:rsidR="00B50935" w:rsidRPr="00927CFF" w:rsidRDefault="00B50935" w:rsidP="00427764">
            <w:pPr>
              <w:spacing w:before="60" w:after="60"/>
              <w:jc w:val="right"/>
              <w:rPr>
                <w:b/>
                <w:noProof/>
                <w:sz w:val="20"/>
              </w:rPr>
            </w:pPr>
            <w:r w:rsidRPr="00927CFF">
              <w:rPr>
                <w:color w:val="000000"/>
                <w:sz w:val="20"/>
                <w:szCs w:val="20"/>
              </w:rPr>
              <w:t>0</w:t>
            </w:r>
          </w:p>
        </w:tc>
      </w:tr>
    </w:tbl>
    <w:p w14:paraId="19F11A75" w14:textId="77777777" w:rsidR="00B50935" w:rsidRPr="00927CFF" w:rsidRDefault="00B50935" w:rsidP="00B50935">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27CFF" w14:paraId="3EA00D49" w14:textId="77777777" w:rsidTr="0042776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5190C941" w14:textId="77777777" w:rsidR="00B50935" w:rsidRPr="00927CFF" w:rsidRDefault="00B50935" w:rsidP="00427764">
            <w:pPr>
              <w:spacing w:before="60" w:after="60"/>
              <w:jc w:val="center"/>
              <w:rPr>
                <w:noProof/>
                <w:sz w:val="20"/>
              </w:rPr>
            </w:pPr>
            <w:r w:rsidRPr="00927CFF">
              <w:rPr>
                <w:b/>
                <w:sz w:val="20"/>
              </w:rPr>
              <w:t>I ALT</w:t>
            </w:r>
          </w:p>
        </w:tc>
        <w:tc>
          <w:tcPr>
            <w:tcW w:w="1080" w:type="dxa"/>
            <w:tcBorders>
              <w:top w:val="single" w:sz="12" w:space="0" w:color="auto"/>
              <w:left w:val="single" w:sz="2" w:space="0" w:color="auto"/>
              <w:bottom w:val="single" w:sz="12" w:space="0" w:color="auto"/>
              <w:right w:val="single" w:sz="2" w:space="0" w:color="auto"/>
            </w:tcBorders>
            <w:vAlign w:val="center"/>
          </w:tcPr>
          <w:p w14:paraId="3A8598C8" w14:textId="77777777" w:rsidR="00B50935" w:rsidRPr="00927CFF" w:rsidRDefault="00B50935" w:rsidP="00427764">
            <w:pPr>
              <w:spacing w:before="60" w:after="60"/>
              <w:jc w:val="right"/>
              <w:rPr>
                <w:b/>
                <w:noProof/>
                <w:sz w:val="20"/>
              </w:rPr>
            </w:pPr>
            <w:r w:rsidRPr="00927CFF">
              <w:rPr>
                <w:b/>
                <w:bCs/>
                <w:color w:val="000000"/>
                <w:sz w:val="20"/>
              </w:rPr>
              <w:t>3,740</w:t>
            </w:r>
          </w:p>
        </w:tc>
        <w:tc>
          <w:tcPr>
            <w:tcW w:w="1080" w:type="dxa"/>
            <w:tcBorders>
              <w:top w:val="single" w:sz="12" w:space="0" w:color="auto"/>
              <w:left w:val="single" w:sz="2" w:space="0" w:color="auto"/>
              <w:bottom w:val="single" w:sz="12" w:space="0" w:color="auto"/>
              <w:right w:val="single" w:sz="2" w:space="0" w:color="auto"/>
            </w:tcBorders>
            <w:vAlign w:val="center"/>
          </w:tcPr>
          <w:p w14:paraId="32430627" w14:textId="77777777" w:rsidR="00B50935" w:rsidRPr="00927CFF" w:rsidRDefault="00B50935" w:rsidP="00427764">
            <w:pPr>
              <w:spacing w:before="60" w:after="60"/>
              <w:jc w:val="right"/>
              <w:rPr>
                <w:b/>
                <w:noProof/>
                <w:sz w:val="20"/>
              </w:rPr>
            </w:pPr>
            <w:r w:rsidRPr="00927CFF">
              <w:rPr>
                <w:b/>
                <w:bCs/>
                <w:color w:val="000000"/>
                <w:sz w:val="20"/>
              </w:rPr>
              <w:t>6,850</w:t>
            </w:r>
          </w:p>
        </w:tc>
        <w:tc>
          <w:tcPr>
            <w:tcW w:w="1080" w:type="dxa"/>
            <w:tcBorders>
              <w:top w:val="single" w:sz="12" w:space="0" w:color="auto"/>
              <w:left w:val="single" w:sz="2" w:space="0" w:color="auto"/>
              <w:bottom w:val="single" w:sz="12" w:space="0" w:color="auto"/>
              <w:right w:val="single" w:sz="2" w:space="0" w:color="auto"/>
            </w:tcBorders>
            <w:vAlign w:val="center"/>
          </w:tcPr>
          <w:p w14:paraId="504FC34F" w14:textId="77777777" w:rsidR="00B50935" w:rsidRPr="00927CFF" w:rsidRDefault="00B50935" w:rsidP="00427764">
            <w:pPr>
              <w:spacing w:before="60" w:after="60"/>
              <w:jc w:val="right"/>
              <w:rPr>
                <w:b/>
                <w:noProof/>
                <w:sz w:val="20"/>
              </w:rPr>
            </w:pPr>
            <w:r w:rsidRPr="00927CFF">
              <w:rPr>
                <w:b/>
                <w:bCs/>
                <w:color w:val="000000"/>
                <w:sz w:val="20"/>
              </w:rPr>
              <w:t>8,380</w:t>
            </w:r>
          </w:p>
        </w:tc>
        <w:tc>
          <w:tcPr>
            <w:tcW w:w="1080" w:type="dxa"/>
            <w:tcBorders>
              <w:top w:val="single" w:sz="12" w:space="0" w:color="auto"/>
              <w:left w:val="single" w:sz="2" w:space="0" w:color="auto"/>
              <w:bottom w:val="single" w:sz="12" w:space="0" w:color="auto"/>
              <w:right w:val="single" w:sz="2" w:space="0" w:color="auto"/>
            </w:tcBorders>
            <w:vAlign w:val="center"/>
          </w:tcPr>
          <w:p w14:paraId="1F048FEF" w14:textId="77777777" w:rsidR="00B50935" w:rsidRPr="00927CFF" w:rsidRDefault="00B50935" w:rsidP="00427764">
            <w:pPr>
              <w:spacing w:before="60" w:after="60"/>
              <w:jc w:val="right"/>
              <w:rPr>
                <w:b/>
                <w:noProof/>
                <w:sz w:val="20"/>
              </w:rPr>
            </w:pPr>
            <w:r w:rsidRPr="00927CFF">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0D127C53" w14:textId="77777777" w:rsidR="00B50935" w:rsidRPr="00927CFF" w:rsidRDefault="00B50935" w:rsidP="00427764">
            <w:pPr>
              <w:spacing w:before="60" w:after="60"/>
              <w:jc w:val="right"/>
              <w:rPr>
                <w:b/>
                <w:noProof/>
                <w:sz w:val="20"/>
              </w:rPr>
            </w:pPr>
            <w:r w:rsidRPr="00927CFF">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19382DFB" w14:textId="77777777" w:rsidR="00B50935" w:rsidRPr="00927CFF" w:rsidRDefault="00B50935" w:rsidP="00427764">
            <w:pPr>
              <w:spacing w:before="60" w:after="60"/>
              <w:jc w:val="right"/>
              <w:rPr>
                <w:b/>
                <w:noProof/>
                <w:sz w:val="20"/>
              </w:rPr>
            </w:pPr>
            <w:r w:rsidRPr="00927CFF">
              <w:rPr>
                <w:b/>
                <w:bCs/>
                <w:color w:val="000000"/>
                <w:sz w:val="20"/>
              </w:rPr>
              <w:t>8,990</w:t>
            </w:r>
          </w:p>
        </w:tc>
        <w:tc>
          <w:tcPr>
            <w:tcW w:w="1080" w:type="dxa"/>
            <w:tcBorders>
              <w:top w:val="single" w:sz="12" w:space="0" w:color="auto"/>
              <w:left w:val="single" w:sz="2" w:space="0" w:color="auto"/>
              <w:bottom w:val="single" w:sz="12" w:space="0" w:color="auto"/>
              <w:right w:val="single" w:sz="2" w:space="0" w:color="auto"/>
            </w:tcBorders>
            <w:vAlign w:val="center"/>
          </w:tcPr>
          <w:p w14:paraId="1B48C802" w14:textId="77777777" w:rsidR="00B50935" w:rsidRPr="00927CFF" w:rsidRDefault="00B50935" w:rsidP="00427764">
            <w:pPr>
              <w:spacing w:before="60" w:after="60"/>
              <w:jc w:val="right"/>
              <w:rPr>
                <w:b/>
                <w:noProof/>
                <w:sz w:val="20"/>
              </w:rPr>
            </w:pPr>
            <w:r w:rsidRPr="00927CFF">
              <w:rPr>
                <w:b/>
                <w:sz w:val="20"/>
              </w:rPr>
              <w:t>8,990</w:t>
            </w:r>
          </w:p>
        </w:tc>
        <w:tc>
          <w:tcPr>
            <w:tcW w:w="1080" w:type="dxa"/>
            <w:tcBorders>
              <w:top w:val="single" w:sz="12" w:space="0" w:color="auto"/>
              <w:left w:val="single" w:sz="2" w:space="0" w:color="auto"/>
              <w:bottom w:val="single" w:sz="12" w:space="0" w:color="auto"/>
              <w:right w:val="single" w:sz="12" w:space="0" w:color="auto"/>
            </w:tcBorders>
            <w:vAlign w:val="center"/>
          </w:tcPr>
          <w:p w14:paraId="522DB5B0" w14:textId="77777777" w:rsidR="00B50935" w:rsidRPr="00927CFF" w:rsidRDefault="00B50935" w:rsidP="00427764">
            <w:pPr>
              <w:spacing w:before="0" w:after="0"/>
              <w:jc w:val="right"/>
              <w:rPr>
                <w:b/>
                <w:bCs/>
                <w:color w:val="000000"/>
                <w:sz w:val="20"/>
              </w:rPr>
            </w:pPr>
            <w:r w:rsidRPr="00927CFF">
              <w:rPr>
                <w:b/>
                <w:bCs/>
                <w:color w:val="000000"/>
                <w:sz w:val="20"/>
              </w:rPr>
              <w:t>54,930</w:t>
            </w:r>
          </w:p>
        </w:tc>
      </w:tr>
    </w:tbl>
    <w:p w14:paraId="1D2A7606" w14:textId="77777777" w:rsidR="00B50935" w:rsidRPr="00927CFF" w:rsidRDefault="00B50935" w:rsidP="00B50935">
      <w:pPr>
        <w:rPr>
          <w:noProof/>
          <w:u w:val="single"/>
        </w:rPr>
      </w:pPr>
    </w:p>
    <w:p w14:paraId="00FE891E" w14:textId="77777777" w:rsidR="00B50935" w:rsidRPr="00927CFF" w:rsidRDefault="00B50935" w:rsidP="00B50935">
      <w:pPr>
        <w:rPr>
          <w:noProof/>
          <w:sz w:val="20"/>
        </w:rPr>
      </w:pPr>
      <w:r w:rsidRPr="00927CFF">
        <w:rPr>
          <w:sz w:val="20"/>
        </w:rPr>
        <w:t>Personalebehov (i årsværk):</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27CFF" w14:paraId="01C3425B" w14:textId="77777777" w:rsidTr="00427764">
        <w:trPr>
          <w:trHeight w:val="585"/>
        </w:trPr>
        <w:tc>
          <w:tcPr>
            <w:tcW w:w="1980" w:type="dxa"/>
          </w:tcPr>
          <w:p w14:paraId="3FDEFB92" w14:textId="77777777" w:rsidR="00B50935" w:rsidRPr="00927CFF" w:rsidRDefault="00B50935" w:rsidP="00427764">
            <w:pPr>
              <w:spacing w:before="60" w:after="60"/>
              <w:rPr>
                <w:noProof/>
                <w:sz w:val="20"/>
              </w:rPr>
            </w:pPr>
          </w:p>
        </w:tc>
        <w:tc>
          <w:tcPr>
            <w:tcW w:w="1080" w:type="dxa"/>
            <w:vAlign w:val="center"/>
          </w:tcPr>
          <w:p w14:paraId="6865E84E" w14:textId="77777777" w:rsidR="00B50935" w:rsidRPr="00927CFF" w:rsidRDefault="00B50935" w:rsidP="00427764">
            <w:pPr>
              <w:spacing w:before="60" w:after="60"/>
              <w:jc w:val="center"/>
              <w:rPr>
                <w:noProof/>
                <w:sz w:val="20"/>
              </w:rPr>
            </w:pPr>
            <w:r w:rsidRPr="00927CFF">
              <w:rPr>
                <w:sz w:val="20"/>
              </w:rPr>
              <w:t>År</w:t>
            </w:r>
            <w:r w:rsidRPr="00927CFF">
              <w:t xml:space="preserve"> </w:t>
            </w:r>
            <w:r w:rsidRPr="00927CFF">
              <w:br/>
            </w:r>
            <w:r w:rsidRPr="00927CFF">
              <w:rPr>
                <w:b/>
                <w:sz w:val="20"/>
              </w:rPr>
              <w:t>2021</w:t>
            </w:r>
          </w:p>
        </w:tc>
        <w:tc>
          <w:tcPr>
            <w:tcW w:w="1080" w:type="dxa"/>
            <w:vAlign w:val="center"/>
          </w:tcPr>
          <w:p w14:paraId="288DDC97" w14:textId="77777777" w:rsidR="00B50935" w:rsidRPr="00927CFF" w:rsidRDefault="00B50935" w:rsidP="00427764">
            <w:pPr>
              <w:spacing w:before="60" w:after="60"/>
              <w:jc w:val="center"/>
              <w:rPr>
                <w:noProof/>
                <w:sz w:val="20"/>
              </w:rPr>
            </w:pPr>
            <w:r w:rsidRPr="00927CFF">
              <w:rPr>
                <w:sz w:val="20"/>
              </w:rPr>
              <w:t>År</w:t>
            </w:r>
            <w:r w:rsidRPr="00927CFF">
              <w:t xml:space="preserve"> </w:t>
            </w:r>
            <w:r w:rsidRPr="00927CFF">
              <w:br/>
            </w:r>
            <w:r w:rsidRPr="00927CFF">
              <w:rPr>
                <w:b/>
                <w:sz w:val="20"/>
              </w:rPr>
              <w:t>2022</w:t>
            </w:r>
          </w:p>
        </w:tc>
        <w:tc>
          <w:tcPr>
            <w:tcW w:w="1080" w:type="dxa"/>
            <w:vAlign w:val="center"/>
          </w:tcPr>
          <w:p w14:paraId="6554680B" w14:textId="77777777" w:rsidR="00B50935" w:rsidRPr="00927CFF" w:rsidRDefault="00B50935" w:rsidP="00427764">
            <w:pPr>
              <w:spacing w:before="60" w:after="60"/>
              <w:jc w:val="center"/>
              <w:rPr>
                <w:noProof/>
                <w:sz w:val="20"/>
              </w:rPr>
            </w:pPr>
            <w:r w:rsidRPr="00927CFF">
              <w:rPr>
                <w:sz w:val="20"/>
              </w:rPr>
              <w:t>År</w:t>
            </w:r>
            <w:r w:rsidRPr="00927CFF">
              <w:t xml:space="preserve"> </w:t>
            </w:r>
            <w:r w:rsidRPr="00927CFF">
              <w:br/>
            </w:r>
            <w:r w:rsidRPr="00927CFF">
              <w:rPr>
                <w:b/>
                <w:sz w:val="20"/>
              </w:rPr>
              <w:t>2023</w:t>
            </w:r>
          </w:p>
        </w:tc>
        <w:tc>
          <w:tcPr>
            <w:tcW w:w="1080" w:type="dxa"/>
            <w:vAlign w:val="center"/>
          </w:tcPr>
          <w:p w14:paraId="72284A01" w14:textId="77777777" w:rsidR="00B50935" w:rsidRPr="00927CFF" w:rsidRDefault="00B50935" w:rsidP="00427764">
            <w:pPr>
              <w:spacing w:before="60" w:after="60"/>
              <w:jc w:val="center"/>
              <w:rPr>
                <w:noProof/>
                <w:sz w:val="20"/>
              </w:rPr>
            </w:pPr>
            <w:r w:rsidRPr="00927CFF">
              <w:rPr>
                <w:sz w:val="20"/>
              </w:rPr>
              <w:t>År</w:t>
            </w:r>
            <w:r w:rsidRPr="00927CFF">
              <w:t xml:space="preserve"> </w:t>
            </w:r>
            <w:r w:rsidRPr="00927CFF">
              <w:br/>
            </w:r>
            <w:r w:rsidRPr="00927CFF">
              <w:rPr>
                <w:b/>
                <w:sz w:val="20"/>
              </w:rPr>
              <w:t>2024</w:t>
            </w:r>
          </w:p>
        </w:tc>
        <w:tc>
          <w:tcPr>
            <w:tcW w:w="1080" w:type="dxa"/>
            <w:vAlign w:val="center"/>
          </w:tcPr>
          <w:p w14:paraId="0EAC0AAB"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2025</w:t>
            </w:r>
          </w:p>
        </w:tc>
        <w:tc>
          <w:tcPr>
            <w:tcW w:w="1080" w:type="dxa"/>
            <w:vAlign w:val="center"/>
          </w:tcPr>
          <w:p w14:paraId="7921F0CC"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2026</w:t>
            </w:r>
          </w:p>
        </w:tc>
        <w:tc>
          <w:tcPr>
            <w:tcW w:w="1080" w:type="dxa"/>
            <w:vAlign w:val="center"/>
          </w:tcPr>
          <w:p w14:paraId="261FC888"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2027</w:t>
            </w:r>
            <w:r w:rsidRPr="00927CFF">
              <w:rPr>
                <w:sz w:val="20"/>
              </w:rPr>
              <w:t xml:space="preserve"> ff</w:t>
            </w:r>
          </w:p>
        </w:tc>
        <w:tc>
          <w:tcPr>
            <w:tcW w:w="1080" w:type="dxa"/>
            <w:vAlign w:val="center"/>
          </w:tcPr>
          <w:p w14:paraId="2C5CDE27" w14:textId="77777777" w:rsidR="00B50935" w:rsidRPr="00927CFF" w:rsidRDefault="00B50935" w:rsidP="00427764">
            <w:pPr>
              <w:spacing w:before="60" w:after="60"/>
              <w:jc w:val="center"/>
              <w:rPr>
                <w:b/>
                <w:noProof/>
                <w:sz w:val="20"/>
              </w:rPr>
            </w:pPr>
            <w:r w:rsidRPr="00927CFF">
              <w:rPr>
                <w:b/>
                <w:sz w:val="20"/>
              </w:rPr>
              <w:t>I ALT</w:t>
            </w:r>
          </w:p>
        </w:tc>
      </w:tr>
    </w:tbl>
    <w:p w14:paraId="3AD55BC6" w14:textId="77777777" w:rsidR="00B50935" w:rsidRPr="00927CFF" w:rsidRDefault="00B50935" w:rsidP="00B50935">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27CFF" w14:paraId="696918E1" w14:textId="77777777" w:rsidTr="00427764">
        <w:trPr>
          <w:trHeight w:val="585"/>
        </w:trPr>
        <w:tc>
          <w:tcPr>
            <w:tcW w:w="1980" w:type="dxa"/>
            <w:shd w:val="clear" w:color="auto" w:fill="D9D9D9" w:themeFill="background1" w:themeFillShade="D9"/>
            <w:vAlign w:val="center"/>
          </w:tcPr>
          <w:p w14:paraId="262E960C" w14:textId="77777777" w:rsidR="00B50935" w:rsidRPr="00927CFF" w:rsidRDefault="00B50935" w:rsidP="00427764">
            <w:pPr>
              <w:spacing w:before="60" w:after="60"/>
              <w:jc w:val="center"/>
              <w:rPr>
                <w:noProof/>
              </w:rPr>
            </w:pPr>
            <w:r w:rsidRPr="00927CFF">
              <w:rPr>
                <w:sz w:val="18"/>
              </w:rPr>
              <w:t>Midlertidigt ansatte (AD)</w:t>
            </w:r>
          </w:p>
        </w:tc>
        <w:tc>
          <w:tcPr>
            <w:tcW w:w="1080" w:type="dxa"/>
            <w:vAlign w:val="bottom"/>
          </w:tcPr>
          <w:p w14:paraId="643F100A" w14:textId="77777777" w:rsidR="00B50935" w:rsidRPr="00927CFF" w:rsidRDefault="00B50935" w:rsidP="00427764">
            <w:pPr>
              <w:spacing w:before="60" w:after="60"/>
              <w:jc w:val="right"/>
              <w:rPr>
                <w:noProof/>
                <w:color w:val="000000"/>
                <w:sz w:val="20"/>
              </w:rPr>
            </w:pPr>
            <w:r w:rsidRPr="00927CFF">
              <w:rPr>
                <w:color w:val="000000"/>
                <w:sz w:val="20"/>
              </w:rPr>
              <w:t>11</w:t>
            </w:r>
          </w:p>
        </w:tc>
        <w:tc>
          <w:tcPr>
            <w:tcW w:w="1080" w:type="dxa"/>
            <w:vAlign w:val="bottom"/>
          </w:tcPr>
          <w:p w14:paraId="62574CFC" w14:textId="77777777" w:rsidR="00B50935" w:rsidRPr="00927CFF" w:rsidRDefault="00B50935" w:rsidP="00427764">
            <w:pPr>
              <w:spacing w:before="60" w:after="60"/>
              <w:jc w:val="right"/>
              <w:rPr>
                <w:noProof/>
                <w:sz w:val="20"/>
              </w:rPr>
            </w:pPr>
            <w:r w:rsidRPr="00927CFF">
              <w:rPr>
                <w:color w:val="000000"/>
                <w:sz w:val="20"/>
              </w:rPr>
              <w:t>22</w:t>
            </w:r>
          </w:p>
        </w:tc>
        <w:tc>
          <w:tcPr>
            <w:tcW w:w="1080" w:type="dxa"/>
            <w:vAlign w:val="bottom"/>
          </w:tcPr>
          <w:p w14:paraId="4A315B54" w14:textId="77777777" w:rsidR="00B50935" w:rsidRPr="00927CFF" w:rsidRDefault="00B50935" w:rsidP="00427764">
            <w:pPr>
              <w:spacing w:before="60" w:after="60"/>
              <w:jc w:val="right"/>
              <w:rPr>
                <w:noProof/>
                <w:sz w:val="20"/>
              </w:rPr>
            </w:pPr>
            <w:r w:rsidRPr="00927CFF">
              <w:rPr>
                <w:color w:val="000000"/>
                <w:sz w:val="20"/>
              </w:rPr>
              <w:t>29</w:t>
            </w:r>
          </w:p>
        </w:tc>
        <w:tc>
          <w:tcPr>
            <w:tcW w:w="1080" w:type="dxa"/>
            <w:vAlign w:val="bottom"/>
          </w:tcPr>
          <w:p w14:paraId="6289820D" w14:textId="77777777" w:rsidR="00B50935" w:rsidRPr="00927CFF" w:rsidRDefault="00B50935" w:rsidP="00427764">
            <w:pPr>
              <w:spacing w:before="60" w:after="60"/>
              <w:jc w:val="right"/>
              <w:rPr>
                <w:noProof/>
                <w:sz w:val="20"/>
              </w:rPr>
            </w:pPr>
            <w:r w:rsidRPr="00927CFF">
              <w:rPr>
                <w:color w:val="000000"/>
                <w:sz w:val="20"/>
              </w:rPr>
              <w:t>32</w:t>
            </w:r>
          </w:p>
        </w:tc>
        <w:tc>
          <w:tcPr>
            <w:tcW w:w="1080" w:type="dxa"/>
            <w:vAlign w:val="bottom"/>
          </w:tcPr>
          <w:p w14:paraId="504F1313" w14:textId="77777777" w:rsidR="00B50935" w:rsidRPr="00927CFF" w:rsidRDefault="00B50935" w:rsidP="00427764">
            <w:pPr>
              <w:spacing w:before="60" w:after="60"/>
              <w:jc w:val="right"/>
              <w:rPr>
                <w:noProof/>
                <w:sz w:val="20"/>
              </w:rPr>
            </w:pPr>
            <w:r w:rsidRPr="00927CFF">
              <w:rPr>
                <w:color w:val="000000"/>
                <w:sz w:val="20"/>
              </w:rPr>
              <w:t>32</w:t>
            </w:r>
          </w:p>
        </w:tc>
        <w:tc>
          <w:tcPr>
            <w:tcW w:w="1080" w:type="dxa"/>
            <w:vAlign w:val="bottom"/>
          </w:tcPr>
          <w:p w14:paraId="049B9E64" w14:textId="77777777" w:rsidR="00B50935" w:rsidRPr="00927CFF" w:rsidRDefault="00B50935" w:rsidP="00427764">
            <w:pPr>
              <w:spacing w:before="60" w:after="60"/>
              <w:jc w:val="right"/>
              <w:rPr>
                <w:noProof/>
                <w:sz w:val="20"/>
              </w:rPr>
            </w:pPr>
            <w:r w:rsidRPr="00927CFF">
              <w:rPr>
                <w:color w:val="000000"/>
                <w:sz w:val="20"/>
              </w:rPr>
              <w:t>32</w:t>
            </w:r>
          </w:p>
        </w:tc>
        <w:tc>
          <w:tcPr>
            <w:tcW w:w="1080" w:type="dxa"/>
            <w:vAlign w:val="bottom"/>
          </w:tcPr>
          <w:p w14:paraId="611817AD" w14:textId="77777777" w:rsidR="00B50935" w:rsidRPr="00927CFF" w:rsidRDefault="00B50935" w:rsidP="00427764">
            <w:pPr>
              <w:spacing w:before="60" w:after="60"/>
              <w:jc w:val="right"/>
              <w:rPr>
                <w:b/>
                <w:noProof/>
                <w:sz w:val="20"/>
              </w:rPr>
            </w:pPr>
            <w:r w:rsidRPr="00927CFF">
              <w:rPr>
                <w:color w:val="000000"/>
                <w:sz w:val="20"/>
              </w:rPr>
              <w:t>32</w:t>
            </w:r>
          </w:p>
        </w:tc>
        <w:tc>
          <w:tcPr>
            <w:tcW w:w="1080" w:type="dxa"/>
            <w:vAlign w:val="center"/>
          </w:tcPr>
          <w:p w14:paraId="74512E46" w14:textId="77777777" w:rsidR="00B50935" w:rsidRPr="00927CFF" w:rsidRDefault="00B50935" w:rsidP="00427764">
            <w:pPr>
              <w:spacing w:before="60" w:after="60"/>
              <w:jc w:val="right"/>
              <w:rPr>
                <w:b/>
                <w:noProof/>
                <w:sz w:val="20"/>
              </w:rPr>
            </w:pPr>
            <w:r w:rsidRPr="00927CFF">
              <w:rPr>
                <w:color w:val="000000"/>
                <w:sz w:val="20"/>
              </w:rPr>
              <w:t>32</w:t>
            </w:r>
          </w:p>
        </w:tc>
      </w:tr>
      <w:tr w:rsidR="00B50935" w:rsidRPr="00927CFF" w14:paraId="2F0497B3" w14:textId="77777777" w:rsidTr="00427764">
        <w:trPr>
          <w:trHeight w:val="585"/>
        </w:trPr>
        <w:tc>
          <w:tcPr>
            <w:tcW w:w="1980" w:type="dxa"/>
            <w:shd w:val="clear" w:color="auto" w:fill="BFBFBF" w:themeFill="background1" w:themeFillShade="BF"/>
            <w:vAlign w:val="center"/>
          </w:tcPr>
          <w:p w14:paraId="7FEC6DD7" w14:textId="77777777" w:rsidR="00B50935" w:rsidRPr="00927CFF" w:rsidRDefault="00B50935" w:rsidP="00427764">
            <w:pPr>
              <w:spacing w:before="60" w:after="60"/>
              <w:ind w:left="72"/>
              <w:rPr>
                <w:noProof/>
              </w:rPr>
            </w:pPr>
            <w:r w:rsidRPr="00927CFF">
              <w:rPr>
                <w:sz w:val="20"/>
              </w:rPr>
              <w:t>Midlertidigt ansatte (AST)</w:t>
            </w:r>
          </w:p>
        </w:tc>
        <w:tc>
          <w:tcPr>
            <w:tcW w:w="1080" w:type="dxa"/>
            <w:vAlign w:val="bottom"/>
          </w:tcPr>
          <w:p w14:paraId="2C3EC5D8" w14:textId="77777777" w:rsidR="00B50935" w:rsidRPr="00927CFF" w:rsidRDefault="00B50935" w:rsidP="00427764">
            <w:pPr>
              <w:spacing w:before="60" w:after="60"/>
              <w:jc w:val="right"/>
              <w:rPr>
                <w:noProof/>
                <w:sz w:val="20"/>
              </w:rPr>
            </w:pPr>
            <w:r w:rsidRPr="00927CFF">
              <w:rPr>
                <w:color w:val="000000"/>
                <w:sz w:val="20"/>
              </w:rPr>
              <w:t>7</w:t>
            </w:r>
          </w:p>
        </w:tc>
        <w:tc>
          <w:tcPr>
            <w:tcW w:w="1080" w:type="dxa"/>
            <w:vAlign w:val="bottom"/>
          </w:tcPr>
          <w:p w14:paraId="7F38C94E" w14:textId="77777777" w:rsidR="00B50935" w:rsidRPr="00927CFF" w:rsidRDefault="00B50935" w:rsidP="00427764">
            <w:pPr>
              <w:spacing w:before="60" w:after="60"/>
              <w:jc w:val="right"/>
              <w:rPr>
                <w:noProof/>
                <w:sz w:val="20"/>
              </w:rPr>
            </w:pPr>
            <w:r w:rsidRPr="00927CFF">
              <w:rPr>
                <w:color w:val="000000"/>
                <w:sz w:val="20"/>
              </w:rPr>
              <w:t>13</w:t>
            </w:r>
          </w:p>
        </w:tc>
        <w:tc>
          <w:tcPr>
            <w:tcW w:w="1080" w:type="dxa"/>
            <w:vAlign w:val="bottom"/>
          </w:tcPr>
          <w:p w14:paraId="408FAD5F" w14:textId="77777777" w:rsidR="00B50935" w:rsidRPr="00927CFF" w:rsidRDefault="00B50935" w:rsidP="00427764">
            <w:pPr>
              <w:spacing w:before="60" w:after="60"/>
              <w:jc w:val="right"/>
              <w:rPr>
                <w:noProof/>
                <w:sz w:val="20"/>
              </w:rPr>
            </w:pPr>
            <w:r w:rsidRPr="00927CFF">
              <w:rPr>
                <w:color w:val="000000"/>
                <w:sz w:val="20"/>
              </w:rPr>
              <w:t>13</w:t>
            </w:r>
          </w:p>
        </w:tc>
        <w:tc>
          <w:tcPr>
            <w:tcW w:w="1080" w:type="dxa"/>
            <w:vAlign w:val="bottom"/>
          </w:tcPr>
          <w:p w14:paraId="62FAEF0D" w14:textId="77777777" w:rsidR="00B50935" w:rsidRPr="00927CFF" w:rsidRDefault="00B50935" w:rsidP="00427764">
            <w:pPr>
              <w:spacing w:before="60" w:after="60"/>
              <w:jc w:val="right"/>
              <w:rPr>
                <w:noProof/>
                <w:sz w:val="20"/>
              </w:rPr>
            </w:pPr>
            <w:r w:rsidRPr="00927CFF">
              <w:rPr>
                <w:color w:val="000000"/>
                <w:sz w:val="20"/>
              </w:rPr>
              <w:t>13</w:t>
            </w:r>
          </w:p>
        </w:tc>
        <w:tc>
          <w:tcPr>
            <w:tcW w:w="1080" w:type="dxa"/>
            <w:vAlign w:val="bottom"/>
          </w:tcPr>
          <w:p w14:paraId="4FB1A1E2" w14:textId="77777777" w:rsidR="00B50935" w:rsidRPr="00927CFF" w:rsidRDefault="00B50935" w:rsidP="00427764">
            <w:pPr>
              <w:spacing w:before="60" w:after="60"/>
              <w:jc w:val="right"/>
              <w:rPr>
                <w:noProof/>
                <w:sz w:val="20"/>
              </w:rPr>
            </w:pPr>
            <w:r w:rsidRPr="00927CFF">
              <w:rPr>
                <w:color w:val="000000"/>
                <w:sz w:val="20"/>
              </w:rPr>
              <w:t>13</w:t>
            </w:r>
          </w:p>
        </w:tc>
        <w:tc>
          <w:tcPr>
            <w:tcW w:w="1080" w:type="dxa"/>
            <w:vAlign w:val="bottom"/>
          </w:tcPr>
          <w:p w14:paraId="6C9C44F9" w14:textId="77777777" w:rsidR="00B50935" w:rsidRPr="00927CFF" w:rsidRDefault="00B50935" w:rsidP="00427764">
            <w:pPr>
              <w:spacing w:before="60" w:after="60"/>
              <w:jc w:val="right"/>
              <w:rPr>
                <w:noProof/>
                <w:sz w:val="20"/>
              </w:rPr>
            </w:pPr>
            <w:r w:rsidRPr="00927CFF">
              <w:rPr>
                <w:color w:val="000000"/>
                <w:sz w:val="20"/>
              </w:rPr>
              <w:t>13</w:t>
            </w:r>
          </w:p>
        </w:tc>
        <w:tc>
          <w:tcPr>
            <w:tcW w:w="1080" w:type="dxa"/>
            <w:vAlign w:val="bottom"/>
          </w:tcPr>
          <w:p w14:paraId="420EF78C" w14:textId="77777777" w:rsidR="00B50935" w:rsidRPr="00927CFF" w:rsidRDefault="00B50935" w:rsidP="00427764">
            <w:pPr>
              <w:spacing w:before="60" w:after="60"/>
              <w:jc w:val="right"/>
              <w:rPr>
                <w:b/>
                <w:noProof/>
                <w:sz w:val="20"/>
              </w:rPr>
            </w:pPr>
            <w:r w:rsidRPr="00927CFF">
              <w:rPr>
                <w:color w:val="000000"/>
                <w:sz w:val="20"/>
              </w:rPr>
              <w:t>13</w:t>
            </w:r>
          </w:p>
        </w:tc>
        <w:tc>
          <w:tcPr>
            <w:tcW w:w="1080" w:type="dxa"/>
            <w:vAlign w:val="center"/>
          </w:tcPr>
          <w:p w14:paraId="533B8FB3" w14:textId="77777777" w:rsidR="00B50935" w:rsidRPr="00927CFF" w:rsidRDefault="00B50935" w:rsidP="00427764">
            <w:pPr>
              <w:spacing w:before="60" w:after="60"/>
              <w:jc w:val="right"/>
              <w:rPr>
                <w:b/>
                <w:noProof/>
                <w:sz w:val="20"/>
              </w:rPr>
            </w:pPr>
            <w:r w:rsidRPr="00927CFF">
              <w:rPr>
                <w:color w:val="000000"/>
                <w:sz w:val="20"/>
              </w:rPr>
              <w:t>13</w:t>
            </w:r>
          </w:p>
        </w:tc>
      </w:tr>
      <w:tr w:rsidR="00B50935" w:rsidRPr="00927CFF" w14:paraId="763BB14B" w14:textId="77777777" w:rsidTr="00427764">
        <w:trPr>
          <w:trHeight w:val="585"/>
        </w:trPr>
        <w:tc>
          <w:tcPr>
            <w:tcW w:w="1980" w:type="dxa"/>
            <w:shd w:val="clear" w:color="auto" w:fill="BFBFBF" w:themeFill="background1" w:themeFillShade="BF"/>
            <w:vAlign w:val="center"/>
          </w:tcPr>
          <w:p w14:paraId="5E3C876A" w14:textId="77777777" w:rsidR="00B50935" w:rsidRPr="00927CFF" w:rsidRDefault="00B50935" w:rsidP="00427764">
            <w:pPr>
              <w:spacing w:before="60" w:after="60"/>
              <w:ind w:left="72"/>
              <w:rPr>
                <w:noProof/>
              </w:rPr>
            </w:pPr>
            <w:r w:rsidRPr="00927CFF">
              <w:rPr>
                <w:sz w:val="20"/>
              </w:rPr>
              <w:t>Kontraktansatte</w:t>
            </w:r>
          </w:p>
        </w:tc>
        <w:tc>
          <w:tcPr>
            <w:tcW w:w="1080" w:type="dxa"/>
            <w:shd w:val="clear" w:color="auto" w:fill="BFBFBF" w:themeFill="background1" w:themeFillShade="BF"/>
            <w:vAlign w:val="bottom"/>
          </w:tcPr>
          <w:p w14:paraId="5323E218" w14:textId="77777777" w:rsidR="00B50935" w:rsidRPr="00927CFF" w:rsidRDefault="00B50935" w:rsidP="00427764">
            <w:pPr>
              <w:spacing w:before="60" w:after="60"/>
              <w:jc w:val="right"/>
              <w:rPr>
                <w:noProof/>
                <w:sz w:val="20"/>
              </w:rPr>
            </w:pPr>
            <w:r w:rsidRPr="00927CFF">
              <w:rPr>
                <w:color w:val="000000"/>
                <w:sz w:val="20"/>
              </w:rPr>
              <w:t>13</w:t>
            </w:r>
          </w:p>
        </w:tc>
        <w:tc>
          <w:tcPr>
            <w:tcW w:w="1080" w:type="dxa"/>
            <w:shd w:val="clear" w:color="auto" w:fill="BFBFBF" w:themeFill="background1" w:themeFillShade="BF"/>
            <w:vAlign w:val="bottom"/>
          </w:tcPr>
          <w:p w14:paraId="22A5A4D6" w14:textId="77777777" w:rsidR="00B50935" w:rsidRPr="00927CFF" w:rsidRDefault="00B50935" w:rsidP="00427764">
            <w:pPr>
              <w:spacing w:before="60" w:after="60"/>
              <w:jc w:val="right"/>
              <w:rPr>
                <w:noProof/>
                <w:sz w:val="20"/>
              </w:rPr>
            </w:pPr>
            <w:r w:rsidRPr="00927CFF">
              <w:rPr>
                <w:color w:val="000000"/>
                <w:sz w:val="20"/>
              </w:rPr>
              <w:t>20</w:t>
            </w:r>
          </w:p>
        </w:tc>
        <w:tc>
          <w:tcPr>
            <w:tcW w:w="1080" w:type="dxa"/>
            <w:shd w:val="clear" w:color="auto" w:fill="BFBFBF" w:themeFill="background1" w:themeFillShade="BF"/>
            <w:vAlign w:val="bottom"/>
          </w:tcPr>
          <w:p w14:paraId="47B171B8" w14:textId="77777777" w:rsidR="00B50935" w:rsidRPr="00927CFF" w:rsidRDefault="00B50935" w:rsidP="00427764">
            <w:pPr>
              <w:spacing w:before="60" w:after="60"/>
              <w:jc w:val="right"/>
              <w:rPr>
                <w:noProof/>
                <w:sz w:val="20"/>
              </w:rPr>
            </w:pPr>
            <w:r w:rsidRPr="00927CFF">
              <w:rPr>
                <w:color w:val="000000"/>
                <w:sz w:val="20"/>
              </w:rPr>
              <w:t>26</w:t>
            </w:r>
          </w:p>
        </w:tc>
        <w:tc>
          <w:tcPr>
            <w:tcW w:w="1080" w:type="dxa"/>
            <w:shd w:val="clear" w:color="auto" w:fill="BFBFBF" w:themeFill="background1" w:themeFillShade="BF"/>
            <w:vAlign w:val="bottom"/>
          </w:tcPr>
          <w:p w14:paraId="7D6480B9" w14:textId="77777777" w:rsidR="00B50935" w:rsidRPr="00927CFF" w:rsidRDefault="00B50935" w:rsidP="00427764">
            <w:pPr>
              <w:spacing w:before="60" w:after="60"/>
              <w:jc w:val="right"/>
              <w:rPr>
                <w:noProof/>
                <w:sz w:val="20"/>
              </w:rPr>
            </w:pPr>
            <w:r w:rsidRPr="00927CFF">
              <w:rPr>
                <w:color w:val="000000"/>
                <w:sz w:val="20"/>
              </w:rPr>
              <w:t>28</w:t>
            </w:r>
          </w:p>
        </w:tc>
        <w:tc>
          <w:tcPr>
            <w:tcW w:w="1080" w:type="dxa"/>
            <w:shd w:val="clear" w:color="auto" w:fill="BFBFBF" w:themeFill="background1" w:themeFillShade="BF"/>
            <w:vAlign w:val="bottom"/>
          </w:tcPr>
          <w:p w14:paraId="13AB3418" w14:textId="77777777" w:rsidR="00B50935" w:rsidRPr="00927CFF" w:rsidRDefault="00B50935" w:rsidP="00427764">
            <w:pPr>
              <w:spacing w:before="60" w:after="60"/>
              <w:jc w:val="right"/>
              <w:rPr>
                <w:noProof/>
                <w:sz w:val="20"/>
              </w:rPr>
            </w:pPr>
            <w:r w:rsidRPr="00927CFF">
              <w:rPr>
                <w:color w:val="000000"/>
                <w:sz w:val="20"/>
              </w:rPr>
              <w:t>28</w:t>
            </w:r>
          </w:p>
        </w:tc>
        <w:tc>
          <w:tcPr>
            <w:tcW w:w="1080" w:type="dxa"/>
            <w:shd w:val="clear" w:color="auto" w:fill="BFBFBF" w:themeFill="background1" w:themeFillShade="BF"/>
            <w:vAlign w:val="bottom"/>
          </w:tcPr>
          <w:p w14:paraId="29FA2C00" w14:textId="77777777" w:rsidR="00B50935" w:rsidRPr="00927CFF" w:rsidRDefault="00B50935" w:rsidP="00427764">
            <w:pPr>
              <w:spacing w:before="60" w:after="60"/>
              <w:jc w:val="right"/>
              <w:rPr>
                <w:noProof/>
                <w:sz w:val="20"/>
              </w:rPr>
            </w:pPr>
            <w:r w:rsidRPr="00927CFF">
              <w:rPr>
                <w:color w:val="000000"/>
                <w:sz w:val="20"/>
              </w:rPr>
              <w:t>28</w:t>
            </w:r>
          </w:p>
        </w:tc>
        <w:tc>
          <w:tcPr>
            <w:tcW w:w="1080" w:type="dxa"/>
            <w:shd w:val="clear" w:color="auto" w:fill="BFBFBF" w:themeFill="background1" w:themeFillShade="BF"/>
            <w:vAlign w:val="bottom"/>
          </w:tcPr>
          <w:p w14:paraId="7D76C713" w14:textId="77777777" w:rsidR="00B50935" w:rsidRPr="00927CFF" w:rsidRDefault="00B50935" w:rsidP="00427764">
            <w:pPr>
              <w:spacing w:before="60" w:after="60"/>
              <w:jc w:val="right"/>
              <w:rPr>
                <w:b/>
                <w:noProof/>
                <w:sz w:val="20"/>
              </w:rPr>
            </w:pPr>
            <w:r w:rsidRPr="00927CFF">
              <w:rPr>
                <w:color w:val="000000"/>
                <w:sz w:val="20"/>
              </w:rPr>
              <w:t>28</w:t>
            </w:r>
          </w:p>
        </w:tc>
        <w:tc>
          <w:tcPr>
            <w:tcW w:w="1080" w:type="dxa"/>
            <w:shd w:val="clear" w:color="auto" w:fill="BFBFBF" w:themeFill="background1" w:themeFillShade="BF"/>
            <w:vAlign w:val="center"/>
          </w:tcPr>
          <w:p w14:paraId="50C02441" w14:textId="77777777" w:rsidR="00B50935" w:rsidRPr="00927CFF" w:rsidRDefault="00B50935" w:rsidP="00427764">
            <w:pPr>
              <w:spacing w:before="60" w:after="60"/>
              <w:jc w:val="right"/>
              <w:rPr>
                <w:b/>
                <w:noProof/>
                <w:sz w:val="20"/>
              </w:rPr>
            </w:pPr>
            <w:r w:rsidRPr="00927CFF">
              <w:rPr>
                <w:color w:val="000000"/>
                <w:sz w:val="20"/>
              </w:rPr>
              <w:t>28</w:t>
            </w:r>
          </w:p>
        </w:tc>
      </w:tr>
      <w:tr w:rsidR="00B50935" w:rsidRPr="00927CFF" w14:paraId="7B4D8226" w14:textId="77777777" w:rsidTr="00427764">
        <w:trPr>
          <w:trHeight w:val="585"/>
        </w:trPr>
        <w:tc>
          <w:tcPr>
            <w:tcW w:w="1980" w:type="dxa"/>
            <w:shd w:val="clear" w:color="auto" w:fill="CCCCCC"/>
            <w:vAlign w:val="center"/>
          </w:tcPr>
          <w:p w14:paraId="6B0D88B9" w14:textId="77777777" w:rsidR="00B50935" w:rsidRPr="00927CFF" w:rsidRDefault="00B50935" w:rsidP="00427764">
            <w:pPr>
              <w:spacing w:before="60" w:after="60"/>
              <w:jc w:val="center"/>
              <w:rPr>
                <w:noProof/>
              </w:rPr>
            </w:pPr>
            <w:r w:rsidRPr="00927CFF">
              <w:rPr>
                <w:sz w:val="18"/>
              </w:rPr>
              <w:t>Udstationerede nationale eksperter</w:t>
            </w:r>
          </w:p>
        </w:tc>
        <w:tc>
          <w:tcPr>
            <w:tcW w:w="1080" w:type="dxa"/>
            <w:vAlign w:val="center"/>
          </w:tcPr>
          <w:p w14:paraId="0143126E"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0526A4C3"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368B730E"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1EC9B77D" w14:textId="77777777" w:rsidR="00B50935" w:rsidRPr="00927CFF" w:rsidRDefault="00B50935" w:rsidP="00427764">
            <w:pPr>
              <w:spacing w:before="60" w:after="60"/>
              <w:jc w:val="right"/>
              <w:rPr>
                <w:noProof/>
                <w:sz w:val="20"/>
              </w:rPr>
            </w:pPr>
            <w:r w:rsidRPr="00927CFF">
              <w:rPr>
                <w:color w:val="000000"/>
                <w:sz w:val="20"/>
              </w:rPr>
              <w:t>0</w:t>
            </w:r>
          </w:p>
        </w:tc>
        <w:tc>
          <w:tcPr>
            <w:tcW w:w="1080" w:type="dxa"/>
            <w:vAlign w:val="center"/>
          </w:tcPr>
          <w:p w14:paraId="3B90F101" w14:textId="77777777" w:rsidR="00B50935" w:rsidRPr="00927CFF" w:rsidRDefault="00B50935" w:rsidP="00427764">
            <w:pPr>
              <w:spacing w:before="60" w:after="60"/>
              <w:jc w:val="right"/>
              <w:rPr>
                <w:noProof/>
                <w:sz w:val="20"/>
              </w:rPr>
            </w:pPr>
            <w:r w:rsidRPr="00927CFF">
              <w:rPr>
                <w:sz w:val="20"/>
              </w:rPr>
              <w:t>0</w:t>
            </w:r>
          </w:p>
        </w:tc>
        <w:tc>
          <w:tcPr>
            <w:tcW w:w="1080" w:type="dxa"/>
            <w:vAlign w:val="center"/>
          </w:tcPr>
          <w:p w14:paraId="427A8EDA" w14:textId="77777777" w:rsidR="00B50935" w:rsidRPr="00927CFF" w:rsidRDefault="00B50935" w:rsidP="00427764">
            <w:pPr>
              <w:spacing w:before="60" w:after="60"/>
              <w:jc w:val="right"/>
              <w:rPr>
                <w:noProof/>
                <w:sz w:val="20"/>
              </w:rPr>
            </w:pPr>
            <w:r w:rsidRPr="00927CFF">
              <w:rPr>
                <w:sz w:val="20"/>
              </w:rPr>
              <w:t>0</w:t>
            </w:r>
          </w:p>
        </w:tc>
        <w:tc>
          <w:tcPr>
            <w:tcW w:w="1080" w:type="dxa"/>
            <w:vAlign w:val="center"/>
          </w:tcPr>
          <w:p w14:paraId="72C712B7" w14:textId="77777777" w:rsidR="00B50935" w:rsidRPr="00927CFF" w:rsidRDefault="00B50935" w:rsidP="00427764">
            <w:pPr>
              <w:spacing w:before="60" w:after="60"/>
              <w:jc w:val="right"/>
              <w:rPr>
                <w:b/>
                <w:noProof/>
                <w:sz w:val="20"/>
              </w:rPr>
            </w:pPr>
            <w:r w:rsidRPr="00927CFF">
              <w:rPr>
                <w:b/>
                <w:sz w:val="20"/>
              </w:rPr>
              <w:t>0</w:t>
            </w:r>
          </w:p>
        </w:tc>
        <w:tc>
          <w:tcPr>
            <w:tcW w:w="1080" w:type="dxa"/>
            <w:vAlign w:val="center"/>
          </w:tcPr>
          <w:p w14:paraId="5A25E84C" w14:textId="77777777" w:rsidR="00B50935" w:rsidRPr="00927CFF" w:rsidRDefault="00B50935" w:rsidP="00427764">
            <w:pPr>
              <w:spacing w:before="60" w:after="60"/>
              <w:jc w:val="right"/>
              <w:rPr>
                <w:b/>
                <w:noProof/>
                <w:sz w:val="20"/>
              </w:rPr>
            </w:pPr>
            <w:r w:rsidRPr="00927CFF">
              <w:rPr>
                <w:color w:val="000000"/>
                <w:sz w:val="20"/>
              </w:rPr>
              <w:t>0</w:t>
            </w:r>
          </w:p>
        </w:tc>
      </w:tr>
    </w:tbl>
    <w:p w14:paraId="6786E423" w14:textId="77777777" w:rsidR="00B50935" w:rsidRPr="00927CFF" w:rsidRDefault="00B50935" w:rsidP="00B50935">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935" w:rsidRPr="00927CFF" w14:paraId="2E7BCC34" w14:textId="77777777" w:rsidTr="0042776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14:paraId="3CEB0821" w14:textId="77777777" w:rsidR="00B50935" w:rsidRPr="00927CFF" w:rsidRDefault="00B50935" w:rsidP="00427764">
            <w:pPr>
              <w:spacing w:before="60" w:after="60"/>
              <w:jc w:val="center"/>
              <w:rPr>
                <w:noProof/>
                <w:sz w:val="20"/>
              </w:rPr>
            </w:pPr>
            <w:r w:rsidRPr="00927CFF">
              <w:rPr>
                <w:b/>
                <w:sz w:val="20"/>
              </w:rPr>
              <w:t>I ALT</w:t>
            </w:r>
          </w:p>
        </w:tc>
        <w:tc>
          <w:tcPr>
            <w:tcW w:w="1080" w:type="dxa"/>
            <w:tcBorders>
              <w:top w:val="single" w:sz="12" w:space="0" w:color="auto"/>
              <w:left w:val="single" w:sz="2" w:space="0" w:color="auto"/>
              <w:bottom w:val="single" w:sz="12" w:space="0" w:color="auto"/>
              <w:right w:val="single" w:sz="2" w:space="0" w:color="auto"/>
            </w:tcBorders>
            <w:vAlign w:val="center"/>
          </w:tcPr>
          <w:p w14:paraId="1FA3A5AB" w14:textId="77777777" w:rsidR="00B50935" w:rsidRPr="00927CFF" w:rsidRDefault="00B50935" w:rsidP="00427764">
            <w:pPr>
              <w:spacing w:before="60" w:after="60"/>
              <w:jc w:val="right"/>
              <w:rPr>
                <w:b/>
                <w:noProof/>
                <w:sz w:val="20"/>
              </w:rPr>
            </w:pPr>
            <w:r w:rsidRPr="00927CFF">
              <w:rPr>
                <w:b/>
                <w:color w:val="000000"/>
                <w:sz w:val="20"/>
              </w:rPr>
              <w:t>31</w:t>
            </w:r>
          </w:p>
        </w:tc>
        <w:tc>
          <w:tcPr>
            <w:tcW w:w="1080" w:type="dxa"/>
            <w:tcBorders>
              <w:top w:val="single" w:sz="12" w:space="0" w:color="auto"/>
              <w:left w:val="single" w:sz="2" w:space="0" w:color="auto"/>
              <w:bottom w:val="single" w:sz="12" w:space="0" w:color="auto"/>
              <w:right w:val="single" w:sz="2" w:space="0" w:color="auto"/>
            </w:tcBorders>
            <w:vAlign w:val="center"/>
          </w:tcPr>
          <w:p w14:paraId="64175621" w14:textId="77777777" w:rsidR="00B50935" w:rsidRPr="00927CFF" w:rsidRDefault="00B50935" w:rsidP="00427764">
            <w:pPr>
              <w:spacing w:before="60" w:after="60"/>
              <w:jc w:val="right"/>
              <w:rPr>
                <w:b/>
                <w:noProof/>
                <w:sz w:val="20"/>
              </w:rPr>
            </w:pPr>
            <w:r w:rsidRPr="00927CFF">
              <w:rPr>
                <w:b/>
                <w:color w:val="000000"/>
                <w:sz w:val="20"/>
              </w:rPr>
              <w:t>55</w:t>
            </w:r>
          </w:p>
        </w:tc>
        <w:tc>
          <w:tcPr>
            <w:tcW w:w="1080" w:type="dxa"/>
            <w:tcBorders>
              <w:top w:val="single" w:sz="12" w:space="0" w:color="auto"/>
              <w:left w:val="single" w:sz="2" w:space="0" w:color="auto"/>
              <w:bottom w:val="single" w:sz="12" w:space="0" w:color="auto"/>
              <w:right w:val="single" w:sz="2" w:space="0" w:color="auto"/>
            </w:tcBorders>
            <w:vAlign w:val="center"/>
          </w:tcPr>
          <w:p w14:paraId="6E5014FD" w14:textId="77777777" w:rsidR="00B50935" w:rsidRPr="00927CFF" w:rsidRDefault="00B50935" w:rsidP="00427764">
            <w:pPr>
              <w:spacing w:before="60" w:after="60"/>
              <w:jc w:val="right"/>
              <w:rPr>
                <w:b/>
                <w:noProof/>
                <w:sz w:val="20"/>
              </w:rPr>
            </w:pPr>
            <w:r w:rsidRPr="00927CFF">
              <w:rPr>
                <w:b/>
                <w:color w:val="000000"/>
                <w:sz w:val="20"/>
              </w:rPr>
              <w:t>68</w:t>
            </w:r>
          </w:p>
        </w:tc>
        <w:tc>
          <w:tcPr>
            <w:tcW w:w="1080" w:type="dxa"/>
            <w:tcBorders>
              <w:top w:val="single" w:sz="12" w:space="0" w:color="auto"/>
              <w:left w:val="single" w:sz="2" w:space="0" w:color="auto"/>
              <w:bottom w:val="single" w:sz="12" w:space="0" w:color="auto"/>
              <w:right w:val="single" w:sz="2" w:space="0" w:color="auto"/>
            </w:tcBorders>
            <w:vAlign w:val="center"/>
          </w:tcPr>
          <w:p w14:paraId="1142286C" w14:textId="77777777" w:rsidR="00B50935" w:rsidRPr="00927CFF" w:rsidRDefault="00B50935" w:rsidP="00427764">
            <w:pPr>
              <w:spacing w:before="60" w:after="60"/>
              <w:jc w:val="right"/>
              <w:rPr>
                <w:b/>
                <w:noProof/>
                <w:sz w:val="20"/>
              </w:rPr>
            </w:pPr>
            <w:r w:rsidRPr="00927CFF">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32156A1D" w14:textId="77777777" w:rsidR="00B50935" w:rsidRPr="00927CFF" w:rsidRDefault="00B50935" w:rsidP="00427764">
            <w:pPr>
              <w:spacing w:before="60" w:after="60"/>
              <w:jc w:val="right"/>
              <w:rPr>
                <w:b/>
                <w:noProof/>
                <w:sz w:val="20"/>
              </w:rPr>
            </w:pPr>
            <w:r w:rsidRPr="00927CFF">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7A949AD2" w14:textId="77777777" w:rsidR="00B50935" w:rsidRPr="00927CFF" w:rsidRDefault="00B50935" w:rsidP="00427764">
            <w:pPr>
              <w:spacing w:before="60" w:after="60"/>
              <w:jc w:val="right"/>
              <w:rPr>
                <w:b/>
                <w:noProof/>
                <w:sz w:val="20"/>
              </w:rPr>
            </w:pPr>
            <w:r w:rsidRPr="00927CFF">
              <w:rPr>
                <w:b/>
                <w:color w:val="000000"/>
                <w:sz w:val="20"/>
              </w:rPr>
              <w:t>73</w:t>
            </w:r>
          </w:p>
        </w:tc>
        <w:tc>
          <w:tcPr>
            <w:tcW w:w="1080" w:type="dxa"/>
            <w:tcBorders>
              <w:top w:val="single" w:sz="12" w:space="0" w:color="auto"/>
              <w:left w:val="single" w:sz="2" w:space="0" w:color="auto"/>
              <w:bottom w:val="single" w:sz="12" w:space="0" w:color="auto"/>
              <w:right w:val="single" w:sz="2" w:space="0" w:color="auto"/>
            </w:tcBorders>
            <w:vAlign w:val="center"/>
          </w:tcPr>
          <w:p w14:paraId="320464A6" w14:textId="77777777" w:rsidR="00B50935" w:rsidRPr="00927CFF" w:rsidRDefault="00B50935" w:rsidP="00427764">
            <w:pPr>
              <w:spacing w:before="60" w:after="60"/>
              <w:jc w:val="right"/>
              <w:rPr>
                <w:b/>
                <w:noProof/>
                <w:sz w:val="20"/>
              </w:rPr>
            </w:pPr>
            <w:r w:rsidRPr="00927CFF">
              <w:rPr>
                <w:b/>
                <w:sz w:val="20"/>
              </w:rPr>
              <w:t>73</w:t>
            </w:r>
          </w:p>
        </w:tc>
        <w:tc>
          <w:tcPr>
            <w:tcW w:w="1080" w:type="dxa"/>
            <w:tcBorders>
              <w:top w:val="single" w:sz="12" w:space="0" w:color="auto"/>
              <w:left w:val="single" w:sz="2" w:space="0" w:color="auto"/>
              <w:bottom w:val="single" w:sz="12" w:space="0" w:color="auto"/>
              <w:right w:val="single" w:sz="12" w:space="0" w:color="auto"/>
            </w:tcBorders>
            <w:vAlign w:val="center"/>
          </w:tcPr>
          <w:p w14:paraId="6D95FF9B" w14:textId="77777777" w:rsidR="00B50935" w:rsidRPr="00927CFF" w:rsidRDefault="00B50935" w:rsidP="00427764">
            <w:pPr>
              <w:spacing w:before="60" w:after="60"/>
              <w:jc w:val="right"/>
              <w:rPr>
                <w:b/>
                <w:noProof/>
                <w:sz w:val="20"/>
              </w:rPr>
            </w:pPr>
            <w:r w:rsidRPr="00927CFF">
              <w:rPr>
                <w:b/>
                <w:sz w:val="20"/>
              </w:rPr>
              <w:t>73</w:t>
            </w:r>
          </w:p>
        </w:tc>
      </w:tr>
    </w:tbl>
    <w:p w14:paraId="5E55BA22" w14:textId="77777777" w:rsidR="00B50935" w:rsidRPr="00927CFF" w:rsidRDefault="00B50935" w:rsidP="00B50935">
      <w:pPr>
        <w:rPr>
          <w:noProof/>
          <w:u w:val="single"/>
        </w:rPr>
      </w:pPr>
    </w:p>
    <w:p w14:paraId="19D2A2FD" w14:textId="77777777" w:rsidR="00B50935" w:rsidRPr="00927CFF" w:rsidRDefault="00B50935" w:rsidP="00B50935">
      <w:pPr>
        <w:rPr>
          <w:noProof/>
        </w:rPr>
      </w:pPr>
      <w:r w:rsidRPr="00927CFF">
        <w:rPr>
          <w:u w:val="single"/>
        </w:rPr>
        <w:t xml:space="preserve">Det planlagte ansættelsestidspunkt angives, beløbet tilpasses i overensstemmelse hermed (hvis ansættelsen finder sted i juli, opføres kun 50 % af de gennemsnitlige udgifter), og der redegøres nærmere herfor. </w:t>
      </w:r>
    </w:p>
    <w:p w14:paraId="40C38852" w14:textId="77777777" w:rsidR="00B50935" w:rsidRPr="00927CFF" w:rsidRDefault="00B50935" w:rsidP="00B50935">
      <w:pPr>
        <w:rPr>
          <w:noProof/>
        </w:rPr>
        <w:sectPr w:rsidR="00B50935" w:rsidRPr="00927CFF" w:rsidSect="00BE6028">
          <w:headerReference w:type="default" r:id="rId19"/>
          <w:footerReference w:type="default" r:id="rId20"/>
          <w:headerReference w:type="first" r:id="rId21"/>
          <w:footerReference w:type="first" r:id="rId22"/>
          <w:pgSz w:w="11907" w:h="16839"/>
          <w:pgMar w:top="1134" w:right="1417" w:bottom="1134" w:left="1417" w:header="709" w:footer="709" w:gutter="0"/>
          <w:cols w:space="720"/>
          <w:docGrid w:linePitch="326"/>
        </w:sectPr>
      </w:pPr>
    </w:p>
    <w:p w14:paraId="28518569" w14:textId="77777777" w:rsidR="00B50935" w:rsidRPr="00927CFF" w:rsidRDefault="00B50935" w:rsidP="00B50935">
      <w:pPr>
        <w:pStyle w:val="Heading4"/>
        <w:rPr>
          <w:bCs w:val="0"/>
          <w:noProof/>
          <w:szCs w:val="24"/>
        </w:rPr>
      </w:pPr>
      <w:r w:rsidRPr="00927CFF">
        <w:t>Anslået behov for menneskelige ressourcer i det overordnede generaldirektorat</w:t>
      </w:r>
    </w:p>
    <w:p w14:paraId="5A77DBE5" w14:textId="77777777" w:rsidR="00B50935" w:rsidRPr="00927CFF" w:rsidRDefault="00B50935" w:rsidP="006F7C3E">
      <w:pPr>
        <w:pStyle w:val="ListDash1"/>
        <w:rPr>
          <w:noProof/>
        </w:rPr>
      </w:pPr>
      <w:r w:rsidRPr="00927CFF">
        <w:t>X</w:t>
      </w:r>
      <w:r w:rsidRPr="00927CFF">
        <w:tab/>
        <w:t xml:space="preserve">Forslaget/initiativet medfører ikke anvendelse af menneskelige ressourcer </w:t>
      </w:r>
    </w:p>
    <w:p w14:paraId="433BB65C" w14:textId="77777777" w:rsidR="00B50935" w:rsidRPr="00927CFF" w:rsidRDefault="00B50935" w:rsidP="006F7C3E">
      <w:pPr>
        <w:pStyle w:val="ListDash1"/>
        <w:rPr>
          <w:noProof/>
        </w:rPr>
      </w:pPr>
      <w:r w:rsidRPr="00927CFF">
        <w:sym w:font="Wingdings" w:char="F0A8"/>
      </w:r>
      <w:r w:rsidRPr="00927CFF">
        <w:tab/>
        <w:t>Forslaget/initiativet medfører anvendelse af menneskelige ressourcer som anført herunder:</w:t>
      </w:r>
    </w:p>
    <w:p w14:paraId="64CFBCEA" w14:textId="77777777" w:rsidR="00B50935" w:rsidRPr="00927CFF" w:rsidRDefault="00B50935" w:rsidP="00B50935">
      <w:pPr>
        <w:spacing w:after="60"/>
        <w:jc w:val="right"/>
        <w:rPr>
          <w:i/>
          <w:noProof/>
          <w:sz w:val="20"/>
        </w:rPr>
      </w:pPr>
      <w:r w:rsidRPr="00927CFF">
        <w:rPr>
          <w:i/>
          <w:sz w:val="20"/>
        </w:rPr>
        <w:t>Overslag angives i hele tal (eller med højst én decimal)</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75"/>
        <w:gridCol w:w="739"/>
        <w:gridCol w:w="815"/>
        <w:gridCol w:w="998"/>
        <w:gridCol w:w="851"/>
        <w:gridCol w:w="14"/>
        <w:gridCol w:w="835"/>
        <w:gridCol w:w="30"/>
        <w:gridCol w:w="865"/>
        <w:gridCol w:w="12"/>
      </w:tblGrid>
      <w:tr w:rsidR="00B50935" w:rsidRPr="00927CFF" w14:paraId="4DA426D1" w14:textId="77777777" w:rsidTr="00427764">
        <w:trPr>
          <w:gridAfter w:val="1"/>
          <w:wAfter w:w="6" w:type="pct"/>
          <w:trHeight w:val="289"/>
          <w:jc w:val="center"/>
        </w:trPr>
        <w:tc>
          <w:tcPr>
            <w:tcW w:w="2044" w:type="pct"/>
            <w:gridSpan w:val="2"/>
            <w:shd w:val="clear" w:color="auto" w:fill="auto"/>
          </w:tcPr>
          <w:p w14:paraId="108F4084" w14:textId="77777777" w:rsidR="00B50935" w:rsidRPr="00927CFF" w:rsidRDefault="00B50935" w:rsidP="00427764">
            <w:pPr>
              <w:pStyle w:val="Text1"/>
              <w:spacing w:before="40" w:after="40"/>
              <w:ind w:left="0"/>
              <w:jc w:val="center"/>
              <w:rPr>
                <w:i/>
                <w:noProof/>
                <w:sz w:val="20"/>
              </w:rPr>
            </w:pPr>
          </w:p>
        </w:tc>
        <w:tc>
          <w:tcPr>
            <w:tcW w:w="386" w:type="pct"/>
            <w:shd w:val="clear" w:color="auto" w:fill="auto"/>
            <w:vAlign w:val="center"/>
          </w:tcPr>
          <w:p w14:paraId="62AAC3D2" w14:textId="77777777" w:rsidR="00B50935" w:rsidRPr="00927CFF" w:rsidRDefault="00B50935" w:rsidP="00427764">
            <w:pPr>
              <w:spacing w:before="20" w:after="20"/>
              <w:jc w:val="center"/>
              <w:rPr>
                <w:noProof/>
                <w:sz w:val="20"/>
              </w:rPr>
            </w:pPr>
            <w:r w:rsidRPr="00927CFF">
              <w:rPr>
                <w:sz w:val="20"/>
              </w:rPr>
              <w:t>År</w:t>
            </w:r>
            <w:r w:rsidRPr="00927CFF">
              <w:t xml:space="preserve"> </w:t>
            </w:r>
            <w:r w:rsidRPr="00927CFF">
              <w:br/>
            </w:r>
            <w:r w:rsidRPr="00927CFF">
              <w:rPr>
                <w:b/>
                <w:sz w:val="20"/>
              </w:rPr>
              <w:t>2021</w:t>
            </w:r>
          </w:p>
        </w:tc>
        <w:tc>
          <w:tcPr>
            <w:tcW w:w="368" w:type="pct"/>
            <w:shd w:val="clear" w:color="auto" w:fill="auto"/>
            <w:vAlign w:val="center"/>
          </w:tcPr>
          <w:p w14:paraId="4C272E26" w14:textId="77777777" w:rsidR="00B50935" w:rsidRPr="00927CFF" w:rsidRDefault="00B50935" w:rsidP="00427764">
            <w:pPr>
              <w:spacing w:before="20" w:after="20"/>
              <w:jc w:val="center"/>
              <w:rPr>
                <w:noProof/>
                <w:sz w:val="20"/>
              </w:rPr>
            </w:pPr>
            <w:r w:rsidRPr="00927CFF">
              <w:rPr>
                <w:sz w:val="20"/>
              </w:rPr>
              <w:t>År</w:t>
            </w:r>
            <w:r w:rsidRPr="00927CFF">
              <w:t xml:space="preserve"> </w:t>
            </w:r>
            <w:r w:rsidRPr="00927CFF">
              <w:br/>
            </w:r>
            <w:r w:rsidRPr="00927CFF">
              <w:rPr>
                <w:b/>
                <w:sz w:val="20"/>
              </w:rPr>
              <w:t>2022</w:t>
            </w:r>
          </w:p>
        </w:tc>
        <w:tc>
          <w:tcPr>
            <w:tcW w:w="406" w:type="pct"/>
            <w:shd w:val="clear" w:color="auto" w:fill="auto"/>
            <w:vAlign w:val="center"/>
          </w:tcPr>
          <w:p w14:paraId="16224000" w14:textId="77777777" w:rsidR="00B50935" w:rsidRPr="00927CFF" w:rsidRDefault="00B50935" w:rsidP="00427764">
            <w:pPr>
              <w:spacing w:before="20" w:after="20"/>
              <w:jc w:val="center"/>
              <w:rPr>
                <w:noProof/>
                <w:sz w:val="20"/>
              </w:rPr>
            </w:pPr>
            <w:r w:rsidRPr="00927CFF">
              <w:rPr>
                <w:sz w:val="20"/>
              </w:rPr>
              <w:t>År</w:t>
            </w:r>
            <w:r w:rsidRPr="00927CFF">
              <w:t xml:space="preserve"> </w:t>
            </w:r>
            <w:r w:rsidRPr="00927CFF">
              <w:br/>
            </w:r>
            <w:r w:rsidRPr="00927CFF">
              <w:rPr>
                <w:b/>
                <w:sz w:val="20"/>
              </w:rPr>
              <w:t>2023</w:t>
            </w:r>
          </w:p>
        </w:tc>
        <w:tc>
          <w:tcPr>
            <w:tcW w:w="497" w:type="pct"/>
            <w:shd w:val="clear" w:color="auto" w:fill="auto"/>
            <w:vAlign w:val="center"/>
          </w:tcPr>
          <w:p w14:paraId="3AFDEB76" w14:textId="77777777" w:rsidR="00B50935" w:rsidRPr="00927CFF" w:rsidRDefault="00B50935" w:rsidP="00427764">
            <w:pPr>
              <w:spacing w:before="20" w:after="20"/>
              <w:jc w:val="center"/>
              <w:rPr>
                <w:noProof/>
                <w:sz w:val="20"/>
              </w:rPr>
            </w:pPr>
            <w:r w:rsidRPr="00927CFF">
              <w:rPr>
                <w:sz w:val="20"/>
              </w:rPr>
              <w:t>År</w:t>
            </w:r>
            <w:r w:rsidRPr="00927CFF">
              <w:t xml:space="preserve"> </w:t>
            </w:r>
            <w:r w:rsidRPr="00927CFF">
              <w:br/>
            </w:r>
            <w:r w:rsidRPr="00927CFF">
              <w:rPr>
                <w:b/>
                <w:sz w:val="20"/>
              </w:rPr>
              <w:t>2024</w:t>
            </w:r>
          </w:p>
        </w:tc>
        <w:tc>
          <w:tcPr>
            <w:tcW w:w="431" w:type="pct"/>
            <w:gridSpan w:val="2"/>
            <w:shd w:val="clear" w:color="auto" w:fill="auto"/>
            <w:vAlign w:val="center"/>
          </w:tcPr>
          <w:p w14:paraId="3A3ECED5" w14:textId="77777777" w:rsidR="00B50935" w:rsidRPr="00927CFF" w:rsidRDefault="00B50935" w:rsidP="00427764">
            <w:pPr>
              <w:tabs>
                <w:tab w:val="left" w:pos="685"/>
              </w:tabs>
              <w:jc w:val="center"/>
              <w:rPr>
                <w:b/>
                <w:noProof/>
                <w:sz w:val="20"/>
              </w:rPr>
            </w:pPr>
            <w:r w:rsidRPr="00927CFF">
              <w:rPr>
                <w:sz w:val="20"/>
              </w:rPr>
              <w:t>År</w:t>
            </w:r>
            <w:r w:rsidRPr="00927CFF">
              <w:t xml:space="preserve"> </w:t>
            </w:r>
            <w:r w:rsidRPr="00927CFF">
              <w:br/>
            </w:r>
            <w:r w:rsidRPr="00927CFF">
              <w:rPr>
                <w:b/>
                <w:sz w:val="20"/>
              </w:rPr>
              <w:t>2025</w:t>
            </w:r>
          </w:p>
        </w:tc>
        <w:tc>
          <w:tcPr>
            <w:tcW w:w="431" w:type="pct"/>
            <w:gridSpan w:val="2"/>
            <w:shd w:val="clear" w:color="auto" w:fill="auto"/>
            <w:vAlign w:val="center"/>
          </w:tcPr>
          <w:p w14:paraId="1691875D" w14:textId="77777777" w:rsidR="00B50935" w:rsidRPr="00927CFF" w:rsidRDefault="00B50935" w:rsidP="00427764">
            <w:pPr>
              <w:tabs>
                <w:tab w:val="left" w:pos="685"/>
              </w:tabs>
              <w:jc w:val="center"/>
              <w:rPr>
                <w:b/>
                <w:noProof/>
                <w:sz w:val="20"/>
              </w:rPr>
            </w:pPr>
            <w:r w:rsidRPr="00927CFF">
              <w:rPr>
                <w:sz w:val="20"/>
              </w:rPr>
              <w:t>År</w:t>
            </w:r>
            <w:r w:rsidRPr="00927CFF">
              <w:t xml:space="preserve"> </w:t>
            </w:r>
            <w:r w:rsidRPr="00927CFF">
              <w:br/>
            </w:r>
            <w:r w:rsidRPr="00927CFF">
              <w:rPr>
                <w:b/>
                <w:sz w:val="20"/>
              </w:rPr>
              <w:t>2026</w:t>
            </w:r>
          </w:p>
        </w:tc>
        <w:tc>
          <w:tcPr>
            <w:tcW w:w="431" w:type="pct"/>
            <w:shd w:val="clear" w:color="auto" w:fill="auto"/>
            <w:vAlign w:val="center"/>
          </w:tcPr>
          <w:p w14:paraId="6802C749" w14:textId="77777777" w:rsidR="00B50935" w:rsidRPr="00927CFF" w:rsidRDefault="00B50935" w:rsidP="00427764">
            <w:pPr>
              <w:tabs>
                <w:tab w:val="left" w:pos="685"/>
              </w:tabs>
              <w:jc w:val="center"/>
              <w:rPr>
                <w:b/>
                <w:noProof/>
                <w:sz w:val="20"/>
              </w:rPr>
            </w:pPr>
            <w:r w:rsidRPr="00927CFF">
              <w:rPr>
                <w:sz w:val="20"/>
              </w:rPr>
              <w:t>År</w:t>
            </w:r>
            <w:r w:rsidRPr="00927CFF">
              <w:t xml:space="preserve"> </w:t>
            </w:r>
            <w:r w:rsidRPr="00927CFF">
              <w:br/>
            </w:r>
            <w:r w:rsidRPr="00927CFF">
              <w:rPr>
                <w:b/>
                <w:sz w:val="20"/>
              </w:rPr>
              <w:t>2027</w:t>
            </w:r>
            <w:r w:rsidRPr="00927CFF">
              <w:rPr>
                <w:sz w:val="20"/>
              </w:rPr>
              <w:t xml:space="preserve"> ff</w:t>
            </w:r>
          </w:p>
        </w:tc>
      </w:tr>
      <w:tr w:rsidR="00B50935" w:rsidRPr="00927CFF" w14:paraId="12EC88DF" w14:textId="77777777" w:rsidTr="00427764">
        <w:trPr>
          <w:trHeight w:val="289"/>
          <w:jc w:val="center"/>
        </w:trPr>
        <w:tc>
          <w:tcPr>
            <w:tcW w:w="2044" w:type="pct"/>
            <w:gridSpan w:val="2"/>
            <w:shd w:val="clear" w:color="auto" w:fill="auto"/>
            <w:vAlign w:val="center"/>
          </w:tcPr>
          <w:p w14:paraId="2D71FDF6" w14:textId="77777777" w:rsidR="00B50935" w:rsidRPr="00927CFF" w:rsidRDefault="00B50935" w:rsidP="00F36FFA">
            <w:pPr>
              <w:pStyle w:val="Text1"/>
              <w:numPr>
                <w:ilvl w:val="0"/>
                <w:numId w:val="17"/>
              </w:numPr>
              <w:tabs>
                <w:tab w:val="left" w:pos="208"/>
              </w:tabs>
              <w:spacing w:beforeLines="20" w:before="48" w:afterLines="20" w:after="48"/>
              <w:ind w:left="208" w:hanging="120"/>
              <w:jc w:val="left"/>
              <w:rPr>
                <w:b/>
                <w:noProof/>
                <w:sz w:val="20"/>
              </w:rPr>
            </w:pPr>
            <w:r w:rsidRPr="00927CFF">
              <w:rPr>
                <w:b/>
                <w:sz w:val="20"/>
              </w:rPr>
              <w:t>Stillinger i stillingsfortegnelsen (tjenestemænd og midlertidigt ansatte)</w:t>
            </w:r>
          </w:p>
        </w:tc>
        <w:tc>
          <w:tcPr>
            <w:tcW w:w="386" w:type="pct"/>
            <w:shd w:val="clear" w:color="auto" w:fill="auto"/>
            <w:vAlign w:val="center"/>
          </w:tcPr>
          <w:p w14:paraId="09289EA3"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765A85A3"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09C5C7C9"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038E3062"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00E2C239"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1641B50A"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71CAFA2D" w14:textId="77777777" w:rsidR="00B50935" w:rsidRPr="00927CFF" w:rsidRDefault="00B50935" w:rsidP="00427764">
            <w:pPr>
              <w:spacing w:beforeLines="20" w:before="48" w:afterLines="20" w:after="48"/>
              <w:jc w:val="center"/>
              <w:rPr>
                <w:noProof/>
                <w:sz w:val="20"/>
              </w:rPr>
            </w:pPr>
          </w:p>
        </w:tc>
      </w:tr>
      <w:tr w:rsidR="00B50935" w:rsidRPr="00927CFF" w14:paraId="7299EBB1" w14:textId="77777777" w:rsidTr="00427764">
        <w:trPr>
          <w:trHeight w:val="289"/>
          <w:jc w:val="center"/>
        </w:trPr>
        <w:tc>
          <w:tcPr>
            <w:tcW w:w="2044" w:type="pct"/>
            <w:gridSpan w:val="2"/>
            <w:shd w:val="clear" w:color="auto" w:fill="auto"/>
            <w:vAlign w:val="center"/>
          </w:tcPr>
          <w:p w14:paraId="174BA044" w14:textId="77777777" w:rsidR="00B50935" w:rsidRPr="00927CFF" w:rsidRDefault="00B50935" w:rsidP="00427764">
            <w:pPr>
              <w:pStyle w:val="Text1"/>
              <w:spacing w:beforeLines="20" w:before="48" w:afterLines="20" w:after="48"/>
              <w:ind w:left="984"/>
              <w:jc w:val="left"/>
              <w:rPr>
                <w:b/>
                <w:noProof/>
                <w:sz w:val="20"/>
              </w:rPr>
            </w:pPr>
            <w:r w:rsidRPr="00927CFF">
              <w:rPr>
                <w:sz w:val="20"/>
              </w:rPr>
              <w:t>XX 01 01 01 (i hovedsædet og i Kommissionens repræsentationskontorer)</w:t>
            </w:r>
          </w:p>
        </w:tc>
        <w:tc>
          <w:tcPr>
            <w:tcW w:w="386" w:type="pct"/>
            <w:shd w:val="clear" w:color="auto" w:fill="auto"/>
            <w:vAlign w:val="center"/>
          </w:tcPr>
          <w:p w14:paraId="4B500E98"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594CB868"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6F4B49CA"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365ACCAF"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546B2A9E"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2E4ECF75"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2079901A" w14:textId="77777777" w:rsidR="00B50935" w:rsidRPr="00927CFF" w:rsidRDefault="00B50935" w:rsidP="00427764">
            <w:pPr>
              <w:spacing w:beforeLines="20" w:before="48" w:afterLines="20" w:after="48"/>
              <w:jc w:val="center"/>
              <w:rPr>
                <w:noProof/>
                <w:sz w:val="20"/>
              </w:rPr>
            </w:pPr>
          </w:p>
        </w:tc>
      </w:tr>
      <w:tr w:rsidR="00B50935" w:rsidRPr="00927CFF" w14:paraId="3E896A6D" w14:textId="77777777" w:rsidTr="00427764">
        <w:trPr>
          <w:trHeight w:val="289"/>
          <w:jc w:val="center"/>
        </w:trPr>
        <w:tc>
          <w:tcPr>
            <w:tcW w:w="2044" w:type="pct"/>
            <w:gridSpan w:val="2"/>
            <w:shd w:val="clear" w:color="auto" w:fill="auto"/>
            <w:vAlign w:val="center"/>
          </w:tcPr>
          <w:p w14:paraId="15F3D2A0" w14:textId="77777777" w:rsidR="00B50935" w:rsidRPr="00927CFF" w:rsidRDefault="00B50935" w:rsidP="00427764">
            <w:pPr>
              <w:pStyle w:val="Text1"/>
              <w:spacing w:beforeLines="20" w:before="48" w:afterLines="20" w:after="48"/>
              <w:ind w:left="984"/>
              <w:jc w:val="left"/>
              <w:rPr>
                <w:noProof/>
                <w:sz w:val="20"/>
              </w:rPr>
            </w:pPr>
            <w:r w:rsidRPr="00927CFF">
              <w:rPr>
                <w:sz w:val="20"/>
              </w:rPr>
              <w:t>XX 01 01 02 (i delegationer)</w:t>
            </w:r>
          </w:p>
        </w:tc>
        <w:tc>
          <w:tcPr>
            <w:tcW w:w="386" w:type="pct"/>
            <w:shd w:val="clear" w:color="auto" w:fill="auto"/>
            <w:vAlign w:val="center"/>
          </w:tcPr>
          <w:p w14:paraId="45E3F833"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55B59F95"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33B7F5EA"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3361E33B"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4D572460"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231B5DD4"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6BEB5785" w14:textId="77777777" w:rsidR="00B50935" w:rsidRPr="00927CFF" w:rsidRDefault="00B50935" w:rsidP="00427764">
            <w:pPr>
              <w:spacing w:beforeLines="20" w:before="48" w:afterLines="20" w:after="48"/>
              <w:jc w:val="center"/>
              <w:rPr>
                <w:noProof/>
                <w:sz w:val="20"/>
              </w:rPr>
            </w:pPr>
          </w:p>
        </w:tc>
      </w:tr>
      <w:tr w:rsidR="00B50935" w:rsidRPr="00927CFF" w14:paraId="6916D931" w14:textId="77777777" w:rsidTr="00427764">
        <w:trPr>
          <w:trHeight w:val="953"/>
          <w:jc w:val="center"/>
        </w:trPr>
        <w:tc>
          <w:tcPr>
            <w:tcW w:w="2044" w:type="pct"/>
            <w:gridSpan w:val="2"/>
            <w:shd w:val="clear" w:color="auto" w:fill="auto"/>
            <w:vAlign w:val="center"/>
          </w:tcPr>
          <w:p w14:paraId="38C49AA9" w14:textId="77777777" w:rsidR="00B50935" w:rsidRPr="00927CFF" w:rsidRDefault="00B50935" w:rsidP="00427764">
            <w:pPr>
              <w:pStyle w:val="Text1"/>
              <w:spacing w:beforeLines="20" w:before="48" w:afterLines="20" w:after="48"/>
              <w:ind w:left="984"/>
              <w:jc w:val="left"/>
              <w:rPr>
                <w:noProof/>
                <w:sz w:val="20"/>
              </w:rPr>
            </w:pPr>
            <w:r w:rsidRPr="00927CFF">
              <w:rPr>
                <w:sz w:val="20"/>
              </w:rPr>
              <w:t>XX 01 05 01 (indirekte forskning)</w:t>
            </w:r>
          </w:p>
        </w:tc>
        <w:tc>
          <w:tcPr>
            <w:tcW w:w="386" w:type="pct"/>
            <w:shd w:val="clear" w:color="auto" w:fill="auto"/>
            <w:vAlign w:val="center"/>
          </w:tcPr>
          <w:p w14:paraId="696E0EAC"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3E35CF0D"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3154F526"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234D7AF6"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6E730622"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4DBF2D3A"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3A36F30C" w14:textId="77777777" w:rsidR="00B50935" w:rsidRPr="00927CFF" w:rsidRDefault="00B50935" w:rsidP="00427764">
            <w:pPr>
              <w:spacing w:beforeLines="20" w:before="48" w:afterLines="20" w:after="48"/>
              <w:jc w:val="center"/>
              <w:rPr>
                <w:noProof/>
                <w:sz w:val="20"/>
              </w:rPr>
            </w:pPr>
          </w:p>
        </w:tc>
      </w:tr>
      <w:tr w:rsidR="00B50935" w:rsidRPr="00927CFF" w14:paraId="27592BA5" w14:textId="77777777" w:rsidTr="00427764">
        <w:trPr>
          <w:trHeight w:val="289"/>
          <w:jc w:val="center"/>
        </w:trPr>
        <w:tc>
          <w:tcPr>
            <w:tcW w:w="2044" w:type="pct"/>
            <w:gridSpan w:val="2"/>
            <w:shd w:val="clear" w:color="auto" w:fill="auto"/>
            <w:vAlign w:val="center"/>
          </w:tcPr>
          <w:p w14:paraId="2C9711BB" w14:textId="77777777" w:rsidR="00B50935" w:rsidRPr="00927CFF" w:rsidRDefault="00B50935" w:rsidP="00427764">
            <w:pPr>
              <w:pStyle w:val="Text1"/>
              <w:spacing w:beforeLines="20" w:before="48" w:afterLines="20" w:after="48"/>
              <w:ind w:left="984"/>
              <w:jc w:val="left"/>
              <w:rPr>
                <w:noProof/>
                <w:sz w:val="20"/>
              </w:rPr>
            </w:pPr>
            <w:r w:rsidRPr="00927CFF">
              <w:rPr>
                <w:sz w:val="20"/>
              </w:rPr>
              <w:t>10 01 05 01 (direkte forskning)</w:t>
            </w:r>
          </w:p>
        </w:tc>
        <w:tc>
          <w:tcPr>
            <w:tcW w:w="386" w:type="pct"/>
            <w:shd w:val="clear" w:color="auto" w:fill="auto"/>
            <w:vAlign w:val="center"/>
          </w:tcPr>
          <w:p w14:paraId="3A90001C"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41610F75"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439ADAD0"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26C93934"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10A438FD"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072B0520"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18704D7B" w14:textId="77777777" w:rsidR="00B50935" w:rsidRPr="00927CFF" w:rsidRDefault="00B50935" w:rsidP="00427764">
            <w:pPr>
              <w:spacing w:beforeLines="20" w:before="48" w:afterLines="20" w:after="48"/>
              <w:jc w:val="center"/>
              <w:rPr>
                <w:noProof/>
                <w:sz w:val="20"/>
              </w:rPr>
            </w:pPr>
          </w:p>
        </w:tc>
      </w:tr>
      <w:tr w:rsidR="00B50935" w:rsidRPr="00927CFF" w14:paraId="4827A849" w14:textId="77777777" w:rsidTr="00427764">
        <w:trPr>
          <w:trHeight w:val="289"/>
          <w:jc w:val="center"/>
        </w:trPr>
        <w:tc>
          <w:tcPr>
            <w:tcW w:w="2044" w:type="pct"/>
            <w:gridSpan w:val="2"/>
            <w:shd w:val="clear" w:color="auto" w:fill="auto"/>
            <w:vAlign w:val="center"/>
          </w:tcPr>
          <w:p w14:paraId="22EC291E" w14:textId="77777777" w:rsidR="00B50935" w:rsidRPr="00927CFF" w:rsidRDefault="00B50935" w:rsidP="00427764">
            <w:pPr>
              <w:pStyle w:val="Text1"/>
              <w:spacing w:beforeLines="20" w:before="48" w:afterLines="20" w:after="48"/>
              <w:ind w:left="984"/>
              <w:jc w:val="left"/>
              <w:rPr>
                <w:noProof/>
                <w:sz w:val="20"/>
              </w:rPr>
            </w:pPr>
          </w:p>
        </w:tc>
        <w:tc>
          <w:tcPr>
            <w:tcW w:w="386" w:type="pct"/>
            <w:shd w:val="clear" w:color="auto" w:fill="auto"/>
            <w:vAlign w:val="center"/>
          </w:tcPr>
          <w:p w14:paraId="58F22503"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5C82B802"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1DDA0F5A"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518BB561"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77BA213A"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3A99A9DA"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3415ECBC" w14:textId="77777777" w:rsidR="00B50935" w:rsidRPr="00927CFF" w:rsidRDefault="00B50935" w:rsidP="00427764">
            <w:pPr>
              <w:spacing w:beforeLines="20" w:before="48" w:afterLines="20" w:after="48"/>
              <w:jc w:val="center"/>
              <w:rPr>
                <w:noProof/>
                <w:sz w:val="20"/>
              </w:rPr>
            </w:pPr>
          </w:p>
        </w:tc>
      </w:tr>
      <w:tr w:rsidR="00B50935" w:rsidRPr="00927CFF" w14:paraId="6E5757BF" w14:textId="77777777" w:rsidTr="00427764">
        <w:trPr>
          <w:trHeight w:val="289"/>
          <w:jc w:val="center"/>
        </w:trPr>
        <w:tc>
          <w:tcPr>
            <w:tcW w:w="2044" w:type="pct"/>
            <w:gridSpan w:val="2"/>
            <w:shd w:val="clear" w:color="auto" w:fill="auto"/>
            <w:vAlign w:val="center"/>
          </w:tcPr>
          <w:p w14:paraId="346FD701" w14:textId="77777777" w:rsidR="00B50935" w:rsidRPr="00927CFF" w:rsidRDefault="00B50935" w:rsidP="00427764">
            <w:pPr>
              <w:pStyle w:val="Text1"/>
              <w:spacing w:beforeLines="20" w:before="48" w:afterLines="20" w:after="48"/>
              <w:ind w:left="208" w:hanging="120"/>
              <w:jc w:val="left"/>
              <w:rPr>
                <w:noProof/>
                <w:sz w:val="20"/>
              </w:rPr>
            </w:pPr>
            <w:r w:rsidRPr="00927CFF">
              <w:rPr>
                <w:b/>
                <w:sz w:val="20"/>
              </w:rPr>
              <w:sym w:font="Wingdings" w:char="F09F"/>
            </w:r>
            <w:r w:rsidRPr="00927CFF">
              <w:rPr>
                <w:b/>
                <w:sz w:val="20"/>
              </w:rPr>
              <w:t xml:space="preserve"> Eksternt personale (i årsværk)</w:t>
            </w:r>
            <w:r w:rsidRPr="00927CFF">
              <w:rPr>
                <w:rStyle w:val="FootnoteReference"/>
                <w:b/>
                <w:noProof/>
                <w:sz w:val="20"/>
              </w:rPr>
              <w:footnoteReference w:id="20"/>
            </w:r>
          </w:p>
        </w:tc>
        <w:tc>
          <w:tcPr>
            <w:tcW w:w="386" w:type="pct"/>
            <w:shd w:val="clear" w:color="auto" w:fill="auto"/>
            <w:vAlign w:val="center"/>
          </w:tcPr>
          <w:p w14:paraId="41981D13"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03A04855"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3703A3F8"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21B638B0"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66A97860"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0E7BDCCF"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40D2B42F" w14:textId="77777777" w:rsidR="00B50935" w:rsidRPr="00927CFF" w:rsidRDefault="00B50935" w:rsidP="00427764">
            <w:pPr>
              <w:spacing w:beforeLines="20" w:before="48" w:afterLines="20" w:after="48"/>
              <w:jc w:val="center"/>
              <w:rPr>
                <w:noProof/>
                <w:sz w:val="20"/>
              </w:rPr>
            </w:pPr>
          </w:p>
        </w:tc>
      </w:tr>
      <w:tr w:rsidR="00B50935" w:rsidRPr="00927CFF" w14:paraId="09960512" w14:textId="77777777" w:rsidTr="00427764">
        <w:trPr>
          <w:trHeight w:val="289"/>
          <w:jc w:val="center"/>
        </w:trPr>
        <w:tc>
          <w:tcPr>
            <w:tcW w:w="2044" w:type="pct"/>
            <w:gridSpan w:val="2"/>
            <w:shd w:val="clear" w:color="auto" w:fill="auto"/>
            <w:vAlign w:val="center"/>
          </w:tcPr>
          <w:p w14:paraId="27CE3113" w14:textId="77777777" w:rsidR="00B50935" w:rsidRPr="00927CFF" w:rsidRDefault="00B50935" w:rsidP="00427764">
            <w:pPr>
              <w:pStyle w:val="Text1"/>
              <w:spacing w:beforeLines="20" w:before="48" w:afterLines="20" w:after="48"/>
              <w:ind w:left="986"/>
              <w:jc w:val="left"/>
              <w:rPr>
                <w:b/>
                <w:noProof/>
                <w:sz w:val="20"/>
              </w:rPr>
            </w:pPr>
            <w:r w:rsidRPr="00927CFF">
              <w:rPr>
                <w:sz w:val="20"/>
              </w:rPr>
              <w:t>XX 01 02 01 (KA, UNE, V under den samlede bevillingsramme)</w:t>
            </w:r>
          </w:p>
        </w:tc>
        <w:tc>
          <w:tcPr>
            <w:tcW w:w="386" w:type="pct"/>
            <w:shd w:val="clear" w:color="auto" w:fill="auto"/>
            <w:vAlign w:val="center"/>
          </w:tcPr>
          <w:p w14:paraId="2C3D74F4"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4CBC8051"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76938ECC"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15DA0D1E"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6935E5AD"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53B91D60"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7FA8CB8E" w14:textId="77777777" w:rsidR="00B50935" w:rsidRPr="00927CFF" w:rsidRDefault="00B50935" w:rsidP="00427764">
            <w:pPr>
              <w:spacing w:beforeLines="20" w:before="48" w:afterLines="20" w:after="48"/>
              <w:jc w:val="center"/>
              <w:rPr>
                <w:noProof/>
                <w:sz w:val="20"/>
              </w:rPr>
            </w:pPr>
          </w:p>
        </w:tc>
      </w:tr>
      <w:tr w:rsidR="00B50935" w:rsidRPr="00927CFF" w14:paraId="6C1A1B39" w14:textId="77777777" w:rsidTr="00427764">
        <w:trPr>
          <w:trHeight w:val="289"/>
          <w:jc w:val="center"/>
        </w:trPr>
        <w:tc>
          <w:tcPr>
            <w:tcW w:w="2044" w:type="pct"/>
            <w:gridSpan w:val="2"/>
            <w:shd w:val="clear" w:color="auto" w:fill="auto"/>
            <w:vAlign w:val="center"/>
          </w:tcPr>
          <w:p w14:paraId="5B4D2807" w14:textId="77777777" w:rsidR="00B50935" w:rsidRPr="00927CFF" w:rsidRDefault="00B50935" w:rsidP="00427764">
            <w:pPr>
              <w:pStyle w:val="Text1"/>
              <w:spacing w:beforeLines="20" w:before="48" w:afterLines="20" w:after="48"/>
              <w:ind w:left="986"/>
              <w:jc w:val="left"/>
              <w:rPr>
                <w:noProof/>
                <w:sz w:val="20"/>
              </w:rPr>
            </w:pPr>
            <w:r w:rsidRPr="00927CFF">
              <w:rPr>
                <w:sz w:val="20"/>
              </w:rPr>
              <w:t>XX 01 02 02 (KA, LA, UNE, V og JED i delegationerne)</w:t>
            </w:r>
          </w:p>
        </w:tc>
        <w:tc>
          <w:tcPr>
            <w:tcW w:w="386" w:type="pct"/>
            <w:shd w:val="clear" w:color="auto" w:fill="auto"/>
            <w:vAlign w:val="center"/>
          </w:tcPr>
          <w:p w14:paraId="3A057FFE"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000BF8E3"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6657C61F"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5058932A"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71129C0E"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71F9B134"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13101C4B" w14:textId="77777777" w:rsidR="00B50935" w:rsidRPr="00927CFF" w:rsidRDefault="00B50935" w:rsidP="00427764">
            <w:pPr>
              <w:spacing w:beforeLines="20" w:before="48" w:afterLines="20" w:after="48"/>
              <w:jc w:val="center"/>
              <w:rPr>
                <w:noProof/>
                <w:sz w:val="20"/>
              </w:rPr>
            </w:pPr>
          </w:p>
        </w:tc>
      </w:tr>
      <w:tr w:rsidR="00B50935" w:rsidRPr="00927CFF" w14:paraId="2F59A8A0" w14:textId="77777777" w:rsidTr="00427764">
        <w:trPr>
          <w:trHeight w:val="289"/>
          <w:jc w:val="center"/>
        </w:trPr>
        <w:tc>
          <w:tcPr>
            <w:tcW w:w="1018" w:type="pct"/>
            <w:vMerge w:val="restart"/>
            <w:shd w:val="clear" w:color="auto" w:fill="auto"/>
            <w:vAlign w:val="center"/>
          </w:tcPr>
          <w:p w14:paraId="40933977" w14:textId="77777777" w:rsidR="00B50935" w:rsidRPr="00927CFF" w:rsidRDefault="00B50935" w:rsidP="00427764">
            <w:pPr>
              <w:pStyle w:val="Text1"/>
              <w:spacing w:beforeLines="20" w:before="48" w:afterLines="20" w:after="48"/>
              <w:ind w:left="986"/>
              <w:jc w:val="left"/>
              <w:rPr>
                <w:b/>
                <w:noProof/>
                <w:sz w:val="20"/>
              </w:rPr>
            </w:pPr>
            <w:r w:rsidRPr="00927CFF">
              <w:rPr>
                <w:b/>
                <w:sz w:val="20"/>
              </w:rPr>
              <w:t>XX</w:t>
            </w:r>
            <w:r w:rsidRPr="00927CFF">
              <w:rPr>
                <w:sz w:val="20"/>
              </w:rPr>
              <w:t xml:space="preserve"> 01 04 </w:t>
            </w:r>
            <w:r w:rsidRPr="00927CFF">
              <w:rPr>
                <w:b/>
                <w:i/>
                <w:sz w:val="20"/>
              </w:rPr>
              <w:t>yy</w:t>
            </w:r>
            <w:r w:rsidRPr="00927CFF">
              <w:rPr>
                <w:rStyle w:val="FootnoteReference"/>
                <w:b/>
                <w:i/>
                <w:noProof/>
                <w:sz w:val="20"/>
              </w:rPr>
              <w:footnoteReference w:id="21"/>
            </w:r>
          </w:p>
        </w:tc>
        <w:tc>
          <w:tcPr>
            <w:tcW w:w="1026" w:type="pct"/>
            <w:shd w:val="clear" w:color="auto" w:fill="auto"/>
            <w:vAlign w:val="center"/>
          </w:tcPr>
          <w:p w14:paraId="6B106976" w14:textId="77777777" w:rsidR="00B50935" w:rsidRPr="00927CFF" w:rsidRDefault="00B50935" w:rsidP="00427764">
            <w:pPr>
              <w:pStyle w:val="Text1"/>
              <w:spacing w:beforeLines="20" w:before="48" w:afterLines="20" w:after="48"/>
              <w:ind w:left="598"/>
              <w:jc w:val="left"/>
              <w:rPr>
                <w:b/>
                <w:noProof/>
                <w:sz w:val="20"/>
              </w:rPr>
            </w:pPr>
            <w:r w:rsidRPr="00927CFF">
              <w:rPr>
                <w:sz w:val="20"/>
              </w:rPr>
              <w:t>- i hovedsædet</w:t>
            </w:r>
            <w:r w:rsidRPr="00927CFF">
              <w:rPr>
                <w:rStyle w:val="FootnoteReference"/>
                <w:noProof/>
                <w:sz w:val="20"/>
              </w:rPr>
              <w:footnoteReference w:id="22"/>
            </w:r>
            <w:r w:rsidRPr="00927CFF">
              <w:t xml:space="preserve"> </w:t>
            </w:r>
            <w:r w:rsidRPr="00927CFF">
              <w:br/>
            </w:r>
          </w:p>
        </w:tc>
        <w:tc>
          <w:tcPr>
            <w:tcW w:w="386" w:type="pct"/>
            <w:shd w:val="clear" w:color="auto" w:fill="auto"/>
            <w:vAlign w:val="center"/>
          </w:tcPr>
          <w:p w14:paraId="6FAACEE6" w14:textId="77777777" w:rsidR="00B50935" w:rsidRPr="00927CFF" w:rsidRDefault="00B50935" w:rsidP="00427764">
            <w:pPr>
              <w:pStyle w:val="Text1"/>
              <w:spacing w:beforeLines="20" w:before="48" w:afterLines="20" w:after="48"/>
              <w:rPr>
                <w:noProof/>
                <w:sz w:val="20"/>
              </w:rPr>
            </w:pPr>
          </w:p>
        </w:tc>
        <w:tc>
          <w:tcPr>
            <w:tcW w:w="368" w:type="pct"/>
            <w:shd w:val="clear" w:color="auto" w:fill="auto"/>
            <w:vAlign w:val="center"/>
          </w:tcPr>
          <w:p w14:paraId="06D0314A"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7BFF8E5D"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1605859E"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6CE3AD60"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757F37CE"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2C8CC476" w14:textId="77777777" w:rsidR="00B50935" w:rsidRPr="00927CFF" w:rsidRDefault="00B50935" w:rsidP="00427764">
            <w:pPr>
              <w:spacing w:beforeLines="20" w:before="48" w:afterLines="20" w:after="48"/>
              <w:jc w:val="center"/>
              <w:rPr>
                <w:noProof/>
                <w:sz w:val="20"/>
              </w:rPr>
            </w:pPr>
          </w:p>
        </w:tc>
      </w:tr>
      <w:tr w:rsidR="00B50935" w:rsidRPr="00927CFF" w14:paraId="23AE956A" w14:textId="77777777" w:rsidTr="00427764">
        <w:trPr>
          <w:trHeight w:val="289"/>
          <w:jc w:val="center"/>
        </w:trPr>
        <w:tc>
          <w:tcPr>
            <w:tcW w:w="1018" w:type="pct"/>
            <w:vMerge/>
            <w:shd w:val="clear" w:color="auto" w:fill="auto"/>
            <w:vAlign w:val="center"/>
          </w:tcPr>
          <w:p w14:paraId="1DA6E016" w14:textId="77777777" w:rsidR="00B50935" w:rsidRPr="00927CFF" w:rsidRDefault="00B50935" w:rsidP="00427764">
            <w:pPr>
              <w:rPr>
                <w:b/>
                <w:noProof/>
                <w:sz w:val="20"/>
              </w:rPr>
            </w:pPr>
          </w:p>
        </w:tc>
        <w:tc>
          <w:tcPr>
            <w:tcW w:w="1026" w:type="pct"/>
            <w:shd w:val="clear" w:color="auto" w:fill="auto"/>
            <w:vAlign w:val="center"/>
          </w:tcPr>
          <w:p w14:paraId="25EF7D4B" w14:textId="77777777" w:rsidR="00B50935" w:rsidRPr="00927CFF" w:rsidRDefault="00B50935" w:rsidP="00427764">
            <w:pPr>
              <w:pStyle w:val="Text1"/>
              <w:spacing w:beforeLines="20" w:before="48" w:afterLines="20" w:after="48"/>
              <w:ind w:left="598"/>
              <w:jc w:val="left"/>
              <w:rPr>
                <w:b/>
                <w:noProof/>
                <w:sz w:val="20"/>
              </w:rPr>
            </w:pPr>
            <w:r w:rsidRPr="00927CFF">
              <w:rPr>
                <w:sz w:val="20"/>
              </w:rPr>
              <w:t xml:space="preserve">- i delegationer </w:t>
            </w:r>
          </w:p>
        </w:tc>
        <w:tc>
          <w:tcPr>
            <w:tcW w:w="386" w:type="pct"/>
            <w:shd w:val="clear" w:color="auto" w:fill="auto"/>
            <w:vAlign w:val="center"/>
          </w:tcPr>
          <w:p w14:paraId="6FA65CCB" w14:textId="77777777" w:rsidR="00B50935" w:rsidRPr="00927CFF" w:rsidRDefault="00B50935" w:rsidP="00427764">
            <w:pPr>
              <w:pStyle w:val="Text1"/>
              <w:spacing w:beforeLines="20" w:before="48" w:afterLines="20" w:after="48"/>
              <w:rPr>
                <w:noProof/>
                <w:sz w:val="20"/>
              </w:rPr>
            </w:pPr>
          </w:p>
        </w:tc>
        <w:tc>
          <w:tcPr>
            <w:tcW w:w="368" w:type="pct"/>
            <w:shd w:val="clear" w:color="auto" w:fill="auto"/>
            <w:vAlign w:val="center"/>
          </w:tcPr>
          <w:p w14:paraId="5C42BA93"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06FC89B9"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213C3C66"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1EE5E5C1"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74ABE8A3"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0208B905" w14:textId="77777777" w:rsidR="00B50935" w:rsidRPr="00927CFF" w:rsidRDefault="00B50935" w:rsidP="00427764">
            <w:pPr>
              <w:spacing w:beforeLines="20" w:before="48" w:afterLines="20" w:after="48"/>
              <w:jc w:val="center"/>
              <w:rPr>
                <w:noProof/>
                <w:sz w:val="20"/>
              </w:rPr>
            </w:pPr>
          </w:p>
        </w:tc>
      </w:tr>
      <w:tr w:rsidR="00B50935" w:rsidRPr="00927CFF" w14:paraId="3CC91FD4" w14:textId="77777777" w:rsidTr="00427764">
        <w:trPr>
          <w:trHeight w:val="289"/>
          <w:jc w:val="center"/>
        </w:trPr>
        <w:tc>
          <w:tcPr>
            <w:tcW w:w="2044" w:type="pct"/>
            <w:gridSpan w:val="2"/>
            <w:shd w:val="clear" w:color="auto" w:fill="auto"/>
            <w:vAlign w:val="center"/>
          </w:tcPr>
          <w:p w14:paraId="7BA6B782" w14:textId="77777777" w:rsidR="00B50935" w:rsidRPr="00927CFF" w:rsidRDefault="00B50935" w:rsidP="00427764">
            <w:pPr>
              <w:pStyle w:val="Text1"/>
              <w:spacing w:beforeLines="20" w:before="48" w:afterLines="20" w:after="48"/>
              <w:ind w:left="986"/>
              <w:jc w:val="left"/>
              <w:rPr>
                <w:noProof/>
                <w:sz w:val="20"/>
              </w:rPr>
            </w:pPr>
            <w:r w:rsidRPr="00927CFF">
              <w:rPr>
                <w:b/>
                <w:sz w:val="20"/>
              </w:rPr>
              <w:t>XX</w:t>
            </w:r>
            <w:r w:rsidRPr="00927CFF">
              <w:rPr>
                <w:sz w:val="20"/>
              </w:rPr>
              <w:t xml:space="preserve"> 01 05 02 (KA, UNE, V – indirekte forskning)</w:t>
            </w:r>
          </w:p>
        </w:tc>
        <w:tc>
          <w:tcPr>
            <w:tcW w:w="386" w:type="pct"/>
            <w:shd w:val="clear" w:color="auto" w:fill="auto"/>
            <w:vAlign w:val="center"/>
          </w:tcPr>
          <w:p w14:paraId="45DAE951"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7A35A243"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769EDC5F"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4779286A"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0E1046BF"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2176D7DE"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67442840" w14:textId="77777777" w:rsidR="00B50935" w:rsidRPr="00927CFF" w:rsidRDefault="00B50935" w:rsidP="00427764">
            <w:pPr>
              <w:spacing w:beforeLines="20" w:before="48" w:afterLines="20" w:after="48"/>
              <w:jc w:val="center"/>
              <w:rPr>
                <w:noProof/>
                <w:sz w:val="20"/>
              </w:rPr>
            </w:pPr>
          </w:p>
        </w:tc>
      </w:tr>
      <w:tr w:rsidR="00B50935" w:rsidRPr="00927CFF" w14:paraId="07ACD19B" w14:textId="77777777" w:rsidTr="00427764">
        <w:trPr>
          <w:trHeight w:val="289"/>
          <w:jc w:val="center"/>
        </w:trPr>
        <w:tc>
          <w:tcPr>
            <w:tcW w:w="2044" w:type="pct"/>
            <w:gridSpan w:val="2"/>
            <w:shd w:val="clear" w:color="auto" w:fill="auto"/>
            <w:vAlign w:val="center"/>
          </w:tcPr>
          <w:p w14:paraId="0AD6D62B" w14:textId="77777777" w:rsidR="00B50935" w:rsidRPr="00927CFF" w:rsidRDefault="00B50935" w:rsidP="00427764">
            <w:pPr>
              <w:pStyle w:val="Text1"/>
              <w:spacing w:beforeLines="20" w:before="48" w:afterLines="20" w:after="48"/>
              <w:ind w:left="986"/>
              <w:jc w:val="left"/>
              <w:rPr>
                <w:noProof/>
                <w:sz w:val="20"/>
              </w:rPr>
            </w:pPr>
            <w:r w:rsidRPr="00927CFF">
              <w:rPr>
                <w:sz w:val="20"/>
              </w:rPr>
              <w:t>10 01 05 02 (KA, UNE, V – direkte forskning)</w:t>
            </w:r>
          </w:p>
        </w:tc>
        <w:tc>
          <w:tcPr>
            <w:tcW w:w="386" w:type="pct"/>
            <w:shd w:val="clear" w:color="auto" w:fill="auto"/>
            <w:vAlign w:val="center"/>
          </w:tcPr>
          <w:p w14:paraId="6EE2F467" w14:textId="77777777" w:rsidR="00B50935" w:rsidRPr="00927CFF" w:rsidRDefault="00B50935" w:rsidP="00427764">
            <w:pPr>
              <w:spacing w:beforeLines="20" w:before="48" w:afterLines="20" w:after="48"/>
              <w:jc w:val="center"/>
              <w:rPr>
                <w:noProof/>
                <w:sz w:val="20"/>
              </w:rPr>
            </w:pPr>
          </w:p>
        </w:tc>
        <w:tc>
          <w:tcPr>
            <w:tcW w:w="368" w:type="pct"/>
            <w:shd w:val="clear" w:color="auto" w:fill="auto"/>
            <w:vAlign w:val="center"/>
          </w:tcPr>
          <w:p w14:paraId="13C709E2" w14:textId="77777777" w:rsidR="00B50935" w:rsidRPr="00927CFF" w:rsidRDefault="00B50935" w:rsidP="00427764">
            <w:pPr>
              <w:spacing w:beforeLines="20" w:before="48" w:afterLines="20" w:after="48"/>
              <w:jc w:val="center"/>
              <w:rPr>
                <w:noProof/>
                <w:sz w:val="20"/>
              </w:rPr>
            </w:pPr>
          </w:p>
        </w:tc>
        <w:tc>
          <w:tcPr>
            <w:tcW w:w="406" w:type="pct"/>
            <w:shd w:val="clear" w:color="auto" w:fill="auto"/>
            <w:vAlign w:val="center"/>
          </w:tcPr>
          <w:p w14:paraId="55D2DD52" w14:textId="77777777" w:rsidR="00B50935" w:rsidRPr="00927CFF" w:rsidRDefault="00B50935" w:rsidP="00427764">
            <w:pPr>
              <w:spacing w:beforeLines="20" w:before="48" w:afterLines="20" w:after="48"/>
              <w:jc w:val="center"/>
              <w:rPr>
                <w:noProof/>
                <w:sz w:val="20"/>
              </w:rPr>
            </w:pPr>
          </w:p>
        </w:tc>
        <w:tc>
          <w:tcPr>
            <w:tcW w:w="497" w:type="pct"/>
            <w:shd w:val="clear" w:color="auto" w:fill="auto"/>
            <w:vAlign w:val="center"/>
          </w:tcPr>
          <w:p w14:paraId="158171CD" w14:textId="77777777" w:rsidR="00B50935" w:rsidRPr="00927CFF" w:rsidRDefault="00B50935" w:rsidP="00427764">
            <w:pPr>
              <w:spacing w:beforeLines="20" w:before="48" w:afterLines="20" w:after="48"/>
              <w:jc w:val="center"/>
              <w:rPr>
                <w:noProof/>
                <w:sz w:val="20"/>
              </w:rPr>
            </w:pPr>
          </w:p>
        </w:tc>
        <w:tc>
          <w:tcPr>
            <w:tcW w:w="424" w:type="pct"/>
            <w:shd w:val="clear" w:color="auto" w:fill="auto"/>
            <w:vAlign w:val="center"/>
          </w:tcPr>
          <w:p w14:paraId="21F7853D" w14:textId="77777777" w:rsidR="00B50935" w:rsidRPr="00927CFF" w:rsidRDefault="00B50935" w:rsidP="00427764">
            <w:pPr>
              <w:spacing w:beforeLines="20" w:before="48" w:afterLines="20" w:after="48"/>
              <w:jc w:val="center"/>
              <w:rPr>
                <w:noProof/>
                <w:sz w:val="20"/>
              </w:rPr>
            </w:pPr>
          </w:p>
        </w:tc>
        <w:tc>
          <w:tcPr>
            <w:tcW w:w="423" w:type="pct"/>
            <w:gridSpan w:val="2"/>
            <w:shd w:val="clear" w:color="auto" w:fill="auto"/>
            <w:vAlign w:val="center"/>
          </w:tcPr>
          <w:p w14:paraId="2FBF3EBE" w14:textId="77777777" w:rsidR="00B50935" w:rsidRPr="00927CFF" w:rsidRDefault="00B50935" w:rsidP="00427764">
            <w:pPr>
              <w:spacing w:beforeLines="20" w:before="48" w:afterLines="20" w:after="48"/>
              <w:jc w:val="center"/>
              <w:rPr>
                <w:noProof/>
                <w:sz w:val="20"/>
              </w:rPr>
            </w:pPr>
          </w:p>
        </w:tc>
        <w:tc>
          <w:tcPr>
            <w:tcW w:w="452" w:type="pct"/>
            <w:gridSpan w:val="3"/>
            <w:shd w:val="clear" w:color="auto" w:fill="auto"/>
            <w:vAlign w:val="center"/>
          </w:tcPr>
          <w:p w14:paraId="56D6C0BC" w14:textId="77777777" w:rsidR="00B50935" w:rsidRPr="00927CFF" w:rsidRDefault="00B50935" w:rsidP="00427764">
            <w:pPr>
              <w:spacing w:beforeLines="20" w:before="48" w:afterLines="20" w:after="48"/>
              <w:jc w:val="center"/>
              <w:rPr>
                <w:noProof/>
                <w:sz w:val="20"/>
              </w:rPr>
            </w:pPr>
          </w:p>
        </w:tc>
      </w:tr>
      <w:tr w:rsidR="00B50935" w:rsidRPr="00927CFF" w14:paraId="5D8A60B4" w14:textId="77777777" w:rsidTr="00427764">
        <w:trPr>
          <w:trHeight w:val="289"/>
          <w:jc w:val="center"/>
        </w:trPr>
        <w:tc>
          <w:tcPr>
            <w:tcW w:w="2044" w:type="pct"/>
            <w:gridSpan w:val="2"/>
            <w:tcBorders>
              <w:bottom w:val="double" w:sz="4" w:space="0" w:color="auto"/>
            </w:tcBorders>
            <w:shd w:val="clear" w:color="auto" w:fill="auto"/>
            <w:vAlign w:val="center"/>
          </w:tcPr>
          <w:p w14:paraId="0BF1CA9A" w14:textId="77777777" w:rsidR="00B50935" w:rsidRPr="00927CFF" w:rsidRDefault="00B50935" w:rsidP="00427764">
            <w:pPr>
              <w:pStyle w:val="Text1"/>
              <w:spacing w:beforeLines="20" w:before="48" w:afterLines="20" w:after="48"/>
              <w:ind w:left="984"/>
              <w:jc w:val="left"/>
              <w:rPr>
                <w:noProof/>
                <w:sz w:val="20"/>
              </w:rPr>
            </w:pPr>
            <w:r w:rsidRPr="00927CFF">
              <w:rPr>
                <w:sz w:val="20"/>
              </w:rPr>
              <w:t>Andre budgetposter (skal angives)</w:t>
            </w:r>
          </w:p>
        </w:tc>
        <w:tc>
          <w:tcPr>
            <w:tcW w:w="386" w:type="pct"/>
            <w:tcBorders>
              <w:bottom w:val="double" w:sz="4" w:space="0" w:color="auto"/>
            </w:tcBorders>
            <w:shd w:val="clear" w:color="auto" w:fill="auto"/>
            <w:vAlign w:val="center"/>
          </w:tcPr>
          <w:p w14:paraId="55F63EA0" w14:textId="77777777" w:rsidR="00B50935" w:rsidRPr="00927CFF" w:rsidRDefault="00B50935" w:rsidP="00427764">
            <w:pPr>
              <w:spacing w:beforeLines="20" w:before="48" w:afterLines="20" w:after="48"/>
              <w:jc w:val="center"/>
              <w:rPr>
                <w:noProof/>
                <w:sz w:val="20"/>
              </w:rPr>
            </w:pPr>
          </w:p>
        </w:tc>
        <w:tc>
          <w:tcPr>
            <w:tcW w:w="368" w:type="pct"/>
            <w:tcBorders>
              <w:bottom w:val="double" w:sz="4" w:space="0" w:color="auto"/>
            </w:tcBorders>
            <w:shd w:val="clear" w:color="auto" w:fill="auto"/>
            <w:vAlign w:val="center"/>
          </w:tcPr>
          <w:p w14:paraId="62CD614E" w14:textId="77777777" w:rsidR="00B50935" w:rsidRPr="00927CFF" w:rsidRDefault="00B50935" w:rsidP="00427764">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14:paraId="7C1ADDBA" w14:textId="77777777" w:rsidR="00B50935" w:rsidRPr="00927CFF" w:rsidRDefault="00B50935" w:rsidP="00427764">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14:paraId="2DB91418" w14:textId="77777777" w:rsidR="00B50935" w:rsidRPr="00927CFF" w:rsidRDefault="00B50935" w:rsidP="00427764">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14:paraId="3044A95F" w14:textId="77777777" w:rsidR="00B50935" w:rsidRPr="00927CFF" w:rsidRDefault="00B50935" w:rsidP="00427764">
            <w:pPr>
              <w:spacing w:beforeLines="20" w:before="48" w:afterLines="20" w:after="48"/>
              <w:jc w:val="center"/>
              <w:rPr>
                <w:noProof/>
                <w:sz w:val="20"/>
              </w:rPr>
            </w:pPr>
          </w:p>
        </w:tc>
        <w:tc>
          <w:tcPr>
            <w:tcW w:w="423" w:type="pct"/>
            <w:gridSpan w:val="2"/>
            <w:tcBorders>
              <w:bottom w:val="double" w:sz="4" w:space="0" w:color="auto"/>
            </w:tcBorders>
            <w:shd w:val="clear" w:color="auto" w:fill="auto"/>
            <w:vAlign w:val="center"/>
          </w:tcPr>
          <w:p w14:paraId="55227462" w14:textId="77777777" w:rsidR="00B50935" w:rsidRPr="00927CFF" w:rsidRDefault="00B50935" w:rsidP="00427764">
            <w:pPr>
              <w:spacing w:beforeLines="20" w:before="48" w:afterLines="20" w:after="48"/>
              <w:jc w:val="center"/>
              <w:rPr>
                <w:noProof/>
                <w:sz w:val="20"/>
              </w:rPr>
            </w:pPr>
          </w:p>
        </w:tc>
        <w:tc>
          <w:tcPr>
            <w:tcW w:w="452" w:type="pct"/>
            <w:gridSpan w:val="3"/>
            <w:tcBorders>
              <w:bottom w:val="double" w:sz="4" w:space="0" w:color="auto"/>
            </w:tcBorders>
            <w:shd w:val="clear" w:color="auto" w:fill="auto"/>
            <w:vAlign w:val="center"/>
          </w:tcPr>
          <w:p w14:paraId="25D7A965" w14:textId="77777777" w:rsidR="00B50935" w:rsidRPr="00927CFF" w:rsidRDefault="00B50935" w:rsidP="00427764">
            <w:pPr>
              <w:spacing w:beforeLines="20" w:before="48" w:afterLines="20" w:after="48"/>
              <w:jc w:val="center"/>
              <w:rPr>
                <w:noProof/>
                <w:sz w:val="20"/>
              </w:rPr>
            </w:pPr>
          </w:p>
        </w:tc>
      </w:tr>
      <w:tr w:rsidR="00B50935" w:rsidRPr="00927CFF" w14:paraId="1901CABA" w14:textId="77777777" w:rsidTr="00427764">
        <w:trPr>
          <w:trHeight w:val="289"/>
          <w:jc w:val="center"/>
        </w:trPr>
        <w:tc>
          <w:tcPr>
            <w:tcW w:w="2044" w:type="pct"/>
            <w:gridSpan w:val="2"/>
            <w:tcBorders>
              <w:top w:val="double" w:sz="4" w:space="0" w:color="auto"/>
            </w:tcBorders>
            <w:shd w:val="clear" w:color="auto" w:fill="auto"/>
            <w:vAlign w:val="center"/>
          </w:tcPr>
          <w:p w14:paraId="20ACD181" w14:textId="77777777" w:rsidR="00B50935" w:rsidRPr="00927CFF" w:rsidRDefault="00B50935" w:rsidP="00427764">
            <w:pPr>
              <w:pStyle w:val="Text1"/>
              <w:spacing w:beforeLines="20" w:before="48" w:afterLines="20" w:after="48"/>
              <w:ind w:left="986"/>
              <w:jc w:val="left"/>
              <w:rPr>
                <w:noProof/>
                <w:sz w:val="20"/>
              </w:rPr>
            </w:pPr>
            <w:r w:rsidRPr="00927CFF">
              <w:rPr>
                <w:b/>
                <w:sz w:val="20"/>
              </w:rPr>
              <w:t>I ALT</w:t>
            </w:r>
          </w:p>
        </w:tc>
        <w:tc>
          <w:tcPr>
            <w:tcW w:w="386" w:type="pct"/>
            <w:tcBorders>
              <w:top w:val="double" w:sz="4" w:space="0" w:color="auto"/>
            </w:tcBorders>
            <w:shd w:val="clear" w:color="auto" w:fill="auto"/>
            <w:vAlign w:val="center"/>
          </w:tcPr>
          <w:p w14:paraId="20EDFBDC" w14:textId="77777777" w:rsidR="00B50935" w:rsidRPr="00927CFF" w:rsidRDefault="00B50935" w:rsidP="00427764">
            <w:pPr>
              <w:spacing w:beforeLines="20" w:before="48" w:afterLines="20" w:after="48"/>
              <w:jc w:val="center"/>
              <w:rPr>
                <w:b/>
                <w:noProof/>
                <w:sz w:val="20"/>
              </w:rPr>
            </w:pPr>
          </w:p>
        </w:tc>
        <w:tc>
          <w:tcPr>
            <w:tcW w:w="368" w:type="pct"/>
            <w:tcBorders>
              <w:top w:val="double" w:sz="4" w:space="0" w:color="auto"/>
            </w:tcBorders>
            <w:shd w:val="clear" w:color="auto" w:fill="auto"/>
            <w:vAlign w:val="center"/>
          </w:tcPr>
          <w:p w14:paraId="64E3F106" w14:textId="77777777" w:rsidR="00B50935" w:rsidRPr="00927CFF" w:rsidRDefault="00B50935" w:rsidP="00427764">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14:paraId="17A265AC" w14:textId="77777777" w:rsidR="00B50935" w:rsidRPr="00927CFF" w:rsidRDefault="00B50935" w:rsidP="00427764">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14:paraId="4C233FF1" w14:textId="77777777" w:rsidR="00B50935" w:rsidRPr="00927CFF" w:rsidRDefault="00B50935" w:rsidP="00427764">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14:paraId="7F58CCD3" w14:textId="77777777" w:rsidR="00B50935" w:rsidRPr="00927CFF" w:rsidRDefault="00B50935" w:rsidP="00427764">
            <w:pPr>
              <w:spacing w:beforeLines="20" w:before="48" w:afterLines="20" w:after="48"/>
              <w:jc w:val="center"/>
              <w:rPr>
                <w:b/>
                <w:noProof/>
                <w:sz w:val="20"/>
              </w:rPr>
            </w:pPr>
          </w:p>
        </w:tc>
        <w:tc>
          <w:tcPr>
            <w:tcW w:w="423" w:type="pct"/>
            <w:gridSpan w:val="2"/>
            <w:tcBorders>
              <w:top w:val="double" w:sz="4" w:space="0" w:color="auto"/>
            </w:tcBorders>
            <w:shd w:val="clear" w:color="auto" w:fill="auto"/>
            <w:vAlign w:val="center"/>
          </w:tcPr>
          <w:p w14:paraId="0CB6B769" w14:textId="77777777" w:rsidR="00B50935" w:rsidRPr="00927CFF" w:rsidRDefault="00B50935" w:rsidP="00427764">
            <w:pPr>
              <w:spacing w:beforeLines="20" w:before="48" w:afterLines="20" w:after="48"/>
              <w:jc w:val="center"/>
              <w:rPr>
                <w:b/>
                <w:noProof/>
                <w:sz w:val="20"/>
              </w:rPr>
            </w:pPr>
          </w:p>
        </w:tc>
        <w:tc>
          <w:tcPr>
            <w:tcW w:w="452" w:type="pct"/>
            <w:gridSpan w:val="3"/>
            <w:tcBorders>
              <w:top w:val="double" w:sz="4" w:space="0" w:color="auto"/>
            </w:tcBorders>
            <w:shd w:val="clear" w:color="auto" w:fill="auto"/>
            <w:vAlign w:val="center"/>
          </w:tcPr>
          <w:p w14:paraId="58A6FB41" w14:textId="77777777" w:rsidR="00B50935" w:rsidRPr="00927CFF" w:rsidRDefault="00B50935" w:rsidP="00427764">
            <w:pPr>
              <w:spacing w:beforeLines="20" w:before="48" w:afterLines="20" w:after="48"/>
              <w:jc w:val="center"/>
              <w:rPr>
                <w:b/>
                <w:noProof/>
                <w:sz w:val="20"/>
              </w:rPr>
            </w:pPr>
          </w:p>
        </w:tc>
      </w:tr>
    </w:tbl>
    <w:p w14:paraId="74CAFA70" w14:textId="77777777" w:rsidR="00B50935" w:rsidRPr="00927CFF" w:rsidRDefault="00B50935" w:rsidP="00B50935">
      <w:pPr>
        <w:pStyle w:val="Text1"/>
        <w:spacing w:before="60" w:after="60"/>
        <w:ind w:left="851"/>
        <w:rPr>
          <w:noProof/>
        </w:rPr>
      </w:pPr>
      <w:r w:rsidRPr="00927CFF">
        <w:rPr>
          <w:b/>
        </w:rPr>
        <w:t>XX</w:t>
      </w:r>
      <w:r w:rsidRPr="00927CFF">
        <w:t xml:space="preserve"> angiver det berørte politikområde eller budgetafsnit.</w:t>
      </w:r>
    </w:p>
    <w:p w14:paraId="29F695B9" w14:textId="77777777" w:rsidR="00B50935" w:rsidRPr="00927CFF" w:rsidRDefault="00B50935" w:rsidP="00B50935">
      <w:pPr>
        <w:pStyle w:val="Text1"/>
        <w:rPr>
          <w:noProof/>
          <w:sz w:val="22"/>
        </w:rPr>
      </w:pPr>
      <w:r w:rsidRPr="00927CFF">
        <w:rPr>
          <w:sz w:val="22"/>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14:paraId="73DA9792" w14:textId="77777777" w:rsidR="00B50935" w:rsidRPr="00927CFF" w:rsidRDefault="00B50935" w:rsidP="00B50935">
      <w:pPr>
        <w:rPr>
          <w:noProof/>
          <w:sz w:val="20"/>
        </w:rPr>
      </w:pPr>
      <w:r w:rsidRPr="00927CFF">
        <w:rPr>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50935" w:rsidRPr="00927CFF" w14:paraId="06BED287" w14:textId="77777777" w:rsidTr="00427764">
        <w:tc>
          <w:tcPr>
            <w:tcW w:w="3240" w:type="dxa"/>
          </w:tcPr>
          <w:p w14:paraId="23F5B32D" w14:textId="77777777" w:rsidR="00B50935" w:rsidRPr="00927CFF" w:rsidRDefault="00B50935" w:rsidP="00427764">
            <w:pPr>
              <w:rPr>
                <w:noProof/>
                <w:sz w:val="20"/>
              </w:rPr>
            </w:pPr>
            <w:r w:rsidRPr="00927CFF">
              <w:rPr>
                <w:sz w:val="20"/>
              </w:rPr>
              <w:t>Tjenestemænd og midlertidigt ansatte</w:t>
            </w:r>
          </w:p>
        </w:tc>
        <w:tc>
          <w:tcPr>
            <w:tcW w:w="7200" w:type="dxa"/>
          </w:tcPr>
          <w:p w14:paraId="23E797FF" w14:textId="77777777" w:rsidR="00B50935" w:rsidRPr="00927CFF" w:rsidRDefault="00B50935" w:rsidP="00427764">
            <w:pPr>
              <w:rPr>
                <w:noProof/>
                <w:sz w:val="20"/>
              </w:rPr>
            </w:pPr>
          </w:p>
        </w:tc>
      </w:tr>
      <w:tr w:rsidR="00B50935" w:rsidRPr="00927CFF" w14:paraId="2328D177" w14:textId="77777777" w:rsidTr="00427764">
        <w:tc>
          <w:tcPr>
            <w:tcW w:w="3240" w:type="dxa"/>
          </w:tcPr>
          <w:p w14:paraId="619F440E" w14:textId="77777777" w:rsidR="00B50935" w:rsidRPr="00927CFF" w:rsidRDefault="00B50935" w:rsidP="00427764">
            <w:pPr>
              <w:spacing w:before="60" w:after="60"/>
              <w:rPr>
                <w:noProof/>
                <w:sz w:val="20"/>
              </w:rPr>
            </w:pPr>
            <w:r w:rsidRPr="00927CFF">
              <w:rPr>
                <w:sz w:val="20"/>
              </w:rPr>
              <w:t>Eksternt personale</w:t>
            </w:r>
          </w:p>
        </w:tc>
        <w:tc>
          <w:tcPr>
            <w:tcW w:w="7200" w:type="dxa"/>
          </w:tcPr>
          <w:p w14:paraId="3602C413" w14:textId="77777777" w:rsidR="00B50935" w:rsidRPr="00927CFF" w:rsidRDefault="00B50935" w:rsidP="00427764">
            <w:pPr>
              <w:rPr>
                <w:noProof/>
                <w:sz w:val="20"/>
              </w:rPr>
            </w:pPr>
          </w:p>
        </w:tc>
      </w:tr>
    </w:tbl>
    <w:p w14:paraId="6FF87D6C" w14:textId="77777777" w:rsidR="00B50935" w:rsidRPr="00927CFF" w:rsidRDefault="00B50935" w:rsidP="00B50935">
      <w:pPr>
        <w:rPr>
          <w:noProof/>
        </w:rPr>
      </w:pPr>
    </w:p>
    <w:p w14:paraId="2AF0851B" w14:textId="77777777" w:rsidR="00B50935" w:rsidRPr="00927CFF" w:rsidRDefault="00B50935" w:rsidP="00B50935">
      <w:pPr>
        <w:rPr>
          <w:noProof/>
        </w:rPr>
      </w:pPr>
      <w:r w:rsidRPr="00927CFF">
        <w:t xml:space="preserve">Beskrivelsen af, hvordan udgifterne til fuldtidsækvivalenterne er beregnet, bør medtages i afsnit 3 i bilag V. </w:t>
      </w:r>
    </w:p>
    <w:p w14:paraId="682F33CC" w14:textId="77777777" w:rsidR="00B50935" w:rsidRPr="00927CFF" w:rsidRDefault="00B50935" w:rsidP="00B50935">
      <w:pPr>
        <w:rPr>
          <w:noProof/>
        </w:rPr>
        <w:sectPr w:rsidR="00B50935" w:rsidRPr="00927CFF" w:rsidSect="00BE6028">
          <w:pgSz w:w="11907" w:h="16839"/>
          <w:pgMar w:top="1134" w:right="1417" w:bottom="1134" w:left="1417" w:header="709" w:footer="709" w:gutter="0"/>
          <w:cols w:space="720"/>
          <w:docGrid w:linePitch="326"/>
        </w:sectPr>
      </w:pPr>
    </w:p>
    <w:p w14:paraId="75E314E3" w14:textId="77777777" w:rsidR="00B50935" w:rsidRPr="00927CFF" w:rsidRDefault="00B50935" w:rsidP="00B50935">
      <w:pPr>
        <w:pStyle w:val="Heading3"/>
        <w:rPr>
          <w:bCs w:val="0"/>
          <w:noProof/>
          <w:szCs w:val="24"/>
        </w:rPr>
      </w:pPr>
      <w:bookmarkStart w:id="76" w:name="_Toc514938689"/>
      <w:bookmarkStart w:id="77" w:name="_Toc57735225"/>
      <w:r w:rsidRPr="00927CFF">
        <w:t>Forenelighed med indeværende flerårige finansielle ramme</w:t>
      </w:r>
      <w:bookmarkEnd w:id="76"/>
      <w:bookmarkEnd w:id="77"/>
      <w:r w:rsidRPr="00927CFF">
        <w:t xml:space="preserve"> </w:t>
      </w:r>
    </w:p>
    <w:p w14:paraId="23A54B5E" w14:textId="77777777" w:rsidR="00B50935" w:rsidRPr="00927CFF" w:rsidRDefault="00B50935" w:rsidP="006F7C3E">
      <w:pPr>
        <w:pStyle w:val="ListDash1"/>
        <w:rPr>
          <w:noProof/>
        </w:rPr>
      </w:pPr>
      <w:r w:rsidRPr="00927CFF">
        <w:sym w:font="Wingdings" w:char="F0A8"/>
      </w:r>
      <w:r w:rsidRPr="00927CFF">
        <w:tab/>
        <w:t>Forslaget/initiativet er foreneligt med indeværende flerårige finansielle ramme</w:t>
      </w:r>
    </w:p>
    <w:p w14:paraId="17491537" w14:textId="4B3D3FF7" w:rsidR="00B50935" w:rsidRPr="00927CFF" w:rsidRDefault="00B50935" w:rsidP="006F7C3E">
      <w:pPr>
        <w:pStyle w:val="ListDash1"/>
        <w:rPr>
          <w:noProof/>
        </w:rPr>
      </w:pPr>
      <w:r w:rsidRPr="00927CFF">
        <w:t>X Forslaget/initiativet kræver omlægning af det relevante udgiftsområde i den flerårige finansielle ramme</w:t>
      </w:r>
    </w:p>
    <w:p w14:paraId="69BF9E11"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sz w:val="20"/>
        </w:rPr>
      </w:pPr>
      <w:r w:rsidRPr="00927CFF">
        <w:rPr>
          <w:sz w:val="20"/>
        </w:rPr>
        <w:t>Der redegøres for omlægningen med angivelse af de berørte budgetposter og beløbenes størrelse</w:t>
      </w:r>
    </w:p>
    <w:p w14:paraId="771FF021"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rPr>
      </w:pPr>
      <w:r w:rsidRPr="00927CFF">
        <w:t>Det foreslåede tillægsbudget til ECDC kan finansieres gennem en reduktion af EU4Health-budgettet i de kommende år.</w:t>
      </w:r>
    </w:p>
    <w:p w14:paraId="1F4C08CB" w14:textId="77777777" w:rsidR="00B50935" w:rsidRPr="00927CFF" w:rsidRDefault="00B50935" w:rsidP="006F7C3E">
      <w:pPr>
        <w:pStyle w:val="ListDash1"/>
        <w:rPr>
          <w:noProof/>
        </w:rPr>
      </w:pPr>
      <w:r w:rsidRPr="00927CFF">
        <w:sym w:font="Wingdings" w:char="F0A8"/>
      </w:r>
      <w:r w:rsidRPr="00927CFF">
        <w:tab/>
        <w:t>Forslaget/initiativet kræver, at fleksibilitetsinstrumentet anvendes, eller at den flerårige finansielle ramme revideres</w:t>
      </w:r>
      <w:r w:rsidRPr="00927CFF">
        <w:rPr>
          <w:rStyle w:val="FootnoteReference"/>
          <w:noProof/>
        </w:rPr>
        <w:footnoteReference w:id="23"/>
      </w:r>
    </w:p>
    <w:p w14:paraId="42FA0F50" w14:textId="77777777"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sz w:val="20"/>
        </w:rPr>
      </w:pPr>
      <w:r w:rsidRPr="00927CFF">
        <w:rPr>
          <w:sz w:val="20"/>
        </w:rPr>
        <w:t>Der redegøres for behovet med angivelse af de berørte udgiftsområder og budgetposter og beløbenes størrelse</w:t>
      </w:r>
    </w:p>
    <w:p w14:paraId="0E2A596A" w14:textId="6E15A944"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sz w:val="20"/>
        </w:rPr>
      </w:pPr>
    </w:p>
    <w:p w14:paraId="09B4F9D3" w14:textId="77777777" w:rsidR="00B50935" w:rsidRPr="00927CFF" w:rsidRDefault="00B50935" w:rsidP="00B50935">
      <w:pPr>
        <w:pStyle w:val="Heading3"/>
        <w:rPr>
          <w:bCs w:val="0"/>
          <w:noProof/>
          <w:szCs w:val="24"/>
        </w:rPr>
      </w:pPr>
      <w:bookmarkStart w:id="78" w:name="_Toc514938690"/>
      <w:bookmarkStart w:id="79" w:name="_Toc57735226"/>
      <w:r w:rsidRPr="00927CFF">
        <w:t>Tredjemands bidrag til finansieringen</w:t>
      </w:r>
      <w:bookmarkEnd w:id="78"/>
      <w:bookmarkEnd w:id="79"/>
      <w:r w:rsidRPr="00927CFF">
        <w:t xml:space="preserve"> </w:t>
      </w:r>
    </w:p>
    <w:p w14:paraId="7EE0BD9C" w14:textId="77777777" w:rsidR="00B50935" w:rsidRPr="00927CFF" w:rsidRDefault="00B50935" w:rsidP="006F7C3E">
      <w:pPr>
        <w:pStyle w:val="ListDash1"/>
        <w:rPr>
          <w:noProof/>
        </w:rPr>
      </w:pPr>
      <w:r w:rsidRPr="00927CFF">
        <w:t xml:space="preserve">Forslaget/initiativet indeholder ikke bestemmelser om samfinansiering med tredjemand. </w:t>
      </w:r>
    </w:p>
    <w:p w14:paraId="0ED6FF16" w14:textId="77777777" w:rsidR="00B50935" w:rsidRPr="00927CFF" w:rsidRDefault="00B50935" w:rsidP="006F7C3E">
      <w:pPr>
        <w:pStyle w:val="ListDash1"/>
        <w:rPr>
          <w:noProof/>
        </w:rPr>
      </w:pPr>
      <w:r w:rsidRPr="00927CFF">
        <w:t>Forslaget/initiativet indeholder bestemmelser om samfinansiering, jf. følgende overslag:</w:t>
      </w:r>
    </w:p>
    <w:p w14:paraId="6904BABE" w14:textId="77777777" w:rsidR="00B50935" w:rsidRPr="002902A6" w:rsidRDefault="00B50935" w:rsidP="00B50935">
      <w:pPr>
        <w:jc w:val="right"/>
        <w:rPr>
          <w:noProof/>
          <w:sz w:val="20"/>
          <w:lang w:val="it-IT"/>
        </w:rPr>
      </w:pPr>
      <w:r w:rsidRPr="002902A6">
        <w:rPr>
          <w:sz w:val="20"/>
          <w:lang w:val="it-IT"/>
        </w:rPr>
        <w:t>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50935" w:rsidRPr="00927CFF" w14:paraId="071941AD" w14:textId="77777777" w:rsidTr="00427764">
        <w:trPr>
          <w:cantSplit/>
        </w:trPr>
        <w:tc>
          <w:tcPr>
            <w:tcW w:w="2340" w:type="dxa"/>
          </w:tcPr>
          <w:p w14:paraId="757CFD5C" w14:textId="77777777" w:rsidR="00B50935" w:rsidRPr="002902A6" w:rsidRDefault="00B50935" w:rsidP="00427764">
            <w:pPr>
              <w:spacing w:before="60" w:after="60"/>
              <w:rPr>
                <w:noProof/>
                <w:sz w:val="20"/>
                <w:lang w:val="it-IT"/>
              </w:rPr>
            </w:pPr>
          </w:p>
        </w:tc>
        <w:tc>
          <w:tcPr>
            <w:tcW w:w="964" w:type="dxa"/>
            <w:vAlign w:val="center"/>
          </w:tcPr>
          <w:p w14:paraId="5710B9AB"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2021</w:t>
            </w:r>
          </w:p>
        </w:tc>
        <w:tc>
          <w:tcPr>
            <w:tcW w:w="964" w:type="dxa"/>
            <w:vAlign w:val="center"/>
          </w:tcPr>
          <w:p w14:paraId="37AFA9B7"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2022</w:t>
            </w:r>
          </w:p>
        </w:tc>
        <w:tc>
          <w:tcPr>
            <w:tcW w:w="964" w:type="dxa"/>
            <w:vAlign w:val="center"/>
          </w:tcPr>
          <w:p w14:paraId="690EAE17"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2023</w:t>
            </w:r>
          </w:p>
        </w:tc>
        <w:tc>
          <w:tcPr>
            <w:tcW w:w="964" w:type="dxa"/>
            <w:vAlign w:val="center"/>
          </w:tcPr>
          <w:p w14:paraId="733995AC" w14:textId="77777777" w:rsidR="00B50935" w:rsidRPr="00927CFF" w:rsidRDefault="00B50935" w:rsidP="00427764">
            <w:pPr>
              <w:jc w:val="center"/>
              <w:rPr>
                <w:noProof/>
                <w:sz w:val="20"/>
              </w:rPr>
            </w:pPr>
            <w:r w:rsidRPr="00927CFF">
              <w:rPr>
                <w:sz w:val="20"/>
              </w:rPr>
              <w:t>År</w:t>
            </w:r>
            <w:r w:rsidRPr="00927CFF">
              <w:t xml:space="preserve"> </w:t>
            </w:r>
            <w:r w:rsidRPr="00927CFF">
              <w:br/>
            </w:r>
            <w:r w:rsidRPr="00927CFF">
              <w:rPr>
                <w:b/>
                <w:sz w:val="20"/>
              </w:rPr>
              <w:t>2024</w:t>
            </w:r>
          </w:p>
        </w:tc>
        <w:tc>
          <w:tcPr>
            <w:tcW w:w="964" w:type="dxa"/>
            <w:vAlign w:val="center"/>
          </w:tcPr>
          <w:p w14:paraId="032FE837"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2025</w:t>
            </w:r>
          </w:p>
        </w:tc>
        <w:tc>
          <w:tcPr>
            <w:tcW w:w="964" w:type="dxa"/>
            <w:vAlign w:val="center"/>
          </w:tcPr>
          <w:p w14:paraId="5FEC3BDA"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2026</w:t>
            </w:r>
          </w:p>
        </w:tc>
        <w:tc>
          <w:tcPr>
            <w:tcW w:w="964" w:type="dxa"/>
            <w:vAlign w:val="center"/>
          </w:tcPr>
          <w:p w14:paraId="04C10B0B" w14:textId="77777777" w:rsidR="00B50935" w:rsidRPr="00927CFF" w:rsidRDefault="00B50935" w:rsidP="00427764">
            <w:pPr>
              <w:jc w:val="center"/>
              <w:rPr>
                <w:b/>
                <w:noProof/>
                <w:sz w:val="20"/>
              </w:rPr>
            </w:pPr>
            <w:r w:rsidRPr="00927CFF">
              <w:rPr>
                <w:sz w:val="20"/>
              </w:rPr>
              <w:t>År</w:t>
            </w:r>
            <w:r w:rsidRPr="00927CFF">
              <w:t xml:space="preserve"> </w:t>
            </w:r>
            <w:r w:rsidRPr="00927CFF">
              <w:br/>
            </w:r>
            <w:r w:rsidRPr="00927CFF">
              <w:rPr>
                <w:b/>
                <w:sz w:val="20"/>
              </w:rPr>
              <w:t>2027</w:t>
            </w:r>
            <w:r w:rsidRPr="00927CFF">
              <w:rPr>
                <w:sz w:val="20"/>
              </w:rPr>
              <w:t xml:space="preserve"> ff</w:t>
            </w:r>
          </w:p>
        </w:tc>
        <w:tc>
          <w:tcPr>
            <w:tcW w:w="1158" w:type="dxa"/>
            <w:vAlign w:val="center"/>
          </w:tcPr>
          <w:p w14:paraId="7CD15E3D" w14:textId="77777777" w:rsidR="00B50935" w:rsidRPr="00927CFF" w:rsidRDefault="00B50935" w:rsidP="00427764">
            <w:pPr>
              <w:spacing w:before="60" w:after="60"/>
              <w:jc w:val="center"/>
              <w:rPr>
                <w:noProof/>
                <w:sz w:val="20"/>
              </w:rPr>
            </w:pPr>
            <w:r w:rsidRPr="00927CFF">
              <w:rPr>
                <w:b/>
                <w:sz w:val="20"/>
              </w:rPr>
              <w:t>I ALT</w:t>
            </w:r>
          </w:p>
        </w:tc>
      </w:tr>
      <w:tr w:rsidR="00B50935" w:rsidRPr="00927CFF" w14:paraId="6087E397" w14:textId="77777777" w:rsidTr="00427764">
        <w:trPr>
          <w:cantSplit/>
        </w:trPr>
        <w:tc>
          <w:tcPr>
            <w:tcW w:w="2340" w:type="dxa"/>
          </w:tcPr>
          <w:p w14:paraId="6EF93288" w14:textId="77777777" w:rsidR="00B50935" w:rsidRPr="00927CFF" w:rsidRDefault="00B50935" w:rsidP="00427764">
            <w:pPr>
              <w:rPr>
                <w:noProof/>
              </w:rPr>
            </w:pPr>
            <w:r w:rsidRPr="00927CFF">
              <w:rPr>
                <w:sz w:val="20"/>
              </w:rPr>
              <w:t>Angiv organ, som deltager i samfinansieringen</w:t>
            </w:r>
            <w:r w:rsidRPr="00927CFF">
              <w:rPr>
                <w:i/>
                <w:sz w:val="20"/>
              </w:rPr>
              <w:t xml:space="preserve"> </w:t>
            </w:r>
          </w:p>
        </w:tc>
        <w:tc>
          <w:tcPr>
            <w:tcW w:w="964" w:type="dxa"/>
            <w:vAlign w:val="center"/>
          </w:tcPr>
          <w:p w14:paraId="69147D72"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521D69EF"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4D75E8C4"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3F6F731B"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319FACB9"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55B20DD9"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2ACA131A" w14:textId="77777777" w:rsidR="00B50935" w:rsidRPr="00927CFF" w:rsidRDefault="00B50935" w:rsidP="00427764">
            <w:pPr>
              <w:spacing w:before="60" w:after="60"/>
              <w:jc w:val="center"/>
              <w:rPr>
                <w:noProof/>
                <w:sz w:val="20"/>
              </w:rPr>
            </w:pPr>
            <w:r w:rsidRPr="00927CFF">
              <w:rPr>
                <w:sz w:val="20"/>
              </w:rPr>
              <w:t>p.m.</w:t>
            </w:r>
          </w:p>
        </w:tc>
        <w:tc>
          <w:tcPr>
            <w:tcW w:w="1158" w:type="dxa"/>
            <w:vAlign w:val="center"/>
          </w:tcPr>
          <w:p w14:paraId="254B9B0C" w14:textId="77777777" w:rsidR="00B50935" w:rsidRPr="00927CFF" w:rsidRDefault="00B50935" w:rsidP="00427764">
            <w:pPr>
              <w:spacing w:before="60" w:after="60"/>
              <w:jc w:val="center"/>
              <w:rPr>
                <w:noProof/>
                <w:sz w:val="20"/>
              </w:rPr>
            </w:pPr>
            <w:r w:rsidRPr="00927CFF">
              <w:rPr>
                <w:sz w:val="20"/>
              </w:rPr>
              <w:t>p.m.</w:t>
            </w:r>
          </w:p>
        </w:tc>
      </w:tr>
      <w:tr w:rsidR="00B50935" w:rsidRPr="00927CFF" w14:paraId="114B9150" w14:textId="77777777" w:rsidTr="00427764">
        <w:trPr>
          <w:cantSplit/>
        </w:trPr>
        <w:tc>
          <w:tcPr>
            <w:tcW w:w="2340" w:type="dxa"/>
          </w:tcPr>
          <w:p w14:paraId="5832F597" w14:textId="77777777" w:rsidR="00B50935" w:rsidRPr="00927CFF" w:rsidRDefault="00B50935" w:rsidP="00427764">
            <w:pPr>
              <w:spacing w:before="60" w:after="60"/>
              <w:rPr>
                <w:noProof/>
                <w:sz w:val="20"/>
              </w:rPr>
            </w:pPr>
            <w:r w:rsidRPr="00927CFF">
              <w:rPr>
                <w:sz w:val="20"/>
              </w:rPr>
              <w:t xml:space="preserve">Samfinansierede bevillinger I ALT </w:t>
            </w:r>
          </w:p>
        </w:tc>
        <w:tc>
          <w:tcPr>
            <w:tcW w:w="964" w:type="dxa"/>
            <w:vAlign w:val="center"/>
          </w:tcPr>
          <w:p w14:paraId="3604849D"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66603DF2"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15354EA0"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3915FE35"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1BC605EE"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16DE4AAA" w14:textId="77777777" w:rsidR="00B50935" w:rsidRPr="00927CFF" w:rsidRDefault="00B50935" w:rsidP="00427764">
            <w:pPr>
              <w:spacing w:before="60" w:after="60"/>
              <w:jc w:val="center"/>
              <w:rPr>
                <w:noProof/>
                <w:sz w:val="20"/>
              </w:rPr>
            </w:pPr>
            <w:r w:rsidRPr="00927CFF">
              <w:rPr>
                <w:sz w:val="20"/>
              </w:rPr>
              <w:t>p.m.</w:t>
            </w:r>
          </w:p>
        </w:tc>
        <w:tc>
          <w:tcPr>
            <w:tcW w:w="964" w:type="dxa"/>
            <w:vAlign w:val="center"/>
          </w:tcPr>
          <w:p w14:paraId="68E30F02" w14:textId="77777777" w:rsidR="00B50935" w:rsidRPr="00927CFF" w:rsidRDefault="00B50935" w:rsidP="00427764">
            <w:pPr>
              <w:spacing w:before="60" w:after="60"/>
              <w:jc w:val="center"/>
              <w:rPr>
                <w:noProof/>
                <w:sz w:val="20"/>
              </w:rPr>
            </w:pPr>
            <w:r w:rsidRPr="00927CFF">
              <w:rPr>
                <w:sz w:val="20"/>
              </w:rPr>
              <w:t>p.m.</w:t>
            </w:r>
          </w:p>
        </w:tc>
        <w:tc>
          <w:tcPr>
            <w:tcW w:w="1158" w:type="dxa"/>
            <w:vAlign w:val="center"/>
          </w:tcPr>
          <w:p w14:paraId="69C3A2DB" w14:textId="77777777" w:rsidR="00B50935" w:rsidRPr="00927CFF" w:rsidRDefault="00B50935" w:rsidP="00427764">
            <w:pPr>
              <w:spacing w:before="60" w:after="60"/>
              <w:jc w:val="center"/>
              <w:rPr>
                <w:noProof/>
                <w:sz w:val="20"/>
              </w:rPr>
            </w:pPr>
            <w:r w:rsidRPr="00927CFF">
              <w:rPr>
                <w:sz w:val="20"/>
              </w:rPr>
              <w:t>p.m.</w:t>
            </w:r>
          </w:p>
        </w:tc>
      </w:tr>
    </w:tbl>
    <w:p w14:paraId="1B12772B" w14:textId="77777777" w:rsidR="00B50935" w:rsidRPr="00927CFF" w:rsidRDefault="00B50935" w:rsidP="00B50935">
      <w:pPr>
        <w:rPr>
          <w:noProof/>
        </w:rPr>
      </w:pPr>
      <w:r w:rsidRPr="00927CFF">
        <w:t xml:space="preserve"> </w:t>
      </w:r>
      <w:r w:rsidRPr="00927CFF">
        <w:br/>
      </w:r>
    </w:p>
    <w:p w14:paraId="2E725C94" w14:textId="77777777" w:rsidR="00B50935" w:rsidRPr="00927CFF" w:rsidRDefault="00B50935" w:rsidP="00B50935">
      <w:pPr>
        <w:pStyle w:val="Heading2"/>
        <w:rPr>
          <w:bCs w:val="0"/>
          <w:noProof/>
          <w:szCs w:val="24"/>
        </w:rPr>
      </w:pPr>
      <w:r w:rsidRPr="00927CFF">
        <w:br w:type="page"/>
      </w:r>
      <w:bookmarkStart w:id="80" w:name="_Toc514938691"/>
      <w:bookmarkStart w:id="81" w:name="_Toc57735227"/>
      <w:r w:rsidRPr="00927CFF">
        <w:t>Anslåede virkninger for indtægterne</w:t>
      </w:r>
      <w:bookmarkEnd w:id="80"/>
      <w:bookmarkEnd w:id="81"/>
      <w:r w:rsidRPr="00927CFF">
        <w:t xml:space="preserve"> </w:t>
      </w:r>
    </w:p>
    <w:p w14:paraId="745656D4" w14:textId="77777777" w:rsidR="00B50935" w:rsidRPr="00927CFF" w:rsidRDefault="00B50935" w:rsidP="006F7C3E">
      <w:pPr>
        <w:pStyle w:val="ListDash1"/>
        <w:rPr>
          <w:noProof/>
        </w:rPr>
      </w:pPr>
      <w:r w:rsidRPr="00927CFF">
        <w:t>X</w:t>
      </w:r>
      <w:r w:rsidRPr="00927CFF">
        <w:tab/>
        <w:t>Forslaget/initiativet har ingen finansielle virkninger for indtægterne</w:t>
      </w:r>
    </w:p>
    <w:p w14:paraId="2F4E04A5" w14:textId="77777777" w:rsidR="00B50935" w:rsidRPr="00927CFF" w:rsidRDefault="00B50935" w:rsidP="006F7C3E">
      <w:pPr>
        <w:pStyle w:val="ListDash1"/>
        <w:rPr>
          <w:noProof/>
        </w:rPr>
      </w:pPr>
      <w:r w:rsidRPr="00927CFF">
        <w:sym w:font="Wingdings" w:char="F0A8"/>
      </w:r>
      <w:r w:rsidRPr="00927CFF">
        <w:tab/>
        <w:t>Forslaget/initiativet har følgende finansielle virkninger:</w:t>
      </w:r>
    </w:p>
    <w:p w14:paraId="5F14EAB5" w14:textId="77777777" w:rsidR="00B50935" w:rsidRPr="00927CFF" w:rsidRDefault="00B50935" w:rsidP="006F7C3E">
      <w:pPr>
        <w:pStyle w:val="ListNumberLevel3"/>
        <w:rPr>
          <w:noProof/>
        </w:rPr>
      </w:pPr>
      <w:r w:rsidRPr="00927CFF">
        <w:sym w:font="Wingdings" w:char="F0A8"/>
      </w:r>
      <w:r w:rsidRPr="00927CFF">
        <w:tab/>
        <w:t xml:space="preserve">for egne indtægter </w:t>
      </w:r>
    </w:p>
    <w:p w14:paraId="407D0782" w14:textId="77777777" w:rsidR="00B50935" w:rsidRPr="00927CFF" w:rsidRDefault="00B50935" w:rsidP="006F7C3E">
      <w:pPr>
        <w:pStyle w:val="ListNumberLevel3"/>
        <w:rPr>
          <w:noProof/>
        </w:rPr>
      </w:pPr>
      <w:r w:rsidRPr="00927CFF">
        <w:sym w:font="Wingdings" w:char="F0A8"/>
      </w:r>
      <w:r w:rsidRPr="00927CFF">
        <w:tab/>
        <w:t xml:space="preserve">for andre indtægter </w:t>
      </w:r>
    </w:p>
    <w:p w14:paraId="1795D355" w14:textId="48BDA02F" w:rsidR="00B50935" w:rsidRPr="00927CFF" w:rsidRDefault="00B50935" w:rsidP="006F7C3E">
      <w:pPr>
        <w:pStyle w:val="ListNumberLevel3"/>
        <w:rPr>
          <w:noProof/>
        </w:rPr>
      </w:pPr>
      <w:r w:rsidRPr="00927CFF">
        <w:sym w:font="Wingdings" w:char="F0A8"/>
      </w:r>
      <w:r w:rsidRPr="00927CFF">
        <w:t xml:space="preserve"> Angiv, om indtægterne er formålsbestemte </w:t>
      </w:r>
    </w:p>
    <w:p w14:paraId="69D913D5" w14:textId="77777777" w:rsidR="00B50935" w:rsidRPr="002902A6" w:rsidRDefault="00B50935" w:rsidP="00B50935">
      <w:pPr>
        <w:jc w:val="right"/>
        <w:rPr>
          <w:i/>
          <w:noProof/>
          <w:sz w:val="20"/>
          <w:lang w:val="it-IT"/>
        </w:rPr>
      </w:pPr>
      <w:r w:rsidRPr="002902A6">
        <w:rPr>
          <w:sz w:val="20"/>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50935" w:rsidRPr="00927CFF" w14:paraId="4C4E72A6" w14:textId="77777777" w:rsidTr="00427764">
        <w:trPr>
          <w:trHeight w:val="388"/>
        </w:trPr>
        <w:tc>
          <w:tcPr>
            <w:tcW w:w="2144" w:type="dxa"/>
            <w:vMerge w:val="restart"/>
            <w:vAlign w:val="center"/>
          </w:tcPr>
          <w:p w14:paraId="47DAB5CF" w14:textId="77777777" w:rsidR="00B50935" w:rsidRPr="00927CFF" w:rsidRDefault="00B50935" w:rsidP="00427764">
            <w:pPr>
              <w:spacing w:before="40" w:after="40"/>
              <w:rPr>
                <w:noProof/>
                <w:sz w:val="18"/>
              </w:rPr>
            </w:pPr>
            <w:r w:rsidRPr="00927CFF">
              <w:rPr>
                <w:sz w:val="18"/>
              </w:rPr>
              <w:t>Indtægtspost på budgettet</w:t>
            </w:r>
          </w:p>
        </w:tc>
        <w:tc>
          <w:tcPr>
            <w:tcW w:w="1276" w:type="dxa"/>
            <w:vMerge w:val="restart"/>
            <w:vAlign w:val="center"/>
          </w:tcPr>
          <w:p w14:paraId="2C7DA177" w14:textId="77777777" w:rsidR="00B50935" w:rsidRPr="00927CFF" w:rsidRDefault="00B50935" w:rsidP="00427764">
            <w:pPr>
              <w:jc w:val="center"/>
              <w:rPr>
                <w:noProof/>
                <w:sz w:val="18"/>
              </w:rPr>
            </w:pPr>
            <w:r w:rsidRPr="00927CFF">
              <w:rPr>
                <w:sz w:val="18"/>
              </w:rPr>
              <w:t>Bevillinger til rådighed i indeværende regnskabsår</w:t>
            </w:r>
          </w:p>
        </w:tc>
        <w:tc>
          <w:tcPr>
            <w:tcW w:w="7200" w:type="dxa"/>
            <w:gridSpan w:val="7"/>
            <w:vAlign w:val="center"/>
          </w:tcPr>
          <w:p w14:paraId="6AA80ED8" w14:textId="77777777" w:rsidR="00B50935" w:rsidRPr="00927CFF" w:rsidRDefault="00B50935" w:rsidP="00427764">
            <w:pPr>
              <w:jc w:val="center"/>
              <w:rPr>
                <w:noProof/>
                <w:sz w:val="18"/>
              </w:rPr>
            </w:pPr>
            <w:r w:rsidRPr="00927CFF">
              <w:rPr>
                <w:sz w:val="18"/>
              </w:rPr>
              <w:t>Forslagets/initiativets virkninger</w:t>
            </w:r>
            <w:r w:rsidRPr="00927CFF">
              <w:rPr>
                <w:rStyle w:val="FootnoteReference"/>
                <w:noProof/>
                <w:sz w:val="18"/>
              </w:rPr>
              <w:footnoteReference w:id="24"/>
            </w:r>
          </w:p>
        </w:tc>
      </w:tr>
      <w:tr w:rsidR="00B50935" w:rsidRPr="00927CFF" w14:paraId="12E06321" w14:textId="77777777" w:rsidTr="00427764">
        <w:trPr>
          <w:trHeight w:val="388"/>
        </w:trPr>
        <w:tc>
          <w:tcPr>
            <w:tcW w:w="2144" w:type="dxa"/>
            <w:vMerge/>
            <w:vAlign w:val="center"/>
          </w:tcPr>
          <w:p w14:paraId="78911FA5" w14:textId="77777777" w:rsidR="00B50935" w:rsidRPr="00927CFF" w:rsidRDefault="00B50935" w:rsidP="00427764">
            <w:pPr>
              <w:rPr>
                <w:noProof/>
                <w:sz w:val="18"/>
              </w:rPr>
            </w:pPr>
          </w:p>
        </w:tc>
        <w:tc>
          <w:tcPr>
            <w:tcW w:w="1276" w:type="dxa"/>
            <w:vMerge/>
            <w:vAlign w:val="center"/>
          </w:tcPr>
          <w:p w14:paraId="7277F8DF" w14:textId="77777777" w:rsidR="00B50935" w:rsidRPr="00927CFF" w:rsidRDefault="00B50935" w:rsidP="00427764">
            <w:pPr>
              <w:rPr>
                <w:noProof/>
                <w:sz w:val="18"/>
              </w:rPr>
            </w:pPr>
          </w:p>
        </w:tc>
        <w:tc>
          <w:tcPr>
            <w:tcW w:w="1080" w:type="dxa"/>
            <w:vAlign w:val="center"/>
          </w:tcPr>
          <w:p w14:paraId="7F936DA2" w14:textId="77777777" w:rsidR="00B50935" w:rsidRPr="00927CFF" w:rsidRDefault="00B50935" w:rsidP="00427764">
            <w:pPr>
              <w:jc w:val="center"/>
              <w:rPr>
                <w:noProof/>
                <w:sz w:val="18"/>
              </w:rPr>
            </w:pPr>
            <w:r w:rsidRPr="00927CFF">
              <w:rPr>
                <w:sz w:val="20"/>
              </w:rPr>
              <w:t>År</w:t>
            </w:r>
            <w:r w:rsidRPr="00927CFF">
              <w:t xml:space="preserve"> </w:t>
            </w:r>
            <w:r w:rsidRPr="00927CFF">
              <w:br/>
            </w:r>
            <w:r w:rsidRPr="00927CFF">
              <w:rPr>
                <w:b/>
                <w:sz w:val="20"/>
              </w:rPr>
              <w:t>2021</w:t>
            </w:r>
          </w:p>
        </w:tc>
        <w:tc>
          <w:tcPr>
            <w:tcW w:w="900" w:type="dxa"/>
            <w:vAlign w:val="center"/>
          </w:tcPr>
          <w:p w14:paraId="55E1CBF9" w14:textId="77777777" w:rsidR="00B50935" w:rsidRPr="00927CFF" w:rsidRDefault="00B50935" w:rsidP="00427764">
            <w:pPr>
              <w:jc w:val="center"/>
              <w:rPr>
                <w:noProof/>
                <w:sz w:val="18"/>
              </w:rPr>
            </w:pPr>
            <w:r w:rsidRPr="00927CFF">
              <w:rPr>
                <w:sz w:val="20"/>
              </w:rPr>
              <w:t>År</w:t>
            </w:r>
            <w:r w:rsidRPr="00927CFF">
              <w:t xml:space="preserve"> </w:t>
            </w:r>
            <w:r w:rsidRPr="00927CFF">
              <w:br/>
            </w:r>
            <w:r w:rsidRPr="00927CFF">
              <w:rPr>
                <w:b/>
                <w:sz w:val="20"/>
              </w:rPr>
              <w:t>2022</w:t>
            </w:r>
          </w:p>
        </w:tc>
        <w:tc>
          <w:tcPr>
            <w:tcW w:w="900" w:type="dxa"/>
            <w:vAlign w:val="center"/>
          </w:tcPr>
          <w:p w14:paraId="525AED7E" w14:textId="77777777" w:rsidR="00B50935" w:rsidRPr="00927CFF" w:rsidRDefault="00B50935" w:rsidP="00427764">
            <w:pPr>
              <w:jc w:val="center"/>
              <w:rPr>
                <w:noProof/>
                <w:sz w:val="18"/>
              </w:rPr>
            </w:pPr>
            <w:r w:rsidRPr="00927CFF">
              <w:rPr>
                <w:sz w:val="20"/>
              </w:rPr>
              <w:t>År</w:t>
            </w:r>
            <w:r w:rsidRPr="00927CFF">
              <w:t xml:space="preserve"> </w:t>
            </w:r>
            <w:r w:rsidRPr="00927CFF">
              <w:br/>
            </w:r>
            <w:r w:rsidRPr="00927CFF">
              <w:rPr>
                <w:b/>
                <w:sz w:val="20"/>
              </w:rPr>
              <w:t>2023</w:t>
            </w:r>
          </w:p>
        </w:tc>
        <w:tc>
          <w:tcPr>
            <w:tcW w:w="1080" w:type="dxa"/>
            <w:vAlign w:val="center"/>
          </w:tcPr>
          <w:p w14:paraId="0555D30B" w14:textId="77777777" w:rsidR="00B50935" w:rsidRPr="00927CFF" w:rsidRDefault="00B50935" w:rsidP="00427764">
            <w:pPr>
              <w:jc w:val="center"/>
              <w:rPr>
                <w:noProof/>
                <w:sz w:val="18"/>
              </w:rPr>
            </w:pPr>
            <w:r w:rsidRPr="00927CFF">
              <w:rPr>
                <w:sz w:val="20"/>
              </w:rPr>
              <w:t>År</w:t>
            </w:r>
            <w:r w:rsidRPr="00927CFF">
              <w:t xml:space="preserve"> </w:t>
            </w:r>
            <w:r w:rsidRPr="00927CFF">
              <w:br/>
            </w:r>
            <w:r w:rsidRPr="00927CFF">
              <w:rPr>
                <w:b/>
                <w:sz w:val="20"/>
              </w:rPr>
              <w:t>2024</w:t>
            </w:r>
          </w:p>
        </w:tc>
        <w:tc>
          <w:tcPr>
            <w:tcW w:w="1080" w:type="dxa"/>
            <w:vAlign w:val="center"/>
          </w:tcPr>
          <w:p w14:paraId="488DFF6C"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2025</w:t>
            </w:r>
          </w:p>
        </w:tc>
        <w:tc>
          <w:tcPr>
            <w:tcW w:w="1080" w:type="dxa"/>
            <w:vAlign w:val="center"/>
          </w:tcPr>
          <w:p w14:paraId="0A8CB571"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2026</w:t>
            </w:r>
          </w:p>
        </w:tc>
        <w:tc>
          <w:tcPr>
            <w:tcW w:w="1080" w:type="dxa"/>
            <w:vAlign w:val="center"/>
          </w:tcPr>
          <w:p w14:paraId="53197668" w14:textId="77777777" w:rsidR="00B50935" w:rsidRPr="00927CFF" w:rsidRDefault="00B50935" w:rsidP="00427764">
            <w:pPr>
              <w:jc w:val="center"/>
              <w:rPr>
                <w:b/>
                <w:noProof/>
                <w:sz w:val="18"/>
              </w:rPr>
            </w:pPr>
            <w:r w:rsidRPr="00927CFF">
              <w:rPr>
                <w:sz w:val="20"/>
              </w:rPr>
              <w:t>År</w:t>
            </w:r>
            <w:r w:rsidRPr="00927CFF">
              <w:t xml:space="preserve"> </w:t>
            </w:r>
            <w:r w:rsidRPr="00927CFF">
              <w:br/>
            </w:r>
            <w:r w:rsidRPr="00927CFF">
              <w:rPr>
                <w:b/>
                <w:sz w:val="20"/>
              </w:rPr>
              <w:t>2027</w:t>
            </w:r>
            <w:r w:rsidRPr="00927CFF">
              <w:rPr>
                <w:sz w:val="20"/>
              </w:rPr>
              <w:t xml:space="preserve"> ff</w:t>
            </w:r>
          </w:p>
        </w:tc>
      </w:tr>
      <w:tr w:rsidR="00B50935" w:rsidRPr="00927CFF" w14:paraId="3649D6D1" w14:textId="77777777" w:rsidTr="00427764">
        <w:trPr>
          <w:trHeight w:val="388"/>
        </w:trPr>
        <w:tc>
          <w:tcPr>
            <w:tcW w:w="2144" w:type="dxa"/>
            <w:vAlign w:val="center"/>
          </w:tcPr>
          <w:p w14:paraId="45479951" w14:textId="77777777" w:rsidR="00B50935" w:rsidRPr="00927CFF" w:rsidRDefault="00B50935" w:rsidP="00427764">
            <w:pPr>
              <w:spacing w:before="40" w:after="40"/>
              <w:rPr>
                <w:noProof/>
                <w:sz w:val="18"/>
              </w:rPr>
            </w:pPr>
            <w:r w:rsidRPr="00927CFF">
              <w:rPr>
                <w:sz w:val="18"/>
              </w:rPr>
              <w:t>Artikel ….</w:t>
            </w:r>
          </w:p>
        </w:tc>
        <w:tc>
          <w:tcPr>
            <w:tcW w:w="1276" w:type="dxa"/>
          </w:tcPr>
          <w:p w14:paraId="66D19855" w14:textId="77777777" w:rsidR="00B50935" w:rsidRPr="00927CFF" w:rsidRDefault="00B50935" w:rsidP="00427764">
            <w:pPr>
              <w:spacing w:beforeLines="40" w:before="96" w:afterLines="40" w:after="96"/>
              <w:jc w:val="center"/>
              <w:rPr>
                <w:i/>
                <w:noProof/>
                <w:sz w:val="18"/>
              </w:rPr>
            </w:pPr>
          </w:p>
        </w:tc>
        <w:tc>
          <w:tcPr>
            <w:tcW w:w="1080" w:type="dxa"/>
          </w:tcPr>
          <w:p w14:paraId="11CDE1E7" w14:textId="77777777" w:rsidR="00B50935" w:rsidRPr="00927CFF" w:rsidRDefault="00B50935" w:rsidP="00427764">
            <w:pPr>
              <w:spacing w:beforeLines="40" w:before="96" w:afterLines="40" w:after="96"/>
              <w:jc w:val="center"/>
              <w:rPr>
                <w:noProof/>
                <w:sz w:val="18"/>
              </w:rPr>
            </w:pPr>
          </w:p>
        </w:tc>
        <w:tc>
          <w:tcPr>
            <w:tcW w:w="900" w:type="dxa"/>
          </w:tcPr>
          <w:p w14:paraId="22601969" w14:textId="77777777" w:rsidR="00B50935" w:rsidRPr="00927CFF" w:rsidRDefault="00B50935" w:rsidP="00427764">
            <w:pPr>
              <w:spacing w:beforeLines="40" w:before="96" w:afterLines="40" w:after="96"/>
              <w:jc w:val="center"/>
              <w:rPr>
                <w:noProof/>
                <w:sz w:val="18"/>
              </w:rPr>
            </w:pPr>
          </w:p>
        </w:tc>
        <w:tc>
          <w:tcPr>
            <w:tcW w:w="900" w:type="dxa"/>
          </w:tcPr>
          <w:p w14:paraId="5BBB975A" w14:textId="77777777" w:rsidR="00B50935" w:rsidRPr="00927CFF" w:rsidRDefault="00B50935" w:rsidP="00427764">
            <w:pPr>
              <w:spacing w:beforeLines="40" w:before="96" w:afterLines="40" w:after="96"/>
              <w:jc w:val="center"/>
              <w:rPr>
                <w:noProof/>
                <w:sz w:val="18"/>
              </w:rPr>
            </w:pPr>
          </w:p>
        </w:tc>
        <w:tc>
          <w:tcPr>
            <w:tcW w:w="1080" w:type="dxa"/>
          </w:tcPr>
          <w:p w14:paraId="46AA391A" w14:textId="77777777" w:rsidR="00B50935" w:rsidRPr="00927CFF" w:rsidRDefault="00B50935" w:rsidP="00427764">
            <w:pPr>
              <w:spacing w:beforeLines="40" w:before="96" w:afterLines="40" w:after="96"/>
              <w:jc w:val="center"/>
              <w:rPr>
                <w:noProof/>
                <w:sz w:val="18"/>
              </w:rPr>
            </w:pPr>
          </w:p>
        </w:tc>
        <w:tc>
          <w:tcPr>
            <w:tcW w:w="1080" w:type="dxa"/>
          </w:tcPr>
          <w:p w14:paraId="0B5D7962" w14:textId="77777777" w:rsidR="00B50935" w:rsidRPr="00927CFF" w:rsidRDefault="00B50935" w:rsidP="00427764">
            <w:pPr>
              <w:spacing w:beforeLines="40" w:before="96" w:afterLines="40" w:after="96"/>
              <w:jc w:val="center"/>
              <w:rPr>
                <w:noProof/>
                <w:sz w:val="18"/>
              </w:rPr>
            </w:pPr>
          </w:p>
        </w:tc>
        <w:tc>
          <w:tcPr>
            <w:tcW w:w="1080" w:type="dxa"/>
          </w:tcPr>
          <w:p w14:paraId="1C065D66" w14:textId="77777777" w:rsidR="00B50935" w:rsidRPr="00927CFF" w:rsidRDefault="00B50935" w:rsidP="00427764">
            <w:pPr>
              <w:spacing w:beforeLines="40" w:before="96" w:afterLines="40" w:after="96"/>
              <w:jc w:val="center"/>
              <w:rPr>
                <w:noProof/>
                <w:sz w:val="18"/>
              </w:rPr>
            </w:pPr>
          </w:p>
        </w:tc>
        <w:tc>
          <w:tcPr>
            <w:tcW w:w="1080" w:type="dxa"/>
          </w:tcPr>
          <w:p w14:paraId="3B39DFC2" w14:textId="77777777" w:rsidR="00B50935" w:rsidRPr="00927CFF" w:rsidRDefault="00B50935" w:rsidP="00427764">
            <w:pPr>
              <w:spacing w:beforeLines="40" w:before="96" w:afterLines="40" w:after="96"/>
              <w:jc w:val="center"/>
              <w:rPr>
                <w:noProof/>
                <w:sz w:val="18"/>
              </w:rPr>
            </w:pPr>
          </w:p>
        </w:tc>
      </w:tr>
    </w:tbl>
    <w:p w14:paraId="49C2D263" w14:textId="77777777" w:rsidR="00B50935" w:rsidRPr="00927CFF" w:rsidRDefault="00B50935" w:rsidP="00B50935">
      <w:pPr>
        <w:pStyle w:val="Text1"/>
        <w:rPr>
          <w:sz w:val="20"/>
        </w:rPr>
      </w:pPr>
      <w:r w:rsidRPr="00927CFF">
        <w:rPr>
          <w:sz w:val="20"/>
        </w:rPr>
        <w:t>For diverse indtægter, der er formålsbestemte, angives det, hvilke af budgettets udgiftsposter der påvirkes.</w:t>
      </w:r>
    </w:p>
    <w:p w14:paraId="520DFE39" w14:textId="3F511C7E"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rPr>
      </w:pPr>
    </w:p>
    <w:p w14:paraId="7DDEBDE0" w14:textId="77777777" w:rsidR="00B50935" w:rsidRPr="00927CFF" w:rsidRDefault="00B50935" w:rsidP="00B50935">
      <w:pPr>
        <w:pStyle w:val="Text1"/>
        <w:rPr>
          <w:sz w:val="20"/>
        </w:rPr>
      </w:pPr>
      <w:r w:rsidRPr="00927CFF">
        <w:rPr>
          <w:sz w:val="20"/>
        </w:rPr>
        <w:t>Det oplyses, hvilken metode der er benyttet til at beregne virkningerne for indtægterne.</w:t>
      </w:r>
    </w:p>
    <w:p w14:paraId="65272D2A" w14:textId="17017939" w:rsidR="00B50935" w:rsidRPr="00927CFF" w:rsidRDefault="00B50935" w:rsidP="00B50935">
      <w:pPr>
        <w:pStyle w:val="Text1"/>
        <w:pBdr>
          <w:top w:val="single" w:sz="4" w:space="1" w:color="auto"/>
          <w:left w:val="single" w:sz="4" w:space="4" w:color="auto"/>
          <w:bottom w:val="single" w:sz="4" w:space="1" w:color="auto"/>
          <w:right w:val="single" w:sz="4" w:space="4" w:color="auto"/>
        </w:pBdr>
        <w:rPr>
          <w:noProof/>
        </w:rPr>
      </w:pPr>
    </w:p>
    <w:p w14:paraId="2AFC8897" w14:textId="0A2F94BC" w:rsidR="00B50935" w:rsidRPr="00927CFF" w:rsidRDefault="00B50935" w:rsidP="00B50935"/>
    <w:sectPr w:rsidR="00B50935" w:rsidRPr="00927CFF" w:rsidSect="00BE6028">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B6E2" w14:textId="77777777" w:rsidR="002C02D0" w:rsidRDefault="002C02D0" w:rsidP="00B50935">
      <w:pPr>
        <w:spacing w:before="0" w:after="0"/>
      </w:pPr>
      <w:r>
        <w:separator/>
      </w:r>
    </w:p>
  </w:endnote>
  <w:endnote w:type="continuationSeparator" w:id="0">
    <w:p w14:paraId="680B706F" w14:textId="77777777" w:rsidR="002C02D0" w:rsidRDefault="002C02D0" w:rsidP="00B50935">
      <w:pPr>
        <w:spacing w:before="0" w:after="0"/>
      </w:pPr>
      <w:r>
        <w:continuationSeparator/>
      </w:r>
    </w:p>
  </w:endnote>
  <w:endnote w:type="continuationNotice" w:id="1">
    <w:p w14:paraId="0A5A3C39" w14:textId="77777777" w:rsidR="002C02D0" w:rsidRDefault="002C02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033" w14:textId="28ACEADE" w:rsidR="00927CFF" w:rsidRPr="00BE6028" w:rsidRDefault="00BE6028" w:rsidP="00BE6028">
    <w:pPr>
      <w:pStyle w:val="Footer"/>
      <w:rPr>
        <w:rFonts w:ascii="Arial" w:hAnsi="Arial" w:cs="Arial"/>
        <w:b/>
        <w:sz w:val="48"/>
      </w:rPr>
    </w:pPr>
    <w:r w:rsidRPr="00BE6028">
      <w:rPr>
        <w:rFonts w:ascii="Arial" w:hAnsi="Arial" w:cs="Arial"/>
        <w:b/>
        <w:sz w:val="48"/>
      </w:rPr>
      <w:t>DA</w:t>
    </w:r>
    <w:r w:rsidRPr="00BE6028">
      <w:rPr>
        <w:rFonts w:ascii="Arial" w:hAnsi="Arial" w:cs="Arial"/>
        <w:b/>
        <w:sz w:val="48"/>
      </w:rPr>
      <w:tab/>
    </w:r>
    <w:r w:rsidRPr="00BE6028">
      <w:rPr>
        <w:rFonts w:ascii="Arial" w:hAnsi="Arial" w:cs="Arial"/>
        <w:b/>
        <w:sz w:val="48"/>
      </w:rPr>
      <w:tab/>
    </w:r>
    <w:r w:rsidRPr="00BE6028">
      <w:tab/>
    </w:r>
    <w:r w:rsidRPr="00BE6028">
      <w:rPr>
        <w:rFonts w:ascii="Arial" w:hAnsi="Arial" w:cs="Arial"/>
        <w:b/>
        <w:sz w:val="48"/>
      </w:rPr>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A4DC" w14:textId="5F4D39F1" w:rsidR="00927CFF" w:rsidRPr="00BE6028" w:rsidRDefault="00BE6028" w:rsidP="00BE6028">
    <w:pPr>
      <w:pStyle w:val="Footer"/>
      <w:rPr>
        <w:rFonts w:ascii="Arial" w:hAnsi="Arial" w:cs="Arial"/>
        <w:b/>
        <w:sz w:val="48"/>
      </w:rPr>
    </w:pPr>
    <w:r w:rsidRPr="00BE6028">
      <w:rPr>
        <w:rFonts w:ascii="Arial" w:hAnsi="Arial" w:cs="Arial"/>
        <w:b/>
        <w:sz w:val="48"/>
      </w:rPr>
      <w:t>DA</w:t>
    </w:r>
    <w:r w:rsidRPr="00BE6028">
      <w:rPr>
        <w:rFonts w:ascii="Arial" w:hAnsi="Arial" w:cs="Arial"/>
        <w:b/>
        <w:sz w:val="48"/>
      </w:rPr>
      <w:tab/>
    </w:r>
    <w:r>
      <w:fldChar w:fldCharType="begin"/>
    </w:r>
    <w:r>
      <w:instrText xml:space="preserve"> PAGE  \* MERGEFORMAT </w:instrText>
    </w:r>
    <w:r>
      <w:fldChar w:fldCharType="separate"/>
    </w:r>
    <w:r w:rsidR="00B222E5">
      <w:rPr>
        <w:noProof/>
      </w:rPr>
      <w:t>1</w:t>
    </w:r>
    <w:r>
      <w:fldChar w:fldCharType="end"/>
    </w:r>
    <w:r>
      <w:tab/>
    </w:r>
    <w:r w:rsidRPr="00BE6028">
      <w:tab/>
    </w:r>
    <w:r w:rsidRPr="00BE6028">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FAF4" w14:textId="77777777" w:rsidR="00BE6028" w:rsidRPr="00BE6028" w:rsidRDefault="00BE6028" w:rsidP="00BE60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1DD8" w14:textId="142F1F44" w:rsidR="00BE6028" w:rsidRPr="00BE6028" w:rsidRDefault="00BE6028" w:rsidP="00BE6028">
    <w:pPr>
      <w:pStyle w:val="FooterLandscape"/>
      <w:rPr>
        <w:rFonts w:ascii="Arial" w:hAnsi="Arial" w:cs="Arial"/>
        <w:b/>
        <w:sz w:val="48"/>
      </w:rPr>
    </w:pPr>
    <w:r w:rsidRPr="00BE6028">
      <w:rPr>
        <w:rFonts w:ascii="Arial" w:hAnsi="Arial" w:cs="Arial"/>
        <w:b/>
        <w:sz w:val="48"/>
      </w:rPr>
      <w:t>DA</w:t>
    </w:r>
    <w:r w:rsidRPr="00BE6028">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rsidRPr="00BE6028">
      <w:tab/>
    </w:r>
    <w:r w:rsidRPr="00BE6028">
      <w:rPr>
        <w:rFonts w:ascii="Arial" w:hAnsi="Arial" w:cs="Arial"/>
        <w:b/>
        <w:sz w:val="48"/>
      </w:rPr>
      <w:t>DA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04DD" w14:textId="77777777" w:rsidR="00BE6028" w:rsidRPr="00BE6028" w:rsidRDefault="00BE6028" w:rsidP="00BE6028">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6645" w14:textId="55F3FEC4" w:rsidR="00BE6028" w:rsidRPr="00BE6028" w:rsidRDefault="00BE6028" w:rsidP="00BE6028">
    <w:pPr>
      <w:pStyle w:val="FooterLandscape"/>
      <w:rPr>
        <w:rFonts w:ascii="Arial" w:hAnsi="Arial" w:cs="Arial"/>
        <w:b/>
        <w:sz w:val="48"/>
      </w:rPr>
    </w:pPr>
    <w:r w:rsidRPr="00BE6028">
      <w:rPr>
        <w:rFonts w:ascii="Arial" w:hAnsi="Arial" w:cs="Arial"/>
        <w:b/>
        <w:sz w:val="48"/>
      </w:rPr>
      <w:t>DA</w:t>
    </w:r>
    <w:r w:rsidRPr="00BE6028">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rsidRPr="00BE6028">
      <w:tab/>
    </w:r>
    <w:r w:rsidRPr="00BE6028">
      <w:rPr>
        <w:rFonts w:ascii="Arial" w:hAnsi="Arial" w:cs="Arial"/>
        <w:b/>
        <w:sz w:val="48"/>
      </w:rPr>
      <w:t>DA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4B59" w14:textId="77777777" w:rsidR="00BE6028" w:rsidRPr="00BE6028" w:rsidRDefault="00BE6028" w:rsidP="00BE6028">
    <w:pPr>
      <w:pStyle w:val="FooterLandscap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793A" w14:textId="02C03914" w:rsidR="00473217" w:rsidRPr="00BE6028" w:rsidRDefault="00BE6028" w:rsidP="00BE6028">
    <w:pPr>
      <w:pStyle w:val="Footer"/>
      <w:rPr>
        <w:rFonts w:ascii="Arial" w:hAnsi="Arial" w:cs="Arial"/>
        <w:b/>
        <w:sz w:val="48"/>
      </w:rPr>
    </w:pPr>
    <w:r w:rsidRPr="00BE6028">
      <w:rPr>
        <w:rFonts w:ascii="Arial" w:hAnsi="Arial" w:cs="Arial"/>
        <w:b/>
        <w:sz w:val="48"/>
      </w:rPr>
      <w:t>DA</w:t>
    </w:r>
    <w:r w:rsidRPr="00BE6028">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rsidRPr="00BE6028">
      <w:tab/>
    </w:r>
    <w:r w:rsidRPr="00BE6028">
      <w:rPr>
        <w:rFonts w:ascii="Arial" w:hAnsi="Arial" w:cs="Arial"/>
        <w:b/>
        <w:sz w:val="48"/>
      </w:rPr>
      <w:t>DA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C960" w14:textId="77777777" w:rsidR="00BE6028" w:rsidRPr="00BE6028" w:rsidRDefault="00BE6028" w:rsidP="00BE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34C6" w14:textId="77777777" w:rsidR="002C02D0" w:rsidRDefault="002C02D0" w:rsidP="00B50935">
      <w:pPr>
        <w:spacing w:before="0" w:after="0"/>
      </w:pPr>
      <w:r>
        <w:separator/>
      </w:r>
    </w:p>
  </w:footnote>
  <w:footnote w:type="continuationSeparator" w:id="0">
    <w:p w14:paraId="5D869320" w14:textId="77777777" w:rsidR="002C02D0" w:rsidRDefault="002C02D0" w:rsidP="00B50935">
      <w:pPr>
        <w:spacing w:before="0" w:after="0"/>
      </w:pPr>
      <w:r>
        <w:continuationSeparator/>
      </w:r>
    </w:p>
  </w:footnote>
  <w:footnote w:type="continuationNotice" w:id="1">
    <w:p w14:paraId="09EA6CB8" w14:textId="77777777" w:rsidR="002C02D0" w:rsidRDefault="002C02D0">
      <w:pPr>
        <w:spacing w:before="0" w:after="0"/>
      </w:pPr>
    </w:p>
  </w:footnote>
  <w:footnote w:id="2">
    <w:p w14:paraId="77D8EC69" w14:textId="77777777" w:rsidR="0078723B" w:rsidRPr="00390107" w:rsidRDefault="0078723B" w:rsidP="00B50935">
      <w:pPr>
        <w:pStyle w:val="FootnoteText"/>
      </w:pPr>
      <w:r>
        <w:rPr>
          <w:rStyle w:val="FootnoteReference"/>
        </w:rPr>
        <w:footnoteRef/>
      </w:r>
      <w:r>
        <w:tab/>
        <w:t>EUT L 142 af 30.4.2004, s. 1.</w:t>
      </w:r>
    </w:p>
  </w:footnote>
  <w:footnote w:id="3">
    <w:p w14:paraId="57F279D8" w14:textId="77777777" w:rsidR="0078723B" w:rsidRPr="00390107" w:rsidRDefault="0078723B" w:rsidP="00B50935">
      <w:pPr>
        <w:pStyle w:val="FootnoteText"/>
      </w:pPr>
      <w:r>
        <w:rPr>
          <w:rStyle w:val="FootnoteReference"/>
        </w:rPr>
        <w:footnoteRef/>
      </w:r>
      <w:r>
        <w:tab/>
        <w:t>EUT L 293 af 5.11.2013, s. 1.</w:t>
      </w:r>
    </w:p>
  </w:footnote>
  <w:footnote w:id="4">
    <w:p w14:paraId="0C393D7F" w14:textId="77777777" w:rsidR="0078723B" w:rsidRPr="00390107" w:rsidRDefault="0078723B" w:rsidP="00B50935">
      <w:pPr>
        <w:pStyle w:val="FootnoteText"/>
      </w:pPr>
      <w:r>
        <w:rPr>
          <w:rStyle w:val="FootnoteReference"/>
        </w:rPr>
        <w:footnoteRef/>
      </w:r>
      <w:r>
        <w:tab/>
        <w:t>https://europa.eu/european-union/sites/europaeu/files/docs/body/joint_statement_and_common_approach_2012_da.pdf.</w:t>
      </w:r>
    </w:p>
  </w:footnote>
  <w:footnote w:id="5">
    <w:p w14:paraId="0AF8E571" w14:textId="77777777" w:rsidR="0078723B" w:rsidRPr="00390107" w:rsidRDefault="0078723B" w:rsidP="00B50935">
      <w:pPr>
        <w:pStyle w:val="FootnoteText"/>
      </w:pPr>
      <w:r>
        <w:rPr>
          <w:rStyle w:val="FootnoteReference"/>
        </w:rPr>
        <w:footnoteRef/>
      </w:r>
      <w:r>
        <w:tab/>
      </w:r>
      <w:hyperlink r:id="rId1" w:history="1">
        <w:r>
          <w:rPr>
            <w:rStyle w:val="Hyperlink"/>
            <w:color w:val="000000"/>
          </w:rPr>
          <w:t>https://www.ecdc.europa.eu/en/publications-data/third-external-evaluation-ecdc-2013-2017</w:t>
        </w:r>
      </w:hyperlink>
      <w:r>
        <w:t>.</w:t>
      </w:r>
    </w:p>
  </w:footnote>
  <w:footnote w:id="6">
    <w:p w14:paraId="0986CB4A" w14:textId="77777777" w:rsidR="0078723B" w:rsidRPr="00390107" w:rsidRDefault="0078723B" w:rsidP="00B50935">
      <w:pPr>
        <w:pStyle w:val="FootnoteText"/>
      </w:pPr>
      <w:r>
        <w:rPr>
          <w:rStyle w:val="FootnoteReference"/>
        </w:rPr>
        <w:footnoteRef/>
      </w:r>
      <w:r>
        <w:tab/>
      </w:r>
      <w:hyperlink r:id="rId2" w:history="1">
        <w:r>
          <w:rPr>
            <w:rStyle w:val="Hyperlink"/>
            <w:color w:val="000000"/>
          </w:rPr>
          <w:t>https://www.eca.europa.eu/da/Pages/DocItem.aspx?did=40126</w:t>
        </w:r>
      </w:hyperlink>
      <w:r>
        <w:t>.</w:t>
      </w:r>
    </w:p>
  </w:footnote>
  <w:footnote w:id="7">
    <w:p w14:paraId="133181F2" w14:textId="77777777" w:rsidR="0078723B" w:rsidRPr="00390107" w:rsidRDefault="0078723B" w:rsidP="00B50935">
      <w:pPr>
        <w:pStyle w:val="FootnoteText"/>
      </w:pPr>
      <w:r>
        <w:rPr>
          <w:rStyle w:val="FootnoteReference"/>
        </w:rPr>
        <w:footnoteRef/>
      </w:r>
      <w:r>
        <w:tab/>
      </w:r>
      <w:hyperlink r:id="rId3" w:history="1">
        <w:r>
          <w:rPr>
            <w:rStyle w:val="Hyperlink"/>
          </w:rPr>
          <w:t>Fælles erklæring og fælles tilgang (Europa-Parlamentet, Rådets &amp; Kommission)</w:t>
        </w:r>
      </w:hyperlink>
      <w:r>
        <w:t>, 2012, https://europa.eu/european-union/sites/europaeu/files/docs/body/joint_statement_and_common_approach_2012_da.pdf</w:t>
      </w:r>
    </w:p>
  </w:footnote>
  <w:footnote w:id="8">
    <w:p w14:paraId="6D52CCE5" w14:textId="5FC72622" w:rsidR="0078723B" w:rsidRPr="00390107" w:rsidRDefault="0078723B" w:rsidP="00B50935">
      <w:pPr>
        <w:pStyle w:val="FootnoteText"/>
      </w:pPr>
      <w:r>
        <w:rPr>
          <w:rStyle w:val="FootnoteReference"/>
        </w:rPr>
        <w:footnoteRef/>
      </w:r>
      <w:r>
        <w:tab/>
        <w:t>EUT C […] af […], s. […].</w:t>
      </w:r>
    </w:p>
  </w:footnote>
  <w:footnote w:id="9">
    <w:p w14:paraId="1C8B5EEF" w14:textId="7F9EF1C1" w:rsidR="0078723B" w:rsidRPr="00390107" w:rsidRDefault="0078723B" w:rsidP="00B50935">
      <w:pPr>
        <w:pStyle w:val="FootnoteText"/>
      </w:pPr>
      <w:r>
        <w:rPr>
          <w:rStyle w:val="FootnoteReference"/>
        </w:rPr>
        <w:footnoteRef/>
      </w:r>
      <w:r>
        <w:tab/>
        <w:t>EUT C […] af […], s. […].</w:t>
      </w:r>
    </w:p>
  </w:footnote>
  <w:footnote w:id="10">
    <w:p w14:paraId="29C5C67A" w14:textId="77777777" w:rsidR="0078723B" w:rsidRPr="00390107" w:rsidRDefault="0078723B" w:rsidP="00B50935">
      <w:pPr>
        <w:pStyle w:val="FootnoteText"/>
      </w:pPr>
      <w:r>
        <w:rPr>
          <w:rStyle w:val="FootnoteReference"/>
        </w:rPr>
        <w:footnoteRef/>
      </w:r>
      <w:r>
        <w:tab/>
        <w:t>Europa-Parlamentets og Rådets forordning (EF) nr. 851/2004 af 21. april 2004 om oprettelse af et europæisk center for forebyggelse af og kontrol med sygdomme (EUT L 142 af 30.4.2004, s. 1).</w:t>
      </w:r>
    </w:p>
  </w:footnote>
  <w:footnote w:id="11">
    <w:p w14:paraId="235BED05" w14:textId="77777777" w:rsidR="0078723B" w:rsidRPr="00390107" w:rsidRDefault="0078723B" w:rsidP="00B50935">
      <w:pPr>
        <w:pStyle w:val="FootnoteText"/>
      </w:pPr>
      <w:r>
        <w:rPr>
          <w:rStyle w:val="FootnoteReference"/>
        </w:rPr>
        <w:footnoteRef/>
      </w:r>
      <w:r>
        <w:tab/>
        <w:t>Europa-Parlamentets og Rådets forordning (EU) XXXX/XXXX af DATO om alvorlige grænseoverskridende sundhedstrusler og om ophævelse af afgørelse nr. 1082/2013/EU [EUT: indsæt den fulde titel og henvisning til offentliggørelsen af forordningen om alvorlige grænseoverskridende sundhedstrusler (SCBTH).]</w:t>
      </w:r>
    </w:p>
  </w:footnote>
  <w:footnote w:id="12">
    <w:p w14:paraId="18A0A339" w14:textId="77777777" w:rsidR="0078723B" w:rsidRPr="00390107" w:rsidRDefault="0078723B" w:rsidP="00B50935">
      <w:pPr>
        <w:pStyle w:val="FootnoteText"/>
      </w:pPr>
      <w:r>
        <w:rPr>
          <w:rStyle w:val="FootnoteReference"/>
        </w:rPr>
        <w:footnoteRef/>
      </w:r>
      <w:r>
        <w:tab/>
        <w:t>Europa-Parlamentets og Rådets afgørelse nr. 1313/2013/EU af 17. december 2013 om en EU-civilbeskyttelsesmekanisme (EUT L 347 af 20.12.2013, s. 924).</w:t>
      </w:r>
    </w:p>
  </w:footnote>
  <w:footnote w:id="13">
    <w:p w14:paraId="40326731" w14:textId="5F162273" w:rsidR="0078723B" w:rsidRDefault="0078723B" w:rsidP="009A453B">
      <w:pPr>
        <w:pStyle w:val="FootnoteText"/>
      </w:pPr>
      <w:r>
        <w:rPr>
          <w:rStyle w:val="FootnoteReference"/>
        </w:rPr>
        <w:footnoteRef/>
      </w:r>
      <w:r>
        <w:tab/>
        <w:t>Europa-Parlamentets og Rådets forordning (EU) nr. 233/2014 af 11. marts 2014 om oprettelse af et instrument til finansiering af udviklingssamarbejde for perioden 2014-2020 (EUT L 77 af 15.3.2014, s. 44).</w:t>
      </w:r>
    </w:p>
  </w:footnote>
  <w:footnote w:id="14">
    <w:p w14:paraId="76FA73D7" w14:textId="77777777" w:rsidR="0078723B" w:rsidRPr="00390107" w:rsidRDefault="0078723B" w:rsidP="00B50935">
      <w:pPr>
        <w:pStyle w:val="FootnoteText"/>
      </w:pPr>
      <w:r>
        <w:rPr>
          <w:rStyle w:val="FootnoteReference"/>
        </w:rPr>
        <w:footnoteRef/>
      </w:r>
      <w:r>
        <w:tab/>
        <w:t>Jf. finansforordningens artikel 58, stk. 2, litra a) hhv. b).</w:t>
      </w:r>
    </w:p>
  </w:footnote>
  <w:footnote w:id="15">
    <w:p w14:paraId="013AE3D0" w14:textId="77777777" w:rsidR="0078723B" w:rsidRPr="00390107" w:rsidRDefault="0078723B" w:rsidP="00B50935">
      <w:pPr>
        <w:pStyle w:val="FootnoteText"/>
      </w:pPr>
      <w:r>
        <w:rPr>
          <w:rStyle w:val="FootnoteReference"/>
        </w:rPr>
        <w:footnoteRef/>
      </w:r>
      <w:r>
        <w:tab/>
        <w:t xml:space="preserve">Forklaringer vedrørende forvaltningsmetoder og henvisninger til finansforordningen findes på webstedet BudgWeb: </w:t>
      </w:r>
      <w:hyperlink r:id="rId4" w:history="1">
        <w:r>
          <w:rPr>
            <w:rStyle w:val="Hyperlink"/>
          </w:rPr>
          <w:t>https://myintracomm.ec.europa.eu/budgweb/DA/man/budgmanag/Pages/budgmanag.aspx</w:t>
        </w:r>
      </w:hyperlink>
      <w:r>
        <w:t>.</w:t>
      </w:r>
    </w:p>
  </w:footnote>
  <w:footnote w:id="16">
    <w:p w14:paraId="4B425AD5" w14:textId="77777777" w:rsidR="0078723B" w:rsidRPr="00390107" w:rsidRDefault="0078723B" w:rsidP="00B50935">
      <w:pPr>
        <w:pStyle w:val="FootnoteText"/>
      </w:pPr>
      <w:r>
        <w:rPr>
          <w:rStyle w:val="FootnoteReference"/>
        </w:rPr>
        <w:footnoteRef/>
      </w:r>
      <w:r>
        <w:tab/>
        <w:t>OB = opdelte bevillinger/IOB = ikke-opdelte bevillinger.</w:t>
      </w:r>
    </w:p>
  </w:footnote>
  <w:footnote w:id="17">
    <w:p w14:paraId="4BA38707" w14:textId="77777777" w:rsidR="0078723B" w:rsidRPr="00390107" w:rsidRDefault="0078723B" w:rsidP="00B50935">
      <w:pPr>
        <w:pStyle w:val="FootnoteText"/>
      </w:pPr>
      <w:r>
        <w:rPr>
          <w:rStyle w:val="FootnoteReference"/>
        </w:rPr>
        <w:footnoteRef/>
      </w:r>
      <w:r>
        <w:tab/>
        <w:t xml:space="preserve">EFTA: Den Europæiske Frihandelssammenslutning. </w:t>
      </w:r>
    </w:p>
  </w:footnote>
  <w:footnote w:id="18">
    <w:p w14:paraId="5B800131" w14:textId="77777777" w:rsidR="0078723B" w:rsidRPr="00390107" w:rsidRDefault="0078723B" w:rsidP="00B50935">
      <w:pPr>
        <w:pStyle w:val="FootnoteText"/>
      </w:pPr>
      <w:r>
        <w:rPr>
          <w:rStyle w:val="FootnoteReference"/>
        </w:rPr>
        <w:footnoteRef/>
      </w:r>
      <w:r>
        <w:tab/>
        <w:t>Kandidatlande og, efter omstændighederne, potentielle kandidatlande på Vestbalkan.</w:t>
      </w:r>
    </w:p>
  </w:footnote>
  <w:footnote w:id="19">
    <w:p w14:paraId="58BA92FC" w14:textId="77777777" w:rsidR="0078723B" w:rsidRPr="00390107" w:rsidRDefault="0078723B" w:rsidP="00B50935">
      <w:pPr>
        <w:pStyle w:val="FootnoteText"/>
      </w:pPr>
      <w:r>
        <w:rPr>
          <w:rStyle w:val="FootnoteReference"/>
        </w:rPr>
        <w:footnoteRef/>
      </w:r>
      <w:r>
        <w:tab/>
        <w:t>Resultater er de produkter og tjenesteydelser, der skal leveres (f.eks.: antal finansierede studenterudvekslinger, antal km bygget vej osv.).</w:t>
      </w:r>
    </w:p>
  </w:footnote>
  <w:footnote w:id="20">
    <w:p w14:paraId="08A5B3C1" w14:textId="77777777" w:rsidR="0078723B" w:rsidRPr="00390107" w:rsidRDefault="0078723B" w:rsidP="00B50935">
      <w:pPr>
        <w:pStyle w:val="FootnoteText"/>
      </w:pPr>
      <w:r>
        <w:rPr>
          <w:rStyle w:val="FootnoteReference"/>
        </w:rPr>
        <w:footnoteRef/>
      </w:r>
      <w:r>
        <w:tab/>
        <w:t xml:space="preserve">KA: kontraktansatte, LA: lokalt ansatte, UNE: udstationerede nationale eksperter, V: vikarer, JED = junioreksperter ved delegationerne. </w:t>
      </w:r>
    </w:p>
  </w:footnote>
  <w:footnote w:id="21">
    <w:p w14:paraId="57ED9D4C" w14:textId="77777777" w:rsidR="0078723B" w:rsidRPr="00390107" w:rsidRDefault="0078723B" w:rsidP="00B50935">
      <w:pPr>
        <w:pStyle w:val="FootnoteText"/>
      </w:pPr>
      <w:r>
        <w:rPr>
          <w:rStyle w:val="FootnoteReference"/>
        </w:rPr>
        <w:footnoteRef/>
      </w:r>
      <w:r>
        <w:tab/>
        <w:t>Delloft for eksternt personale under aktionsbevillingerne (tidligere BA-poster).</w:t>
      </w:r>
    </w:p>
  </w:footnote>
  <w:footnote w:id="22">
    <w:p w14:paraId="51B85090" w14:textId="77777777" w:rsidR="0078723B" w:rsidRPr="00390107" w:rsidRDefault="0078723B" w:rsidP="00B50935">
      <w:pPr>
        <w:pStyle w:val="FootnoteText"/>
      </w:pPr>
      <w:r>
        <w:rPr>
          <w:rStyle w:val="FootnoteReference"/>
        </w:rPr>
        <w:footnoteRef/>
      </w:r>
      <w:r>
        <w:tab/>
        <w:t>Angår især strukturfondene, Den Europæiske Landbrugsfond for Udvikling af Landdistrikterne (ELFUL) og Den Europæiske Fiskerifond (EFF).</w:t>
      </w:r>
    </w:p>
  </w:footnote>
  <w:footnote w:id="23">
    <w:p w14:paraId="26F789FE" w14:textId="77777777" w:rsidR="0078723B" w:rsidRPr="00390107" w:rsidRDefault="0078723B" w:rsidP="00B50935">
      <w:pPr>
        <w:pStyle w:val="FootnoteText"/>
      </w:pPr>
      <w:r>
        <w:rPr>
          <w:rStyle w:val="FootnoteReference"/>
        </w:rPr>
        <w:footnoteRef/>
      </w:r>
      <w:r>
        <w:tab/>
        <w:t>Jf. artikel 11 og 17 i Rådets forordning (EU, Euratom) nr. 1311/2013 om fastlæggelse af den flerårige finansielle ramme for årene 2014-2020.</w:t>
      </w:r>
    </w:p>
  </w:footnote>
  <w:footnote w:id="24">
    <w:p w14:paraId="01759B69" w14:textId="77777777" w:rsidR="0078723B" w:rsidRPr="00390107" w:rsidRDefault="0078723B" w:rsidP="00B50935">
      <w:pPr>
        <w:pStyle w:val="FootnoteText"/>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8897" w14:textId="77777777" w:rsidR="00BE6028" w:rsidRPr="00BE6028" w:rsidRDefault="00BE6028" w:rsidP="00BE6028">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3F9F" w14:textId="77777777" w:rsidR="00BE6028" w:rsidRPr="00BE6028" w:rsidRDefault="00BE6028" w:rsidP="00BE6028">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ECC7" w14:textId="77777777" w:rsidR="00BE6028" w:rsidRPr="00BE6028" w:rsidRDefault="00BE6028" w:rsidP="00BE6028">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4BDE" w14:textId="77777777" w:rsidR="00BE6028" w:rsidRPr="00BE6028" w:rsidRDefault="00BE6028" w:rsidP="00BE6028">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8343" w14:textId="77777777" w:rsidR="00473217" w:rsidRPr="00473217" w:rsidRDefault="00473217" w:rsidP="00BE60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FBD3" w14:textId="77777777" w:rsidR="00BE6028" w:rsidRPr="00BE6028" w:rsidRDefault="00BE6028" w:rsidP="00BE6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9"/>
    <w:lvlOverride w:ilvl="0">
      <w:startOverride w:val="1"/>
    </w:lvlOverride>
  </w:num>
  <w:num w:numId="19">
    <w:abstractNumId w:val="11"/>
    <w:lvlOverride w:ilvl="0">
      <w:startOverride w:val="1"/>
    </w:lvlOverride>
  </w:num>
  <w:num w:numId="20">
    <w:abstractNumId w:val="21"/>
  </w:num>
  <w:num w:numId="21">
    <w:abstractNumId w:val="11"/>
  </w:num>
  <w:num w:numId="22">
    <w:abstractNumId w:val="25"/>
  </w:num>
  <w:num w:numId="23">
    <w:abstractNumId w:val="6"/>
  </w:num>
  <w:num w:numId="24">
    <w:abstractNumId w:val="12"/>
  </w:num>
  <w:num w:numId="25">
    <w:abstractNumId w:val="4"/>
  </w:num>
  <w:num w:numId="26">
    <w:abstractNumId w:val="24"/>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9"/>
  </w:num>
  <w:num w:numId="34">
    <w:abstractNumId w:val="21"/>
  </w:num>
  <w:num w:numId="35">
    <w:abstractNumId w:val="11"/>
  </w:num>
  <w:num w:numId="36">
    <w:abstractNumId w:val="25"/>
  </w:num>
  <w:num w:numId="37">
    <w:abstractNumId w:val="6"/>
  </w:num>
  <w:num w:numId="38">
    <w:abstractNumId w:val="12"/>
  </w:num>
  <w:num w:numId="39">
    <w:abstractNumId w:val="4"/>
  </w:num>
  <w:num w:numId="40">
    <w:abstractNumId w:val="24"/>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nl-NL"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6" w:nlCheck="1" w:checkStyle="1"/>
  <w:activeWritingStyle w:appName="MSWord" w:lang="fr-BE" w:vendorID="64" w:dllVersion="6" w:nlCheck="1" w:checkStyle="0"/>
  <w:activeWritingStyle w:appName="MSWord" w:lang="fr-BE"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nl-NL" w:vendorID="64" w:dllVersion="131078" w:nlCheck="1" w:checkStyle="0"/>
  <w:activeWritingStyle w:appName="MSWord" w:lang="da-DK" w:vendorID="64" w:dllVersion="131078" w:nlCheck="1" w:checkStyle="0"/>
  <w:activeWritingStyle w:appName="MSWord" w:lang="it-IT" w:vendorID="64" w:dllVersion="131078" w:nlCheck="1" w:checkStyle="0"/>
  <w:attachedTemplate r:id="rId1"/>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2 08:49:35"/>
    <w:docVar w:name="DQCResult_Distribution" w:val="0;2"/>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4C92ADF-8918-4D7D-B591-FE042E7247AD"/>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20"/>
    <w:docVar w:name="LW_REF.II.NEW.CP_YEAR" w:val="2020"/>
    <w:docVar w:name="LW_REF.INST.NEW" w:val="COM"/>
    <w:docVar w:name="LW_REF.INST.NEW_ADOPTED" w:val="&lt;EMPTY&gt;"/>
    <w:docVar w:name="LW_REF.INST.NEW_TEXT" w:val="(2020) 7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forordning (EF) nr. 851/2004 om oprettelse af et europæisk center for forebyggelse af og kontrol med sygdomme"/>
    <w:docVar w:name="LW_TYPE.DOC.CP" w:val="EUROPA-PARLAMENTETS OG RÅDETS FORORDNING"/>
  </w:docVars>
  <w:rsids>
    <w:rsidRoot w:val="00B50935"/>
    <w:rsid w:val="00025545"/>
    <w:rsid w:val="00057558"/>
    <w:rsid w:val="000656F3"/>
    <w:rsid w:val="0007436D"/>
    <w:rsid w:val="0008563D"/>
    <w:rsid w:val="000A1FB8"/>
    <w:rsid w:val="000A7517"/>
    <w:rsid w:val="000D116A"/>
    <w:rsid w:val="000E198E"/>
    <w:rsid w:val="000E7A81"/>
    <w:rsid w:val="000F2C00"/>
    <w:rsid w:val="000F71CF"/>
    <w:rsid w:val="00117BF8"/>
    <w:rsid w:val="00147253"/>
    <w:rsid w:val="001C2816"/>
    <w:rsid w:val="001F2710"/>
    <w:rsid w:val="002028AF"/>
    <w:rsid w:val="00247F36"/>
    <w:rsid w:val="0028239F"/>
    <w:rsid w:val="002902A6"/>
    <w:rsid w:val="002B330F"/>
    <w:rsid w:val="002C02D0"/>
    <w:rsid w:val="002D7B37"/>
    <w:rsid w:val="00300289"/>
    <w:rsid w:val="0030678C"/>
    <w:rsid w:val="00361EDB"/>
    <w:rsid w:val="0036744A"/>
    <w:rsid w:val="00380BE7"/>
    <w:rsid w:val="00427764"/>
    <w:rsid w:val="00447609"/>
    <w:rsid w:val="00461817"/>
    <w:rsid w:val="00473217"/>
    <w:rsid w:val="00473ACE"/>
    <w:rsid w:val="00473C84"/>
    <w:rsid w:val="004B1435"/>
    <w:rsid w:val="004B4CD4"/>
    <w:rsid w:val="004B7344"/>
    <w:rsid w:val="00505A29"/>
    <w:rsid w:val="00512176"/>
    <w:rsid w:val="005258FC"/>
    <w:rsid w:val="0054225A"/>
    <w:rsid w:val="0054226D"/>
    <w:rsid w:val="00556598"/>
    <w:rsid w:val="00587B87"/>
    <w:rsid w:val="005B4A89"/>
    <w:rsid w:val="005F1577"/>
    <w:rsid w:val="00605A6F"/>
    <w:rsid w:val="00611CE8"/>
    <w:rsid w:val="0062409B"/>
    <w:rsid w:val="00627B80"/>
    <w:rsid w:val="006550D3"/>
    <w:rsid w:val="00657469"/>
    <w:rsid w:val="0066240A"/>
    <w:rsid w:val="006A0673"/>
    <w:rsid w:val="006D5D7C"/>
    <w:rsid w:val="006F7C3E"/>
    <w:rsid w:val="0070128F"/>
    <w:rsid w:val="00723226"/>
    <w:rsid w:val="0078723B"/>
    <w:rsid w:val="007A09F7"/>
    <w:rsid w:val="007B2C96"/>
    <w:rsid w:val="007C06F6"/>
    <w:rsid w:val="007D5C00"/>
    <w:rsid w:val="007E3B74"/>
    <w:rsid w:val="008130A8"/>
    <w:rsid w:val="00822782"/>
    <w:rsid w:val="008776C2"/>
    <w:rsid w:val="008E6BDB"/>
    <w:rsid w:val="00900134"/>
    <w:rsid w:val="00927CFF"/>
    <w:rsid w:val="00944A8F"/>
    <w:rsid w:val="009650D7"/>
    <w:rsid w:val="00986B33"/>
    <w:rsid w:val="00987AD5"/>
    <w:rsid w:val="009A0618"/>
    <w:rsid w:val="009A453B"/>
    <w:rsid w:val="009B7138"/>
    <w:rsid w:val="009F3E64"/>
    <w:rsid w:val="00A814FA"/>
    <w:rsid w:val="00AC00F2"/>
    <w:rsid w:val="00AD1316"/>
    <w:rsid w:val="00AE0A33"/>
    <w:rsid w:val="00B11613"/>
    <w:rsid w:val="00B222E5"/>
    <w:rsid w:val="00B50935"/>
    <w:rsid w:val="00B6520F"/>
    <w:rsid w:val="00B81D7C"/>
    <w:rsid w:val="00B967EC"/>
    <w:rsid w:val="00BC00D6"/>
    <w:rsid w:val="00BE246D"/>
    <w:rsid w:val="00BE6028"/>
    <w:rsid w:val="00BF17AA"/>
    <w:rsid w:val="00C10CC0"/>
    <w:rsid w:val="00C177C7"/>
    <w:rsid w:val="00C24556"/>
    <w:rsid w:val="00C74CC6"/>
    <w:rsid w:val="00C823D2"/>
    <w:rsid w:val="00C836C1"/>
    <w:rsid w:val="00C861CA"/>
    <w:rsid w:val="00CB69B6"/>
    <w:rsid w:val="00CB6BDB"/>
    <w:rsid w:val="00CC1FA9"/>
    <w:rsid w:val="00D84066"/>
    <w:rsid w:val="00DB2CE6"/>
    <w:rsid w:val="00DC6917"/>
    <w:rsid w:val="00DE5800"/>
    <w:rsid w:val="00E215F2"/>
    <w:rsid w:val="00E2254D"/>
    <w:rsid w:val="00E642AF"/>
    <w:rsid w:val="00E711A9"/>
    <w:rsid w:val="00E75B5C"/>
    <w:rsid w:val="00EB09BE"/>
    <w:rsid w:val="00EC158B"/>
    <w:rsid w:val="00EE1AA6"/>
    <w:rsid w:val="00F20062"/>
    <w:rsid w:val="00F20C2A"/>
    <w:rsid w:val="00F233D0"/>
    <w:rsid w:val="00F36FFA"/>
    <w:rsid w:val="00F90E68"/>
    <w:rsid w:val="00FA14F0"/>
    <w:rsid w:val="00FA1715"/>
    <w:rsid w:val="00FA5BFB"/>
    <w:rsid w:val="00FA65CA"/>
    <w:rsid w:val="00FD346F"/>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C8F558"/>
  <w15:docId w15:val="{4236B511-994E-4CC5-8DD9-0999A79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rsid w:val="009B7138"/>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4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B50935"/>
    <w:pPr>
      <w:numPr>
        <w:numId w:val="2"/>
      </w:numPr>
    </w:pPr>
    <w:rPr>
      <w:rFonts w:eastAsia="Times New Roman"/>
      <w:lang w:eastAsia="de-DE"/>
    </w:rPr>
  </w:style>
  <w:style w:type="paragraph" w:styleId="ListNumber">
    <w:name w:val="List Number"/>
    <w:basedOn w:val="Normal"/>
    <w:rsid w:val="00B50935"/>
    <w:pPr>
      <w:numPr>
        <w:numId w:val="6"/>
      </w:numPr>
    </w:pPr>
    <w:rPr>
      <w:rFonts w:eastAsia="Times New Roman"/>
      <w:lang w:eastAsia="de-DE"/>
    </w:rPr>
  </w:style>
  <w:style w:type="paragraph" w:customStyle="1" w:styleId="ListBullet1">
    <w:name w:val="List Bullet 1"/>
    <w:basedOn w:val="Normal"/>
    <w:rsid w:val="00B50935"/>
    <w:pPr>
      <w:numPr>
        <w:numId w:val="1"/>
      </w:numPr>
    </w:pPr>
    <w:rPr>
      <w:rFonts w:eastAsia="Times New Roman"/>
      <w:lang w:eastAsia="de-DE"/>
    </w:rPr>
  </w:style>
  <w:style w:type="paragraph" w:customStyle="1" w:styleId="ListDash">
    <w:name w:val="List Dash"/>
    <w:basedOn w:val="Normal"/>
    <w:rsid w:val="00B50935"/>
    <w:pPr>
      <w:numPr>
        <w:numId w:val="3"/>
      </w:numPr>
    </w:pPr>
    <w:rPr>
      <w:rFonts w:eastAsia="Times New Roman"/>
      <w:lang w:eastAsia="de-DE"/>
    </w:rPr>
  </w:style>
  <w:style w:type="paragraph" w:customStyle="1" w:styleId="ListDash1">
    <w:name w:val="List Dash 1"/>
    <w:basedOn w:val="Normal"/>
    <w:rsid w:val="00B50935"/>
    <w:pPr>
      <w:numPr>
        <w:numId w:val="4"/>
      </w:numPr>
    </w:pPr>
    <w:rPr>
      <w:rFonts w:eastAsia="Times New Roman"/>
      <w:lang w:eastAsia="de-DE"/>
    </w:rPr>
  </w:style>
  <w:style w:type="paragraph" w:customStyle="1" w:styleId="ListDash2">
    <w:name w:val="List Dash 2"/>
    <w:basedOn w:val="Normal"/>
    <w:rsid w:val="00B50935"/>
    <w:pPr>
      <w:numPr>
        <w:numId w:val="5"/>
      </w:numPr>
    </w:pPr>
    <w:rPr>
      <w:rFonts w:eastAsia="Times New Roman"/>
      <w:lang w:eastAsia="de-DE"/>
    </w:rPr>
  </w:style>
  <w:style w:type="paragraph" w:customStyle="1" w:styleId="ListNumberLevel2">
    <w:name w:val="List Number (Level 2)"/>
    <w:basedOn w:val="Normal"/>
    <w:rsid w:val="00B50935"/>
    <w:pPr>
      <w:numPr>
        <w:ilvl w:val="1"/>
        <w:numId w:val="6"/>
      </w:numPr>
    </w:pPr>
    <w:rPr>
      <w:rFonts w:eastAsia="Times New Roman"/>
      <w:lang w:eastAsia="de-DE"/>
    </w:rPr>
  </w:style>
  <w:style w:type="paragraph" w:customStyle="1" w:styleId="ListNumberLevel3">
    <w:name w:val="List Number (Level 3)"/>
    <w:basedOn w:val="Normal"/>
    <w:rsid w:val="00B50935"/>
    <w:pPr>
      <w:numPr>
        <w:ilvl w:val="2"/>
        <w:numId w:val="6"/>
      </w:numPr>
    </w:pPr>
    <w:rPr>
      <w:rFonts w:eastAsia="Times New Roman"/>
      <w:lang w:eastAsia="de-DE"/>
    </w:rPr>
  </w:style>
  <w:style w:type="paragraph" w:customStyle="1" w:styleId="ListNumberLevel4">
    <w:name w:val="List Number (Level 4)"/>
    <w:basedOn w:val="Normal"/>
    <w:rsid w:val="00B50935"/>
    <w:pPr>
      <w:numPr>
        <w:ilvl w:val="3"/>
        <w:numId w:val="6"/>
      </w:numPr>
    </w:pPr>
    <w:rPr>
      <w:rFonts w:eastAsia="Times New Roman"/>
      <w:lang w:eastAsia="de-DE"/>
    </w:rPr>
  </w:style>
  <w:style w:type="table" w:styleId="TableGrid">
    <w:name w:val="Table Grid"/>
    <w:basedOn w:val="TableNormal"/>
    <w:uiPriority w:val="59"/>
    <w:rsid w:val="00B50935"/>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50935"/>
    <w:rPr>
      <w:color w:val="0000FF"/>
      <w:u w:val="single"/>
    </w:rPr>
  </w:style>
  <w:style w:type="paragraph" w:styleId="ListBullet">
    <w:name w:val="List Bullet"/>
    <w:basedOn w:val="Normal"/>
    <w:rsid w:val="00B50935"/>
    <w:pPr>
      <w:numPr>
        <w:numId w:val="7"/>
      </w:numPr>
    </w:pPr>
    <w:rPr>
      <w:rFonts w:eastAsia="Times New Roman"/>
      <w:lang w:eastAsia="en-GB"/>
    </w:rPr>
  </w:style>
  <w:style w:type="paragraph" w:styleId="ListBullet2">
    <w:name w:val="List Bullet 2"/>
    <w:basedOn w:val="Normal"/>
    <w:rsid w:val="00B50935"/>
    <w:pPr>
      <w:numPr>
        <w:numId w:val="8"/>
      </w:numPr>
    </w:pPr>
    <w:rPr>
      <w:rFonts w:eastAsia="Times New Roman"/>
      <w:lang w:eastAsia="en-GB"/>
    </w:rPr>
  </w:style>
  <w:style w:type="paragraph" w:styleId="ListBullet3">
    <w:name w:val="List Bullet 3"/>
    <w:basedOn w:val="Normal"/>
    <w:rsid w:val="00B50935"/>
    <w:pPr>
      <w:numPr>
        <w:numId w:val="9"/>
      </w:numPr>
    </w:pPr>
    <w:rPr>
      <w:rFonts w:eastAsia="Times New Roman"/>
      <w:lang w:eastAsia="en-GB"/>
    </w:rPr>
  </w:style>
  <w:style w:type="paragraph" w:styleId="ListNumber2">
    <w:name w:val="List Number 2"/>
    <w:basedOn w:val="Normal"/>
    <w:rsid w:val="00B50935"/>
    <w:pPr>
      <w:numPr>
        <w:numId w:val="13"/>
      </w:numPr>
    </w:pPr>
    <w:rPr>
      <w:rFonts w:eastAsia="Times New Roman"/>
      <w:lang w:eastAsia="en-GB"/>
    </w:rPr>
  </w:style>
  <w:style w:type="paragraph" w:styleId="ListNumber3">
    <w:name w:val="List Number 3"/>
    <w:basedOn w:val="Normal"/>
    <w:rsid w:val="00B50935"/>
    <w:pPr>
      <w:numPr>
        <w:numId w:val="14"/>
      </w:numPr>
    </w:pPr>
    <w:rPr>
      <w:rFonts w:eastAsia="Times New Roman"/>
      <w:lang w:eastAsia="en-GB"/>
    </w:rPr>
  </w:style>
  <w:style w:type="paragraph" w:styleId="ListNumber4">
    <w:name w:val="List Number 4"/>
    <w:basedOn w:val="Normal"/>
    <w:rsid w:val="00B50935"/>
    <w:pPr>
      <w:numPr>
        <w:numId w:val="15"/>
      </w:numPr>
    </w:pPr>
    <w:rPr>
      <w:rFonts w:eastAsia="Times New Roman"/>
      <w:lang w:eastAsia="en-GB"/>
    </w:rPr>
  </w:style>
  <w:style w:type="paragraph" w:customStyle="1" w:styleId="ListDash3">
    <w:name w:val="List Dash 3"/>
    <w:basedOn w:val="Normal"/>
    <w:rsid w:val="00B50935"/>
    <w:pPr>
      <w:numPr>
        <w:numId w:val="10"/>
      </w:numPr>
    </w:pPr>
    <w:rPr>
      <w:rFonts w:eastAsia="Times New Roman"/>
      <w:lang w:eastAsia="en-GB"/>
    </w:rPr>
  </w:style>
  <w:style w:type="paragraph" w:customStyle="1" w:styleId="ListDash4">
    <w:name w:val="List Dash 4"/>
    <w:basedOn w:val="Normal"/>
    <w:rsid w:val="00B50935"/>
    <w:pPr>
      <w:numPr>
        <w:numId w:val="11"/>
      </w:numPr>
    </w:pPr>
    <w:rPr>
      <w:rFonts w:eastAsia="Times New Roman"/>
      <w:lang w:eastAsia="en-GB"/>
    </w:rPr>
  </w:style>
  <w:style w:type="paragraph" w:customStyle="1" w:styleId="ListNumber1">
    <w:name w:val="List Number 1"/>
    <w:basedOn w:val="Text1"/>
    <w:rsid w:val="00B50935"/>
    <w:pPr>
      <w:numPr>
        <w:numId w:val="12"/>
      </w:numPr>
    </w:pPr>
    <w:rPr>
      <w:rFonts w:eastAsia="Times New Roman"/>
      <w:lang w:eastAsia="en-GB"/>
    </w:rPr>
  </w:style>
  <w:style w:type="paragraph" w:customStyle="1" w:styleId="ListNumber1Level2">
    <w:name w:val="List Number 1 (Level 2)"/>
    <w:basedOn w:val="Text1"/>
    <w:rsid w:val="00B50935"/>
    <w:pPr>
      <w:numPr>
        <w:ilvl w:val="1"/>
        <w:numId w:val="12"/>
      </w:numPr>
    </w:pPr>
    <w:rPr>
      <w:rFonts w:eastAsia="Times New Roman"/>
      <w:lang w:eastAsia="en-GB"/>
    </w:rPr>
  </w:style>
  <w:style w:type="paragraph" w:customStyle="1" w:styleId="ListNumber2Level2">
    <w:name w:val="List Number 2 (Level 2)"/>
    <w:basedOn w:val="Text2"/>
    <w:rsid w:val="00B50935"/>
    <w:pPr>
      <w:numPr>
        <w:ilvl w:val="1"/>
        <w:numId w:val="13"/>
      </w:numPr>
    </w:pPr>
    <w:rPr>
      <w:rFonts w:eastAsia="Times New Roman"/>
      <w:lang w:eastAsia="en-GB"/>
    </w:rPr>
  </w:style>
  <w:style w:type="paragraph" w:customStyle="1" w:styleId="ListNumber3Level2">
    <w:name w:val="List Number 3 (Level 2)"/>
    <w:basedOn w:val="Text3"/>
    <w:rsid w:val="00B50935"/>
    <w:pPr>
      <w:numPr>
        <w:ilvl w:val="1"/>
        <w:numId w:val="14"/>
      </w:numPr>
    </w:pPr>
    <w:rPr>
      <w:rFonts w:eastAsia="Times New Roman"/>
      <w:lang w:eastAsia="en-GB"/>
    </w:rPr>
  </w:style>
  <w:style w:type="paragraph" w:customStyle="1" w:styleId="ListNumber4Level2">
    <w:name w:val="List Number 4 (Level 2)"/>
    <w:basedOn w:val="Text4"/>
    <w:rsid w:val="00B50935"/>
    <w:pPr>
      <w:numPr>
        <w:ilvl w:val="1"/>
        <w:numId w:val="15"/>
      </w:numPr>
    </w:pPr>
    <w:rPr>
      <w:rFonts w:eastAsia="Times New Roman"/>
      <w:lang w:eastAsia="en-GB"/>
    </w:rPr>
  </w:style>
  <w:style w:type="paragraph" w:customStyle="1" w:styleId="ListNumber1Level3">
    <w:name w:val="List Number 1 (Level 3)"/>
    <w:basedOn w:val="Text1"/>
    <w:rsid w:val="00B50935"/>
    <w:pPr>
      <w:numPr>
        <w:ilvl w:val="2"/>
        <w:numId w:val="12"/>
      </w:numPr>
    </w:pPr>
    <w:rPr>
      <w:rFonts w:eastAsia="Times New Roman"/>
      <w:lang w:eastAsia="en-GB"/>
    </w:rPr>
  </w:style>
  <w:style w:type="paragraph" w:customStyle="1" w:styleId="ListNumber2Level3">
    <w:name w:val="List Number 2 (Level 3)"/>
    <w:basedOn w:val="Text2"/>
    <w:rsid w:val="00B50935"/>
    <w:pPr>
      <w:numPr>
        <w:ilvl w:val="2"/>
        <w:numId w:val="13"/>
      </w:numPr>
    </w:pPr>
    <w:rPr>
      <w:rFonts w:eastAsia="Times New Roman"/>
      <w:lang w:eastAsia="en-GB"/>
    </w:rPr>
  </w:style>
  <w:style w:type="paragraph" w:customStyle="1" w:styleId="ListNumber3Level3">
    <w:name w:val="List Number 3 (Level 3)"/>
    <w:basedOn w:val="Text3"/>
    <w:rsid w:val="00B50935"/>
    <w:pPr>
      <w:numPr>
        <w:ilvl w:val="2"/>
        <w:numId w:val="14"/>
      </w:numPr>
    </w:pPr>
    <w:rPr>
      <w:rFonts w:eastAsia="Times New Roman"/>
      <w:lang w:eastAsia="en-GB"/>
    </w:rPr>
  </w:style>
  <w:style w:type="paragraph" w:customStyle="1" w:styleId="ListNumber4Level3">
    <w:name w:val="List Number 4 (Level 3)"/>
    <w:basedOn w:val="Text4"/>
    <w:rsid w:val="00B50935"/>
    <w:pPr>
      <w:numPr>
        <w:ilvl w:val="2"/>
        <w:numId w:val="15"/>
      </w:numPr>
    </w:pPr>
    <w:rPr>
      <w:rFonts w:eastAsia="Times New Roman"/>
      <w:lang w:eastAsia="en-GB"/>
    </w:rPr>
  </w:style>
  <w:style w:type="paragraph" w:customStyle="1" w:styleId="ListNumber1Level4">
    <w:name w:val="List Number 1 (Level 4)"/>
    <w:basedOn w:val="Text1"/>
    <w:rsid w:val="00B50935"/>
    <w:pPr>
      <w:numPr>
        <w:ilvl w:val="3"/>
        <w:numId w:val="12"/>
      </w:numPr>
    </w:pPr>
    <w:rPr>
      <w:rFonts w:eastAsia="Times New Roman"/>
      <w:lang w:eastAsia="en-GB"/>
    </w:rPr>
  </w:style>
  <w:style w:type="paragraph" w:customStyle="1" w:styleId="ListNumber2Level4">
    <w:name w:val="List Number 2 (Level 4)"/>
    <w:basedOn w:val="Text2"/>
    <w:rsid w:val="00B50935"/>
    <w:pPr>
      <w:numPr>
        <w:ilvl w:val="3"/>
        <w:numId w:val="13"/>
      </w:numPr>
    </w:pPr>
    <w:rPr>
      <w:rFonts w:eastAsia="Times New Roman"/>
      <w:lang w:eastAsia="en-GB"/>
    </w:rPr>
  </w:style>
  <w:style w:type="paragraph" w:customStyle="1" w:styleId="ListNumber3Level4">
    <w:name w:val="List Number 3 (Level 4)"/>
    <w:basedOn w:val="Text3"/>
    <w:rsid w:val="00B50935"/>
    <w:pPr>
      <w:numPr>
        <w:ilvl w:val="3"/>
        <w:numId w:val="14"/>
      </w:numPr>
    </w:pPr>
    <w:rPr>
      <w:rFonts w:eastAsia="Times New Roman"/>
      <w:lang w:eastAsia="en-GB"/>
    </w:rPr>
  </w:style>
  <w:style w:type="paragraph" w:customStyle="1" w:styleId="ListNumber4Level4">
    <w:name w:val="List Number 4 (Level 4)"/>
    <w:basedOn w:val="Text4"/>
    <w:rsid w:val="00B50935"/>
    <w:pPr>
      <w:numPr>
        <w:ilvl w:val="3"/>
        <w:numId w:val="15"/>
      </w:numPr>
    </w:pPr>
    <w:rPr>
      <w:rFonts w:eastAsia="Times New Roman"/>
      <w:lang w:eastAsia="en-GB"/>
    </w:rPr>
  </w:style>
  <w:style w:type="paragraph" w:customStyle="1" w:styleId="Annexetitreacte">
    <w:name w:val="Annexe titre (acte)"/>
    <w:basedOn w:val="Normal"/>
    <w:next w:val="Normal"/>
    <w:rsid w:val="00B50935"/>
    <w:pPr>
      <w:jc w:val="center"/>
    </w:pPr>
    <w:rPr>
      <w:rFonts w:eastAsia="Times New Roman"/>
      <w:b/>
      <w:u w:val="single"/>
      <w:lang w:eastAsia="en-GB"/>
    </w:rPr>
  </w:style>
  <w:style w:type="paragraph" w:customStyle="1" w:styleId="Annexetitreexposglobal">
    <w:name w:val="Annexe titre (exposé global)"/>
    <w:basedOn w:val="Normal"/>
    <w:next w:val="Normal"/>
    <w:rsid w:val="00B50935"/>
    <w:pPr>
      <w:jc w:val="center"/>
    </w:pPr>
    <w:rPr>
      <w:rFonts w:eastAsia="Times New Roman"/>
      <w:b/>
      <w:u w:val="single"/>
      <w:lang w:eastAsia="en-GB"/>
    </w:rPr>
  </w:style>
  <w:style w:type="paragraph" w:customStyle="1" w:styleId="Annexetitrefichefinacte">
    <w:name w:val="Annexe titre (fiche fin. acte)"/>
    <w:basedOn w:val="Normal"/>
    <w:next w:val="Normal"/>
    <w:rsid w:val="00B50935"/>
    <w:pPr>
      <w:jc w:val="center"/>
    </w:pPr>
    <w:rPr>
      <w:rFonts w:eastAsia="Times New Roman"/>
      <w:b/>
      <w:u w:val="single"/>
      <w:lang w:eastAsia="en-GB"/>
    </w:rPr>
  </w:style>
  <w:style w:type="paragraph" w:customStyle="1" w:styleId="Annexetitrefichefinglobale">
    <w:name w:val="Annexe titre (fiche fin. globale)"/>
    <w:basedOn w:val="Normal"/>
    <w:next w:val="Normal"/>
    <w:rsid w:val="00B50935"/>
    <w:pPr>
      <w:jc w:val="center"/>
    </w:pPr>
    <w:rPr>
      <w:rFonts w:eastAsia="Times New Roman"/>
      <w:b/>
      <w:u w:val="single"/>
      <w:lang w:eastAsia="en-GB"/>
    </w:rPr>
  </w:style>
  <w:style w:type="paragraph" w:customStyle="1" w:styleId="Annexetitreglobale">
    <w:name w:val="Annexe titre (globale)"/>
    <w:basedOn w:val="Normal"/>
    <w:next w:val="Normal"/>
    <w:rsid w:val="00B50935"/>
    <w:pPr>
      <w:jc w:val="center"/>
    </w:pPr>
    <w:rPr>
      <w:rFonts w:eastAsia="Times New Roman"/>
      <w:b/>
      <w:u w:val="single"/>
      <w:lang w:eastAsia="en-GB"/>
    </w:rPr>
  </w:style>
  <w:style w:type="paragraph" w:customStyle="1" w:styleId="Exposdesmotifstitreglobal">
    <w:name w:val="Exposé des motifs titre (global)"/>
    <w:basedOn w:val="Normal"/>
    <w:next w:val="Normal"/>
    <w:rsid w:val="00B50935"/>
    <w:pPr>
      <w:jc w:val="center"/>
    </w:pPr>
    <w:rPr>
      <w:rFonts w:eastAsia="Times New Roman"/>
      <w:b/>
      <w:u w:val="single"/>
      <w:lang w:eastAsia="en-GB"/>
    </w:rPr>
  </w:style>
  <w:style w:type="paragraph" w:customStyle="1" w:styleId="Langueoriginale">
    <w:name w:val="Langue originale"/>
    <w:basedOn w:val="Normal"/>
    <w:rsid w:val="00B50935"/>
    <w:pPr>
      <w:spacing w:before="360"/>
      <w:jc w:val="center"/>
    </w:pPr>
    <w:rPr>
      <w:rFonts w:eastAsia="Times New Roman"/>
      <w:caps/>
      <w:lang w:eastAsia="en-GB"/>
    </w:rPr>
  </w:style>
  <w:style w:type="paragraph" w:customStyle="1" w:styleId="Phrasefinale">
    <w:name w:val="Phrase finale"/>
    <w:basedOn w:val="Normal"/>
    <w:next w:val="Normal"/>
    <w:rsid w:val="00B50935"/>
    <w:pPr>
      <w:spacing w:before="360" w:after="0"/>
      <w:jc w:val="center"/>
    </w:pPr>
    <w:rPr>
      <w:rFonts w:eastAsia="Times New Roman"/>
      <w:lang w:eastAsia="en-GB"/>
    </w:rPr>
  </w:style>
  <w:style w:type="paragraph" w:customStyle="1" w:styleId="Prliminairetitre">
    <w:name w:val="Préliminaire titre"/>
    <w:basedOn w:val="Normal"/>
    <w:next w:val="Normal"/>
    <w:rsid w:val="00B50935"/>
    <w:pPr>
      <w:spacing w:before="360" w:after="360"/>
      <w:jc w:val="center"/>
    </w:pPr>
    <w:rPr>
      <w:rFonts w:eastAsia="Times New Roman"/>
      <w:b/>
      <w:lang w:eastAsia="en-GB"/>
    </w:rPr>
  </w:style>
  <w:style w:type="paragraph" w:customStyle="1" w:styleId="Prliminairetype">
    <w:name w:val="Préliminaire type"/>
    <w:basedOn w:val="Normal"/>
    <w:next w:val="Normal"/>
    <w:rsid w:val="00B50935"/>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B50935"/>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B50935"/>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B50935"/>
    <w:pPr>
      <w:spacing w:before="0" w:after="0"/>
      <w:ind w:left="5103"/>
      <w:jc w:val="left"/>
    </w:pPr>
    <w:rPr>
      <w:rFonts w:eastAsia="Times New Roman"/>
      <w:lang w:eastAsia="en-GB"/>
    </w:rPr>
  </w:style>
  <w:style w:type="paragraph" w:customStyle="1" w:styleId="Sous-titreobjetprliminaire">
    <w:name w:val="Sous-titre objet (préliminaire)"/>
    <w:basedOn w:val="Normal"/>
    <w:rsid w:val="00B50935"/>
    <w:pPr>
      <w:spacing w:before="0" w:after="0"/>
      <w:jc w:val="center"/>
    </w:pPr>
    <w:rPr>
      <w:rFonts w:eastAsia="Times New Roman"/>
      <w:b/>
      <w:lang w:eastAsia="en-GB"/>
    </w:rPr>
  </w:style>
  <w:style w:type="paragraph" w:customStyle="1" w:styleId="Statutprliminaire">
    <w:name w:val="Statut (préliminaire)"/>
    <w:basedOn w:val="Normal"/>
    <w:next w:val="Normal"/>
    <w:rsid w:val="00B50935"/>
    <w:pPr>
      <w:spacing w:before="360" w:after="0"/>
      <w:jc w:val="center"/>
    </w:pPr>
    <w:rPr>
      <w:rFonts w:eastAsia="Times New Roman"/>
      <w:lang w:eastAsia="en-GB"/>
    </w:rPr>
  </w:style>
  <w:style w:type="paragraph" w:customStyle="1" w:styleId="Titreobjetprliminaire">
    <w:name w:val="Titre objet (préliminaire)"/>
    <w:basedOn w:val="Normal"/>
    <w:next w:val="Normal"/>
    <w:rsid w:val="00B50935"/>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B50935"/>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B50935"/>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B50935"/>
    <w:pPr>
      <w:jc w:val="center"/>
    </w:pPr>
    <w:rPr>
      <w:rFonts w:eastAsia="Times New Roman"/>
      <w:b/>
      <w:u w:val="single"/>
      <w:lang w:eastAsia="en-GB"/>
    </w:rPr>
  </w:style>
  <w:style w:type="paragraph" w:customStyle="1" w:styleId="Fichefinanciretravailtitre">
    <w:name w:val="Fiche financière (travail) titre"/>
    <w:basedOn w:val="Normal"/>
    <w:next w:val="Normal"/>
    <w:rsid w:val="00B50935"/>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B50935"/>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B50935"/>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B50935"/>
    <w:pPr>
      <w:jc w:val="center"/>
    </w:pPr>
    <w:rPr>
      <w:rFonts w:eastAsia="Times New Roman"/>
      <w:b/>
      <w:u w:val="single"/>
      <w:lang w:eastAsia="en-GB"/>
    </w:rPr>
  </w:style>
  <w:style w:type="character" w:styleId="CommentReference">
    <w:name w:val="annotation reference"/>
    <w:rsid w:val="00B50935"/>
    <w:rPr>
      <w:rFonts w:cs="Times New Roman"/>
      <w:sz w:val="16"/>
      <w:szCs w:val="16"/>
    </w:rPr>
  </w:style>
  <w:style w:type="paragraph" w:styleId="CommentText">
    <w:name w:val="annotation text"/>
    <w:basedOn w:val="Normal"/>
    <w:link w:val="CommentTextChar"/>
    <w:rsid w:val="00B50935"/>
    <w:rPr>
      <w:rFonts w:eastAsia="Times New Roman"/>
      <w:sz w:val="20"/>
      <w:szCs w:val="20"/>
      <w:lang w:eastAsia="en-GB"/>
    </w:rPr>
  </w:style>
  <w:style w:type="character" w:customStyle="1" w:styleId="CommentTextChar">
    <w:name w:val="Comment Text Char"/>
    <w:basedOn w:val="DefaultParagraphFont"/>
    <w:link w:val="CommentText"/>
    <w:rsid w:val="00B50935"/>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sid w:val="00B50935"/>
    <w:rPr>
      <w:b/>
      <w:bCs/>
    </w:rPr>
  </w:style>
  <w:style w:type="character" w:customStyle="1" w:styleId="CommentSubjectChar">
    <w:name w:val="Comment Subject Char"/>
    <w:basedOn w:val="CommentTextChar"/>
    <w:link w:val="CommentSubject"/>
    <w:rsid w:val="00B50935"/>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sid w:val="00B50935"/>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B50935"/>
    <w:rPr>
      <w:rFonts w:ascii="Tahoma" w:eastAsia="Times New Roman" w:hAnsi="Tahoma" w:cs="Tahoma"/>
      <w:sz w:val="16"/>
      <w:szCs w:val="16"/>
      <w:lang w:val="da-DK" w:eastAsia="en-GB"/>
    </w:rPr>
  </w:style>
  <w:style w:type="paragraph" w:styleId="Caption">
    <w:name w:val="caption"/>
    <w:basedOn w:val="Normal"/>
    <w:next w:val="Normal"/>
    <w:qFormat/>
    <w:rsid w:val="00B50935"/>
    <w:rPr>
      <w:rFonts w:eastAsia="Times New Roman"/>
      <w:b/>
      <w:bCs/>
      <w:sz w:val="20"/>
      <w:szCs w:val="20"/>
      <w:lang w:eastAsia="en-GB"/>
    </w:rPr>
  </w:style>
  <w:style w:type="paragraph" w:styleId="TableofFigures">
    <w:name w:val="table of figures"/>
    <w:basedOn w:val="Normal"/>
    <w:next w:val="Normal"/>
    <w:rsid w:val="00B50935"/>
    <w:rPr>
      <w:rFonts w:eastAsia="Times New Roman"/>
      <w:lang w:eastAsia="en-GB"/>
    </w:rPr>
  </w:style>
  <w:style w:type="character" w:styleId="PageNumber">
    <w:name w:val="page number"/>
    <w:rsid w:val="00B50935"/>
  </w:style>
  <w:style w:type="character" w:customStyle="1" w:styleId="tw4winMark">
    <w:name w:val="tw4winMark"/>
    <w:rsid w:val="00B50935"/>
    <w:rPr>
      <w:vanish/>
      <w:color w:val="800080"/>
      <w:vertAlign w:val="subscript"/>
    </w:rPr>
  </w:style>
  <w:style w:type="character" w:styleId="FollowedHyperlink">
    <w:name w:val="FollowedHyperlink"/>
    <w:rsid w:val="00B50935"/>
    <w:rPr>
      <w:color w:val="800080"/>
      <w:u w:val="single"/>
    </w:rPr>
  </w:style>
  <w:style w:type="paragraph" w:customStyle="1" w:styleId="Sous-titreobjet">
    <w:name w:val="Sous-titre objet"/>
    <w:basedOn w:val="Normal"/>
    <w:rsid w:val="00B50935"/>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B50935"/>
  </w:style>
  <w:style w:type="paragraph" w:styleId="Revision">
    <w:name w:val="Revision"/>
    <w:hidden/>
    <w:uiPriority w:val="99"/>
    <w:semiHidden/>
    <w:rsid w:val="00B50935"/>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rsid w:val="00B50935"/>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sid w:val="00B50935"/>
    <w:rPr>
      <w:lang w:val="da-DK"/>
    </w:rPr>
  </w:style>
  <w:style w:type="paragraph" w:customStyle="1" w:styleId="FooterCoverPage">
    <w:name w:val="Footer Cover Page"/>
    <w:basedOn w:val="Normal"/>
    <w:link w:val="FooterCoverPageChar"/>
    <w:rsid w:val="00B50935"/>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sid w:val="00B50935"/>
    <w:rPr>
      <w:rFonts w:ascii="Times New Roman" w:hAnsi="Times New Roman" w:cs="Times New Roman"/>
      <w:b/>
      <w:sz w:val="28"/>
      <w:lang w:val="da-DK"/>
    </w:rPr>
  </w:style>
  <w:style w:type="character" w:customStyle="1" w:styleId="FooterCoverPageChar">
    <w:name w:val="Footer Cover Page Char"/>
    <w:basedOn w:val="TOCHeadingChar"/>
    <w:link w:val="FooterCoverPage"/>
    <w:rsid w:val="00B50935"/>
    <w:rPr>
      <w:rFonts w:ascii="Times New Roman" w:hAnsi="Times New Roman" w:cs="Times New Roman"/>
      <w:b w:val="0"/>
      <w:sz w:val="24"/>
      <w:lang w:val="da-DK"/>
    </w:rPr>
  </w:style>
  <w:style w:type="paragraph" w:customStyle="1" w:styleId="HeaderCoverPage">
    <w:name w:val="Header Cover Page"/>
    <w:basedOn w:val="Normal"/>
    <w:link w:val="HeaderCoverPageChar"/>
    <w:rsid w:val="00B50935"/>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sid w:val="00B50935"/>
    <w:rPr>
      <w:rFonts w:ascii="Times New Roman" w:hAnsi="Times New Roman" w:cs="Times New Roman"/>
      <w:b w:val="0"/>
      <w:sz w:val="24"/>
      <w:lang w:val="da-DK" w:eastAsia="en-GB"/>
    </w:rPr>
  </w:style>
  <w:style w:type="paragraph" w:styleId="NormalWeb">
    <w:name w:val="Normal (Web)"/>
    <w:basedOn w:val="Normal"/>
    <w:uiPriority w:val="99"/>
    <w:semiHidden/>
    <w:unhideWhenUsed/>
    <w:rsid w:val="00B50935"/>
    <w:pPr>
      <w:spacing w:before="100" w:beforeAutospacing="1" w:after="100" w:afterAutospacing="1"/>
      <w:jc w:val="left"/>
    </w:pPr>
    <w:rPr>
      <w:rFonts w:eastAsia="Times New Roman"/>
      <w:szCs w:val="24"/>
    </w:rPr>
  </w:style>
  <w:style w:type="character" w:styleId="Emphasis">
    <w:name w:val="Emphasis"/>
    <w:basedOn w:val="DefaultParagraphFont"/>
    <w:uiPriority w:val="20"/>
    <w:qFormat/>
    <w:rsid w:val="00B50935"/>
    <w:rPr>
      <w:i/>
      <w:iCs/>
    </w:rPr>
  </w:style>
  <w:style w:type="character" w:customStyle="1" w:styleId="acopre">
    <w:name w:val="acopre"/>
    <w:basedOn w:val="DefaultParagraphFont"/>
    <w:rsid w:val="00B50935"/>
  </w:style>
  <w:style w:type="character" w:customStyle="1" w:styleId="highlight">
    <w:name w:val="highlight"/>
    <w:basedOn w:val="DefaultParagraphFont"/>
    <w:rsid w:val="00B50935"/>
  </w:style>
  <w:style w:type="paragraph" w:customStyle="1" w:styleId="Normal1">
    <w:name w:val="Normal1"/>
    <w:basedOn w:val="Normal"/>
    <w:rsid w:val="00B50935"/>
    <w:pPr>
      <w:spacing w:before="100" w:beforeAutospacing="1" w:after="100" w:afterAutospacing="1"/>
      <w:jc w:val="left"/>
    </w:pPr>
    <w:rPr>
      <w:rFonts w:eastAsia="Times New Roman"/>
      <w:szCs w:val="24"/>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34"/>
      </w:numPr>
    </w:pPr>
  </w:style>
  <w:style w:type="paragraph" w:customStyle="1" w:styleId="Tiret1">
    <w:name w:val="Tiret 1"/>
    <w:basedOn w:val="Point1"/>
    <w:rsid w:val="009B7138"/>
    <w:pPr>
      <w:numPr>
        <w:numId w:val="35"/>
      </w:numPr>
    </w:pPr>
  </w:style>
  <w:style w:type="paragraph" w:customStyle="1" w:styleId="Tiret2">
    <w:name w:val="Tiret 2"/>
    <w:basedOn w:val="Point2"/>
    <w:rsid w:val="009B7138"/>
    <w:pPr>
      <w:numPr>
        <w:numId w:val="36"/>
      </w:numPr>
    </w:pPr>
  </w:style>
  <w:style w:type="paragraph" w:customStyle="1" w:styleId="Tiret3">
    <w:name w:val="Tiret 3"/>
    <w:basedOn w:val="Point3"/>
    <w:rsid w:val="009B7138"/>
    <w:pPr>
      <w:numPr>
        <w:numId w:val="37"/>
      </w:numPr>
    </w:pPr>
  </w:style>
  <w:style w:type="paragraph" w:customStyle="1" w:styleId="Tiret4">
    <w:name w:val="Tiret 4"/>
    <w:basedOn w:val="Point4"/>
    <w:rsid w:val="009B7138"/>
    <w:pPr>
      <w:numPr>
        <w:numId w:val="3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39"/>
      </w:numPr>
    </w:pPr>
  </w:style>
  <w:style w:type="paragraph" w:customStyle="1" w:styleId="NumPar2">
    <w:name w:val="NumPar 2"/>
    <w:basedOn w:val="Normal"/>
    <w:next w:val="Text1"/>
    <w:rsid w:val="009B7138"/>
    <w:pPr>
      <w:numPr>
        <w:ilvl w:val="1"/>
        <w:numId w:val="39"/>
      </w:numPr>
    </w:pPr>
  </w:style>
  <w:style w:type="paragraph" w:customStyle="1" w:styleId="NumPar3">
    <w:name w:val="NumPar 3"/>
    <w:basedOn w:val="Normal"/>
    <w:next w:val="Text1"/>
    <w:rsid w:val="009B7138"/>
    <w:pPr>
      <w:numPr>
        <w:ilvl w:val="2"/>
        <w:numId w:val="39"/>
      </w:numPr>
    </w:pPr>
  </w:style>
  <w:style w:type="paragraph" w:customStyle="1" w:styleId="NumPar4">
    <w:name w:val="NumPar 4"/>
    <w:basedOn w:val="Normal"/>
    <w:next w:val="Text1"/>
    <w:rsid w:val="009B7138"/>
    <w:pPr>
      <w:numPr>
        <w:ilvl w:val="3"/>
        <w:numId w:val="39"/>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41"/>
      </w:numPr>
    </w:pPr>
  </w:style>
  <w:style w:type="paragraph" w:customStyle="1" w:styleId="Point1number">
    <w:name w:val="Point 1 (number)"/>
    <w:basedOn w:val="Normal"/>
    <w:rsid w:val="009B7138"/>
    <w:pPr>
      <w:numPr>
        <w:ilvl w:val="2"/>
        <w:numId w:val="41"/>
      </w:numPr>
    </w:pPr>
  </w:style>
  <w:style w:type="paragraph" w:customStyle="1" w:styleId="Point2number">
    <w:name w:val="Point 2 (number)"/>
    <w:basedOn w:val="Normal"/>
    <w:rsid w:val="009B7138"/>
    <w:pPr>
      <w:numPr>
        <w:ilvl w:val="4"/>
        <w:numId w:val="41"/>
      </w:numPr>
    </w:pPr>
  </w:style>
  <w:style w:type="paragraph" w:customStyle="1" w:styleId="Point3number">
    <w:name w:val="Point 3 (number)"/>
    <w:basedOn w:val="Normal"/>
    <w:rsid w:val="009B7138"/>
    <w:pPr>
      <w:numPr>
        <w:ilvl w:val="6"/>
        <w:numId w:val="41"/>
      </w:numPr>
    </w:pPr>
  </w:style>
  <w:style w:type="paragraph" w:customStyle="1" w:styleId="Point0letter">
    <w:name w:val="Point 0 (letter)"/>
    <w:basedOn w:val="Normal"/>
    <w:rsid w:val="009B7138"/>
    <w:pPr>
      <w:numPr>
        <w:ilvl w:val="1"/>
        <w:numId w:val="41"/>
      </w:numPr>
    </w:pPr>
  </w:style>
  <w:style w:type="paragraph" w:customStyle="1" w:styleId="Point1letter">
    <w:name w:val="Point 1 (letter)"/>
    <w:basedOn w:val="Normal"/>
    <w:rsid w:val="009B7138"/>
    <w:pPr>
      <w:numPr>
        <w:ilvl w:val="3"/>
        <w:numId w:val="41"/>
      </w:numPr>
    </w:pPr>
  </w:style>
  <w:style w:type="paragraph" w:customStyle="1" w:styleId="Point2letter">
    <w:name w:val="Point 2 (letter)"/>
    <w:basedOn w:val="Normal"/>
    <w:rsid w:val="009B7138"/>
    <w:pPr>
      <w:numPr>
        <w:ilvl w:val="5"/>
        <w:numId w:val="41"/>
      </w:numPr>
    </w:pPr>
  </w:style>
  <w:style w:type="paragraph" w:customStyle="1" w:styleId="Point3letter">
    <w:name w:val="Point 3 (letter)"/>
    <w:basedOn w:val="Normal"/>
    <w:rsid w:val="009B7138"/>
    <w:pPr>
      <w:numPr>
        <w:ilvl w:val="7"/>
        <w:numId w:val="41"/>
      </w:numPr>
    </w:pPr>
  </w:style>
  <w:style w:type="paragraph" w:customStyle="1" w:styleId="Point4letter">
    <w:name w:val="Point 4 (letter)"/>
    <w:basedOn w:val="Normal"/>
    <w:rsid w:val="009B7138"/>
    <w:pPr>
      <w:numPr>
        <w:ilvl w:val="8"/>
        <w:numId w:val="41"/>
      </w:numPr>
    </w:pPr>
  </w:style>
  <w:style w:type="paragraph" w:customStyle="1" w:styleId="Bullet0">
    <w:name w:val="Bullet 0"/>
    <w:basedOn w:val="Normal"/>
    <w:rsid w:val="009B7138"/>
    <w:pPr>
      <w:numPr>
        <w:numId w:val="42"/>
      </w:numPr>
    </w:pPr>
  </w:style>
  <w:style w:type="paragraph" w:customStyle="1" w:styleId="Bullet1">
    <w:name w:val="Bullet 1"/>
    <w:basedOn w:val="Normal"/>
    <w:rsid w:val="009B7138"/>
    <w:pPr>
      <w:numPr>
        <w:numId w:val="43"/>
      </w:numPr>
    </w:pPr>
  </w:style>
  <w:style w:type="paragraph" w:customStyle="1" w:styleId="Bullet2">
    <w:name w:val="Bullet 2"/>
    <w:basedOn w:val="Normal"/>
    <w:rsid w:val="009B7138"/>
    <w:pPr>
      <w:numPr>
        <w:numId w:val="44"/>
      </w:numPr>
    </w:pPr>
  </w:style>
  <w:style w:type="paragraph" w:customStyle="1" w:styleId="Bullet3">
    <w:name w:val="Bullet 3"/>
    <w:basedOn w:val="Normal"/>
    <w:rsid w:val="009B7138"/>
    <w:pPr>
      <w:numPr>
        <w:numId w:val="45"/>
      </w:numPr>
    </w:pPr>
  </w:style>
  <w:style w:type="paragraph" w:customStyle="1" w:styleId="Bullet4">
    <w:name w:val="Bullet 4"/>
    <w:basedOn w:val="Normal"/>
    <w:rsid w:val="009B7138"/>
    <w:pPr>
      <w:numPr>
        <w:numId w:val="4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sites/europaeu/files/docs/body/joint_statement_and_common_approach_2012_da.pdf" TargetMode="External"/><Relationship Id="rId2" Type="http://schemas.openxmlformats.org/officeDocument/2006/relationships/hyperlink" Target="https://www.eca.europa.eu/da/Pages/DocItem.aspx?did=40126" TargetMode="External"/><Relationship Id="rId1" Type="http://schemas.openxmlformats.org/officeDocument/2006/relationships/hyperlink" Target="https://www.ecdc.europa.eu/en/publications-data/third-external-evaluation-ecdc-2013-2017" TargetMode="External"/><Relationship Id="rId4" Type="http://schemas.openxmlformats.org/officeDocument/2006/relationships/hyperlink" Target="https://myintracomm.ec.europa.eu/budgweb/DA/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1</TotalTime>
  <Pages>3</Pages>
  <Words>13397</Words>
  <Characters>87888</Characters>
  <Application>Microsoft Office Word</Application>
  <DocSecurity>0</DocSecurity>
  <Lines>2704</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JAMRICHOVA Martina (SANTE)</dc:creator>
  <cp:keywords/>
  <dc:description/>
  <cp:lastModifiedBy>CHRISTIANSEN Tine (DGT)</cp:lastModifiedBy>
  <cp:revision>3</cp:revision>
  <dcterms:created xsi:type="dcterms:W3CDTF">2020-12-02T07:48:00Z</dcterms:created>
  <dcterms:modified xsi:type="dcterms:W3CDTF">2020-12-02T07:49:00Z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