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alt="BBFEFD6B-94C7-4283-A556-9D421B18FF57" style="width:451.25pt;height:352.45pt">
            <v:imagedata r:id="rId8" o:title=""/>
          </v:shape>
        </w:pict>
      </w:r>
    </w:p>
    <w:p>
      <w:pPr>
        <w:rPr>
          <w:noProof/>
        </w:rPr>
        <w:sectPr>
          <w:footerReference w:type="default" r:id="rId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DŮVODOVÁ ZPRÁVA</w:t>
      </w:r>
    </w:p>
    <w:p>
      <w:pPr>
        <w:pStyle w:val="ManualHeading1"/>
        <w:rPr>
          <w:noProof/>
        </w:rPr>
      </w:pPr>
      <w:bookmarkStart w:id="1" w:name="_Toc58225930"/>
      <w:r>
        <w:rPr>
          <w:noProof/>
        </w:rPr>
        <w:t>1.</w:t>
      </w:r>
      <w:r>
        <w:rPr>
          <w:noProof/>
        </w:rPr>
        <w:tab/>
        <w:t>SOUVISLOSTI NÁVRHU</w:t>
      </w:r>
      <w:bookmarkEnd w:id="1"/>
    </w:p>
    <w:p>
      <w:pPr>
        <w:pStyle w:val="ManualHeading2"/>
        <w:rPr>
          <w:rFonts w:eastAsia="Arial Unicode MS"/>
          <w:noProof/>
        </w:rPr>
      </w:pPr>
      <w:bookmarkStart w:id="2" w:name="_Toc58225931"/>
      <w:r>
        <w:rPr>
          <w:noProof/>
          <w:color w:val="000000"/>
          <w:u w:color="000000"/>
          <w:bdr w:val="nil"/>
        </w:rPr>
        <w:t>•</w:t>
      </w:r>
      <w:r>
        <w:rPr>
          <w:noProof/>
        </w:rPr>
        <w:tab/>
        <w:t>Odůvodnění a cíle návrhu</w:t>
      </w:r>
      <w:bookmarkEnd w:id="2"/>
    </w:p>
    <w:p>
      <w:pPr>
        <w:pStyle w:val="Text1"/>
        <w:rPr>
          <w:noProof/>
        </w:rPr>
      </w:pPr>
      <w:r>
        <w:rPr>
          <w:noProof/>
        </w:rPr>
        <w:t>Tento návrh, jakožto stavební kámen evropské zdravotní unie, posiluje mandát Evropského střediska pro prevenci a kontrolu nemocí (dále jen „středisko“), které se zabývá dozorem, připraveností, včasným varováním a reakcí na základě posíleného rámce EU pro zdravotní bezpečnost. Pandemie COVID-19 odhalila nedostatky v mechanismech Unie pro řešení zdravotních hrozeb, jež vyžadují strukturovanější unijní přístup k budoucím zdravotním krizím, který je rovněž založen na evropské hodnotě solidarity. To by mělo zahrnovat posílení úlohy střediska. K této otázce by středisko mělo rovněž spolu s dalšími příslušnými agenturami EU zaujmout přístup „jedno zdraví“, a to s ohledem na interakce mezi lidmi, zvířaty a životním prostředím.</w:t>
      </w:r>
    </w:p>
    <w:p>
      <w:pPr>
        <w:pStyle w:val="Text1"/>
        <w:rPr>
          <w:rFonts w:eastAsia="Times New Roman"/>
          <w:noProof/>
          <w:szCs w:val="20"/>
        </w:rPr>
      </w:pPr>
      <w:r>
        <w:rPr>
          <w:noProof/>
        </w:rPr>
        <w:t>Mandát střediska stanovený nařízením Evropského parlamentu a Rady (ES) č. 851/2004</w:t>
      </w:r>
      <w:r>
        <w:rPr>
          <w:rStyle w:val="FootnoteReference"/>
          <w:rFonts w:eastAsia="Times New Roman"/>
          <w:noProof/>
          <w:szCs w:val="20"/>
        </w:rPr>
        <w:footnoteReference w:id="2"/>
      </w:r>
      <w:r>
        <w:rPr>
          <w:noProof/>
        </w:rPr>
        <w:t xml:space="preserve"> byl přijat před zavedením mechanismů a struktur podle stávajícího rámce EU pro zdravotní bezpečnost v souladu s rozhodnutím č. 1082/2013/EU o vážných přeshraničních zdravotních hrozbách</w:t>
      </w:r>
      <w:r>
        <w:rPr>
          <w:rStyle w:val="FootnoteReference"/>
          <w:rFonts w:eastAsia="Times New Roman"/>
          <w:noProof/>
          <w:szCs w:val="20"/>
        </w:rPr>
        <w:footnoteReference w:id="3"/>
      </w:r>
      <w:r>
        <w:rPr>
          <w:noProof/>
        </w:rPr>
        <w:t>.</w:t>
      </w:r>
    </w:p>
    <w:p>
      <w:pPr>
        <w:pStyle w:val="Text1"/>
        <w:rPr>
          <w:rFonts w:eastAsia="Times New Roman"/>
          <w:noProof/>
          <w:szCs w:val="20"/>
        </w:rPr>
      </w:pPr>
      <w:r>
        <w:rPr>
          <w:noProof/>
        </w:rPr>
        <w:t>Vzhledem k přezkumu tohoto rámce je třeba změnit nařízení o zřízení střediska, aby byl zajištěn soulad s ostatními nástroji Unie a s návrhem pozměňujícího nařízení o vážných přeshraničních zdravotních hrozbách. Přezkum rovněž zajistí, aby středisko plně dodržovalo „společný přístup“ k decentralizovaným agenturám, jak je stanoveno ve společném prohlášení Evropského parlamentu, Rady EU a Evropské komise o decentralizovaných agenturách</w:t>
      </w:r>
      <w:r>
        <w:rPr>
          <w:rStyle w:val="FootnoteReference"/>
          <w:rFonts w:eastAsia="Times New Roman"/>
          <w:noProof/>
          <w:szCs w:val="20"/>
        </w:rPr>
        <w:footnoteReference w:id="4"/>
      </w:r>
      <w:r>
        <w:rPr>
          <w:noProof/>
        </w:rPr>
        <w:t>.</w:t>
      </w:r>
    </w:p>
    <w:p>
      <w:pPr>
        <w:pStyle w:val="ManualHeading2"/>
        <w:rPr>
          <w:rFonts w:eastAsia="Arial Unicode MS"/>
          <w:noProof/>
          <w:color w:val="000000"/>
          <w:u w:color="000000"/>
          <w:bdr w:val="nil"/>
        </w:rPr>
      </w:pPr>
      <w:bookmarkStart w:id="3" w:name="_Toc58225932"/>
      <w:r>
        <w:rPr>
          <w:noProof/>
          <w:color w:val="000000"/>
          <w:u w:color="000000"/>
          <w:bdr w:val="nil"/>
        </w:rPr>
        <w:t>•</w:t>
      </w:r>
      <w:r>
        <w:rPr>
          <w:noProof/>
        </w:rPr>
        <w:tab/>
        <w:t>Soulad se stávajícími opatřeními Unie v této oblasti</w:t>
      </w:r>
      <w:bookmarkEnd w:id="3"/>
    </w:p>
    <w:p>
      <w:pPr>
        <w:pStyle w:val="Text1"/>
        <w:rPr>
          <w:noProof/>
        </w:rPr>
      </w:pPr>
      <w:r>
        <w:rPr>
          <w:noProof/>
        </w:rPr>
        <w:t xml:space="preserve">Návrh je součástí balíčku úzce souvisejících opatření a je jednou ze složek celkové reakce Unie na COVID-19 v oblasti zdraví, jakož i lepšího rámce pro řešení krizí. </w:t>
      </w:r>
    </w:p>
    <w:p>
      <w:pPr>
        <w:pStyle w:val="Text1"/>
        <w:rPr>
          <w:noProof/>
        </w:rPr>
      </w:pPr>
      <w:r>
        <w:rPr>
          <w:noProof/>
        </w:rPr>
        <w:t xml:space="preserve">Navrhované změny proto budou v souladu se „společným přístupem“ pro decentralizované agentury přijatým v roce 2012. </w:t>
      </w:r>
    </w:p>
    <w:p>
      <w:pPr>
        <w:pStyle w:val="ManualHeading2"/>
        <w:rPr>
          <w:rFonts w:eastAsia="Arial Unicode MS"/>
          <w:noProof/>
        </w:rPr>
      </w:pPr>
      <w:bookmarkStart w:id="4" w:name="_Toc58225933"/>
      <w:r>
        <w:rPr>
          <w:noProof/>
          <w:color w:val="000000"/>
          <w:u w:color="000000"/>
          <w:bdr w:val="nil"/>
        </w:rPr>
        <w:t>•</w:t>
      </w:r>
      <w:r>
        <w:rPr>
          <w:noProof/>
        </w:rPr>
        <w:tab/>
        <w:t>Soulad s ostatními politikami Unie</w:t>
      </w:r>
      <w:bookmarkEnd w:id="4"/>
    </w:p>
    <w:p>
      <w:pPr>
        <w:pStyle w:val="Text1"/>
        <w:rPr>
          <w:noProof/>
        </w:rPr>
      </w:pPr>
      <w:r>
        <w:rPr>
          <w:noProof/>
        </w:rPr>
        <w:t xml:space="preserve">Tento návrh je v souladu s obecnými cíli Unie, včetně silnější zdravotní unie, hladkého fungování jednotného trhu, doplňkovosti s mechanismem civilní ochrany Unie, udržitelných a odolných systémů zdravotní péče a ambiciózního programu výzkumu a inovací. Kromě toho poskytne užitečný příspěvek k agendě EU pro jednotný digitální trh a k budoucímu evropskému prostoru pro data z oblasti veřejného zdraví a zajistí součinnost s uvedenou agendou a prostorem, přičemž podpoří inovace a výzkum, usnadní sdílení informací (včetně údajů v reálném čase) a podpoří rozvoj infrastruktury informačních technologií na úrovni EU pro epidemiologický dozor a sledování. </w:t>
      </w:r>
    </w:p>
    <w:p>
      <w:pPr>
        <w:pStyle w:val="ManualHeading1"/>
        <w:rPr>
          <w:noProof/>
        </w:rPr>
      </w:pPr>
      <w:bookmarkStart w:id="5" w:name="_Toc58225934"/>
      <w:r>
        <w:rPr>
          <w:noProof/>
        </w:rPr>
        <w:lastRenderedPageBreak/>
        <w:t>2.</w:t>
      </w:r>
      <w:r>
        <w:rPr>
          <w:noProof/>
        </w:rPr>
        <w:tab/>
        <w:t>PRÁVNÍ ZÁKLAD, SUBSIDIARITA A PROPORCIONALITA</w:t>
      </w:r>
      <w:bookmarkEnd w:id="5"/>
    </w:p>
    <w:p>
      <w:pPr>
        <w:pStyle w:val="ManualHeading2"/>
        <w:rPr>
          <w:rFonts w:eastAsia="Arial Unicode MS"/>
          <w:noProof/>
          <w:u w:color="000000"/>
          <w:bdr w:val="nil"/>
        </w:rPr>
      </w:pPr>
      <w:bookmarkStart w:id="6" w:name="_Toc58225935"/>
      <w:r>
        <w:rPr>
          <w:noProof/>
          <w:u w:color="000000"/>
          <w:bdr w:val="nil"/>
        </w:rPr>
        <w:t>•</w:t>
      </w:r>
      <w:r>
        <w:rPr>
          <w:noProof/>
        </w:rPr>
        <w:tab/>
      </w:r>
      <w:r>
        <w:rPr>
          <w:noProof/>
          <w:u w:color="000000"/>
          <w:bdr w:val="nil"/>
        </w:rPr>
        <w:t>Právní základ</w:t>
      </w:r>
      <w:bookmarkEnd w:id="6"/>
    </w:p>
    <w:p>
      <w:pPr>
        <w:pStyle w:val="Text1"/>
        <w:rPr>
          <w:noProof/>
        </w:rPr>
      </w:pPr>
      <w:r>
        <w:rPr>
          <w:noProof/>
        </w:rPr>
        <w:t>Navrhované nařízení vychází z čl. 168 odst. 5 Smlouvy o fungování Evropské unie (SFEU). Tento přístup je založen na konkrétních cílech návrhu, zejména na přijetí opatření na ochranu a zlepšení lidského zdraví, a zejména na boji proti vážným přeshraničním zdravotním hrozbám, především prostřednictvím sledování a včasného varování.</w:t>
      </w:r>
    </w:p>
    <w:p>
      <w:pPr>
        <w:pStyle w:val="ManualHeading2"/>
        <w:rPr>
          <w:rFonts w:eastAsia="Arial Unicode MS"/>
          <w:noProof/>
          <w:u w:color="000000"/>
          <w:bdr w:val="nil"/>
        </w:rPr>
      </w:pPr>
      <w:bookmarkStart w:id="7" w:name="_Toc58225936"/>
      <w:r>
        <w:rPr>
          <w:noProof/>
          <w:u w:color="000000"/>
          <w:bdr w:val="nil"/>
        </w:rPr>
        <w:t>•</w:t>
      </w:r>
      <w:r>
        <w:rPr>
          <w:noProof/>
        </w:rPr>
        <w:tab/>
      </w:r>
      <w:r>
        <w:rPr>
          <w:noProof/>
          <w:u w:color="000000"/>
          <w:bdr w:val="nil"/>
        </w:rPr>
        <w:t>Subsidiarita (v případě nevýlučné pravomoci)</w:t>
      </w:r>
      <w:bookmarkEnd w:id="7"/>
      <w:r>
        <w:rPr>
          <w:noProof/>
          <w:u w:color="000000"/>
          <w:bdr w:val="nil"/>
        </w:rPr>
        <w:t xml:space="preserve"> </w:t>
      </w:r>
    </w:p>
    <w:p>
      <w:pPr>
        <w:pStyle w:val="Text1"/>
        <w:rPr>
          <w:noProof/>
        </w:rPr>
      </w:pPr>
      <w:r>
        <w:rPr>
          <w:noProof/>
        </w:rPr>
        <w:t>Ačkoli jsou členské státy odpovědné za zvládání krizí v oblasti veřejného zdraví na vnitrostátní úrovni, žádná země nemůže řešit přeshraniční krizi v oblasti veřejného zdraví sama. Podle čl. 2 odst. 5 Smlouvy o fungování EU má Unie pravomoc provádět opatření, jimiž podporuje, koordinuje nebo doplňuje činnosti členských států, aniž by přitom v této oblasti nahrazovala jejich pravomoc.</w:t>
      </w:r>
    </w:p>
    <w:p>
      <w:pPr>
        <w:pStyle w:val="Text1"/>
        <w:rPr>
          <w:noProof/>
        </w:rPr>
      </w:pPr>
      <w:r>
        <w:rPr>
          <w:noProof/>
        </w:rPr>
        <w:t>Vážné přeshraniční zdravotní hrozby mají ze své podstaty nadnárodní dopady. V globalizované společnosti se lidé a zboží přes hranice pohybují ve vysokém počtu, což usnadňuje rychlé šíření nemocí a kontaminovaných produktů po celém světě. Opatření v oblasti veřejného zdraví na vnitrostátní úrovni proto musí být vzájemně konzistentní a musí být koordinovaná, aby se zabránilo veškerému dalšímu šíření těchto hrozeb a minimalizovaly se jejich následky.</w:t>
      </w:r>
    </w:p>
    <w:p>
      <w:pPr>
        <w:pStyle w:val="Text1"/>
        <w:rPr>
          <w:noProof/>
        </w:rPr>
      </w:pPr>
      <w:r>
        <w:rPr>
          <w:noProof/>
        </w:rPr>
        <w:t>Mimořádné situace v oblasti veřejného zdraví v rozsahu onemocnění COVID-19 mají dopad na všechny členské státy. Návrh vychází ze zkušeností získaných během krize COVID-19 a navrhuje posílit stávající struktury a mechanismy na úrovni Unie pro lepší úroveň ochrany, prevence, připravenosti a reakce na všechna zdravotní rizika v celé EU.</w:t>
      </w:r>
    </w:p>
    <w:p>
      <w:pPr>
        <w:pStyle w:val="Text1"/>
        <w:rPr>
          <w:noProof/>
        </w:rPr>
      </w:pPr>
      <w:r>
        <w:rPr>
          <w:noProof/>
        </w:rPr>
        <w:t>Jelikož cílů tohoto nařízení nemůže být na úrovni členských států vzhledem k přeshraničnímu rozměru popsaných hrozeb uspokojivě dosaženo, a lze jich proto snáze dosáhnout na úrovni Unie, může Unie přijmout opatření v souladu se zásadou subsidiarity stanovenou v čl. 5 odst. 3 Smlouvy o Evropské unii.</w:t>
      </w:r>
    </w:p>
    <w:p>
      <w:pPr>
        <w:pStyle w:val="ManualHeading2"/>
        <w:rPr>
          <w:rFonts w:eastAsia="Arial Unicode MS"/>
          <w:noProof/>
          <w:u w:color="000000"/>
          <w:bdr w:val="nil"/>
        </w:rPr>
      </w:pPr>
      <w:bookmarkStart w:id="8" w:name="_Toc58225937"/>
      <w:r>
        <w:rPr>
          <w:noProof/>
          <w:u w:color="000000"/>
          <w:bdr w:val="nil"/>
        </w:rPr>
        <w:t>•</w:t>
      </w:r>
      <w:r>
        <w:rPr>
          <w:noProof/>
        </w:rPr>
        <w:tab/>
      </w:r>
      <w:r>
        <w:rPr>
          <w:noProof/>
          <w:u w:color="000000"/>
          <w:bdr w:val="nil"/>
        </w:rPr>
        <w:t>Proporcionalita</w:t>
      </w:r>
      <w:bookmarkEnd w:id="8"/>
    </w:p>
    <w:p>
      <w:pPr>
        <w:pStyle w:val="Text1"/>
        <w:rPr>
          <w:rFonts w:eastAsia="Arial Unicode MS"/>
          <w:noProof/>
        </w:rPr>
      </w:pPr>
      <w:r>
        <w:rPr>
          <w:noProof/>
        </w:rPr>
        <w:t>Návrh představuje přiměřenou a nezbytnou reakci na otázky popsané v oddíle 1. V souladu se zásadou proporcionality stanovenou v čl. 5 odst. 4 Smlouvy o Evropské unii nepřekračuje toto nařízení rámec toho, co je nezbytné k dosažení těchto cílů.</w:t>
      </w:r>
    </w:p>
    <w:p>
      <w:pPr>
        <w:pStyle w:val="ManualHeading2"/>
        <w:rPr>
          <w:rFonts w:eastAsia="Arial Unicode MS"/>
          <w:noProof/>
          <w:u w:color="000000"/>
          <w:bdr w:val="nil"/>
        </w:rPr>
      </w:pPr>
      <w:bookmarkStart w:id="9" w:name="_Toc58225938"/>
      <w:r>
        <w:rPr>
          <w:noProof/>
          <w:u w:color="000000"/>
          <w:bdr w:val="nil"/>
        </w:rPr>
        <w:t>•</w:t>
      </w:r>
      <w:r>
        <w:rPr>
          <w:noProof/>
        </w:rPr>
        <w:tab/>
      </w:r>
      <w:r>
        <w:rPr>
          <w:noProof/>
          <w:u w:color="000000"/>
          <w:bdr w:val="nil"/>
        </w:rPr>
        <w:t>Volba nástroje</w:t>
      </w:r>
      <w:bookmarkEnd w:id="9"/>
    </w:p>
    <w:p>
      <w:pPr>
        <w:pStyle w:val="Text1"/>
        <w:rPr>
          <w:rFonts w:eastAsia="Arial Unicode MS"/>
          <w:noProof/>
        </w:rPr>
      </w:pPr>
      <w:r>
        <w:rPr>
          <w:noProof/>
        </w:rPr>
        <w:t xml:space="preserve">Návrh má podobu změny stávajícího nařízení. Tento typ nástroje je považován za nejvhodnější vzhledem k tomu, že klíčovým prvkem návrhu je zavedení dobře sladěných postupů a struktur pro společnou práci na úrovni Unie se zaměřením na přidělení dalších úkolů středisku. Uvedená opatření nevyžadují provedení vnitrostátních opatření a mohou být přímo použitelná. </w:t>
      </w:r>
    </w:p>
    <w:p>
      <w:pPr>
        <w:pStyle w:val="ManualHeading1"/>
        <w:rPr>
          <w:noProof/>
        </w:rPr>
      </w:pPr>
      <w:bookmarkStart w:id="10" w:name="_Toc58225939"/>
      <w:r>
        <w:rPr>
          <w:noProof/>
        </w:rPr>
        <w:lastRenderedPageBreak/>
        <w:t>3.</w:t>
      </w:r>
      <w:r>
        <w:rPr>
          <w:noProof/>
        </w:rPr>
        <w:tab/>
        <w:t xml:space="preserve">VÝSLEDKY HODNOCENÍ </w:t>
      </w:r>
      <w:r>
        <w:rPr>
          <w:i/>
          <w:noProof/>
        </w:rPr>
        <w:t>EX POST</w:t>
      </w:r>
      <w:r>
        <w:rPr>
          <w:noProof/>
        </w:rPr>
        <w:t>, KONZULTACÍ SE ZÚČASTNĚNÝMI STRANAMI A POSOUZENÍ DOPADŮ</w:t>
      </w:r>
      <w:bookmarkEnd w:id="10"/>
    </w:p>
    <w:p>
      <w:pPr>
        <w:pStyle w:val="ManualHeading2"/>
        <w:rPr>
          <w:rFonts w:eastAsia="Arial Unicode MS"/>
          <w:noProof/>
          <w:u w:color="000000"/>
          <w:bdr w:val="nil"/>
        </w:rPr>
      </w:pPr>
      <w:bookmarkStart w:id="11" w:name="_Toc58225940"/>
      <w:r>
        <w:rPr>
          <w:noProof/>
          <w:u w:color="000000"/>
          <w:bdr w:val="nil"/>
        </w:rPr>
        <w:t>•</w:t>
      </w:r>
      <w:r>
        <w:rPr>
          <w:noProof/>
        </w:rPr>
        <w:tab/>
      </w:r>
      <w:r>
        <w:rPr>
          <w:noProof/>
          <w:u w:color="000000"/>
          <w:bdr w:val="nil"/>
        </w:rPr>
        <w:t xml:space="preserve">Hodnocení </w:t>
      </w:r>
      <w:r>
        <w:rPr>
          <w:i/>
          <w:noProof/>
          <w:u w:color="000000"/>
          <w:bdr w:val="nil"/>
        </w:rPr>
        <w:t>ex post</w:t>
      </w:r>
      <w:r>
        <w:rPr>
          <w:noProof/>
          <w:u w:color="000000"/>
          <w:bdr w:val="nil"/>
        </w:rPr>
        <w:t xml:space="preserve"> / kontroly účelnosti platných právních předpisů</w:t>
      </w:r>
      <w:bookmarkEnd w:id="11"/>
    </w:p>
    <w:p>
      <w:pPr>
        <w:pStyle w:val="Text1"/>
        <w:rPr>
          <w:rFonts w:eastAsia="Arial Unicode MS"/>
          <w:noProof/>
        </w:rPr>
      </w:pPr>
      <w:r>
        <w:rPr>
          <w:noProof/>
        </w:rPr>
        <w:t>V rámci balíčku naléhavých opatření vycházejících z dosavadních zkušeností s onemocněním COVID-19 je tato iniciativa podpořena zjištěními nedávného hodnocení fungování střediska</w:t>
      </w:r>
      <w:r>
        <w:rPr>
          <w:rStyle w:val="FootnoteReference"/>
          <w:noProof/>
          <w:szCs w:val="24"/>
        </w:rPr>
        <w:footnoteReference w:id="5"/>
      </w:r>
      <w:r>
        <w:rPr>
          <w:noProof/>
        </w:rPr>
        <w:t>, posouzením shromážděných údajů a výměnami názorů s veřejnými a soukromými zúčastněnými stranami o problémech, které se během pandemie COVID-19 vyskytly, a o možných způsobech jejich řešení. Náležitá pozornost je věnována rovněž zjištěním uvedeným ve zprávě Účetního dvora o rámci EU pro zdravotní bezpečnost</w:t>
      </w:r>
      <w:r>
        <w:rPr>
          <w:rStyle w:val="FootnoteReference"/>
          <w:noProof/>
          <w:szCs w:val="24"/>
        </w:rPr>
        <w:footnoteReference w:id="6"/>
      </w:r>
      <w:r>
        <w:rPr>
          <w:noProof/>
        </w:rPr>
        <w:t xml:space="preserve">. Tyto informace jsou shrnuty ve sdělení Komise připojeném k celému balíčku. Vzhledem k tomu, že podnět navrhuje rozšířit oblast působnosti stávajících právních předpisů, nebude založen na hodnocení </w:t>
      </w:r>
      <w:r>
        <w:rPr>
          <w:i/>
          <w:noProof/>
        </w:rPr>
        <w:t>ex post</w:t>
      </w:r>
      <w:r>
        <w:rPr>
          <w:noProof/>
        </w:rPr>
        <w:t>, neboť stávající rámec zjištěné potřeby neřeší.</w:t>
      </w:r>
    </w:p>
    <w:p>
      <w:pPr>
        <w:pStyle w:val="Text1"/>
        <w:rPr>
          <w:rFonts w:eastAsia="Arial Unicode MS"/>
          <w:noProof/>
        </w:rPr>
      </w:pPr>
      <w:r>
        <w:rPr>
          <w:noProof/>
        </w:rPr>
        <w:t>Navrhuje se, aby Komise do roku 2023 podala zprávu o činnosti střediska, včetně analýzy způsobu provádění pozměněného mandátu, vzájemného působení a souladu činností střediska s navrhovaným nařízením o vážných přeshraničních zdravotních hrozbách a do roku 2028 o možných změnách mandátu střediska. To bude zahrnovat rovněž analýzu významu střediska, pokud jde o mezinárodní, unijní a vnitrostátní priority v oblasti zdraví, jakož i o vztah mezi výstupy střediska a kapacitami členských států. K této zprávě bude přiložena studie zadaná Komisí. Kromě toho Komise každých pět let vyhodnotí výkonnost střediska v souvislosti s jeho cíli, mandátem, úkoly, postupy a umístěním, a to v souladu s pokyny Komise pro zlepšování právní úpravy.</w:t>
      </w:r>
    </w:p>
    <w:p>
      <w:pPr>
        <w:pStyle w:val="ManualHeading2"/>
        <w:rPr>
          <w:rFonts w:eastAsia="Arial Unicode MS"/>
          <w:noProof/>
          <w:u w:color="000000"/>
          <w:bdr w:val="nil"/>
        </w:rPr>
      </w:pPr>
      <w:bookmarkStart w:id="12" w:name="_Toc58225941"/>
      <w:r>
        <w:rPr>
          <w:noProof/>
          <w:u w:color="000000"/>
          <w:bdr w:val="nil"/>
        </w:rPr>
        <w:t>•</w:t>
      </w:r>
      <w:r>
        <w:rPr>
          <w:noProof/>
        </w:rPr>
        <w:tab/>
      </w:r>
      <w:r>
        <w:rPr>
          <w:noProof/>
          <w:u w:color="000000"/>
          <w:bdr w:val="nil"/>
        </w:rPr>
        <w:t>Konzultace se zúčastněnými stranami</w:t>
      </w:r>
      <w:bookmarkEnd w:id="12"/>
    </w:p>
    <w:p>
      <w:pPr>
        <w:pStyle w:val="Text1"/>
        <w:rPr>
          <w:rFonts w:eastAsia="Arial Unicode MS"/>
          <w:noProof/>
        </w:rPr>
      </w:pPr>
      <w:r>
        <w:rPr>
          <w:noProof/>
        </w:rPr>
        <w:t xml:space="preserve">O posílení střediska se diskutovalo na neformálním zasedání Rady pro zdraví dne 16. července 2020 pod vedením německého předsednictví Rady EU. Členské státy podpořily takto zaměřenou iniciativu jako součást celkového mechanismu připravenosti a reakce EU na krize v oblasti zdraví. To předpokládá změnu nařízení o zřízení střediska. Neformální Pracovní skupina pro veřejné zdraví, která působí v rámci Rady pro zdraví, dne 29. října 2020 dále projednala návrh závěrů Rady o poznatcích získaných v oblasti zdraví v souvislosti s onemocněním COVID-19. Dále se konala dvoustranná jednání na politické a technické úrovni a 29. října byl uspořádán veřejný webinář za účelem projednání balíčku. </w:t>
      </w:r>
    </w:p>
    <w:p>
      <w:pPr>
        <w:pStyle w:val="ManualHeading2"/>
        <w:rPr>
          <w:rFonts w:eastAsia="Arial Unicode MS"/>
          <w:noProof/>
          <w:u w:color="000000"/>
          <w:bdr w:val="nil"/>
        </w:rPr>
      </w:pPr>
      <w:bookmarkStart w:id="13" w:name="_Toc58225942"/>
      <w:r>
        <w:rPr>
          <w:noProof/>
          <w:u w:color="000000"/>
          <w:bdr w:val="nil"/>
        </w:rPr>
        <w:t>•</w:t>
      </w:r>
      <w:r>
        <w:rPr>
          <w:noProof/>
        </w:rPr>
        <w:tab/>
      </w:r>
      <w:r>
        <w:rPr>
          <w:noProof/>
          <w:u w:color="000000"/>
          <w:bdr w:val="nil"/>
        </w:rPr>
        <w:t>Posouzení dopadů</w:t>
      </w:r>
      <w:bookmarkEnd w:id="13"/>
    </w:p>
    <w:p>
      <w:pPr>
        <w:pStyle w:val="Text1"/>
        <w:rPr>
          <w:rFonts w:eastAsia="Arial Unicode MS"/>
          <w:noProof/>
        </w:rPr>
      </w:pPr>
      <w:r>
        <w:rPr>
          <w:noProof/>
          <w:shd w:val="clear" w:color="auto" w:fill="FFFFFF"/>
        </w:rPr>
        <w:t>Vzhledem k jeho naléhavé povaze není k tomuto návrhu připojeno formální posouzení dopadů.</w:t>
      </w:r>
      <w:r>
        <w:rPr>
          <w:noProof/>
        </w:rPr>
        <w:t xml:space="preserve"> Namísto toho jsou </w:t>
      </w:r>
      <w:r>
        <w:rPr>
          <w:noProof/>
          <w:shd w:val="clear" w:color="auto" w:fill="FFFFFF"/>
        </w:rPr>
        <w:t xml:space="preserve">změny založeny především na posouzení údajů shromážděných během prvních měsíců pandemie a na výměně názorů s veřejnými a soukromými zúčastněnými stranami o otázkách souvisejících s onemocněním COVID-19 a o možných způsobech jejich řešení a vycházejí ze zjištění nedávného hodnocení. Vzhledem k tomu, že veřejnou konzultaci a posouzení dopadů nebylo možno provést v časovém rámci, který byl před přijetím tohoto návrhu k dispozici, byly tyto informace shrnuty ve sdělení Komise, které je přiloženo k celkovému balíčku návrhů, jež obsahují všechny dostupné důkazy nebo na ně odkazují. </w:t>
      </w:r>
    </w:p>
    <w:p>
      <w:pPr>
        <w:pStyle w:val="ManualHeading2"/>
        <w:rPr>
          <w:rFonts w:eastAsia="Arial Unicode MS"/>
          <w:noProof/>
          <w:u w:color="000000"/>
          <w:bdr w:val="nil"/>
        </w:rPr>
      </w:pPr>
      <w:bookmarkStart w:id="14" w:name="_Toc58225943"/>
      <w:r>
        <w:rPr>
          <w:noProof/>
          <w:u w:color="000000"/>
          <w:bdr w:val="nil"/>
        </w:rPr>
        <w:lastRenderedPageBreak/>
        <w:t>•</w:t>
      </w:r>
      <w:r>
        <w:rPr>
          <w:noProof/>
        </w:rPr>
        <w:tab/>
      </w:r>
      <w:r>
        <w:rPr>
          <w:noProof/>
          <w:u w:color="000000"/>
          <w:bdr w:val="nil"/>
        </w:rPr>
        <w:t>Základní práva</w:t>
      </w:r>
      <w:bookmarkEnd w:id="14"/>
    </w:p>
    <w:p>
      <w:pPr>
        <w:pStyle w:val="Text1"/>
        <w:rPr>
          <w:noProof/>
        </w:rPr>
      </w:pPr>
      <w:r>
        <w:rPr>
          <w:noProof/>
        </w:rPr>
        <w:t xml:space="preserve">Návrh přispívá k dosažení vysoké úrovně ochrany zdraví, která zohledňuje rovnost žen a mužů, jakož i k dodržování nejvyšších standardů v oblasti ochrany lidských práv a občanských svobod, jak jsou zakotveny v Listině základních práv a v evropském pilíři sociálních práv, během zdravotní krize. Pokud jsou osobní údaje zpracovávány podle tohoto nařízení, jak bylo navrženo, bude tak učiněno v souladu s příslušnými právními předpisy Unie o ochraně osobních údajů, zejména s nařízením (EU) 2018/1725 a nařízením (EU) 2016/679. </w:t>
      </w:r>
    </w:p>
    <w:p>
      <w:pPr>
        <w:pStyle w:val="ManualHeading1"/>
        <w:rPr>
          <w:noProof/>
        </w:rPr>
      </w:pPr>
      <w:bookmarkStart w:id="15" w:name="_Toc58225944"/>
      <w:r>
        <w:rPr>
          <w:noProof/>
        </w:rPr>
        <w:t>4.</w:t>
      </w:r>
      <w:r>
        <w:rPr>
          <w:noProof/>
        </w:rPr>
        <w:tab/>
        <w:t>ROZPOČTOVÉ DŮSLEDKY</w:t>
      </w:r>
      <w:bookmarkEnd w:id="15"/>
    </w:p>
    <w:p>
      <w:pPr>
        <w:pStyle w:val="Text1"/>
        <w:rPr>
          <w:noProof/>
        </w:rPr>
      </w:pPr>
      <w:r>
        <w:rPr>
          <w:noProof/>
        </w:rPr>
        <w:t xml:space="preserve">Provádění tohoto návrhu nemá žádný dopad na stávající víceletý finanční rámec na období 2014–2020. </w:t>
      </w:r>
    </w:p>
    <w:p>
      <w:pPr>
        <w:pStyle w:val="Text1"/>
        <w:rPr>
          <w:noProof/>
        </w:rPr>
      </w:pPr>
      <w:r>
        <w:rPr>
          <w:noProof/>
        </w:rPr>
        <w:t xml:space="preserve">Finanční dopad tohoto návrhu na rozpočet Unie bude součástí příštího víceletého finančního rámce na období 2021–2027. </w:t>
      </w:r>
    </w:p>
    <w:p>
      <w:pPr>
        <w:pStyle w:val="Text1"/>
        <w:rPr>
          <w:noProof/>
        </w:rPr>
      </w:pPr>
      <w:r>
        <w:rPr>
          <w:noProof/>
        </w:rPr>
        <w:t>Rozpočtové důsledky souvisejí především s těmito cíli:</w:t>
      </w:r>
    </w:p>
    <w:p>
      <w:pPr>
        <w:pStyle w:val="Point1"/>
        <w:rPr>
          <w:noProof/>
        </w:rPr>
      </w:pPr>
      <w:r>
        <w:rPr>
          <w:noProof/>
        </w:rPr>
        <w:t>●</w:t>
      </w:r>
      <w:r>
        <w:rPr>
          <w:noProof/>
        </w:rPr>
        <w:tab/>
        <w:t>vytvoření nové platformy pro sledování očkovacích látek, kterou bude středisko provozovat společně s Evropskou agenturou pro léčivé přípravky,</w:t>
      </w:r>
    </w:p>
    <w:p>
      <w:pPr>
        <w:pStyle w:val="Point1"/>
        <w:rPr>
          <w:rFonts w:eastAsia="Arial Unicode MS"/>
          <w:noProof/>
        </w:rPr>
      </w:pPr>
      <w:r>
        <w:rPr>
          <w:noProof/>
        </w:rPr>
        <w:t>●</w:t>
      </w:r>
      <w:r>
        <w:rPr>
          <w:noProof/>
        </w:rPr>
        <w:tab/>
        <w:t xml:space="preserve">činnosti plánování připravenosti a reakce, včetně modelování, předvídání, sledování a hodnocení, </w:t>
      </w:r>
    </w:p>
    <w:p>
      <w:pPr>
        <w:pStyle w:val="Point1"/>
        <w:rPr>
          <w:rFonts w:eastAsia="Arial Unicode MS"/>
          <w:noProof/>
        </w:rPr>
      </w:pPr>
      <w:r>
        <w:rPr>
          <w:noProof/>
        </w:rPr>
        <w:t>●</w:t>
      </w:r>
      <w:r>
        <w:rPr>
          <w:noProof/>
        </w:rPr>
        <w:tab/>
        <w:t xml:space="preserve">nové sítě pro referenční laboratoře Unie a pro transfuzi, transplantaci a lékařsky asistovanou reprodukci, </w:t>
      </w:r>
    </w:p>
    <w:p>
      <w:pPr>
        <w:pStyle w:val="Point1"/>
        <w:rPr>
          <w:rFonts w:eastAsia="Arial Unicode MS"/>
          <w:noProof/>
        </w:rPr>
      </w:pPr>
      <w:r>
        <w:rPr>
          <w:noProof/>
        </w:rPr>
        <w:t>●</w:t>
      </w:r>
      <w:r>
        <w:rPr>
          <w:noProof/>
        </w:rPr>
        <w:tab/>
        <w:t xml:space="preserve">posílení systémů dozoru a systému včasného varování a reakce, </w:t>
      </w:r>
    </w:p>
    <w:p>
      <w:pPr>
        <w:pStyle w:val="Point1"/>
        <w:rPr>
          <w:noProof/>
        </w:rPr>
      </w:pPr>
      <w:r>
        <w:rPr>
          <w:noProof/>
        </w:rPr>
        <w:t>●</w:t>
      </w:r>
      <w:r>
        <w:rPr>
          <w:noProof/>
        </w:rPr>
        <w:tab/>
        <w:t>sledování a posouzení kapacity systémů zdravotní péče a určení rizikových skupin obyvatelstva, které potřebují cílená opatření přijatá pro účely prevence a reakce,</w:t>
      </w:r>
    </w:p>
    <w:p>
      <w:pPr>
        <w:pStyle w:val="Point1"/>
        <w:rPr>
          <w:rFonts w:eastAsia="Arial Unicode MS"/>
          <w:noProof/>
        </w:rPr>
      </w:pPr>
      <w:r>
        <w:rPr>
          <w:noProof/>
        </w:rPr>
        <w:t>●</w:t>
      </w:r>
      <w:r>
        <w:rPr>
          <w:noProof/>
        </w:rPr>
        <w:tab/>
        <w:t>vytvoření „pracovní skupiny EU pro oblast zdraví“, jejímž cílem je podpořit země v posilování připravenosti a rychle zasáhnout v případě zdravotní krize,</w:t>
      </w:r>
    </w:p>
    <w:p>
      <w:pPr>
        <w:pStyle w:val="Point1"/>
        <w:rPr>
          <w:rFonts w:eastAsia="Arial Unicode MS"/>
          <w:noProof/>
        </w:rPr>
      </w:pPr>
      <w:r>
        <w:rPr>
          <w:noProof/>
        </w:rPr>
        <w:t>●</w:t>
      </w:r>
      <w:r>
        <w:rPr>
          <w:noProof/>
        </w:rPr>
        <w:tab/>
        <w:t>zlepšení mezinárodní spolupráce a shromažďování regionálních/vnitrostátních informací.</w:t>
      </w:r>
    </w:p>
    <w:p>
      <w:pPr>
        <w:pStyle w:val="ManualHeading1"/>
        <w:rPr>
          <w:noProof/>
        </w:rPr>
      </w:pPr>
      <w:bookmarkStart w:id="16" w:name="_Toc58225945"/>
      <w:r>
        <w:rPr>
          <w:noProof/>
        </w:rPr>
        <w:t>5.</w:t>
      </w:r>
      <w:r>
        <w:rPr>
          <w:noProof/>
        </w:rPr>
        <w:tab/>
        <w:t>OSTATNÍ PRVKY</w:t>
      </w:r>
      <w:bookmarkEnd w:id="16"/>
    </w:p>
    <w:p>
      <w:pPr>
        <w:pStyle w:val="ManualHeading2"/>
        <w:rPr>
          <w:rFonts w:eastAsia="Arial Unicode MS"/>
          <w:noProof/>
          <w:u w:color="000000"/>
          <w:bdr w:val="nil"/>
        </w:rPr>
      </w:pPr>
      <w:bookmarkStart w:id="17" w:name="_Toc58225946"/>
      <w:r>
        <w:rPr>
          <w:noProof/>
          <w:u w:color="000000"/>
          <w:bdr w:val="nil"/>
        </w:rPr>
        <w:t>•</w:t>
      </w:r>
      <w:r>
        <w:rPr>
          <w:noProof/>
        </w:rPr>
        <w:tab/>
      </w:r>
      <w:r>
        <w:rPr>
          <w:noProof/>
          <w:u w:color="000000"/>
          <w:bdr w:val="nil"/>
        </w:rPr>
        <w:t>Podrobné vysvětlení konkrétních ustanovení návrhu</w:t>
      </w:r>
      <w:bookmarkEnd w:id="17"/>
    </w:p>
    <w:p>
      <w:pPr>
        <w:pStyle w:val="Text1"/>
        <w:rPr>
          <w:noProof/>
        </w:rPr>
      </w:pPr>
      <w:r>
        <w:rPr>
          <w:noProof/>
        </w:rPr>
        <w:t xml:space="preserve">Cílem návrhu je poskytnout posílené kapacity střediska na podporu připravenosti, dozoru, posouzení rizik a včasného varování a reakce na budoucí přeshraniční zdravotní hrozby. </w:t>
      </w:r>
    </w:p>
    <w:p>
      <w:pPr>
        <w:pStyle w:val="Text1"/>
        <w:rPr>
          <w:noProof/>
        </w:rPr>
      </w:pPr>
      <w:r>
        <w:rPr>
          <w:noProof/>
        </w:rPr>
        <w:t>Klíčové oblasti návrhu:</w:t>
      </w:r>
    </w:p>
    <w:p>
      <w:pPr>
        <w:pStyle w:val="Point1"/>
        <w:rPr>
          <w:rFonts w:eastAsia="Times New Roman"/>
          <w:noProof/>
          <w:szCs w:val="20"/>
        </w:rPr>
      </w:pPr>
      <w:r>
        <w:rPr>
          <w:noProof/>
        </w:rPr>
        <w:t>●</w:t>
      </w:r>
      <w:r>
        <w:rPr>
          <w:noProof/>
        </w:rPr>
        <w:tab/>
        <w:t xml:space="preserve">informovanost o situaci: rychlá digitalizace integrovaných systémů dozoru, </w:t>
      </w:r>
    </w:p>
    <w:p>
      <w:pPr>
        <w:pStyle w:val="Point1"/>
        <w:rPr>
          <w:rFonts w:eastAsia="Times New Roman"/>
          <w:noProof/>
          <w:szCs w:val="20"/>
        </w:rPr>
      </w:pPr>
      <w:r>
        <w:rPr>
          <w:noProof/>
        </w:rPr>
        <w:t>●</w:t>
      </w:r>
      <w:r>
        <w:rPr>
          <w:noProof/>
        </w:rPr>
        <w:tab/>
        <w:t>lepší připravenost v členských státech: vypracování plánů prevence a reakce na budoucí epidemie a silnější kapacity pro integrovanou rychlou reakci na epidemii a šíření nákazy,</w:t>
      </w:r>
    </w:p>
    <w:p>
      <w:pPr>
        <w:pStyle w:val="Point1"/>
        <w:rPr>
          <w:rFonts w:eastAsia="Times New Roman"/>
          <w:noProof/>
          <w:szCs w:val="20"/>
        </w:rPr>
      </w:pPr>
      <w:r>
        <w:rPr>
          <w:noProof/>
        </w:rPr>
        <w:t>●</w:t>
      </w:r>
      <w:r>
        <w:rPr>
          <w:noProof/>
        </w:rPr>
        <w:tab/>
        <w:t>posílená opatření ke zvládání epidemií a šíření nákazy: poskytování nezávazných doporučení pro řízení rizik,</w:t>
      </w:r>
    </w:p>
    <w:p>
      <w:pPr>
        <w:pStyle w:val="Point1"/>
        <w:rPr>
          <w:rFonts w:eastAsia="Times New Roman"/>
          <w:noProof/>
          <w:szCs w:val="20"/>
        </w:rPr>
      </w:pPr>
      <w:r>
        <w:rPr>
          <w:noProof/>
        </w:rPr>
        <w:lastRenderedPageBreak/>
        <w:t>●</w:t>
      </w:r>
      <w:r>
        <w:rPr>
          <w:noProof/>
        </w:rPr>
        <w:tab/>
        <w:t>rozšířená kapacita pro mobilizaci a nasazení pracovní skupiny EU pro oblast zdraví s cílem pomoci při reakcích v členských státech,</w:t>
      </w:r>
    </w:p>
    <w:p>
      <w:pPr>
        <w:pStyle w:val="Point1"/>
        <w:rPr>
          <w:rFonts w:eastAsia="Times New Roman"/>
          <w:noProof/>
          <w:szCs w:val="20"/>
        </w:rPr>
      </w:pPr>
      <w:r>
        <w:rPr>
          <w:noProof/>
        </w:rPr>
        <w:t>●</w:t>
      </w:r>
      <w:r>
        <w:rPr>
          <w:noProof/>
        </w:rPr>
        <w:tab/>
        <w:t>posílená kapacita a budování klíčových kompetencí v zájmu sledování a hodnocení kapacit systémů zdravotní péče pro stanovení diagnózy, prevenci a léčbu konkrétních přenosných nemocí, jakož i pro bezpečnost pacientů,</w:t>
      </w:r>
    </w:p>
    <w:p>
      <w:pPr>
        <w:pStyle w:val="Point1"/>
        <w:ind w:hanging="566"/>
        <w:rPr>
          <w:rFonts w:eastAsia="Times New Roman"/>
          <w:noProof/>
          <w:szCs w:val="20"/>
        </w:rPr>
      </w:pPr>
      <w:r>
        <w:rPr>
          <w:noProof/>
        </w:rPr>
        <w:t>●</w:t>
      </w:r>
      <w:r>
        <w:rPr>
          <w:noProof/>
        </w:rPr>
        <w:tab/>
        <w:t>posílená kapacita a identifikování rizikových skupin obyvatelstva, které potřebují cílená preventivní opatření a opatření přijatá pro účely reakce,</w:t>
      </w:r>
    </w:p>
    <w:p>
      <w:pPr>
        <w:pStyle w:val="Point1"/>
        <w:rPr>
          <w:noProof/>
        </w:rPr>
      </w:pPr>
      <w:r>
        <w:rPr>
          <w:noProof/>
        </w:rPr>
        <w:t>●</w:t>
      </w:r>
      <w:r>
        <w:rPr>
          <w:noProof/>
        </w:rPr>
        <w:tab/>
        <w:t>propojení výzkumu a připravenosti a reakce: spolupráce mezi komunitami v oblasti veřejného zdraví a výzkumnými komunitami, přispívání k určení výzkumných priorit souvisejících s připraveností a reakcí, zajištění začlenění výsledků výzkumu do politických doporučení,</w:t>
      </w:r>
    </w:p>
    <w:p>
      <w:pPr>
        <w:pStyle w:val="Point1"/>
        <w:rPr>
          <w:rFonts w:eastAsia="Times New Roman"/>
          <w:noProof/>
          <w:szCs w:val="20"/>
        </w:rPr>
      </w:pPr>
      <w:r>
        <w:rPr>
          <w:noProof/>
        </w:rPr>
        <w:t>●</w:t>
      </w:r>
      <w:r>
        <w:rPr>
          <w:noProof/>
        </w:rPr>
        <w:tab/>
        <w:t>vybudování klíčových kompetencí v oblasti ochrany zdraví v členských státech: centrum bude pověřeno koordinací nové sítě referenčních laboratoří Unie pro veřejné zdraví a nové sítě vnitrostátních služeb pro podporu transfuze, transplantace a lékařsky asistované reprodukce,</w:t>
      </w:r>
    </w:p>
    <w:p>
      <w:pPr>
        <w:pStyle w:val="Point1"/>
        <w:rPr>
          <w:rFonts w:eastAsia="Times New Roman"/>
          <w:noProof/>
          <w:szCs w:val="20"/>
        </w:rPr>
      </w:pPr>
      <w:r>
        <w:rPr>
          <w:noProof/>
        </w:rPr>
        <w:t>●</w:t>
      </w:r>
      <w:r>
        <w:rPr>
          <w:noProof/>
        </w:rPr>
        <w:tab/>
        <w:t>větší úsilí v oblasti prevence přenosných nemocí a specifických zdravotních problémů, např. antimikrobiální rezistence, očkování a biologické bezpečnosti,</w:t>
      </w:r>
    </w:p>
    <w:p>
      <w:pPr>
        <w:pStyle w:val="Point1"/>
        <w:rPr>
          <w:rFonts w:eastAsia="Times New Roman"/>
          <w:noProof/>
          <w:szCs w:val="20"/>
        </w:rPr>
      </w:pPr>
      <w:r>
        <w:rPr>
          <w:noProof/>
        </w:rPr>
        <w:t>●</w:t>
      </w:r>
      <w:r>
        <w:rPr>
          <w:noProof/>
        </w:rPr>
        <w:tab/>
        <w:t>posílení příspěvku k mezinárodní spolupráci EU, jakož i k mezinárodnímu rozvoji a závazku EU, pokud jde o globální připravenost v oblasti zdravotní bezpečnosti.</w:t>
      </w:r>
    </w:p>
    <w:p>
      <w:pPr>
        <w:pStyle w:val="Text1"/>
        <w:rPr>
          <w:rFonts w:eastAsia="Times New Roman"/>
          <w:noProof/>
          <w:szCs w:val="20"/>
        </w:rPr>
      </w:pPr>
      <w:r>
        <w:rPr>
          <w:noProof/>
        </w:rPr>
        <w:t xml:space="preserve">Návrh bude rovněž usilovat o zajištění hladké spolupráce během těchto mimořádných událostí mezi střediskem a ostatními decentralizovanými agenturami EU, zejména Evropskou agenturou pro léčivé přípravky. </w:t>
      </w:r>
    </w:p>
    <w:p>
      <w:pPr>
        <w:pStyle w:val="Text1"/>
        <w:rPr>
          <w:noProof/>
        </w:rPr>
      </w:pPr>
      <w:r>
        <w:rPr>
          <w:noProof/>
        </w:rPr>
        <w:t>Tento návrh je v souladu se společným přístupem</w:t>
      </w:r>
      <w:r>
        <w:rPr>
          <w:rStyle w:val="FootnoteReference"/>
          <w:noProof/>
        </w:rPr>
        <w:footnoteReference w:id="7"/>
      </w:r>
      <w:r>
        <w:rPr>
          <w:noProof/>
        </w:rPr>
        <w:t>, pokud jde o strukturu a řízení, jeho operace, programování a odpovědnost.</w:t>
      </w:r>
    </w:p>
    <w:p>
      <w:pPr>
        <w:rPr>
          <w:noProof/>
        </w:rPr>
        <w:sectPr>
          <w:footerReference w:type="default" r:id="rId10"/>
          <w:footerReference w:type="first" r:id="rId11"/>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2020/0320 (COD)</w:t>
      </w:r>
    </w:p>
    <w:p>
      <w:pPr>
        <w:pStyle w:val="Statut"/>
        <w:rPr>
          <w:noProof/>
        </w:rPr>
      </w:pPr>
      <w:r>
        <w:rPr>
          <w:noProof/>
        </w:rPr>
        <w:t>Návrh</w:t>
      </w:r>
    </w:p>
    <w:p>
      <w:pPr>
        <w:pStyle w:val="Typedudocument"/>
        <w:rPr>
          <w:noProof/>
        </w:rPr>
      </w:pPr>
      <w:r>
        <w:rPr>
          <w:noProof/>
        </w:rPr>
        <w:t>NAŘÍZENÍ EVROPSKÉHO PARLAMENTU A RADY,</w:t>
      </w:r>
    </w:p>
    <w:p>
      <w:pPr>
        <w:pStyle w:val="Titreobjet"/>
        <w:rPr>
          <w:noProof/>
        </w:rPr>
      </w:pPr>
      <w:r>
        <w:rPr>
          <w:noProof/>
        </w:rPr>
        <w:t>kterým se mění nařízení (ES) č. 851/2004 o zřízení Evropského střediska pro prevenci a kontrolu nemocí</w:t>
      </w:r>
    </w:p>
    <w:p>
      <w:pPr>
        <w:pStyle w:val="Institutionquiagit"/>
        <w:rPr>
          <w:noProof/>
        </w:rPr>
      </w:pPr>
      <w:r>
        <w:rPr>
          <w:noProof/>
        </w:rPr>
        <w:t>EVROPSKÝ PARLAMENT A RADA EVROPSKÉ UNIE,</w:t>
      </w:r>
    </w:p>
    <w:p>
      <w:pPr>
        <w:rPr>
          <w:noProof/>
        </w:rPr>
      </w:pPr>
      <w:r>
        <w:rPr>
          <w:noProof/>
        </w:rPr>
        <w:t>s ohledem na Smlouvu o fungování Evropské unie, a zejména na čl. 168 odst. 5 této smlouvy,</w:t>
      </w:r>
    </w:p>
    <w:p>
      <w:pPr>
        <w:rPr>
          <w:noProof/>
        </w:rPr>
      </w:pPr>
      <w:r>
        <w:rPr>
          <w:noProof/>
        </w:rPr>
        <w:t>s ohledem na návrh Evropské komise,</w:t>
      </w:r>
    </w:p>
    <w:p>
      <w:pPr>
        <w:rPr>
          <w:noProof/>
        </w:rPr>
      </w:pPr>
      <w:r>
        <w:rPr>
          <w:noProof/>
        </w:rPr>
        <w:t>po postoupení návrhu legislativního aktu vnitrostátním parlamentům,</w:t>
      </w:r>
    </w:p>
    <w:p>
      <w:pPr>
        <w:rPr>
          <w:noProof/>
        </w:rPr>
      </w:pPr>
      <w:r>
        <w:rPr>
          <w:noProof/>
        </w:rPr>
        <w:t>s ohledem na stanovisko Evropského hospodářského a sociálního výboru</w:t>
      </w:r>
      <w:r>
        <w:rPr>
          <w:rStyle w:val="FootnoteReference"/>
          <w:noProof/>
        </w:rPr>
        <w:footnoteReference w:id="8"/>
      </w:r>
      <w:r>
        <w:rPr>
          <w:noProof/>
        </w:rPr>
        <w:t xml:space="preserve">, </w:t>
      </w:r>
    </w:p>
    <w:p>
      <w:pPr>
        <w:rPr>
          <w:noProof/>
        </w:rPr>
      </w:pPr>
      <w:r>
        <w:rPr>
          <w:noProof/>
        </w:rPr>
        <w:t>s ohledem na stanovisko Výboru regionů</w:t>
      </w:r>
      <w:r>
        <w:rPr>
          <w:rStyle w:val="FootnoteReference"/>
          <w:noProof/>
        </w:rPr>
        <w:footnoteReference w:id="9"/>
      </w:r>
      <w:r>
        <w:rPr>
          <w:noProof/>
        </w:rPr>
        <w:t xml:space="preserve">, </w:t>
      </w:r>
    </w:p>
    <w:p>
      <w:pPr>
        <w:rPr>
          <w:noProof/>
        </w:rPr>
      </w:pPr>
      <w:r>
        <w:rPr>
          <w:noProof/>
        </w:rPr>
        <w:t>v souladu s řádným legislativním postupem,</w:t>
      </w:r>
    </w:p>
    <w:p>
      <w:pPr>
        <w:rPr>
          <w:noProof/>
        </w:rPr>
      </w:pPr>
      <w:r>
        <w:rPr>
          <w:noProof/>
        </w:rPr>
        <w:t>vzhledem k těmto důvodům:</w:t>
      </w:r>
    </w:p>
    <w:p>
      <w:pPr>
        <w:pStyle w:val="ManualConsidrant"/>
        <w:rPr>
          <w:noProof/>
        </w:rPr>
      </w:pPr>
      <w:r>
        <w:t>(1)</w:t>
      </w:r>
      <w:r>
        <w:tab/>
      </w:r>
      <w:r>
        <w:rPr>
          <w:noProof/>
        </w:rPr>
        <w:t xml:space="preserve">Unie je odhodlána chránit a zlepšovat lidské zdraví, zejména bojovat proti nejzávažnějším přeshraničním zdravotním hrozbám prostřednictvím opatření týkajících se sledování vážných přeshraničních zdravotních hrozeb, včasného varování před nimi a boje proti nim. </w:t>
      </w:r>
    </w:p>
    <w:p>
      <w:pPr>
        <w:pStyle w:val="ManualConsidrant"/>
        <w:rPr>
          <w:noProof/>
        </w:rPr>
      </w:pPr>
      <w:r>
        <w:t>(2)</w:t>
      </w:r>
      <w:r>
        <w:tab/>
      </w:r>
      <w:r>
        <w:rPr>
          <w:noProof/>
        </w:rPr>
        <w:t>Nařízením Evropského parlamentu a Rady (ES) č. 851/2004</w:t>
      </w:r>
      <w:r>
        <w:rPr>
          <w:rStyle w:val="FootnoteReference"/>
          <w:noProof/>
        </w:rPr>
        <w:footnoteReference w:id="10"/>
      </w:r>
      <w:r>
        <w:rPr>
          <w:noProof/>
        </w:rPr>
        <w:t xml:space="preserve"> byla zřízena nezávislá evropská agentura – Evropské středisko pro prevenci a kontrolu nemocí (dále jen „středisko“), jejímž posláním je rozpoznávat, posuzovat a oznamovat stávající nebo vznikající hrozby pro lidské zdraví vyplývající z přenosných nemocí. </w:t>
      </w:r>
    </w:p>
    <w:p>
      <w:pPr>
        <w:pStyle w:val="ManualConsidrant"/>
        <w:rPr>
          <w:noProof/>
        </w:rPr>
      </w:pPr>
      <w:r>
        <w:t>(3)</w:t>
      </w:r>
      <w:r>
        <w:tab/>
      </w:r>
      <w:r>
        <w:rPr>
          <w:noProof/>
        </w:rPr>
        <w:t xml:space="preserve">Dne 11. března 2020 označila Světová zdravotnická organizace (WHO) šíření nové koronavirové nákazy COVID-19 za celosvětovou pandemii. Z problémů, které byly zaznamenány v reakci na pandemii, vyplynulo, že úloha střediska by měla být posílena v rámci Unie pro připravenost na zdravotní krize a reakci na ně. </w:t>
      </w:r>
    </w:p>
    <w:p>
      <w:pPr>
        <w:pStyle w:val="ManualConsidrant"/>
        <w:rPr>
          <w:noProof/>
        </w:rPr>
      </w:pPr>
      <w:r>
        <w:t>(4)</w:t>
      </w:r>
      <w:r>
        <w:tab/>
      </w:r>
      <w:r>
        <w:rPr>
          <w:noProof/>
        </w:rPr>
        <w:t>Ve společném stanovisku skupiny hlavních vědeckých poradců Evropské komise, Evropské skupiny pro etiku ve vědě a nových technologiích a zvláštního poradce předsedkyně Evropské komise ohledně reakce na COVID-19 se doporučuje „zřízení stálého poradního orgánu EU pro zdravotní hrozby a krize“.</w:t>
      </w:r>
    </w:p>
    <w:p>
      <w:pPr>
        <w:pStyle w:val="ManualConsidrant"/>
        <w:rPr>
          <w:noProof/>
        </w:rPr>
      </w:pPr>
      <w:r>
        <w:t>(5)</w:t>
      </w:r>
      <w:r>
        <w:tab/>
      </w:r>
      <w:r>
        <w:rPr>
          <w:noProof/>
        </w:rPr>
        <w:t xml:space="preserve">Toto nařízení odpovídajícím způsobem rozšiřuje poslání a úkoly střediska s cílem posílit jeho schopnost poskytovat požadované odborné znalosti a podporovat opatření, která jsou relevantní pro prevenci, připravenost, plánování reakce a boj proti vážným </w:t>
      </w:r>
      <w:r>
        <w:rPr>
          <w:noProof/>
        </w:rPr>
        <w:lastRenderedPageBreak/>
        <w:t>přeshraničním zdravotním hrozbám v Unii v souladu s nařízením Evropského parlamentu a Rady (EU).../...</w:t>
      </w:r>
      <w:r>
        <w:rPr>
          <w:rStyle w:val="FootnoteReference"/>
          <w:noProof/>
        </w:rPr>
        <w:footnoteReference w:id="11"/>
      </w:r>
      <w:r>
        <w:rPr>
          <w:noProof/>
        </w:rPr>
        <w:t xml:space="preserve"> [ISC/2020/12524]. </w:t>
      </w:r>
    </w:p>
    <w:p>
      <w:pPr>
        <w:pStyle w:val="ManualConsidrant"/>
        <w:rPr>
          <w:noProof/>
        </w:rPr>
      </w:pPr>
      <w:r>
        <w:t>(6)</w:t>
      </w:r>
      <w:r>
        <w:tab/>
      </w:r>
      <w:r>
        <w:rPr>
          <w:noProof/>
        </w:rPr>
        <w:t>V tomto ohledu by středisko mělo být pověřeno poskytováním epidemiologických informací a jejich analýz, epidemiologickým modelováním a předvídáním, jakož i epidemiologickými prognózami, příslušnými posouzeními rizik a doporučeními, jež stanoví možnosti prevence a kontroly přenosných nemocí. Jeho opatření by měla být v souladu s přístupem „jedno zdraví“ a měla by uznávat propojení mezi zdravím lidí, zvířat a životním prostředím. Měla by sledovat schopnost vnitrostátních systémů zdravotní péče reagovat na hrozby přenosných nemocí, zejména s ohledem na význam těchto informací při přípravě vnitrostátních plánů připravenosti a reakce. Středisko by mělo podporovat provádění opatření financovaných z příslušných programů a nástrojů financování Unie souvisejících s přenosnými nemocemi, poskytovat pokyny pro léčbu a management případů na základě důkladného posouzení nejnovějších důkazů, podporovat reakce na epidemii a šíření nákazy v členských státech a třetích zemích, včetně reakce v terénu, a poskytovat veřejnosti včasné objektivní, spolehlivé a snadno dostupné informace o přenosných nemocech. Středisko by rovněž mělo stanovit jasné postupy pro spolupráci s aktéry v oblasti veřejného zdraví ve třetích zemích, jakož i s mezinárodními organizacemi působícími v oblasti veřejného zdraví, a přispět tak k závazku EU posílit kapacity v oblasti připravenosti a reakce.</w:t>
      </w:r>
    </w:p>
    <w:p>
      <w:pPr>
        <w:pStyle w:val="ManualConsidrant"/>
        <w:rPr>
          <w:noProof/>
        </w:rPr>
      </w:pPr>
      <w:r>
        <w:t>(7)</w:t>
      </w:r>
      <w:r>
        <w:tab/>
      </w:r>
      <w:r>
        <w:rPr>
          <w:noProof/>
        </w:rPr>
        <w:t>V zájmu účinné podpory práce střediska a zajištění plnění jeho poslání by členské státy měly mít za úkol středisku sdělovat údaje o dozoru nad přenosnými nemocemi a dalšími zvláštními zdravotními problémy, jako jsou antimikrobiální rezistence a infekce spojené se zdravotní péčí v souvislosti s přenosnými nemocemi, dostupné vědecké a technické údaje a informace týkající se poslání střediska, středisku oznamovat veškeré vážné přeshraniční zdravotní hrozby, informace o plánování připravenosti a reakce a o kapacitě systémů zdravotní péče a poskytovat relevantní informace, které mohou být užitečné pro koordinaci reakce, jakož i určovat uznávané příslušné subjekty a odborníky v oblasti veřejného zdraví, kteří jsou schopni Unii při reakci na zdravotní hrozby pomáhat.</w:t>
      </w:r>
    </w:p>
    <w:p>
      <w:pPr>
        <w:pStyle w:val="ManualConsidrant"/>
        <w:rPr>
          <w:noProof/>
        </w:rPr>
      </w:pPr>
      <w:r>
        <w:t>(8)</w:t>
      </w:r>
      <w:r>
        <w:tab/>
      </w:r>
      <w:r>
        <w:rPr>
          <w:rStyle w:val="acopre"/>
          <w:noProof/>
        </w:rPr>
        <w:t xml:space="preserve">Aby se posílily činnosti týkající se </w:t>
      </w:r>
      <w:r>
        <w:rPr>
          <w:rStyle w:val="Emphasis"/>
          <w:noProof/>
        </w:rPr>
        <w:t>plánování</w:t>
      </w:r>
      <w:r>
        <w:rPr>
          <w:rStyle w:val="acopre"/>
          <w:noProof/>
        </w:rPr>
        <w:t xml:space="preserve"> připravenosti a </w:t>
      </w:r>
      <w:r>
        <w:rPr>
          <w:rStyle w:val="acopre"/>
          <w:i/>
          <w:iCs/>
          <w:noProof/>
        </w:rPr>
        <w:t>reakce</w:t>
      </w:r>
      <w:r>
        <w:rPr>
          <w:rStyle w:val="acopre"/>
          <w:noProof/>
        </w:rPr>
        <w:t xml:space="preserve"> v Unii,</w:t>
      </w:r>
      <w:r>
        <w:rPr>
          <w:noProof/>
        </w:rPr>
        <w:t xml:space="preserve"> mělo by být provozování specializovaných sítí střediskem a jeho činnost v sítích rozšířeny tak, aby odrážely oblast působnosti nařízení (EU) …/…. [Úř. věst.: </w:t>
      </w:r>
      <w:r>
        <w:rPr>
          <w:i/>
          <w:noProof/>
        </w:rPr>
        <w:t>vložte prosím odkaz</w:t>
      </w:r>
      <w:r>
        <w:rPr>
          <w:noProof/>
        </w:rPr>
        <w:t xml:space="preserve"> na nařízení SCBTH [ISC/2020/12524]]. Za tímto účelem by středisko mělo koordinovat technické a vědecké odborné znalosti a poskytovat je Komisi a členským státům prostřednictvím specializovaných sítí s příslušnými koordinačními subjekty, včetně nově zřízených sítí pro laboratoře a pro podporu transfuze, transplantace a lékařsky asistované reprodukce.</w:t>
      </w:r>
    </w:p>
    <w:p>
      <w:pPr>
        <w:pStyle w:val="ManualConsidrant"/>
        <w:rPr>
          <w:noProof/>
        </w:rPr>
      </w:pPr>
      <w:r>
        <w:t>(9)</w:t>
      </w:r>
      <w:r>
        <w:tab/>
      </w:r>
      <w:r>
        <w:rPr>
          <w:noProof/>
        </w:rPr>
        <w:t xml:space="preserve">S cílem zvýšit účinnost epidemiologického dozoru nad přenosnými nemocemi a souvisejícími zvláštními zdravotními problémy v Unii by středisko mělo být pověřeno dalším rozvojem digitálních platforem a aplikací, přičemž by měl být podpořen epidemiologický dozor na úrovni Unie, umožněno využívání digitálních technologií, jako je umělá inteligence, při shromažďování a analýze údajů, a poskytováno technické a vědecké poradenství členským státům za účelem zavedení integrovaných systémů epidemiologického dozoru. Tyto digitální platformy a aplikace </w:t>
      </w:r>
      <w:r>
        <w:rPr>
          <w:noProof/>
        </w:rPr>
        <w:lastRenderedPageBreak/>
        <w:t>by měly být vyvíjeny s daty EU získanými z integrovaných kosmických systémů s cílem začlenit je do budoucího evropského prostoru pro data z oblasti veřejného zdraví, který se řídí právními předpisy Unie.</w:t>
      </w:r>
    </w:p>
    <w:p>
      <w:pPr>
        <w:pStyle w:val="ManualConsidrant"/>
        <w:rPr>
          <w:noProof/>
        </w:rPr>
      </w:pPr>
      <w:r>
        <w:t>(10)</w:t>
      </w:r>
      <w:r>
        <w:tab/>
      </w:r>
      <w:r>
        <w:rPr>
          <w:noProof/>
        </w:rPr>
        <w:t>V zájmu posílení schopnosti Unie a členských států vyhodnocovat epidemickou situaci a provádět přesné posouzení rizik a na tato rizika reagovat by středisko mělo zejména sledovat trendy v oblasti přenosných nemocí a podávat o nich zprávy, podporovat a usnadňovat reakci založenou na důkazech, poskytovat doporučení pro zlepšení programů prevence a kontroly přenosných nemocí zavedených na vnitrostátní úrovni i na úrovni Unie, sledovat a hodnotit kapacitu vnitrostátních systémů zdravotní péče pro stanovení diagnózy, pro prevenci a léčbu přenosných nemocí, a to i způsobem zohledňujícím rovnost žen a mužů, určit rizikové skupiny obyvatelstva vyžadující specifická opatření, analyzovat souvislost výskytu nemoci se společenskými faktory a faktory životního prostředí a určit rizikové faktory přenosu a závažnosti přenosných nemocí, jakož i priority a potřeby výzkumu. Středisko by mělo spolupracovat s určenými národními kontaktními místy pro dozor a vytvořit síť, která bude středisku v těchto záležitostech strategicky radit a bude podporovat využívání podpůrných odvětví, jako jsou družicová data a služby EU.</w:t>
      </w:r>
    </w:p>
    <w:p>
      <w:pPr>
        <w:pStyle w:val="ManualConsidrant"/>
        <w:rPr>
          <w:noProof/>
        </w:rPr>
      </w:pPr>
      <w:r>
        <w:t>(11)</w:t>
      </w:r>
      <w:r>
        <w:tab/>
      </w:r>
      <w:r>
        <w:rPr>
          <w:noProof/>
        </w:rPr>
        <w:t xml:space="preserve">V rámci Unie by středisko mělo zajištěním provozu sítě referenčních laboratoří Unie v souladu s nařízením (EU).../...[Úř. věst.: </w:t>
      </w:r>
      <w:r>
        <w:rPr>
          <w:i/>
          <w:noProof/>
        </w:rPr>
        <w:t>vložte prosím odkaz na nařízení SCBTH</w:t>
      </w:r>
      <w:r>
        <w:rPr>
          <w:noProof/>
        </w:rPr>
        <w:t xml:space="preserve"> [ISC/2020/12524]] pomoci posílit schopnost </w:t>
      </w:r>
      <w:r>
        <w:rPr>
          <w:rStyle w:val="highlight"/>
          <w:noProof/>
          <w:szCs w:val="24"/>
        </w:rPr>
        <w:t>rozpoznat</w:t>
      </w:r>
      <w:r>
        <w:rPr>
          <w:noProof/>
        </w:rPr>
        <w:t xml:space="preserve">, odhalit, určit a popsat původce infekcí, jež mohou představovat hrozbu pro veřejné zdraví. Tato síť je odpovědná za podporu osvědčených postupů a harmonizaci v oblasti diagnostiky, testovacích metod a používání testů s cílem zajistit jednotný dozor, oznamování a hlášení nemocí, jakož i kvalitnější testování a dozor. </w:t>
      </w:r>
    </w:p>
    <w:p>
      <w:pPr>
        <w:pStyle w:val="ManualConsidrant"/>
        <w:rPr>
          <w:noProof/>
        </w:rPr>
      </w:pPr>
      <w:r>
        <w:t>(12)</w:t>
      </w:r>
      <w:r>
        <w:tab/>
      </w:r>
      <w:r>
        <w:rPr>
          <w:noProof/>
        </w:rPr>
        <w:t xml:space="preserve">V případě přeshraničních zdravotních hrozeb vyplývajících z přenosných nemocí mohou transfuzní a transplantační služby v členských státech poskytnout prostředky pro rychlé vyšetření dárcovské populace a posouzení expozice a imunity vůči nákaze v celé populaci. Aby však uvedené služby ochránily pacienty, kteří potřebují léčbu v podobě látky lidského původu, před přenosem takové přenosné nemoci, jsou závislé na rychlém posouzení rizik ze strany střediska. Toto posouzení rizik slouží jako základ pro vhodné přizpůsobení opatření, kterými se stanoví normy jakosti a bezpečnosti látek lidského původu. Středisko by proto mělo zřídit a provozovat síť vnitrostátních transfuzních a transplantačních služeb a jejich orgánů, které budou sloužit tomuto účelu. </w:t>
      </w:r>
    </w:p>
    <w:p>
      <w:pPr>
        <w:pStyle w:val="ManualConsidrant"/>
        <w:rPr>
          <w:noProof/>
        </w:rPr>
      </w:pPr>
      <w:r>
        <w:t>(13)</w:t>
      </w:r>
      <w:r>
        <w:tab/>
      </w:r>
      <w:r>
        <w:rPr>
          <w:noProof/>
        </w:rPr>
        <w:t xml:space="preserve">S cílem omezit výskyt epidemií a posílit kapacity pro prevenci přenosných nemocí v Unii by středisko mělo vytvořit rámec pro prevenci přenosných nemocí, který se bude zabývat otázkami, jako jsou nemoci, jimž lze předcházet očkováním, antimikrobiální rezistence, zdravotní vzdělávání, zdravotní gramotnost a změna chování. </w:t>
      </w:r>
    </w:p>
    <w:p>
      <w:pPr>
        <w:pStyle w:val="ManualConsidrant"/>
        <w:rPr>
          <w:noProof/>
        </w:rPr>
      </w:pPr>
      <w:r>
        <w:t>(14)</w:t>
      </w:r>
      <w:r>
        <w:tab/>
      </w:r>
      <w:r>
        <w:rPr>
          <w:noProof/>
        </w:rPr>
        <w:t xml:space="preserve">Středisko by mělo zlepšit kapacity v oblasti připravenosti a reakce na vnitrostátní úrovni a na úrovni Unie tím, že bude členským státům a Komisi poskytovat odborné vědecké a technické posudky. V této souvislosti by středisko mělo v úzké spolupráci s členskými státy a Komisí provádět různá opatření, včetně vypracování unijních a vnitrostátních plánů připravenosti a reakce a rámců pro sledování a hodnocení připravenosti, poskytovat doporučení ohledně kapacit pro prevenci šíření nákazy, pro přípravu a reakci na taková šíření a ohledně posílení vnitrostátních systémů zdravotní péče. Středisko by mělo rozšířit svůj sběr a analýzu údajů, pokud jde o epidemiologický dozor a související zvláštní zdravotní problémy, vývoj </w:t>
      </w:r>
      <w:r>
        <w:rPr>
          <w:noProof/>
        </w:rPr>
        <w:lastRenderedPageBreak/>
        <w:t xml:space="preserve">epidemických situací, neobvyklé epidemické jevy nebo nové nemoci neznámého původu, a to i ve třetích zemích, údaje o molekulárních patogenech a údaje o systémech zdravotní péče. Za tímto účelem by středisko mělo zajistit vhodné soubory údajů, jakož i postupy usnadňující konzultace a předávání údajů a přístup k nim, provádět vědecké a technické hodnocení preventivních a kontrolních opatření na úrovni Unie a spolupracovat s agenturami, příslušnými subjekty a organizacemi působícími v oblasti sběru údajů. </w:t>
      </w:r>
    </w:p>
    <w:p>
      <w:pPr>
        <w:pStyle w:val="ManualConsidrant"/>
        <w:rPr>
          <w:noProof/>
        </w:rPr>
      </w:pPr>
      <w:r>
        <w:t>(15)</w:t>
      </w:r>
      <w:r>
        <w:tab/>
      </w:r>
      <w:r>
        <w:rPr>
          <w:noProof/>
        </w:rPr>
        <w:t>Nařízení .../... [</w:t>
      </w:r>
      <w:r>
        <w:rPr>
          <w:i/>
          <w:noProof/>
        </w:rPr>
        <w:t>Úř. věst.: vložte prosím odkaz na nařízení SCBTH</w:t>
      </w:r>
      <w:r>
        <w:rPr>
          <w:noProof/>
        </w:rPr>
        <w:t xml:space="preserve"> [ISC/2020/12524]] stanoví systém včasného</w:t>
      </w:r>
      <w:r>
        <w:rPr>
          <w:noProof/>
          <w:color w:val="FF0000"/>
        </w:rPr>
        <w:t xml:space="preserve"> </w:t>
      </w:r>
      <w:r>
        <w:rPr>
          <w:noProof/>
        </w:rPr>
        <w:t>varování a reakce, který umožňuje na úrovni Unie vydávat varovná hlášení týkající se vážných přeshraničních zdravotních hrozeb a který je nadále provozován střediskem ECDC. Vzhledem k tomu, že moderní technologie mohou významně podpořit boj proti zdravotním hrozbám a omezit a zvrátit epidemie, mělo by středisko ECDC pracovat na aktualizaci tohoto systému, aby bylo možné používat technologie umělé inteligence a interoperabilní digitální nástroje, jako jsou mobilní aplikace, které chrání soukromí a zároveň nabízejí funkce vysledování kontaktů pro účely identifikace ohrožených jedinců.</w:t>
      </w:r>
    </w:p>
    <w:p>
      <w:pPr>
        <w:pStyle w:val="ManualConsidrant"/>
        <w:rPr>
          <w:noProof/>
        </w:rPr>
      </w:pPr>
      <w:r>
        <w:t>(16)</w:t>
      </w:r>
      <w:r>
        <w:tab/>
      </w:r>
      <w:r>
        <w:rPr>
          <w:noProof/>
        </w:rPr>
        <w:t>Středisko by mělo stanovit vhodné kapacity na podporu mezinárodní reakce a reakce v terénu v souladu s nařízením .../... [</w:t>
      </w:r>
      <w:r>
        <w:rPr>
          <w:i/>
          <w:noProof/>
        </w:rPr>
        <w:t>Úř. věst.: vložte prosím odkaz na nařízení SCBTH</w:t>
      </w:r>
      <w:r>
        <w:rPr>
          <w:noProof/>
        </w:rPr>
        <w:t xml:space="preserve"> [ISC/2020/12524]]. Tyto kapacity by středisku měly umožnit, aby zmobilizovalo a rozmístilo týmy pro pomoc při šíření nákazy, které jsou známé jako „pracovní skupina EU pro oblast zdraví“ a které pomáhají při místní reakci na šíření nákazy. Středisko by proto mělo zajistit kapacitu pro provádění misí v členských státech i ve třetích zemích a vydávat doporučení týkající se reakce na zdravotní hrozby. Tyto týmy bude rovněž možno vyslat v rámci mechanismu civilní ochrany Unie s podporou Střediska pro koordinaci odezvy na mimořádné události. Středisko by mělo také podporovat posilování kapacit v oblasti připravenosti podle Mezinárodních zdravotnických předpisů (MZP) ve třetích zemích s cílem řešit vážné přeshraniční zdravotní hrozby a jejich důsledky.</w:t>
      </w:r>
    </w:p>
    <w:p>
      <w:pPr>
        <w:pStyle w:val="ManualConsidrant"/>
        <w:rPr>
          <w:noProof/>
        </w:rPr>
      </w:pPr>
      <w:r>
        <w:t>(17)</w:t>
      </w:r>
      <w:r>
        <w:tab/>
      </w:r>
      <w:r>
        <w:rPr>
          <w:noProof/>
        </w:rPr>
        <w:t>Pro účely poskytování pomoci při reakcích na nákazy, které se mohou šířit uvnitř Unie nebo do Unie, má středisko vytvořit rámec pro mobilizaci pracovní skupiny EU pro oblast zdraví v souladu s rozhodnutím Evropského parlamentu a Rady č. 1313/2013/EU</w:t>
      </w:r>
      <w:r>
        <w:rPr>
          <w:rStyle w:val="FootnoteReference"/>
          <w:noProof/>
        </w:rPr>
        <w:footnoteReference w:id="12"/>
      </w:r>
      <w:r>
        <w:rPr>
          <w:noProof/>
        </w:rPr>
        <w:t xml:space="preserve"> a usnadnit účast odborníků Unie na reakce v terénu v mezinárodních zásahových týmech na podporu mechanismu civilní ochrany Unie. Středisko by mělo posílit schopnost svých zaměstnanců, jakož i odborníků ze zemí Unie a EHP, kandidátských zemí a potenciálních kandidátských zemí, jakož i zemí evropské politiky sousedství a partnerských zemí EU podle nařízení Evropského parlamentu a Rady (EU) č. 233/2014</w:t>
      </w:r>
      <w:r>
        <w:rPr>
          <w:rStyle w:val="FootnoteReference"/>
          <w:noProof/>
        </w:rPr>
        <w:footnoteReference w:id="13"/>
      </w:r>
      <w:r>
        <w:rPr>
          <w:noProof/>
        </w:rPr>
        <w:t>, s cílem účinně se účastnit místních misí a řešení krizí.</w:t>
      </w:r>
    </w:p>
    <w:p>
      <w:pPr>
        <w:pStyle w:val="ManualConsidrant"/>
        <w:rPr>
          <w:noProof/>
        </w:rPr>
      </w:pPr>
      <w:r>
        <w:t>(18)</w:t>
      </w:r>
      <w:r>
        <w:tab/>
      </w:r>
      <w:r>
        <w:rPr>
          <w:noProof/>
        </w:rPr>
        <w:t xml:space="preserve">Za účelem posouzení účinnosti a účelnosti právních předpisů vztahujících se na středisko je vhodné stanovit pravidelné hodnocení výkonnosti střediska ze strany Komise. </w:t>
      </w:r>
    </w:p>
    <w:p>
      <w:pPr>
        <w:pStyle w:val="ManualConsidrant"/>
        <w:rPr>
          <w:noProof/>
        </w:rPr>
      </w:pPr>
      <w:r>
        <w:t>(19)</w:t>
      </w:r>
      <w:r>
        <w:tab/>
      </w:r>
      <w:r>
        <w:rPr>
          <w:noProof/>
        </w:rPr>
        <w:t>Tímto nařízením by neměly být středisku svěřeny žádné regulační pravomoci.</w:t>
      </w:r>
    </w:p>
    <w:p>
      <w:pPr>
        <w:pStyle w:val="ManualConsidrant"/>
        <w:rPr>
          <w:noProof/>
          <w:szCs w:val="24"/>
        </w:rPr>
      </w:pPr>
      <w:r>
        <w:lastRenderedPageBreak/>
        <w:t>(20)</w:t>
      </w:r>
      <w:r>
        <w:tab/>
      </w:r>
      <w:r>
        <w:rPr>
          <w:noProof/>
        </w:rPr>
        <w:t>Středisko by mělo zavést informační systém umožňující výměnu utajovaných a citlivých neutajovaných informací, aby se zajistilo, že tyto informace budou spravovány s nejvyšší diskrétností.</w:t>
      </w:r>
    </w:p>
    <w:p>
      <w:pPr>
        <w:pStyle w:val="ManualConsidrant"/>
        <w:rPr>
          <w:noProof/>
        </w:rPr>
      </w:pPr>
      <w:r>
        <w:t>(21)</w:t>
      </w:r>
      <w:r>
        <w:tab/>
      </w:r>
      <w:r>
        <w:rPr>
          <w:noProof/>
        </w:rPr>
        <w:t>Vzhledem k naléhavosti vyplývající z mimořádných okolností způsobených pandemií COVID-19 se považuje za vhodné stanovit výjimku ze lhůty osmi týdnů uvedené v článku 4 Protokolu č. 1 o úloze vnitrostátních parlamentů v Evropské unii, připojeného ke Smlouvě o Evropské unii, Smlouvě o fungování Evropské unie a Smlouvě o založení Evropského společenství pro atomovou energii.</w:t>
      </w:r>
    </w:p>
    <w:p>
      <w:pPr>
        <w:pStyle w:val="ManualConsidrant"/>
        <w:rPr>
          <w:noProof/>
        </w:rPr>
      </w:pPr>
      <w:r>
        <w:t>(22)</w:t>
      </w:r>
      <w:r>
        <w:tab/>
      </w:r>
      <w:r>
        <w:rPr>
          <w:noProof/>
        </w:rPr>
        <w:t>Jelikož cílů tohoto nařízení, kterými je rozšíření poslání a úkolů střediska za účelem zvýšení jeho schopnosti poskytovat požadované vědecké znalosti a podporovat činnosti zaměřené na boj proti vážným</w:t>
      </w:r>
      <w:r>
        <w:rPr>
          <w:i/>
          <w:noProof/>
        </w:rPr>
        <w:t xml:space="preserve"> </w:t>
      </w:r>
      <w:r>
        <w:rPr>
          <w:noProof/>
        </w:rPr>
        <w:t>přeshraničním zdravotním hrozbám v Unii, nemůže být uspokojivě dosaženo členskými státy, ale spíše jich může být dosaženo na úrovni Unie, a to z důvodu přeshraniční povahy zdravotních hrozeb a potřeby rychlé, koordinované a soudržné reakce, může Unie přijmout opatření v souladu se zásadou subsidiarity stanovenou v článku 5 Smlouvy o Evropské unii. V souladu se zásadou proporcionality stanovenou v uvedeném článku nepřekračuje toto nařízení rámec toho, co je nezbytné pro dosažení uvedených cílů.</w:t>
      </w:r>
    </w:p>
    <w:p>
      <w:pPr>
        <w:pStyle w:val="ManualConsidrant"/>
        <w:rPr>
          <w:noProof/>
        </w:rPr>
      </w:pPr>
      <w:r>
        <w:t>(23)</w:t>
      </w:r>
      <w:r>
        <w:tab/>
      </w:r>
      <w:r>
        <w:rPr>
          <w:noProof/>
        </w:rPr>
        <w:t>Nařízení (ES) č. 851/2004 by proto mělo být změněno,</w:t>
      </w:r>
    </w:p>
    <w:p>
      <w:pPr>
        <w:pStyle w:val="Formuledadoption"/>
        <w:rPr>
          <w:noProof/>
        </w:rPr>
      </w:pPr>
      <w:r>
        <w:rPr>
          <w:noProof/>
        </w:rPr>
        <w:t>PŘIJALY TOTO NAŘÍZENÍ:</w:t>
      </w:r>
    </w:p>
    <w:p>
      <w:pPr>
        <w:pStyle w:val="Titrearticle"/>
        <w:rPr>
          <w:i w:val="0"/>
          <w:noProof/>
        </w:rPr>
      </w:pPr>
      <w:r>
        <w:rPr>
          <w:noProof/>
        </w:rPr>
        <w:t>Článek 1</w:t>
      </w:r>
    </w:p>
    <w:p>
      <w:pPr>
        <w:jc w:val="left"/>
        <w:rPr>
          <w:noProof/>
        </w:rPr>
      </w:pPr>
      <w:r>
        <w:rPr>
          <w:noProof/>
        </w:rPr>
        <w:t>Nařízení (ES) č. 851/2004 se mění takto:</w:t>
      </w:r>
    </w:p>
    <w:p>
      <w:pPr>
        <w:pStyle w:val="Point0"/>
        <w:rPr>
          <w:noProof/>
        </w:rPr>
      </w:pPr>
      <w:r>
        <w:rPr>
          <w:noProof/>
        </w:rPr>
        <w:t>1)</w:t>
      </w:r>
      <w:r>
        <w:rPr>
          <w:noProof/>
        </w:rPr>
        <w:tab/>
        <w:t>Článek 2 se nahrazuje tímto:</w:t>
      </w:r>
    </w:p>
    <w:p>
      <w:pPr>
        <w:pStyle w:val="Text1"/>
        <w:rPr>
          <w:i/>
          <w:noProof/>
        </w:rPr>
      </w:pPr>
      <w:r>
        <w:rPr>
          <w:noProof/>
        </w:rPr>
        <w:t>„</w:t>
      </w:r>
    </w:p>
    <w:p>
      <w:pPr>
        <w:pStyle w:val="Titrearticle"/>
        <w:rPr>
          <w:noProof/>
        </w:rPr>
      </w:pPr>
      <w:r>
        <w:rPr>
          <w:noProof/>
        </w:rPr>
        <w:t>Článek 2</w:t>
      </w:r>
    </w:p>
    <w:p>
      <w:pPr>
        <w:jc w:val="center"/>
        <w:rPr>
          <w:b/>
          <w:noProof/>
        </w:rPr>
      </w:pPr>
      <w:r>
        <w:rPr>
          <w:b/>
          <w:noProof/>
        </w:rPr>
        <w:t>Definice</w:t>
      </w:r>
    </w:p>
    <w:p>
      <w:pPr>
        <w:pStyle w:val="Text1"/>
        <w:rPr>
          <w:noProof/>
        </w:rPr>
      </w:pPr>
      <w:r>
        <w:rPr>
          <w:noProof/>
        </w:rPr>
        <w:t>Pro účely tohoto nařízení se:</w:t>
      </w:r>
    </w:p>
    <w:p>
      <w:pPr>
        <w:pStyle w:val="Point1"/>
        <w:rPr>
          <w:noProof/>
        </w:rPr>
      </w:pPr>
      <w:r>
        <w:rPr>
          <w:noProof/>
        </w:rPr>
        <w:t>1)</w:t>
      </w:r>
      <w:r>
        <w:rPr>
          <w:noProof/>
        </w:rPr>
        <w:tab/>
        <w:t xml:space="preserve">„příslušným subjektem“ rozumějí všechny struktury, instituce, agentury nebo jiné vědecké subjekty, které jsou orgány členských států uznávány za poskytovatele nezávislého vědeckého či technického poradenství nebo jsou akceschopné v oblasti prevence a kontroly lidských nemocí; </w:t>
      </w:r>
    </w:p>
    <w:p>
      <w:pPr>
        <w:pStyle w:val="Point1"/>
        <w:rPr>
          <w:noProof/>
        </w:rPr>
      </w:pPr>
      <w:r>
        <w:rPr>
          <w:noProof/>
        </w:rPr>
        <w:t>2)</w:t>
      </w:r>
      <w:r>
        <w:rPr>
          <w:noProof/>
        </w:rPr>
        <w:tab/>
        <w:t xml:space="preserve">„příslušným koordinačním subjektem“ rozumějí subjekty v každém členském státě s určeným národním koordinátorem odpovědným za institucionální kontakty se střediskem, jakož i národní kontaktní místa a operativní kontaktní místa odpovědná za strategickou a operativní spolupráci v technických a vědeckých otázkách týkajících se konkrétních kategorií nemocí a funkcí v oblasti veřejného zdraví; </w:t>
      </w:r>
    </w:p>
    <w:p>
      <w:pPr>
        <w:pStyle w:val="Point1"/>
        <w:rPr>
          <w:noProof/>
        </w:rPr>
      </w:pPr>
      <w:r>
        <w:rPr>
          <w:noProof/>
        </w:rPr>
        <w:t>3)</w:t>
      </w:r>
      <w:r>
        <w:rPr>
          <w:noProof/>
        </w:rPr>
        <w:tab/>
        <w:t xml:space="preserve">„specializovanou sítí“ rozumějí všechny zvláštní sítě pro nemoci, zvláštní zdravotní problémy nebo funkce v oblasti veřejného zdraví s cílem zajistit spolupráci mezi příslušnými koordinačními subjekty členských států; </w:t>
      </w:r>
    </w:p>
    <w:p>
      <w:pPr>
        <w:pStyle w:val="Point1"/>
        <w:rPr>
          <w:noProof/>
          <w:color w:val="FF0000"/>
        </w:rPr>
      </w:pPr>
      <w:r>
        <w:rPr>
          <w:noProof/>
        </w:rPr>
        <w:t>4)</w:t>
      </w:r>
      <w:r>
        <w:rPr>
          <w:noProof/>
        </w:rPr>
        <w:tab/>
        <w:t xml:space="preserve">„přenosnou nemocí“ rozumí přenosná nemoc ve smyslu čl. 3 bodu 2 </w:t>
      </w:r>
      <w:r>
        <w:rPr>
          <w:noProof/>
          <w:color w:val="FF0000"/>
        </w:rPr>
        <w:t>nařízení (EU).../... [</w:t>
      </w:r>
      <w:r>
        <w:rPr>
          <w:i/>
          <w:noProof/>
          <w:color w:val="FF0000"/>
        </w:rPr>
        <w:t xml:space="preserve">Úř. věst.: vložte prosím číslo nařízení SCBTH </w:t>
      </w:r>
      <w:r>
        <w:rPr>
          <w:noProof/>
          <w:color w:val="FF0000"/>
        </w:rPr>
        <w:t>[ISC/2020/12524]]</w:t>
      </w:r>
      <w:r>
        <w:rPr>
          <w:noProof/>
        </w:rPr>
        <w:t>;</w:t>
      </w:r>
    </w:p>
    <w:p>
      <w:pPr>
        <w:pStyle w:val="Point1"/>
        <w:rPr>
          <w:noProof/>
        </w:rPr>
      </w:pPr>
      <w:r>
        <w:rPr>
          <w:noProof/>
        </w:rPr>
        <w:lastRenderedPageBreak/>
        <w:t>5)</w:t>
      </w:r>
      <w:r>
        <w:rPr>
          <w:noProof/>
        </w:rPr>
        <w:tab/>
        <w:t xml:space="preserve">„vážnou přeshraniční zdravotní hrozbou“ vážná přeshraniční zdravotní hrozba ve smyslu čl. 3 bodu 7 </w:t>
      </w:r>
      <w:r>
        <w:rPr>
          <w:noProof/>
          <w:color w:val="FF0000"/>
        </w:rPr>
        <w:t>nařízení (EU) .../... [</w:t>
      </w:r>
      <w:r>
        <w:rPr>
          <w:i/>
          <w:noProof/>
          <w:color w:val="FF0000"/>
        </w:rPr>
        <w:t xml:space="preserve">Úř. věst.: vložte prosím číslo nařízení SCBTH </w:t>
      </w:r>
      <w:r>
        <w:rPr>
          <w:noProof/>
          <w:color w:val="FF0000"/>
        </w:rPr>
        <w:t>[ISC/2020/12524]]</w:t>
      </w:r>
      <w:r>
        <w:rPr>
          <w:noProof/>
        </w:rPr>
        <w:t>;</w:t>
      </w:r>
    </w:p>
    <w:p>
      <w:pPr>
        <w:pStyle w:val="Point1"/>
        <w:rPr>
          <w:noProof/>
        </w:rPr>
      </w:pPr>
      <w:r>
        <w:rPr>
          <w:noProof/>
        </w:rPr>
        <w:t>6)</w:t>
      </w:r>
      <w:r>
        <w:rPr>
          <w:noProof/>
        </w:rPr>
        <w:tab/>
        <w:t xml:space="preserve">„epidemiologickým dozorem“ epidemiologický dozor ve smyslu čl. 3 bodu 4 </w:t>
      </w:r>
      <w:r>
        <w:rPr>
          <w:noProof/>
          <w:color w:val="FF0000"/>
        </w:rPr>
        <w:t>nařízení (EU) .../... [</w:t>
      </w:r>
      <w:r>
        <w:rPr>
          <w:i/>
          <w:noProof/>
          <w:color w:val="FF0000"/>
        </w:rPr>
        <w:t xml:space="preserve">Úř. věst.: vložte prosím číslo nařízení SCBTH </w:t>
      </w:r>
      <w:r>
        <w:rPr>
          <w:noProof/>
          <w:color w:val="FF0000"/>
        </w:rPr>
        <w:t>[ISC/2020/12524]]</w:t>
      </w:r>
      <w:r>
        <w:rPr>
          <w:noProof/>
        </w:rPr>
        <w:t>. “;</w:t>
      </w:r>
    </w:p>
    <w:p>
      <w:pPr>
        <w:pStyle w:val="Point0"/>
        <w:rPr>
          <w:noProof/>
        </w:rPr>
      </w:pPr>
      <w:r>
        <w:rPr>
          <w:noProof/>
        </w:rPr>
        <w:t>2)</w:t>
      </w:r>
      <w:r>
        <w:rPr>
          <w:noProof/>
        </w:rPr>
        <w:tab/>
        <w:t xml:space="preserve">Článek 3 se nahrazuje tímto: </w:t>
      </w:r>
    </w:p>
    <w:p>
      <w:pPr>
        <w:pStyle w:val="Titrearticle"/>
        <w:rPr>
          <w:b/>
          <w:i w:val="0"/>
          <w:noProof/>
        </w:rPr>
      </w:pPr>
      <w:r>
        <w:rPr>
          <w:noProof/>
        </w:rPr>
        <w:t>„Článek 3</w:t>
      </w:r>
    </w:p>
    <w:p>
      <w:pPr>
        <w:jc w:val="center"/>
        <w:rPr>
          <w:noProof/>
        </w:rPr>
      </w:pPr>
      <w:r>
        <w:rPr>
          <w:b/>
          <w:noProof/>
        </w:rPr>
        <w:t>Poslání a úkoly střediska</w:t>
      </w:r>
    </w:p>
    <w:p>
      <w:pPr>
        <w:pStyle w:val="Point1"/>
        <w:rPr>
          <w:noProof/>
        </w:rPr>
      </w:pPr>
      <w:r>
        <w:rPr>
          <w:noProof/>
        </w:rPr>
        <w:t>1.</w:t>
      </w:r>
      <w:r>
        <w:rPr>
          <w:noProof/>
        </w:rPr>
        <w:tab/>
        <w:t xml:space="preserve">V zájmu zvýšení schopnosti Unie a členských států chránit lidské zdraví prevencí a kontrolou přenosných nemocí u lidí a souvisejících zvláštních zdravotních problémů uvedených v článku 2 nařízení </w:t>
      </w:r>
      <w:r>
        <w:rPr>
          <w:noProof/>
          <w:color w:val="FF0000"/>
        </w:rPr>
        <w:t>(EU) …/… [</w:t>
      </w:r>
      <w:r>
        <w:rPr>
          <w:i/>
          <w:noProof/>
          <w:color w:val="FF0000"/>
        </w:rPr>
        <w:t xml:space="preserve">Úř. věst.: vložte prosím číslo nařízení SCBTH </w:t>
      </w:r>
      <w:r>
        <w:rPr>
          <w:noProof/>
          <w:color w:val="FF0000"/>
        </w:rPr>
        <w:t>[ISC/2020/12524]]</w:t>
      </w:r>
      <w:r>
        <w:rPr>
          <w:noProof/>
        </w:rPr>
        <w:t xml:space="preserve"> je posláním střediska rozpoznávat, posuzovat a oznamovat stávající nebo vznikající hrozby pro lidské zdraví vyplývající z přenosných nemocí a vydávat doporučení pro reakci na unijní, vnitrostátní a případně na regionální úrovni. </w:t>
      </w:r>
    </w:p>
    <w:p>
      <w:pPr>
        <w:pStyle w:val="Text2"/>
        <w:rPr>
          <w:noProof/>
        </w:rPr>
      </w:pPr>
      <w:r>
        <w:rPr>
          <w:noProof/>
        </w:rPr>
        <w:t xml:space="preserve">V případě dalšího šíření nemocí neznámého původu uvnitř Unie nebo do Unie může středisko jednat z vlastního podnětu, dokud nebude znám zdroj nákazy. V případě šíření nákazy, jež zřejmě není vyvoláno přenosnou nemocí, jedná středisko pouze ve spolupráci s příslušným subjektem a na jeho žádost. </w:t>
      </w:r>
    </w:p>
    <w:p>
      <w:pPr>
        <w:pStyle w:val="Text2"/>
        <w:rPr>
          <w:noProof/>
        </w:rPr>
      </w:pPr>
      <w:r>
        <w:rPr>
          <w:noProof/>
        </w:rPr>
        <w:t>Při plnění svého poslání středisko bere plně v úvahu odpovědnosti členských států, Komise a dalších subjektů nebo agentur Unie a odpovědnosti mezinárodních organizací činných v oblasti veřejného zdraví tak, aby byla zajištěna úplnost, součinnost a vzájemné doplňování akcí.</w:t>
      </w:r>
    </w:p>
    <w:p>
      <w:pPr>
        <w:pStyle w:val="Point1"/>
        <w:rPr>
          <w:noProof/>
        </w:rPr>
      </w:pPr>
      <w:r>
        <w:rPr>
          <w:noProof/>
        </w:rPr>
        <w:t>2.</w:t>
      </w:r>
      <w:r>
        <w:rPr>
          <w:noProof/>
        </w:rPr>
        <w:tab/>
        <w:t xml:space="preserve">V rámci své finanční kapacity a mandátu plní středisko následující úkoly: </w:t>
      </w:r>
    </w:p>
    <w:p>
      <w:pPr>
        <w:pStyle w:val="Point2"/>
        <w:rPr>
          <w:noProof/>
        </w:rPr>
      </w:pPr>
      <w:r>
        <w:rPr>
          <w:noProof/>
        </w:rPr>
        <w:t>a)</w:t>
      </w:r>
      <w:r>
        <w:rPr>
          <w:noProof/>
        </w:rPr>
        <w:tab/>
        <w:t>vyhledává, sbírá, třídí, vyhodnocuje a rozšiřuje odpovídající vědecké a technické údaje a informace, a to s ohledem na nejnovější technologie;</w:t>
      </w:r>
    </w:p>
    <w:p>
      <w:pPr>
        <w:pStyle w:val="Point2"/>
        <w:rPr>
          <w:noProof/>
        </w:rPr>
      </w:pPr>
      <w:r>
        <w:rPr>
          <w:noProof/>
        </w:rPr>
        <w:t>b)</w:t>
      </w:r>
      <w:r>
        <w:rPr>
          <w:noProof/>
        </w:rPr>
        <w:tab/>
        <w:t>poskytuje analýzy, vědecké poradenství, stanoviska a podporu pro činnosti Unie a členských států týkající se přeshraničních zdravotních hrozeb, včetně posouzení rizik, analýzy epidemiologických informací, epidemiologického modelování, předvídání a prognózy, doporučení pro činnosti k prevenci a kontrole hrozeb vyplývajících z přenosných nemocí a dalších zvláštních zdravotních problémů, přispívání k určování priorit výzkumu a vědecké a technické pomoci včetně vzdělávání a další činnosti v rámci svého mandátu;</w:t>
      </w:r>
    </w:p>
    <w:p>
      <w:pPr>
        <w:pStyle w:val="Point2"/>
        <w:rPr>
          <w:noProof/>
        </w:rPr>
      </w:pPr>
      <w:r>
        <w:rPr>
          <w:noProof/>
        </w:rPr>
        <w:t>c)</w:t>
      </w:r>
      <w:r>
        <w:rPr>
          <w:noProof/>
        </w:rPr>
        <w:tab/>
        <w:t>koordinuje vytváření evropských sítí subjektů, které působí v oblastech spadajících do rozsahu poslání střediska, včetně sítí vzniklých při činnostech v oblasti veřejného zdraví podporovaných Komisí, a které provozují specializované sítě;</w:t>
      </w:r>
    </w:p>
    <w:p>
      <w:pPr>
        <w:pStyle w:val="Point2"/>
        <w:rPr>
          <w:noProof/>
        </w:rPr>
      </w:pPr>
      <w:r>
        <w:rPr>
          <w:noProof/>
        </w:rPr>
        <w:t>d)</w:t>
      </w:r>
      <w:r>
        <w:rPr>
          <w:noProof/>
        </w:rPr>
        <w:tab/>
        <w:t xml:space="preserve">vyměňuje informace, odborné znalosti a osvědčené postupy; </w:t>
      </w:r>
    </w:p>
    <w:p>
      <w:pPr>
        <w:pStyle w:val="Point2"/>
        <w:rPr>
          <w:noProof/>
        </w:rPr>
      </w:pPr>
      <w:r>
        <w:rPr>
          <w:noProof/>
        </w:rPr>
        <w:t>e)</w:t>
      </w:r>
      <w:r>
        <w:rPr>
          <w:noProof/>
        </w:rPr>
        <w:tab/>
        <w:t>sleduje kapacitu systémů zdravotní péče, pokud jde o zvládání hrozeb vyplývajících z přenosných nemocí a dalších zvláštních zdravotních problémů;</w:t>
      </w:r>
    </w:p>
    <w:p>
      <w:pPr>
        <w:pStyle w:val="Point2"/>
        <w:rPr>
          <w:noProof/>
        </w:rPr>
      </w:pPr>
      <w:r>
        <w:rPr>
          <w:noProof/>
        </w:rPr>
        <w:lastRenderedPageBreak/>
        <w:t>f)</w:t>
      </w:r>
      <w:r>
        <w:rPr>
          <w:noProof/>
        </w:rPr>
        <w:tab/>
        <w:t>usnadňuje vývoj a provádění akcí financovaných z příslušných programů a nástrojů Unie, včetně provádění společných akcí;</w:t>
      </w:r>
    </w:p>
    <w:p>
      <w:pPr>
        <w:pStyle w:val="Point2"/>
        <w:rPr>
          <w:noProof/>
        </w:rPr>
      </w:pPr>
      <w:r>
        <w:rPr>
          <w:noProof/>
        </w:rPr>
        <w:t>g)</w:t>
      </w:r>
      <w:r>
        <w:rPr>
          <w:noProof/>
        </w:rPr>
        <w:tab/>
        <w:t>ve spolupráci s příslušnými společnostmi poskytuje na žádost Komise nebo Výboru pro zdravotní bezpečnost (dále jen „HSC“) nebo z vlastní iniciativy pokyny pro léčbu a management případů přenosných nemocí a dalších zvláštních zdravotních problémů týkajících se veřejného zdraví;</w:t>
      </w:r>
    </w:p>
    <w:p>
      <w:pPr>
        <w:pStyle w:val="Point2"/>
        <w:rPr>
          <w:noProof/>
        </w:rPr>
      </w:pPr>
      <w:r>
        <w:rPr>
          <w:noProof/>
        </w:rPr>
        <w:t>h)</w:t>
      </w:r>
      <w:r>
        <w:rPr>
          <w:noProof/>
        </w:rPr>
        <w:tab/>
        <w:t xml:space="preserve">podporuje reakce na epidemii a na šíření nákazy v členských státech a třetích zemích, přičemž doplňuje další nástroje Unie pro mimořádnou reakci, zejména mechanismus civilní ochrany Unie; </w:t>
      </w:r>
    </w:p>
    <w:p>
      <w:pPr>
        <w:pStyle w:val="Point2"/>
        <w:rPr>
          <w:noProof/>
        </w:rPr>
      </w:pPr>
      <w:r>
        <w:rPr>
          <w:noProof/>
        </w:rPr>
        <w:t>i)</w:t>
      </w:r>
      <w:r>
        <w:rPr>
          <w:noProof/>
        </w:rPr>
        <w:tab/>
        <w:t>přispívá k posilování kapacit v oblasti připravenosti podle MZP ve třetích zemích, zejména v partnerských zemích EU;</w:t>
      </w:r>
    </w:p>
    <w:p>
      <w:pPr>
        <w:pStyle w:val="Point2"/>
        <w:rPr>
          <w:noProof/>
        </w:rPr>
      </w:pPr>
      <w:r>
        <w:rPr>
          <w:noProof/>
        </w:rPr>
        <w:t>j)</w:t>
      </w:r>
      <w:r>
        <w:rPr>
          <w:noProof/>
        </w:rPr>
        <w:tab/>
        <w:t>poskytuje veřejnosti na žádost Komise nebo výboru HSC komunikační zprávy, které jsou založeny na důkazech a které se týkají přenosných nemocí, zdravotních hrozeb v souvislosti s uvedenými nemocemi a příslušných preventivních a kontrolních opatření.</w:t>
      </w:r>
    </w:p>
    <w:p>
      <w:pPr>
        <w:pStyle w:val="Point1"/>
        <w:rPr>
          <w:noProof/>
        </w:rPr>
      </w:pPr>
      <w:r>
        <w:rPr>
          <w:noProof/>
        </w:rPr>
        <w:t>3.</w:t>
      </w:r>
      <w:r>
        <w:rPr>
          <w:noProof/>
        </w:rPr>
        <w:tab/>
        <w:t>Středisko, Komise, příslušné subjekty Unie či agentury EU a členské státy spolupracují, aby podpořily účinnou soudržnost mezi svými činnostmi.“;</w:t>
      </w:r>
    </w:p>
    <w:p>
      <w:pPr>
        <w:pStyle w:val="Point0"/>
        <w:rPr>
          <w:noProof/>
        </w:rPr>
      </w:pPr>
      <w:r>
        <w:rPr>
          <w:noProof/>
        </w:rPr>
        <w:t>3)</w:t>
      </w:r>
      <w:r>
        <w:rPr>
          <w:noProof/>
        </w:rPr>
        <w:tab/>
        <w:t>Článek 4 se nahrazuje tímto:</w:t>
      </w:r>
    </w:p>
    <w:p>
      <w:pPr>
        <w:pStyle w:val="Titrearticle"/>
        <w:rPr>
          <w:b/>
          <w:noProof/>
        </w:rPr>
      </w:pPr>
      <w:r>
        <w:rPr>
          <w:noProof/>
        </w:rPr>
        <w:t>„Článek 4</w:t>
      </w:r>
    </w:p>
    <w:p>
      <w:pPr>
        <w:jc w:val="center"/>
        <w:rPr>
          <w:b/>
          <w:noProof/>
        </w:rPr>
      </w:pPr>
      <w:r>
        <w:rPr>
          <w:b/>
          <w:noProof/>
        </w:rPr>
        <w:t>Povinnosti členských států</w:t>
      </w:r>
    </w:p>
    <w:p>
      <w:pPr>
        <w:pStyle w:val="Text1"/>
        <w:rPr>
          <w:noProof/>
        </w:rPr>
      </w:pPr>
      <w:r>
        <w:rPr>
          <w:noProof/>
        </w:rPr>
        <w:t>Členské státy:</w:t>
      </w:r>
    </w:p>
    <w:p>
      <w:pPr>
        <w:pStyle w:val="Point1"/>
        <w:rPr>
          <w:noProof/>
        </w:rPr>
      </w:pPr>
      <w:r>
        <w:rPr>
          <w:noProof/>
        </w:rPr>
        <w:t>a)</w:t>
      </w:r>
      <w:r>
        <w:rPr>
          <w:noProof/>
        </w:rPr>
        <w:tab/>
        <w:t xml:space="preserve">sdělují středisku včas a podle odsouhlasených definic případů, ukazatelů, norem, protokolů a postupů údaje o dozoru nad přenosnými nemocemi a dalšími zvláštními zdravotními problémy podle článku 13 </w:t>
      </w:r>
      <w:r>
        <w:rPr>
          <w:noProof/>
          <w:color w:val="FF0000"/>
        </w:rPr>
        <w:t>nařízení (EU) …/… [</w:t>
      </w:r>
      <w:r>
        <w:rPr>
          <w:i/>
          <w:noProof/>
          <w:color w:val="FF0000"/>
        </w:rPr>
        <w:t xml:space="preserve">Úř. věst.: vložte prosím číslo nařízení SCBTH </w:t>
      </w:r>
      <w:r>
        <w:rPr>
          <w:noProof/>
          <w:color w:val="FF0000"/>
        </w:rPr>
        <w:t>[ISC/2020/12524]]</w:t>
      </w:r>
      <w:r>
        <w:rPr>
          <w:noProof/>
        </w:rPr>
        <w:t xml:space="preserve"> a dostupné vědecké a technické údaje a informace týkající se poslání střediska, včetně připravenosti a kapacit systémů zdravotní péče k odhalení a prevenci šíření přenosných nemocí, reakci na ně a zotavení z nich; </w:t>
      </w:r>
    </w:p>
    <w:p>
      <w:pPr>
        <w:pStyle w:val="Point1"/>
        <w:rPr>
          <w:noProof/>
        </w:rPr>
      </w:pPr>
      <w:r>
        <w:rPr>
          <w:noProof/>
        </w:rPr>
        <w:t>b)</w:t>
      </w:r>
      <w:r>
        <w:rPr>
          <w:noProof/>
        </w:rPr>
        <w:tab/>
        <w:t xml:space="preserve">prostřednictvím systému včasného varování a reakce (dále jen „EWRS“) informují středisko o případech vážných přeshraničních zdravotních hrozeb, jakmile jsou odhaleny, a okamžitě oznamují opatření přijatá pro účely reakce, jakož i veškeré příslušné informace, které mohou být užitečné pro koordinaci reakcí, jak je uvedeno v článku 21 </w:t>
      </w:r>
      <w:r>
        <w:rPr>
          <w:noProof/>
          <w:color w:val="FF0000"/>
        </w:rPr>
        <w:t>nařízení (EU) …/… [</w:t>
      </w:r>
      <w:r>
        <w:rPr>
          <w:i/>
          <w:noProof/>
          <w:color w:val="FF0000"/>
        </w:rPr>
        <w:t xml:space="preserve">Úř. věst.: vložte prosím číslo nařízení SCBTH </w:t>
      </w:r>
      <w:r>
        <w:rPr>
          <w:noProof/>
          <w:color w:val="FF0000"/>
        </w:rPr>
        <w:t>[ISC/2020/12524]]</w:t>
      </w:r>
      <w:r>
        <w:rPr>
          <w:noProof/>
        </w:rPr>
        <w:t xml:space="preserve">, a </w:t>
      </w:r>
    </w:p>
    <w:p>
      <w:pPr>
        <w:pStyle w:val="Point1"/>
        <w:rPr>
          <w:noProof/>
        </w:rPr>
      </w:pPr>
      <w:r>
        <w:rPr>
          <w:noProof/>
        </w:rPr>
        <w:t>c)</w:t>
      </w:r>
      <w:r>
        <w:rPr>
          <w:noProof/>
        </w:rPr>
        <w:tab/>
        <w:t>v rámci oblasti působnosti střediska označují uznávané příslušné subjekty a odborníky na poli veřejného zdraví, kteří by mohli být k dispozici, aby Unii pomohli při reakcích v případě zdravotních hrozeb, například podniknutím misí do členských států za účelem poskytnutí odborného poradenství a průzkumů v terénu v případě hromadných onemocnění nebo šíření nemocí.“;</w:t>
      </w:r>
    </w:p>
    <w:p>
      <w:pPr>
        <w:pStyle w:val="Point0"/>
        <w:rPr>
          <w:noProof/>
        </w:rPr>
      </w:pPr>
      <w:r>
        <w:rPr>
          <w:noProof/>
        </w:rPr>
        <w:t>4)</w:t>
      </w:r>
      <w:r>
        <w:rPr>
          <w:noProof/>
        </w:rPr>
        <w:tab/>
        <w:t>Článek 5 se nahrazuje tímto:</w:t>
      </w:r>
    </w:p>
    <w:p>
      <w:pPr>
        <w:pStyle w:val="Titrearticle"/>
        <w:rPr>
          <w:noProof/>
        </w:rPr>
      </w:pPr>
      <w:r>
        <w:rPr>
          <w:noProof/>
        </w:rPr>
        <w:t>„Článek 5</w:t>
      </w:r>
    </w:p>
    <w:p>
      <w:pPr>
        <w:jc w:val="center"/>
        <w:rPr>
          <w:b/>
          <w:noProof/>
        </w:rPr>
      </w:pPr>
      <w:r>
        <w:rPr>
          <w:b/>
          <w:noProof/>
        </w:rPr>
        <w:t>Provoz specializovaných sítí a činnost v sítích</w:t>
      </w:r>
    </w:p>
    <w:p>
      <w:pPr>
        <w:pStyle w:val="Point1"/>
        <w:rPr>
          <w:noProof/>
        </w:rPr>
      </w:pPr>
      <w:r>
        <w:rPr>
          <w:noProof/>
        </w:rPr>
        <w:lastRenderedPageBreak/>
        <w:t>1.</w:t>
      </w:r>
      <w:r>
        <w:rPr>
          <w:noProof/>
        </w:rPr>
        <w:tab/>
        <w:t>Středisko podporuje činnost v sítích příslušných subjektů uznaných členskými státy poskytováním koordinace a technických a vědeckých odborných znalostí Komisi a členským státům a provozováním specializovaných sítí.</w:t>
      </w:r>
    </w:p>
    <w:p>
      <w:pPr>
        <w:pStyle w:val="Point1"/>
        <w:rPr>
          <w:noProof/>
        </w:rPr>
      </w:pPr>
      <w:r>
        <w:rPr>
          <w:noProof/>
        </w:rPr>
        <w:t>2.</w:t>
      </w:r>
      <w:r>
        <w:rPr>
          <w:noProof/>
        </w:rPr>
        <w:tab/>
        <w:t xml:space="preserve">Středisko zajišťuje integrovaný provoz sítě pro epidemiologický dozor nad přenosnými nemocemi a souvisejícími zvláštními zdravotními problémy uvedenými v čl. 2 odst. 1 písm. a) bodech i) a ii) </w:t>
      </w:r>
      <w:r>
        <w:rPr>
          <w:noProof/>
          <w:color w:val="FF0000"/>
        </w:rPr>
        <w:t>nařízení (EU) …/… [</w:t>
      </w:r>
      <w:r>
        <w:rPr>
          <w:i/>
          <w:noProof/>
          <w:color w:val="FF0000"/>
        </w:rPr>
        <w:t xml:space="preserve">Úř. věst.: vložte prosím číslo nařízení SCBTH </w:t>
      </w:r>
      <w:r>
        <w:rPr>
          <w:noProof/>
          <w:color w:val="FF0000"/>
        </w:rPr>
        <w:t>[ISC/2020/12524]]</w:t>
      </w:r>
      <w:r>
        <w:rPr>
          <w:noProof/>
        </w:rPr>
        <w:t>.</w:t>
      </w:r>
    </w:p>
    <w:p>
      <w:pPr>
        <w:pStyle w:val="Text2"/>
        <w:rPr>
          <w:noProof/>
        </w:rPr>
      </w:pPr>
      <w:r>
        <w:rPr>
          <w:noProof/>
        </w:rPr>
        <w:t>Středisko zejména:</w:t>
      </w:r>
    </w:p>
    <w:p>
      <w:pPr>
        <w:pStyle w:val="Point2"/>
        <w:rPr>
          <w:noProof/>
        </w:rPr>
      </w:pPr>
      <w:r>
        <w:rPr>
          <w:noProof/>
        </w:rPr>
        <w:t>a)</w:t>
      </w:r>
      <w:r>
        <w:rPr>
          <w:noProof/>
        </w:rPr>
        <w:tab/>
        <w:t xml:space="preserve">zajišťuje další vývoj digitálních platforem a aplikací podporujících epidemiologický dozor na úrovni Unie, dále prostřednictvím technického a vědeckého poradenství členským státům napomáhá při vytváření integrovaných systémů dozoru, které v příslušných případech umožňují dozor v reálném čase a které využívají stávajících vesmírných infrastruktur a služeb EU; </w:t>
      </w:r>
    </w:p>
    <w:p>
      <w:pPr>
        <w:pStyle w:val="Point2"/>
        <w:rPr>
          <w:noProof/>
        </w:rPr>
      </w:pPr>
      <w:r>
        <w:rPr>
          <w:noProof/>
        </w:rPr>
        <w:t>b)</w:t>
      </w:r>
      <w:r>
        <w:rPr>
          <w:noProof/>
        </w:rPr>
        <w:tab/>
        <w:t>poskytuje zabezpečení kvality sledováním a hodnocením činností epidemiologického dozoru (včetně stanovení norem dozoru a sledování úplnosti údajů) specializovaných sítí dozoru s cílem zajistit optimální provoz;</w:t>
      </w:r>
    </w:p>
    <w:p>
      <w:pPr>
        <w:pStyle w:val="Point2"/>
        <w:rPr>
          <w:noProof/>
        </w:rPr>
      </w:pPr>
      <w:r>
        <w:rPr>
          <w:noProof/>
        </w:rPr>
        <w:t>c)</w:t>
      </w:r>
      <w:r>
        <w:rPr>
          <w:noProof/>
        </w:rPr>
        <w:tab/>
        <w:t>spravuje databáze pro tento epidemiologický dozor, zajišťuje koordinaci s hostiteli dalších příslušných databází a pracuje tak, aby směřovalo k harmonizovaným přístupům ke sběru údajů a modelování;</w:t>
      </w:r>
    </w:p>
    <w:p>
      <w:pPr>
        <w:pStyle w:val="Point2"/>
        <w:rPr>
          <w:noProof/>
        </w:rPr>
      </w:pPr>
      <w:r>
        <w:rPr>
          <w:noProof/>
        </w:rPr>
        <w:t>d)</w:t>
      </w:r>
      <w:r>
        <w:rPr>
          <w:noProof/>
        </w:rPr>
        <w:tab/>
        <w:t xml:space="preserve">předává výsledky analýzy údajů Komisi a členským státům; </w:t>
      </w:r>
    </w:p>
    <w:p>
      <w:pPr>
        <w:pStyle w:val="Point2"/>
        <w:rPr>
          <w:noProof/>
        </w:rPr>
      </w:pPr>
      <w:r>
        <w:rPr>
          <w:noProof/>
        </w:rPr>
        <w:t>e)</w:t>
      </w:r>
      <w:r>
        <w:rPr>
          <w:noProof/>
        </w:rPr>
        <w:tab/>
        <w:t>harmonizuje a racionalizuje provozní metodiky;</w:t>
      </w:r>
    </w:p>
    <w:p>
      <w:pPr>
        <w:pStyle w:val="Point2"/>
        <w:rPr>
          <w:noProof/>
        </w:rPr>
      </w:pPr>
      <w:r>
        <w:rPr>
          <w:noProof/>
        </w:rPr>
        <w:t>f)</w:t>
      </w:r>
      <w:r>
        <w:rPr>
          <w:noProof/>
        </w:rPr>
        <w:tab/>
        <w:t xml:space="preserve">zajišťuje interoperabilitu automatických aplikací, včetně vysledování kontaktů, vyvinutých na vnitrostátní úrovni; </w:t>
      </w:r>
    </w:p>
    <w:p>
      <w:pPr>
        <w:pStyle w:val="Point2"/>
        <w:rPr>
          <w:noProof/>
        </w:rPr>
      </w:pPr>
      <w:r>
        <w:rPr>
          <w:noProof/>
        </w:rPr>
        <w:t>g)</w:t>
      </w:r>
      <w:r>
        <w:rPr>
          <w:noProof/>
        </w:rPr>
        <w:tab/>
        <w:t>zajišťuje interoperabilitu digitálních platforem pro dozor s digitálními infrastrukturami umožňujícími, aby byly údaje o zdravotním stavu použity pro účely zdravotní péče, výzkumu, vytváření politiky a právní účely, a s cílem začlenit tyto platformy a infrastruktury do evropského prostoru pro data z oblasti veřejného zdraví, jak je upraveno právními předpisy Unie, a využít další relevantní údaje, například faktory ve vztahu k životnímu prostředí.</w:t>
      </w:r>
    </w:p>
    <w:p>
      <w:pPr>
        <w:pStyle w:val="Point1"/>
        <w:rPr>
          <w:noProof/>
        </w:rPr>
      </w:pPr>
      <w:r>
        <w:rPr>
          <w:noProof/>
        </w:rPr>
        <w:t>3.</w:t>
      </w:r>
      <w:r>
        <w:rPr>
          <w:noProof/>
        </w:rPr>
        <w:tab/>
        <w:t>Středisko v rámci svého mandátu podporuje práci HSC, Rady a dalších struktur Unie pro koordinování reakcí na vážné přeshraniční zdravotní hrozby.</w:t>
      </w:r>
    </w:p>
    <w:p>
      <w:pPr>
        <w:pStyle w:val="Point1"/>
        <w:rPr>
          <w:noProof/>
        </w:rPr>
      </w:pPr>
      <w:r>
        <w:rPr>
          <w:noProof/>
        </w:rPr>
        <w:t>4.</w:t>
      </w:r>
      <w:r>
        <w:rPr>
          <w:noProof/>
        </w:rPr>
        <w:tab/>
        <w:t>Středisko provozováním sítě pro epidemiologický dozor:</w:t>
      </w:r>
    </w:p>
    <w:p>
      <w:pPr>
        <w:pStyle w:val="Point2"/>
        <w:rPr>
          <w:noProof/>
        </w:rPr>
      </w:pPr>
      <w:r>
        <w:rPr>
          <w:noProof/>
        </w:rPr>
        <w:t>a)</w:t>
      </w:r>
      <w:r>
        <w:rPr>
          <w:noProof/>
        </w:rPr>
        <w:tab/>
        <w:t xml:space="preserve">na základě schválených ukazatelů sleduje trendy v přenosných nemocech v průběhu času a napříč členskými státy a v třetích zemích s cílem posoudit současnou situaci a usnadnit reakci založenou na důkazech a podává o nich zprávy, a to i prostřednictvím určení specifikací pro harmonizovaný sběr údajů od členských států; </w:t>
      </w:r>
    </w:p>
    <w:p>
      <w:pPr>
        <w:pStyle w:val="Point2"/>
        <w:rPr>
          <w:noProof/>
        </w:rPr>
      </w:pPr>
      <w:r>
        <w:rPr>
          <w:noProof/>
        </w:rPr>
        <w:t>b)</w:t>
      </w:r>
      <w:r>
        <w:rPr>
          <w:noProof/>
        </w:rPr>
        <w:tab/>
        <w:t xml:space="preserve">odhaluje a sleduje vážné přeshraniční zdravotní hrozby a podává o nich zprávy v případě hrozby uvedené v čl. 2 odst. 1 písm. a) bodech i) a ii) </w:t>
      </w:r>
      <w:r>
        <w:rPr>
          <w:noProof/>
          <w:color w:val="FF0000"/>
        </w:rPr>
        <w:t>nařízení (EU) …/… [</w:t>
      </w:r>
      <w:r>
        <w:rPr>
          <w:i/>
          <w:noProof/>
          <w:color w:val="FF0000"/>
        </w:rPr>
        <w:t xml:space="preserve">Úř. věst.: prosím vložte číslo nařízení SCBTH </w:t>
      </w:r>
      <w:r>
        <w:rPr>
          <w:noProof/>
          <w:color w:val="FF0000"/>
        </w:rPr>
        <w:t>[ISC/2020/12524]]</w:t>
      </w:r>
      <w:r>
        <w:rPr>
          <w:noProof/>
        </w:rPr>
        <w:t xml:space="preserve">, včetně hrozby pro látky lidského původu jako krev, orgány, tkáně a buňky potenciálně ovlivněné přenosnými nemocemi, </w:t>
      </w:r>
      <w:r>
        <w:rPr>
          <w:noProof/>
        </w:rPr>
        <w:lastRenderedPageBreak/>
        <w:t>nebo v čl. 2 odst. 1 písm. d) uvedeného nařízení s ohledem na zdroj, čas, obyvatelstvo a místo s cílem poskytnout odůvodnění opatření v oblasti veřejného zdraví;</w:t>
      </w:r>
    </w:p>
    <w:p>
      <w:pPr>
        <w:pStyle w:val="Point2"/>
        <w:rPr>
          <w:noProof/>
        </w:rPr>
      </w:pPr>
      <w:r>
        <w:rPr>
          <w:noProof/>
        </w:rPr>
        <w:t>c)</w:t>
      </w:r>
      <w:r>
        <w:rPr>
          <w:noProof/>
        </w:rPr>
        <w:tab/>
        <w:t xml:space="preserve">přispívá k hodnocení a sledování programů prevence a kontroly přenosné nemoci s cílem poskytnout důkazy pro doporučení k posílení a zlepšení těchto programů na národní a unijní úrovni; </w:t>
      </w:r>
    </w:p>
    <w:p>
      <w:pPr>
        <w:pStyle w:val="Point2"/>
        <w:rPr>
          <w:noProof/>
        </w:rPr>
      </w:pPr>
      <w:r>
        <w:rPr>
          <w:noProof/>
        </w:rPr>
        <w:t>d)</w:t>
      </w:r>
      <w:r>
        <w:rPr>
          <w:noProof/>
        </w:rPr>
        <w:tab/>
        <w:t>sleduje a posuzuje kapacitu systémů zdravotní péče pro stanovení diagnózy, prevenci a léčbu konkrétních přenosných nemocí, jakož i pro bezpečnost pacientů;</w:t>
      </w:r>
    </w:p>
    <w:p>
      <w:pPr>
        <w:pStyle w:val="Point2"/>
        <w:rPr>
          <w:noProof/>
        </w:rPr>
      </w:pPr>
      <w:r>
        <w:rPr>
          <w:noProof/>
        </w:rPr>
        <w:t>e)</w:t>
      </w:r>
      <w:r>
        <w:rPr>
          <w:noProof/>
        </w:rPr>
        <w:tab/>
        <w:t xml:space="preserve">určuje skupiny obyvatelstva, které jsou rizikové a které potřebují cílená opatření pro účely prevence a reakce, a zajišťuje, že jsou uvedená opatřená přístupná osobám se zdravotním postižením; </w:t>
      </w:r>
    </w:p>
    <w:p>
      <w:pPr>
        <w:pStyle w:val="Point2"/>
        <w:rPr>
          <w:noProof/>
        </w:rPr>
      </w:pPr>
      <w:r>
        <w:rPr>
          <w:noProof/>
        </w:rPr>
        <w:t>f)</w:t>
      </w:r>
      <w:r>
        <w:rPr>
          <w:noProof/>
        </w:rPr>
        <w:tab/>
        <w:t xml:space="preserve">přispívá k posouzení zátěže přenosných nemocí na obyvatelstvo za použití údajů, jako jsou prevalence nemocí, komplikace, hospitalizace a úmrtnost, a zajišťuje, že jsou tato data rozčleněná podle věku, pohlaví a zdravotního postižení; </w:t>
      </w:r>
    </w:p>
    <w:p>
      <w:pPr>
        <w:pStyle w:val="Point2"/>
        <w:rPr>
          <w:noProof/>
        </w:rPr>
      </w:pPr>
      <w:r>
        <w:rPr>
          <w:noProof/>
        </w:rPr>
        <w:t>g)</w:t>
      </w:r>
      <w:r>
        <w:rPr>
          <w:noProof/>
        </w:rPr>
        <w:tab/>
        <w:t xml:space="preserve">zajišťuje epidemiologické modelování, předvídání a vypracovávání scénářů pro reakci a koordinuje tato úsilí s cílem vyměňovat si osvědčené postupy a zlepšit kapacitu modelování napříč Unií a </w:t>
      </w:r>
    </w:p>
    <w:p>
      <w:pPr>
        <w:pStyle w:val="Point2"/>
        <w:rPr>
          <w:noProof/>
        </w:rPr>
      </w:pPr>
      <w:r>
        <w:rPr>
          <w:noProof/>
        </w:rPr>
        <w:t>h)</w:t>
      </w:r>
      <w:r>
        <w:rPr>
          <w:noProof/>
        </w:rPr>
        <w:tab/>
        <w:t>určuje rizikové faktory pro přenos nemoci, nejrizikovější skupiny, včetně souvislosti výskytu nemoci a závažnosti se společenskými faktory a faktory životního prostředí, jakož i priority a potřeby výzkumu.</w:t>
      </w:r>
    </w:p>
    <w:p>
      <w:pPr>
        <w:pStyle w:val="Point1"/>
        <w:rPr>
          <w:noProof/>
        </w:rPr>
      </w:pPr>
      <w:r>
        <w:rPr>
          <w:noProof/>
        </w:rPr>
        <w:t>5.</w:t>
      </w:r>
      <w:r>
        <w:rPr>
          <w:noProof/>
        </w:rPr>
        <w:tab/>
        <w:t xml:space="preserve">Každý členský stát určí příslušný koordinační subjekt a jmenuje národní kontaktní místo a operativní kontaktní místa příslušná pro funkce v oblasti veřejného zdraví, včetně epidemiologického dozoru, a pro různé skupiny nemocí a jednotlivé nemoci. </w:t>
      </w:r>
    </w:p>
    <w:p>
      <w:pPr>
        <w:pStyle w:val="Text2"/>
        <w:rPr>
          <w:noProof/>
        </w:rPr>
      </w:pPr>
      <w:r>
        <w:rPr>
          <w:noProof/>
        </w:rPr>
        <w:t xml:space="preserve">Národní kontaktní místa vytvářejí sítě, které středisku strategicky radí. </w:t>
      </w:r>
    </w:p>
    <w:p>
      <w:pPr>
        <w:pStyle w:val="Text2"/>
        <w:rPr>
          <w:noProof/>
        </w:rPr>
      </w:pPr>
      <w:r>
        <w:rPr>
          <w:noProof/>
        </w:rPr>
        <w:t xml:space="preserve">Národní kontaktní místa a operativní kontaktní místa jmenovaná pro interakce se střediskem, které se týkají konkrétních nemocí, tvoří specifické sítě pro jednotlivé nemoci nebo pro skupiny nemocí, jejichž úkoly zahrnují předávání údajů z vnitrostátního dozoru středisku. </w:t>
      </w:r>
    </w:p>
    <w:p>
      <w:pPr>
        <w:pStyle w:val="Text2"/>
        <w:rPr>
          <w:noProof/>
        </w:rPr>
      </w:pPr>
      <w:r>
        <w:rPr>
          <w:noProof/>
        </w:rPr>
        <w:t>Určení a jmenování podle tohoto odstavce, jakož i veškeré jejich změny oznámí členské státy středisku i ostatním členským státům.</w:t>
      </w:r>
    </w:p>
    <w:p>
      <w:pPr>
        <w:pStyle w:val="Point1"/>
        <w:rPr>
          <w:noProof/>
        </w:rPr>
      </w:pPr>
      <w:r>
        <w:rPr>
          <w:noProof/>
        </w:rPr>
        <w:t>6.</w:t>
      </w:r>
      <w:r>
        <w:rPr>
          <w:noProof/>
        </w:rPr>
        <w:tab/>
        <w:t xml:space="preserve">Středisko zajišťuje provoz sítě referenčních laboratoří EU uvedených v článku 15 </w:t>
      </w:r>
      <w:r>
        <w:rPr>
          <w:noProof/>
          <w:color w:val="FF0000"/>
        </w:rPr>
        <w:t>nařízení (EU) …/… [</w:t>
      </w:r>
      <w:r>
        <w:rPr>
          <w:i/>
          <w:noProof/>
          <w:color w:val="FF0000"/>
        </w:rPr>
        <w:t xml:space="preserve">Úř. věst.: vložte prosím číslo nařízení SCBTH </w:t>
      </w:r>
      <w:r>
        <w:rPr>
          <w:noProof/>
          <w:color w:val="FF0000"/>
        </w:rPr>
        <w:t>[ISC/2020/12524]]</w:t>
      </w:r>
      <w:r>
        <w:rPr>
          <w:noProof/>
        </w:rPr>
        <w:t xml:space="preserve"> pro rozpoznání, odhalení, určení a popsání původců infekcí, které mohou představovat hrozbu pro veřejné zdraví. </w:t>
      </w:r>
    </w:p>
    <w:p>
      <w:pPr>
        <w:pStyle w:val="Point1"/>
        <w:rPr>
          <w:noProof/>
        </w:rPr>
      </w:pPr>
      <w:r>
        <w:rPr>
          <w:noProof/>
        </w:rPr>
        <w:t>7.</w:t>
      </w:r>
      <w:r>
        <w:rPr>
          <w:noProof/>
        </w:rPr>
        <w:tab/>
        <w:t>Tím, že podněcuje spolupráci mezi odbornými a referenčními laboratořemi, podporuje středisko v rámci Unie rozvoj dostatečné schopnosti rozpoznat, odhalit, určit a popsat původce infekcí, které mohou ohrozit veřejné zdraví. Středisko udržuje a rozšiřuje tuto spolupráci a podporuje provádění programů na zabezpečení kvality.</w:t>
      </w:r>
    </w:p>
    <w:p>
      <w:pPr>
        <w:pStyle w:val="Point1"/>
        <w:rPr>
          <w:noProof/>
        </w:rPr>
      </w:pPr>
      <w:r>
        <w:rPr>
          <w:noProof/>
        </w:rPr>
        <w:t>8.</w:t>
      </w:r>
      <w:r>
        <w:rPr>
          <w:noProof/>
        </w:rPr>
        <w:tab/>
        <w:t xml:space="preserve">Středisko zajišťuje provoz sítě služeb členských států pro podporu transfuze, transplantace a lékařsky asistované reprodukce s cílem umožnit trvalý a rychlý přístup k séroepidemiologickým údajům prostřednictvím </w:t>
      </w:r>
      <w:r>
        <w:rPr>
          <w:noProof/>
        </w:rPr>
        <w:lastRenderedPageBreak/>
        <w:t xml:space="preserve">séroepidemiologických šetření v rámci obyvatelstva, včetně posouzení expozice a imunity dárcovského obyvatelstva. </w:t>
      </w:r>
    </w:p>
    <w:p>
      <w:pPr>
        <w:pStyle w:val="Text2"/>
        <w:rPr>
          <w:noProof/>
        </w:rPr>
      </w:pPr>
      <w:r>
        <w:rPr>
          <w:noProof/>
        </w:rPr>
        <w:t xml:space="preserve">Síť uvedená v prvním pododstavci podporuje středisko sledováním šíření nákazy, která se týkají látek lidského původu a jejich dodávek pacientům, a vypracováním pokynů pro bezpečnost a kvalitu krve, tkání a buněk. </w:t>
      </w:r>
    </w:p>
    <w:p>
      <w:pPr>
        <w:pStyle w:val="Point1"/>
        <w:rPr>
          <w:noProof/>
        </w:rPr>
      </w:pPr>
      <w:r>
        <w:rPr>
          <w:noProof/>
        </w:rPr>
        <w:t>9.</w:t>
      </w:r>
      <w:r>
        <w:rPr>
          <w:noProof/>
        </w:rPr>
        <w:tab/>
        <w:t>Středisko spolupracuje s příslušnými subjekty, které byly uznány členskými státy, obzvláště na přípravné práci na vědeckých stanoviscích, vědecké a technické pomoci, sběru porovnatelných údajů na základě společných formátů, přičemž je usnadněna agregace, a na určení vznikajících zdravotních hrozeb.“;</w:t>
      </w:r>
    </w:p>
    <w:p>
      <w:pPr>
        <w:pStyle w:val="Point0"/>
        <w:rPr>
          <w:noProof/>
        </w:rPr>
      </w:pPr>
      <w:r>
        <w:rPr>
          <w:noProof/>
        </w:rPr>
        <w:t>5)</w:t>
      </w:r>
      <w:r>
        <w:rPr>
          <w:noProof/>
        </w:rPr>
        <w:tab/>
        <w:t>Vkládá se nový článek 5a, který zní:</w:t>
      </w:r>
    </w:p>
    <w:p>
      <w:pPr>
        <w:pStyle w:val="Titrearticle"/>
        <w:rPr>
          <w:noProof/>
        </w:rPr>
      </w:pPr>
      <w:r>
        <w:rPr>
          <w:noProof/>
        </w:rPr>
        <w:t>„Článek 5a</w:t>
      </w:r>
    </w:p>
    <w:p>
      <w:pPr>
        <w:jc w:val="center"/>
        <w:rPr>
          <w:b/>
          <w:noProof/>
        </w:rPr>
      </w:pPr>
      <w:r>
        <w:rPr>
          <w:b/>
          <w:noProof/>
        </w:rPr>
        <w:t>Prevence přenosných nemocí</w:t>
      </w:r>
    </w:p>
    <w:p>
      <w:pPr>
        <w:pStyle w:val="Point1"/>
        <w:rPr>
          <w:noProof/>
        </w:rPr>
      </w:pPr>
      <w:r>
        <w:rPr>
          <w:noProof/>
        </w:rPr>
        <w:t>1.</w:t>
      </w:r>
      <w:r>
        <w:rPr>
          <w:noProof/>
        </w:rPr>
        <w:tab/>
        <w:t xml:space="preserve">Středisko podporuje členské státy s cílem posílit jejich systémy prevence a kontroly přenosných nemocí. </w:t>
      </w:r>
    </w:p>
    <w:p>
      <w:pPr>
        <w:pStyle w:val="Point1"/>
        <w:rPr>
          <w:noProof/>
        </w:rPr>
      </w:pPr>
      <w:r>
        <w:rPr>
          <w:noProof/>
        </w:rPr>
        <w:t>2.</w:t>
      </w:r>
      <w:r>
        <w:rPr>
          <w:noProof/>
        </w:rPr>
        <w:tab/>
        <w:t xml:space="preserve">Středisko rozvíjí rámec pro prevenci přenosných nemocí a zvláštních problémů, včetně nemocí, jimž lze předcházet očkováním, antimikrobiální rezistence, zdravotního vzdělávání, zdravotní gramotnosti a změny chování. </w:t>
      </w:r>
    </w:p>
    <w:p>
      <w:pPr>
        <w:pStyle w:val="Point1"/>
        <w:rPr>
          <w:noProof/>
        </w:rPr>
      </w:pPr>
      <w:r>
        <w:rPr>
          <w:noProof/>
        </w:rPr>
        <w:t>3.</w:t>
      </w:r>
      <w:r>
        <w:rPr>
          <w:noProof/>
        </w:rPr>
        <w:tab/>
        <w:t>Středisko hodnotí a sleduje programy prevence a kontroly přenosných nemocí s cílem poskytnout důkazy pro doporučení k posílení a zlepšení těchto programů na vnitrostátní a unijní úrovni a v příslušných případech na mezinárodních úrovních.</w:t>
      </w:r>
    </w:p>
    <w:p>
      <w:pPr>
        <w:pStyle w:val="Point1"/>
        <w:rPr>
          <w:noProof/>
        </w:rPr>
      </w:pPr>
      <w:r>
        <w:rPr>
          <w:noProof/>
        </w:rPr>
        <w:t>4.</w:t>
      </w:r>
      <w:r>
        <w:rPr>
          <w:noProof/>
        </w:rPr>
        <w:tab/>
        <w:t>Středisko koordinuje nezávislé studie sledování účinnosti a bezpečnosti očkovacích látek po jejich uvedení na trh, které shromažďují nové informace a/nebo používají relevantní údaje shromážděné příslušnými subjekty. Tuto práci vykonává společně s Evropskou agenturou pro léčivé přípravky a hlavně prostřednictvím nové platformy pro sledování očkovacích látek.“;</w:t>
      </w:r>
    </w:p>
    <w:p>
      <w:pPr>
        <w:pStyle w:val="Point0"/>
        <w:rPr>
          <w:noProof/>
        </w:rPr>
      </w:pPr>
      <w:r>
        <w:rPr>
          <w:noProof/>
        </w:rPr>
        <w:t>6)</w:t>
      </w:r>
      <w:r>
        <w:rPr>
          <w:noProof/>
        </w:rPr>
        <w:tab/>
        <w:t>Vkládá se nový článek 5b, který zní:</w:t>
      </w:r>
    </w:p>
    <w:p>
      <w:pPr>
        <w:pStyle w:val="Titrearticle"/>
        <w:rPr>
          <w:noProof/>
        </w:rPr>
      </w:pPr>
      <w:r>
        <w:rPr>
          <w:noProof/>
        </w:rPr>
        <w:t>„Článek 5b</w:t>
      </w:r>
    </w:p>
    <w:p>
      <w:pPr>
        <w:jc w:val="center"/>
        <w:rPr>
          <w:b/>
          <w:noProof/>
        </w:rPr>
      </w:pPr>
      <w:r>
        <w:rPr>
          <w:b/>
          <w:noProof/>
        </w:rPr>
        <w:t>Plánování připravenosti a reakce</w:t>
      </w:r>
    </w:p>
    <w:p>
      <w:pPr>
        <w:pStyle w:val="Point1"/>
        <w:rPr>
          <w:noProof/>
        </w:rPr>
      </w:pPr>
      <w:r>
        <w:rPr>
          <w:noProof/>
        </w:rPr>
        <w:t>1.</w:t>
      </w:r>
      <w:r>
        <w:rPr>
          <w:noProof/>
        </w:rPr>
        <w:tab/>
        <w:t>Středisko poskytuje odborné vědecké a technické posudky členským státům a Komisi ve spolupráci s příslušnými institucemi a agenturami Unie a mezinárodními organizacemi v souladu s vhodnými pracovními ujednáními sjednanými s Komisí v oblasti plánování připravenosti a reakce.</w:t>
      </w:r>
    </w:p>
    <w:p>
      <w:pPr>
        <w:pStyle w:val="Text2"/>
        <w:rPr>
          <w:noProof/>
        </w:rPr>
      </w:pPr>
      <w:r>
        <w:rPr>
          <w:noProof/>
        </w:rPr>
        <w:t xml:space="preserve">Středisko v úzké spolupráci s členskými státy a Komisí: </w:t>
      </w:r>
    </w:p>
    <w:p>
      <w:pPr>
        <w:pStyle w:val="Point2"/>
        <w:rPr>
          <w:noProof/>
        </w:rPr>
      </w:pPr>
      <w:r>
        <w:rPr>
          <w:noProof/>
        </w:rPr>
        <w:t>a)</w:t>
      </w:r>
      <w:r>
        <w:rPr>
          <w:noProof/>
        </w:rPr>
        <w:tab/>
        <w:t>přispívá k rozvoji, pravidelnému přezkumu a aktualizaci plánů připravenosti a návrhů plánů připravenosti, které jsou specifické pro jednotlivé hrozby a které má přijmout HSC;</w:t>
      </w:r>
    </w:p>
    <w:p>
      <w:pPr>
        <w:pStyle w:val="Point2"/>
        <w:rPr>
          <w:noProof/>
        </w:rPr>
      </w:pPr>
      <w:r>
        <w:rPr>
          <w:noProof/>
        </w:rPr>
        <w:t>b)</w:t>
      </w:r>
      <w:r>
        <w:rPr>
          <w:noProof/>
        </w:rPr>
        <w:tab/>
        <w:t>rozvíjí rámce pro sledování a hodnocení připravenosti a ukazatele připravenosti;</w:t>
      </w:r>
    </w:p>
    <w:p>
      <w:pPr>
        <w:pStyle w:val="Point2"/>
        <w:rPr>
          <w:noProof/>
        </w:rPr>
      </w:pPr>
      <w:r>
        <w:rPr>
          <w:noProof/>
        </w:rPr>
        <w:lastRenderedPageBreak/>
        <w:t>c)</w:t>
      </w:r>
      <w:r>
        <w:rPr>
          <w:noProof/>
        </w:rPr>
        <w:tab/>
        <w:t xml:space="preserve">usnadňuje sebehodnocení a externí hodnocení plánování připravenosti a reakce členských států a přispívá k podávání zpráv a provádění auditu plánování připravenosti a reakce podle článků 7 a 8 </w:t>
      </w:r>
      <w:r>
        <w:rPr>
          <w:noProof/>
          <w:color w:val="FF0000"/>
        </w:rPr>
        <w:t>nařízení (EU) …/… [</w:t>
      </w:r>
      <w:r>
        <w:rPr>
          <w:i/>
          <w:noProof/>
          <w:color w:val="FF0000"/>
        </w:rPr>
        <w:t xml:space="preserve">Úř. věst.: vložte prosím číslo nařízení SCBTH </w:t>
      </w:r>
      <w:r>
        <w:rPr>
          <w:noProof/>
          <w:color w:val="FF0000"/>
        </w:rPr>
        <w:t>[ISC/2020/12524]]</w:t>
      </w:r>
      <w:r>
        <w:rPr>
          <w:noProof/>
        </w:rPr>
        <w:t>;</w:t>
      </w:r>
    </w:p>
    <w:p>
      <w:pPr>
        <w:pStyle w:val="Point2"/>
        <w:rPr>
          <w:noProof/>
        </w:rPr>
      </w:pPr>
      <w:r>
        <w:rPr>
          <w:noProof/>
        </w:rPr>
        <w:t>d)</w:t>
      </w:r>
      <w:r>
        <w:rPr>
          <w:noProof/>
        </w:rPr>
        <w:tab/>
        <w:t xml:space="preserve">zajišťuje sledování nedostatků v připravenosti a v případě potřeby poskytuje cílenou podporu členským státům EU a třetím zemím; </w:t>
      </w:r>
    </w:p>
    <w:p>
      <w:pPr>
        <w:pStyle w:val="Point2"/>
        <w:rPr>
          <w:noProof/>
        </w:rPr>
      </w:pPr>
      <w:r>
        <w:rPr>
          <w:noProof/>
        </w:rPr>
        <w:t>e)</w:t>
      </w:r>
      <w:r>
        <w:rPr>
          <w:noProof/>
        </w:rPr>
        <w:tab/>
        <w:t xml:space="preserve">připravuje cvičení, přezkumy v průběhu akcí i po nich a organizuje akce na podporu budování kapacit s cílem řešit zjištěné nedostatky kapacit a schopností v oblasti připravenosti; </w:t>
      </w:r>
    </w:p>
    <w:p>
      <w:pPr>
        <w:pStyle w:val="Point2"/>
        <w:rPr>
          <w:noProof/>
        </w:rPr>
      </w:pPr>
      <w:r>
        <w:rPr>
          <w:noProof/>
        </w:rPr>
        <w:t>f)</w:t>
      </w:r>
      <w:r>
        <w:rPr>
          <w:noProof/>
        </w:rPr>
        <w:tab/>
        <w:t>v souladu s prioritami Komise a na základě zjištěných nedostatků vyvíjí konkrétní činnosti pro připravenost zaměřené na nemoci, jimž lze předcházet očkováním, na antimikrobiální rezistenci, laboratorní kapacitu a biologickou bezpečnost;</w:t>
      </w:r>
    </w:p>
    <w:p>
      <w:pPr>
        <w:pStyle w:val="Point2"/>
        <w:rPr>
          <w:noProof/>
        </w:rPr>
      </w:pPr>
      <w:r>
        <w:rPr>
          <w:noProof/>
        </w:rPr>
        <w:t>g)</w:t>
      </w:r>
      <w:r>
        <w:rPr>
          <w:noProof/>
        </w:rPr>
        <w:tab/>
        <w:t>podporuje to, aby byla připravenost v oblasti výzkumu začleněna do plánování připravenosti a reakce;</w:t>
      </w:r>
    </w:p>
    <w:p>
      <w:pPr>
        <w:pStyle w:val="Point2"/>
        <w:rPr>
          <w:noProof/>
        </w:rPr>
      </w:pPr>
      <w:r>
        <w:rPr>
          <w:noProof/>
        </w:rPr>
        <w:t>h)</w:t>
      </w:r>
      <w:r>
        <w:rPr>
          <w:noProof/>
        </w:rPr>
        <w:tab/>
        <w:t xml:space="preserve">vyvíjí cílené činnosti týkající se připravenosti rizikových skupin a komunit; </w:t>
      </w:r>
    </w:p>
    <w:p>
      <w:pPr>
        <w:pStyle w:val="Point2"/>
        <w:rPr>
          <w:noProof/>
        </w:rPr>
      </w:pPr>
      <w:r>
        <w:rPr>
          <w:noProof/>
        </w:rPr>
        <w:t>i)</w:t>
      </w:r>
      <w:r>
        <w:rPr>
          <w:noProof/>
        </w:rPr>
        <w:tab/>
        <w:t>posuzuje kapacitu systémů zdravotní péče odhalit přenosné nemoci, zabránit jim, reagovat na ně a zotavit se z jejich rozšíření, určuje nedostatky a poskytuje doporučení pro posílení systémů zdravotní péče, která se případně provedou s podporou Unie;</w:t>
      </w:r>
    </w:p>
    <w:p>
      <w:pPr>
        <w:pStyle w:val="Point2"/>
        <w:rPr>
          <w:noProof/>
        </w:rPr>
      </w:pPr>
      <w:r>
        <w:rPr>
          <w:noProof/>
        </w:rPr>
        <w:t>j)</w:t>
      </w:r>
      <w:r>
        <w:rPr>
          <w:noProof/>
        </w:rPr>
        <w:tab/>
        <w:t xml:space="preserve">upevňuje kapacitu modelování, předvídání a prognóz střediska a </w:t>
      </w:r>
    </w:p>
    <w:p>
      <w:pPr>
        <w:pStyle w:val="Point2"/>
        <w:rPr>
          <w:noProof/>
        </w:rPr>
      </w:pPr>
      <w:r>
        <w:rPr>
          <w:noProof/>
        </w:rPr>
        <w:t>k)</w:t>
      </w:r>
      <w:r>
        <w:rPr>
          <w:noProof/>
        </w:rPr>
        <w:tab/>
        <w:t>udržuje mechanismus pravidelného vysílání odborníků mezi střediskem, Komisí a členskými státy.“;</w:t>
      </w:r>
    </w:p>
    <w:p>
      <w:pPr>
        <w:pStyle w:val="Point0"/>
        <w:rPr>
          <w:noProof/>
        </w:rPr>
      </w:pPr>
      <w:r>
        <w:rPr>
          <w:noProof/>
        </w:rPr>
        <w:t>7)</w:t>
      </w:r>
      <w:r>
        <w:rPr>
          <w:noProof/>
        </w:rPr>
        <w:tab/>
        <w:t>Článek 6 se mění takto:</w:t>
      </w:r>
    </w:p>
    <w:p>
      <w:pPr>
        <w:pStyle w:val="Point1"/>
        <w:rPr>
          <w:noProof/>
        </w:rPr>
      </w:pPr>
      <w:r>
        <w:rPr>
          <w:noProof/>
        </w:rPr>
        <w:t>a)</w:t>
      </w:r>
      <w:r>
        <w:rPr>
          <w:noProof/>
        </w:rPr>
        <w:tab/>
        <w:t xml:space="preserve">vkládá se nový odstavec 1a, který zní: </w:t>
      </w:r>
    </w:p>
    <w:p>
      <w:pPr>
        <w:pStyle w:val="Point2"/>
        <w:rPr>
          <w:noProof/>
        </w:rPr>
      </w:pPr>
      <w:r>
        <w:rPr>
          <w:noProof/>
        </w:rPr>
        <w:t>„1a.</w:t>
      </w:r>
      <w:r>
        <w:rPr>
          <w:noProof/>
        </w:rPr>
        <w:tab/>
        <w:t>Středisko na žádost Komise poskytuje konkrétní analýzy a doporučení pro akce k prevenci a kontrole hrozeb přenosných nemocí.“;</w:t>
      </w:r>
    </w:p>
    <w:p>
      <w:pPr>
        <w:pStyle w:val="Point1"/>
        <w:rPr>
          <w:noProof/>
        </w:rPr>
      </w:pPr>
      <w:r>
        <w:rPr>
          <w:noProof/>
        </w:rPr>
        <w:t>b)</w:t>
      </w:r>
      <w:r>
        <w:rPr>
          <w:noProof/>
        </w:rPr>
        <w:tab/>
        <w:t>odstavec 3 se nahrazuje tímto:</w:t>
      </w:r>
    </w:p>
    <w:p>
      <w:pPr>
        <w:pStyle w:val="Point2"/>
        <w:rPr>
          <w:noProof/>
        </w:rPr>
      </w:pPr>
      <w:r>
        <w:rPr>
          <w:noProof/>
        </w:rPr>
        <w:t>„3.</w:t>
      </w:r>
      <w:r>
        <w:rPr>
          <w:noProof/>
        </w:rPr>
        <w:tab/>
        <w:t>Středisko může podněcovat a zahajovat vědecké studie, které potřebuje pro výkon svého poslání, a aplikované vědecké studie a projekty týkající se proveditelnosti, vývoje a přípravy jeho činností. Středisko zabrání duplicitě s výzkumnými a zdravotnickými programy Komise, členských států a Unie a podle potřeby propojí odvětví veřejného zdraví s odvětvím výzkumu.</w:t>
      </w:r>
    </w:p>
    <w:p>
      <w:pPr>
        <w:pStyle w:val="Text3"/>
        <w:rPr>
          <w:noProof/>
        </w:rPr>
      </w:pPr>
      <w:r>
        <w:rPr>
          <w:noProof/>
        </w:rPr>
        <w:t>Za účelem provádění studií uvedených v prvním pododstavci má středisko přístup k údajům o zdravotním stavu zpřístupněným nebo vyměňovaným prostřednictvím digitálních infrastruktur a aplikací v souladu s pravidly pro ochranu údajů, které umožňují využití údajů o zdravotním stavu pro účely zdravotní péče, výzkumu, tvorby politik a pro účely právní úpravy. Pro účely studií podle prvního pododstavce využívá středisko rovněž další příslušné údaje, například o environmentálních a sociálně-ekonomických faktorech.“;</w:t>
      </w:r>
    </w:p>
    <w:p>
      <w:pPr>
        <w:pStyle w:val="Point1"/>
        <w:rPr>
          <w:noProof/>
        </w:rPr>
      </w:pPr>
      <w:r>
        <w:rPr>
          <w:noProof/>
        </w:rPr>
        <w:t>c)</w:t>
      </w:r>
      <w:r>
        <w:rPr>
          <w:noProof/>
        </w:rPr>
        <w:tab/>
        <w:t xml:space="preserve">odstavec 4 se nahrazuje tímto: </w:t>
      </w:r>
    </w:p>
    <w:p>
      <w:pPr>
        <w:pStyle w:val="Point2"/>
        <w:rPr>
          <w:noProof/>
        </w:rPr>
      </w:pPr>
      <w:r>
        <w:rPr>
          <w:noProof/>
        </w:rPr>
        <w:lastRenderedPageBreak/>
        <w:t>„4.</w:t>
      </w:r>
      <w:r>
        <w:rPr>
          <w:noProof/>
        </w:rPr>
        <w:tab/>
        <w:t>Středisko projedná s Komisí a dalšími subjekty či agenturami Unie otázky plánování a stanovení priorit výzkumu a studií v oblasti veřejného zdraví.“;</w:t>
      </w:r>
    </w:p>
    <w:p>
      <w:pPr>
        <w:pStyle w:val="Point0"/>
        <w:rPr>
          <w:noProof/>
        </w:rPr>
      </w:pPr>
      <w:r>
        <w:rPr>
          <w:noProof/>
        </w:rPr>
        <w:t>8)</w:t>
      </w:r>
      <w:r>
        <w:rPr>
          <w:noProof/>
        </w:rPr>
        <w:tab/>
        <w:t xml:space="preserve">Článek 7 se nahrazuje tímto: </w:t>
      </w:r>
    </w:p>
    <w:p>
      <w:pPr>
        <w:pStyle w:val="Titrearticle"/>
        <w:rPr>
          <w:noProof/>
        </w:rPr>
      </w:pPr>
      <w:r>
        <w:rPr>
          <w:noProof/>
        </w:rPr>
        <w:t>„Článek 7</w:t>
      </w:r>
    </w:p>
    <w:p>
      <w:pPr>
        <w:jc w:val="center"/>
        <w:rPr>
          <w:b/>
          <w:noProof/>
        </w:rPr>
      </w:pPr>
      <w:r>
        <w:rPr>
          <w:b/>
          <w:noProof/>
        </w:rPr>
        <w:t>Postup při vydávání vědeckého stanoviska</w:t>
      </w:r>
    </w:p>
    <w:p>
      <w:pPr>
        <w:pStyle w:val="Point1"/>
        <w:rPr>
          <w:noProof/>
        </w:rPr>
      </w:pPr>
      <w:r>
        <w:rPr>
          <w:noProof/>
        </w:rPr>
        <w:t>1.</w:t>
      </w:r>
      <w:r>
        <w:rPr>
          <w:noProof/>
        </w:rPr>
        <w:tab/>
        <w:t>Středisko vydává vědecké stanovisko ohledně záležitostí spadajících do jeho poslání:</w:t>
      </w:r>
    </w:p>
    <w:p>
      <w:pPr>
        <w:pStyle w:val="Point2"/>
        <w:rPr>
          <w:noProof/>
        </w:rPr>
      </w:pPr>
      <w:r>
        <w:rPr>
          <w:noProof/>
        </w:rPr>
        <w:t>a)</w:t>
      </w:r>
      <w:r>
        <w:rPr>
          <w:noProof/>
        </w:rPr>
        <w:tab/>
        <w:t>ve všech případech, kde právní předpisy Unie stanoví, že má být středisko konzultováno;</w:t>
      </w:r>
    </w:p>
    <w:p>
      <w:pPr>
        <w:pStyle w:val="Point2"/>
        <w:rPr>
          <w:noProof/>
        </w:rPr>
      </w:pPr>
      <w:r>
        <w:rPr>
          <w:noProof/>
        </w:rPr>
        <w:t>b)</w:t>
      </w:r>
      <w:r>
        <w:rPr>
          <w:noProof/>
        </w:rPr>
        <w:tab/>
        <w:t xml:space="preserve">na žádost Evropského parlamentu nebo členského státu; </w:t>
      </w:r>
    </w:p>
    <w:p>
      <w:pPr>
        <w:pStyle w:val="Point2"/>
        <w:rPr>
          <w:noProof/>
        </w:rPr>
      </w:pPr>
      <w:r>
        <w:rPr>
          <w:noProof/>
        </w:rPr>
        <w:t>c)</w:t>
      </w:r>
      <w:r>
        <w:rPr>
          <w:noProof/>
        </w:rPr>
        <w:tab/>
        <w:t>na žádost Komise a</w:t>
      </w:r>
    </w:p>
    <w:p>
      <w:pPr>
        <w:pStyle w:val="Point2"/>
        <w:rPr>
          <w:noProof/>
        </w:rPr>
      </w:pPr>
      <w:r>
        <w:rPr>
          <w:noProof/>
        </w:rPr>
        <w:t>d)</w:t>
      </w:r>
      <w:r>
        <w:rPr>
          <w:noProof/>
        </w:rPr>
        <w:tab/>
        <w:t>z vlastního podnětu.</w:t>
      </w:r>
    </w:p>
    <w:p>
      <w:pPr>
        <w:pStyle w:val="Point1"/>
        <w:rPr>
          <w:noProof/>
        </w:rPr>
      </w:pPr>
      <w:r>
        <w:rPr>
          <w:noProof/>
        </w:rPr>
        <w:t>2.</w:t>
      </w:r>
      <w:r>
        <w:rPr>
          <w:noProof/>
        </w:rPr>
        <w:tab/>
        <w:t>V žádostech o vědecké stanovisko uvedené v odstavci 1 se jasně vysvětlí vědecký problém, který se má řešit, jakož i zájem Unie, a přiloží se k nim dostatečné podkladové informace týkající se uvedeného problému.</w:t>
      </w:r>
    </w:p>
    <w:p>
      <w:pPr>
        <w:pStyle w:val="Point1"/>
        <w:rPr>
          <w:noProof/>
        </w:rPr>
      </w:pPr>
      <w:r>
        <w:rPr>
          <w:noProof/>
        </w:rPr>
        <w:t>3.</w:t>
      </w:r>
      <w:r>
        <w:rPr>
          <w:noProof/>
        </w:rPr>
        <w:tab/>
        <w:t>Středisko vydává vědecká stanoviska ve vzájemně dohodnutém časovém rámci.</w:t>
      </w:r>
    </w:p>
    <w:p>
      <w:pPr>
        <w:pStyle w:val="Point1"/>
        <w:rPr>
          <w:noProof/>
        </w:rPr>
      </w:pPr>
      <w:r>
        <w:rPr>
          <w:noProof/>
        </w:rPr>
        <w:t>4.</w:t>
      </w:r>
      <w:r>
        <w:rPr>
          <w:noProof/>
        </w:rPr>
        <w:tab/>
        <w:t xml:space="preserve">Pokud jsou podány různé žádosti ohledně stejné otázky nebo pokud není žádost v souladu s odstavcem 2, středisko může zamítnout vydání vědeckého stanoviska nebo navrhnout změny uvedené žádosti po konzultaci orgánu nebo členského státu, které žádost podaly. V případě zamítnutí žádosti je instituci nebo členským státům, které žádost podaly, poskytnuto odůvodnění. </w:t>
      </w:r>
    </w:p>
    <w:p>
      <w:pPr>
        <w:pStyle w:val="Point1"/>
        <w:rPr>
          <w:noProof/>
        </w:rPr>
      </w:pPr>
      <w:r>
        <w:rPr>
          <w:noProof/>
        </w:rPr>
        <w:t>5.</w:t>
      </w:r>
      <w:r>
        <w:rPr>
          <w:noProof/>
        </w:rPr>
        <w:tab/>
        <w:t>Pokud středisko k určité otázce uvedené v žádosti již vědecké stanovisko vydalo, a dojde k závěru, že neexistují žádné vědecké prvky, které by zdůvodňovaly přezkum otázky, poskytnou se instituci nebo členskému státu, které žádost podaly, informace podporující uvedený závěr.</w:t>
      </w:r>
    </w:p>
    <w:p>
      <w:pPr>
        <w:pStyle w:val="Point1"/>
        <w:rPr>
          <w:noProof/>
        </w:rPr>
      </w:pPr>
      <w:r>
        <w:rPr>
          <w:noProof/>
        </w:rPr>
        <w:t>6.</w:t>
      </w:r>
      <w:r>
        <w:rPr>
          <w:noProof/>
        </w:rPr>
        <w:tab/>
        <w:t>V interních pravidlech střediska jsou specifikovány požadavky týkající se formátu, vysvětlujících podkladů a zveřejnění vědeckého stanoviska.“;</w:t>
      </w:r>
    </w:p>
    <w:p>
      <w:pPr>
        <w:pStyle w:val="Point0"/>
        <w:rPr>
          <w:noProof/>
        </w:rPr>
      </w:pPr>
      <w:r>
        <w:rPr>
          <w:noProof/>
        </w:rPr>
        <w:t>9)</w:t>
      </w:r>
      <w:r>
        <w:rPr>
          <w:noProof/>
        </w:rPr>
        <w:tab/>
        <w:t>Článek 8 se nahrazuje tímto:</w:t>
      </w:r>
    </w:p>
    <w:p>
      <w:pPr>
        <w:pStyle w:val="Titrearticle"/>
        <w:rPr>
          <w:noProof/>
        </w:rPr>
      </w:pPr>
      <w:r>
        <w:rPr>
          <w:noProof/>
        </w:rPr>
        <w:t>„Článek 8</w:t>
      </w:r>
    </w:p>
    <w:p>
      <w:pPr>
        <w:jc w:val="center"/>
        <w:rPr>
          <w:b/>
          <w:noProof/>
        </w:rPr>
      </w:pPr>
      <w:r>
        <w:rPr>
          <w:b/>
          <w:noProof/>
        </w:rPr>
        <w:t>Provoz systému včasného varování a reakce</w:t>
      </w:r>
    </w:p>
    <w:p>
      <w:pPr>
        <w:pStyle w:val="Point1"/>
        <w:rPr>
          <w:noProof/>
        </w:rPr>
      </w:pPr>
      <w:r>
        <w:rPr>
          <w:noProof/>
        </w:rPr>
        <w:t>1.</w:t>
      </w:r>
      <w:r>
        <w:rPr>
          <w:noProof/>
        </w:rPr>
        <w:tab/>
        <w:t>Středisko poskytuje Komisi podporu a pomoc tak, že provozuje EWRS a že společně s členskými státy zajišťuje kapacitu pro koordinovanou reakci.</w:t>
      </w:r>
    </w:p>
    <w:p>
      <w:pPr>
        <w:pStyle w:val="Point1"/>
        <w:rPr>
          <w:noProof/>
        </w:rPr>
      </w:pPr>
      <w:r>
        <w:rPr>
          <w:noProof/>
        </w:rPr>
        <w:t>2.</w:t>
      </w:r>
      <w:r>
        <w:rPr>
          <w:noProof/>
        </w:rPr>
        <w:tab/>
        <w:t>Středisko:</w:t>
      </w:r>
    </w:p>
    <w:p>
      <w:pPr>
        <w:pStyle w:val="Point2"/>
        <w:rPr>
          <w:noProof/>
        </w:rPr>
      </w:pPr>
      <w:r>
        <w:rPr>
          <w:noProof/>
        </w:rPr>
        <w:t>a)</w:t>
      </w:r>
      <w:r>
        <w:rPr>
          <w:noProof/>
        </w:rPr>
        <w:tab/>
        <w:t>analyzuje obsah zpráv obdržených prostřednictvím EWRS;</w:t>
      </w:r>
    </w:p>
    <w:p>
      <w:pPr>
        <w:pStyle w:val="Point2"/>
        <w:rPr>
          <w:noProof/>
        </w:rPr>
      </w:pPr>
      <w:r>
        <w:rPr>
          <w:noProof/>
        </w:rPr>
        <w:t>b)</w:t>
      </w:r>
      <w:r>
        <w:rPr>
          <w:noProof/>
        </w:rPr>
        <w:tab/>
        <w:t>poskytuje informace, odborné posudky, poradenství a posouzení rizik členským státům a Komisi a</w:t>
      </w:r>
    </w:p>
    <w:p>
      <w:pPr>
        <w:pStyle w:val="Point2"/>
        <w:rPr>
          <w:noProof/>
        </w:rPr>
      </w:pPr>
      <w:r>
        <w:rPr>
          <w:noProof/>
        </w:rPr>
        <w:t>c)</w:t>
      </w:r>
      <w:r>
        <w:rPr>
          <w:noProof/>
        </w:rPr>
        <w:tab/>
        <w:t>zajišťuje účinné a účelné propojení EWRS s jinými varovnými systémy Unie.</w:t>
      </w:r>
    </w:p>
    <w:p>
      <w:pPr>
        <w:pStyle w:val="Point1"/>
        <w:rPr>
          <w:noProof/>
        </w:rPr>
      </w:pPr>
      <w:r>
        <w:rPr>
          <w:noProof/>
        </w:rPr>
        <w:lastRenderedPageBreak/>
        <w:t>3.</w:t>
      </w:r>
      <w:r>
        <w:rPr>
          <w:noProof/>
        </w:rPr>
        <w:tab/>
        <w:t>Středisko pracuje spolu s Komisí a výborem HSC na aktualizacích EWRS, včetně využití moderních technologií, jako jsou digitální mobilní aplikace, modely umělé inteligence nebo jiné technologie pro automatické vysledování kontaktů, přičemž vychází z technologií vysledování kontaktů vyvinutých členskými státy a definice funkčních požadavků EWRS.</w:t>
      </w:r>
    </w:p>
    <w:p>
      <w:pPr>
        <w:pStyle w:val="Point1"/>
        <w:rPr>
          <w:noProof/>
        </w:rPr>
      </w:pPr>
      <w:r>
        <w:rPr>
          <w:noProof/>
        </w:rPr>
        <w:t>4.</w:t>
      </w:r>
      <w:r>
        <w:rPr>
          <w:noProof/>
        </w:rPr>
        <w:tab/>
        <w:t>Centrum pracuje spolu s Komisí, výborem HSC a sítí elektronického zdravotnictví na dalším určení funkčních požadavků na aplikace pro vysledování kontaktů a jejich interoperabilitu, s přihlédnutím ke stávajícím infrastrukturám a službám, jako jsou služby geolokalizace poskytované kosmickým programem EU.</w:t>
      </w:r>
    </w:p>
    <w:p>
      <w:pPr>
        <w:pStyle w:val="Point1"/>
        <w:rPr>
          <w:noProof/>
        </w:rPr>
      </w:pPr>
      <w:r>
        <w:rPr>
          <w:noProof/>
        </w:rPr>
        <w:t>5.</w:t>
      </w:r>
      <w:r>
        <w:rPr>
          <w:noProof/>
        </w:rPr>
        <w:tab/>
        <w:t xml:space="preserve">Středisko má jako zpracovatel odpovědnost zajistit bezpečnost a důvěrnost operací zpracování osobních údajů prováděných v rámci EWRS a v souvislosti s interoperabilitou aplikací pro vysledování kontaktů, v souladu s povinnostmi stanovenými v článku 33 a čl. 34 odst. 2 a článku 36 nařízení Evropského parlamentu a Rady (EU) 2018/1725.* </w:t>
      </w:r>
    </w:p>
    <w:p>
      <w:pPr>
        <w:pStyle w:val="Text1"/>
        <w:rPr>
          <w:noProof/>
        </w:rPr>
      </w:pPr>
      <w:r>
        <w:rPr>
          <w:noProof/>
        </w:rPr>
        <w:t>________________</w:t>
      </w:r>
    </w:p>
    <w:p>
      <w:pPr>
        <w:pStyle w:val="Point1"/>
        <w:rPr>
          <w:noProof/>
        </w:rPr>
      </w:pPr>
      <w:r>
        <w:rPr>
          <w:noProof/>
        </w:rPr>
        <w:t>*</w:t>
      </w:r>
      <w:r>
        <w:rPr>
          <w:noProof/>
        </w:rPr>
        <w:tab/>
        <w:t>Nařízení Evropského parlamentu a Rady (EU) 2018/1725 ze dne 23. října 2018 o ochraně fyzických osob v souvislosti se zpracováním osobních údajů orgány, institucemi a jinými subjekty Unie a o volném pohybu těchto údajů a o zrušení nařízení (ES) č. 45/2001 a rozhodnutí č. 1247/2002/ES (Úř. věst. L 295, 21.11.2018, s. 39).“;</w:t>
      </w:r>
    </w:p>
    <w:p>
      <w:pPr>
        <w:pStyle w:val="Point0"/>
        <w:rPr>
          <w:noProof/>
        </w:rPr>
      </w:pPr>
      <w:r>
        <w:rPr>
          <w:noProof/>
        </w:rPr>
        <w:t>10)</w:t>
      </w:r>
      <w:r>
        <w:rPr>
          <w:noProof/>
        </w:rPr>
        <w:tab/>
        <w:t>Vkládá se nový článek 8a, který zní:</w:t>
      </w:r>
    </w:p>
    <w:p>
      <w:pPr>
        <w:pStyle w:val="Titrearticle"/>
        <w:rPr>
          <w:noProof/>
        </w:rPr>
      </w:pPr>
      <w:r>
        <w:rPr>
          <w:noProof/>
        </w:rPr>
        <w:t>„Článek 8a</w:t>
      </w:r>
    </w:p>
    <w:p>
      <w:pPr>
        <w:jc w:val="center"/>
        <w:rPr>
          <w:b/>
          <w:noProof/>
        </w:rPr>
      </w:pPr>
      <w:r>
        <w:rPr>
          <w:b/>
          <w:noProof/>
        </w:rPr>
        <w:t>Posouzení rizik</w:t>
      </w:r>
    </w:p>
    <w:p>
      <w:pPr>
        <w:pStyle w:val="Point1"/>
        <w:rPr>
          <w:noProof/>
        </w:rPr>
      </w:pPr>
      <w:r>
        <w:rPr>
          <w:noProof/>
        </w:rPr>
        <w:t>1.</w:t>
      </w:r>
      <w:r>
        <w:rPr>
          <w:noProof/>
        </w:rPr>
        <w:tab/>
        <w:t xml:space="preserve">Středisko poskytuje rychlá posouzení rizik v souladu s článkem 20 </w:t>
      </w:r>
      <w:r>
        <w:rPr>
          <w:noProof/>
          <w:color w:val="FF0000"/>
        </w:rPr>
        <w:t>nařízení (EU) …/… [</w:t>
      </w:r>
      <w:r>
        <w:rPr>
          <w:i/>
          <w:noProof/>
          <w:color w:val="FF0000"/>
        </w:rPr>
        <w:t>Úř. věst.: vložte prosím číslo nařízení SCBTH</w:t>
      </w:r>
      <w:r>
        <w:rPr>
          <w:noProof/>
          <w:color w:val="FF0000"/>
        </w:rPr>
        <w:t xml:space="preserve"> [ISC/2020/12524]]</w:t>
      </w:r>
      <w:r>
        <w:rPr>
          <w:noProof/>
        </w:rPr>
        <w:t xml:space="preserve"> v případě hrozby podle čl. 2 odst. 1 písm. a) bodech i) a ii) uvedeného nařízení včetně hrozby pro látky lidského původu, jako jsou krev, orgány, tkáně a buňky potenciálně ovlivněné přenosnými nemocemi, nebo čl. 2 odst. 1 písm. d) uvedeného nařízení.</w:t>
      </w:r>
    </w:p>
    <w:p>
      <w:pPr>
        <w:pStyle w:val="Point1"/>
        <w:rPr>
          <w:noProof/>
        </w:rPr>
      </w:pPr>
      <w:r>
        <w:rPr>
          <w:noProof/>
        </w:rPr>
        <w:t>2.</w:t>
      </w:r>
      <w:r>
        <w:rPr>
          <w:noProof/>
        </w:rPr>
        <w:tab/>
        <w:t xml:space="preserve">Jako základ pro koordinaci ve výboru HSC obsahuje posouzení rizik obecná a cílená doporučení pro reakci. </w:t>
      </w:r>
    </w:p>
    <w:p>
      <w:pPr>
        <w:pStyle w:val="Point1"/>
        <w:rPr>
          <w:noProof/>
        </w:rPr>
      </w:pPr>
      <w:r>
        <w:rPr>
          <w:noProof/>
        </w:rPr>
        <w:t>3.</w:t>
      </w:r>
      <w:r>
        <w:rPr>
          <w:noProof/>
        </w:rPr>
        <w:tab/>
        <w:t>Středisko pro účely odstavce 1 koordinuje přípravu rychlých posouzení rizik tak, že v případě potřeby zapojí odborníky členských států a příslušných agentur.</w:t>
      </w:r>
    </w:p>
    <w:p>
      <w:pPr>
        <w:pStyle w:val="Point1"/>
        <w:rPr>
          <w:noProof/>
        </w:rPr>
      </w:pPr>
      <w:r>
        <w:rPr>
          <w:noProof/>
        </w:rPr>
        <w:t>4.</w:t>
      </w:r>
      <w:r>
        <w:rPr>
          <w:noProof/>
        </w:rPr>
        <w:tab/>
        <w:t>Pokud posouzení rizik nespadá do mandátu střediska, středisko na žádost agentury nebo subjektu, jež posouzení rizik v rámci svého mandátu provádějí, neprodleně poskytne uvedené agentuře nebo subjektu všechny příslušné informace a údaje, které má k dispozici.“;</w:t>
      </w:r>
    </w:p>
    <w:p>
      <w:pPr>
        <w:pStyle w:val="Point0"/>
        <w:rPr>
          <w:noProof/>
        </w:rPr>
      </w:pPr>
      <w:r>
        <w:rPr>
          <w:noProof/>
        </w:rPr>
        <w:t>11)</w:t>
      </w:r>
      <w:r>
        <w:rPr>
          <w:noProof/>
        </w:rPr>
        <w:tab/>
        <w:t>Vkládá se nový článek 8b, který zní:</w:t>
      </w:r>
    </w:p>
    <w:p>
      <w:pPr>
        <w:pStyle w:val="Titrearticle"/>
        <w:rPr>
          <w:noProof/>
        </w:rPr>
      </w:pPr>
      <w:r>
        <w:rPr>
          <w:noProof/>
        </w:rPr>
        <w:t>„Článek 8b</w:t>
      </w:r>
    </w:p>
    <w:p>
      <w:pPr>
        <w:jc w:val="center"/>
        <w:rPr>
          <w:b/>
          <w:noProof/>
        </w:rPr>
      </w:pPr>
      <w:r>
        <w:rPr>
          <w:b/>
          <w:noProof/>
        </w:rPr>
        <w:t>Koordinace reakce</w:t>
      </w:r>
    </w:p>
    <w:p>
      <w:pPr>
        <w:pStyle w:val="Point1"/>
        <w:rPr>
          <w:noProof/>
        </w:rPr>
      </w:pPr>
      <w:r>
        <w:rPr>
          <w:noProof/>
        </w:rPr>
        <w:lastRenderedPageBreak/>
        <w:t>1.</w:t>
      </w:r>
      <w:r>
        <w:rPr>
          <w:noProof/>
        </w:rPr>
        <w:tab/>
        <w:t xml:space="preserve">Středisko podporuje koordinaci reakce ve výboru HSC, jak je uvedeno v článku 21 </w:t>
      </w:r>
      <w:r>
        <w:rPr>
          <w:noProof/>
          <w:color w:val="FF0000"/>
        </w:rPr>
        <w:t>nařízení (EU) …/… [</w:t>
      </w:r>
      <w:r>
        <w:rPr>
          <w:i/>
          <w:noProof/>
          <w:color w:val="FF0000"/>
        </w:rPr>
        <w:t xml:space="preserve">Úř. věst.: vložte prosím číslo nařízení SCBTH </w:t>
      </w:r>
      <w:r>
        <w:rPr>
          <w:noProof/>
          <w:color w:val="FF0000"/>
        </w:rPr>
        <w:t>[ISC/2020/12524]]</w:t>
      </w:r>
      <w:r>
        <w:rPr>
          <w:noProof/>
        </w:rPr>
        <w:t xml:space="preserve">, zejména poskytováním doporučení ohledně opatření přijatých pro účely reakce, která se týkají: </w:t>
      </w:r>
    </w:p>
    <w:p>
      <w:pPr>
        <w:pStyle w:val="Point2"/>
        <w:rPr>
          <w:noProof/>
        </w:rPr>
      </w:pPr>
      <w:r>
        <w:rPr>
          <w:noProof/>
        </w:rPr>
        <w:t>a)</w:t>
      </w:r>
      <w:r>
        <w:rPr>
          <w:noProof/>
        </w:rPr>
        <w:tab/>
        <w:t>vnitrostátní reakce na vážné přeshraniční zdravotní hrozby;</w:t>
      </w:r>
    </w:p>
    <w:p>
      <w:pPr>
        <w:pStyle w:val="Point2"/>
        <w:rPr>
          <w:noProof/>
        </w:rPr>
      </w:pPr>
      <w:r>
        <w:rPr>
          <w:noProof/>
        </w:rPr>
        <w:t>b)</w:t>
      </w:r>
      <w:r>
        <w:rPr>
          <w:noProof/>
        </w:rPr>
        <w:tab/>
        <w:t>přijetí pokynů pro členské státy pro prevenci a kontrolu vážné přeshraniční zdravotní hrozby.</w:t>
      </w:r>
    </w:p>
    <w:p>
      <w:pPr>
        <w:pStyle w:val="Point1"/>
        <w:rPr>
          <w:noProof/>
        </w:rPr>
      </w:pPr>
      <w:r>
        <w:rPr>
          <w:noProof/>
        </w:rPr>
        <w:t>2.</w:t>
      </w:r>
      <w:r>
        <w:rPr>
          <w:noProof/>
        </w:rPr>
        <w:tab/>
        <w:t xml:space="preserve">Středisko podporuje koordinovanou reakci Unie na žádost členského státu, Rady, Komise, subjektů nebo agentur Unie.“; </w:t>
      </w:r>
    </w:p>
    <w:p>
      <w:pPr>
        <w:pStyle w:val="Point0"/>
        <w:rPr>
          <w:noProof/>
        </w:rPr>
      </w:pPr>
      <w:r>
        <w:rPr>
          <w:noProof/>
        </w:rPr>
        <w:t>12)</w:t>
      </w:r>
      <w:r>
        <w:rPr>
          <w:noProof/>
        </w:rPr>
        <w:tab/>
        <w:t>Článek 9 se mění takto:</w:t>
      </w:r>
    </w:p>
    <w:p>
      <w:pPr>
        <w:pStyle w:val="Point1"/>
        <w:rPr>
          <w:noProof/>
        </w:rPr>
      </w:pPr>
      <w:r>
        <w:rPr>
          <w:noProof/>
        </w:rPr>
        <w:t>a)</w:t>
      </w:r>
      <w:r>
        <w:rPr>
          <w:noProof/>
        </w:rPr>
        <w:tab/>
        <w:t>odstavce 1, 2 a 3 se nahrazují tímto:</w:t>
      </w:r>
    </w:p>
    <w:p>
      <w:pPr>
        <w:pStyle w:val="Point2"/>
        <w:rPr>
          <w:noProof/>
        </w:rPr>
      </w:pPr>
      <w:r>
        <w:rPr>
          <w:noProof/>
        </w:rPr>
        <w:t>„1.</w:t>
      </w:r>
      <w:r>
        <w:rPr>
          <w:noProof/>
        </w:rPr>
        <w:tab/>
        <w:t>Středisko poskytuje v rámci svého poslání odborné vědecké a technické posudky členským státům, Komisi a jiným subjektům či agenturám Unie při rozvíjení, pravidelném přezkumu a aktualizaci plánů připravenosti a také při vývoji intervenčních strategií.</w:t>
      </w:r>
    </w:p>
    <w:p>
      <w:pPr>
        <w:pStyle w:val="Point2"/>
        <w:rPr>
          <w:noProof/>
        </w:rPr>
      </w:pPr>
      <w:r>
        <w:rPr>
          <w:noProof/>
        </w:rPr>
        <w:t>2.</w:t>
      </w:r>
      <w:r>
        <w:rPr>
          <w:noProof/>
        </w:rPr>
        <w:tab/>
        <w:t>Středisko může být požádáno Komisí, členskými státy, třetími zeměmi, zejména partnerskými zeměmi EU a mezinárodními organizacemi (zejména Světovou zdravotnickou organizací), aby poskytlo jakoukoliv vědeckou nebo technickou pomoc v rámci svého poslání. Tato pomoc může zahrnovat pomoc Komisi a členským státům při vyvíjení technických směrnic pro osvědčené postupy a pro ochranná opatření, která je třeba provést v reakci na hrozby pro lidské zdraví, poskytování odborné pomoci a mobilizaci a koordinaci vyšetřovacích týmů. Středisko poskytuje odborné vědecké a technické posudky a pomoc v rámci svých finančních možností a mandátu a v souladu s příslušnými pracovními ujednáními sjednanými s Komisí.</w:t>
      </w:r>
    </w:p>
    <w:p>
      <w:pPr>
        <w:pStyle w:val="Point2"/>
        <w:rPr>
          <w:noProof/>
        </w:rPr>
      </w:pPr>
      <w:r>
        <w:rPr>
          <w:noProof/>
        </w:rPr>
        <w:t>3.</w:t>
      </w:r>
      <w:r>
        <w:rPr>
          <w:noProof/>
        </w:rPr>
        <w:tab/>
        <w:t>Žádosti o vědeckou nebo technickou pomoc adresované středisku obsahují lhůtu, která se stanoví po vzájemné dohodě se střediskem.“;</w:t>
      </w:r>
    </w:p>
    <w:p>
      <w:pPr>
        <w:pStyle w:val="Point1"/>
        <w:rPr>
          <w:noProof/>
        </w:rPr>
      </w:pPr>
      <w:r>
        <w:rPr>
          <w:noProof/>
        </w:rPr>
        <w:t>b)</w:t>
      </w:r>
      <w:r>
        <w:rPr>
          <w:noProof/>
        </w:rPr>
        <w:tab/>
        <w:t xml:space="preserve">odstavec 5 se zrušuje.; </w:t>
      </w:r>
    </w:p>
    <w:p>
      <w:pPr>
        <w:pStyle w:val="Point1"/>
        <w:rPr>
          <w:noProof/>
        </w:rPr>
      </w:pPr>
      <w:r>
        <w:rPr>
          <w:noProof/>
        </w:rPr>
        <w:t>c)</w:t>
      </w:r>
      <w:r>
        <w:rPr>
          <w:noProof/>
        </w:rPr>
        <w:tab/>
        <w:t>odstavec 6 se nahrazuje tímto:</w:t>
      </w:r>
    </w:p>
    <w:p>
      <w:pPr>
        <w:pStyle w:val="Point2"/>
        <w:rPr>
          <w:noProof/>
        </w:rPr>
      </w:pPr>
      <w:r>
        <w:rPr>
          <w:noProof/>
        </w:rPr>
        <w:t>„6.</w:t>
      </w:r>
      <w:r>
        <w:rPr>
          <w:noProof/>
        </w:rPr>
        <w:tab/>
        <w:t>Středisko vhodně podporuje a koordinuje vzdělávací programy, zejména pro epidemiologický dozor, terénní výzkumy, připravenost a prevenci a výzkum v oblasti veřejného zdraví.“;</w:t>
      </w:r>
    </w:p>
    <w:p>
      <w:pPr>
        <w:pStyle w:val="Point0"/>
        <w:rPr>
          <w:noProof/>
        </w:rPr>
      </w:pPr>
      <w:r>
        <w:rPr>
          <w:noProof/>
        </w:rPr>
        <w:t>13)</w:t>
      </w:r>
      <w:r>
        <w:rPr>
          <w:noProof/>
        </w:rPr>
        <w:tab/>
        <w:t>Článek 11 se mění takto:</w:t>
      </w:r>
    </w:p>
    <w:p>
      <w:pPr>
        <w:pStyle w:val="Point1"/>
        <w:rPr>
          <w:noProof/>
        </w:rPr>
      </w:pPr>
      <w:r>
        <w:rPr>
          <w:noProof/>
        </w:rPr>
        <w:t>a)</w:t>
      </w:r>
      <w:r>
        <w:rPr>
          <w:noProof/>
        </w:rPr>
        <w:tab/>
        <w:t>odstavec 1 se nahrazuje tímto:</w:t>
      </w:r>
    </w:p>
    <w:p>
      <w:pPr>
        <w:pStyle w:val="Point2"/>
        <w:rPr>
          <w:noProof/>
        </w:rPr>
      </w:pPr>
      <w:r>
        <w:rPr>
          <w:noProof/>
        </w:rPr>
        <w:t>„1.</w:t>
      </w:r>
      <w:r>
        <w:rPr>
          <w:noProof/>
        </w:rPr>
        <w:tab/>
        <w:t xml:space="preserve">Středisko koordinuje sběr, ověřování, analýzu a šíření údajů na úrovni Unie.“; </w:t>
      </w:r>
    </w:p>
    <w:p>
      <w:pPr>
        <w:pStyle w:val="Point1"/>
        <w:rPr>
          <w:noProof/>
        </w:rPr>
      </w:pPr>
      <w:r>
        <w:rPr>
          <w:noProof/>
        </w:rPr>
        <w:t>b)</w:t>
      </w:r>
      <w:r>
        <w:rPr>
          <w:noProof/>
        </w:rPr>
        <w:tab/>
        <w:t>vkládá se nový odstavec 1a, který zní:</w:t>
      </w:r>
    </w:p>
    <w:p>
      <w:pPr>
        <w:pStyle w:val="Point2"/>
        <w:rPr>
          <w:noProof/>
        </w:rPr>
      </w:pPr>
      <w:r>
        <w:rPr>
          <w:noProof/>
        </w:rPr>
        <w:t>„1a.</w:t>
      </w:r>
      <w:r>
        <w:rPr>
          <w:noProof/>
        </w:rPr>
        <w:tab/>
        <w:t>Středisko shromažďuje údaje a informace a zajistí jejich propojení s příslušnými údaji a výstupy z výzkumu, které se týkají:</w:t>
      </w:r>
    </w:p>
    <w:p>
      <w:pPr>
        <w:pStyle w:val="Point3"/>
        <w:rPr>
          <w:noProof/>
        </w:rPr>
      </w:pPr>
      <w:r>
        <w:rPr>
          <w:noProof/>
        </w:rPr>
        <w:t>a)</w:t>
      </w:r>
      <w:r>
        <w:rPr>
          <w:noProof/>
        </w:rPr>
        <w:tab/>
        <w:t xml:space="preserve">epidemiologického dozoru nad přenosnými nemocemi a souvisejícími zvláštními zdravotními problémy uvedenými v čl. 2 </w:t>
      </w:r>
      <w:r>
        <w:rPr>
          <w:noProof/>
        </w:rPr>
        <w:lastRenderedPageBreak/>
        <w:t xml:space="preserve">odst. 1 písm. a) bodech i) a ii) </w:t>
      </w:r>
      <w:r>
        <w:rPr>
          <w:noProof/>
          <w:color w:val="FF0000"/>
        </w:rPr>
        <w:t>nařízení (EU) …/… [</w:t>
      </w:r>
      <w:r>
        <w:rPr>
          <w:i/>
          <w:noProof/>
          <w:color w:val="FF0000"/>
        </w:rPr>
        <w:t xml:space="preserve">Úř. věst.: vložte prosím číslo nařízení SCBTH </w:t>
      </w:r>
      <w:r>
        <w:rPr>
          <w:noProof/>
          <w:color w:val="FF0000"/>
        </w:rPr>
        <w:t>[ISC/2020/12524]]</w:t>
      </w:r>
      <w:r>
        <w:rPr>
          <w:noProof/>
        </w:rPr>
        <w:t>;</w:t>
      </w:r>
    </w:p>
    <w:p>
      <w:pPr>
        <w:pStyle w:val="Point3"/>
        <w:rPr>
          <w:noProof/>
        </w:rPr>
      </w:pPr>
      <w:r>
        <w:rPr>
          <w:noProof/>
        </w:rPr>
        <w:t>b)</w:t>
      </w:r>
      <w:r>
        <w:rPr>
          <w:noProof/>
        </w:rPr>
        <w:tab/>
        <w:t>vývoje epidemických situací, včetně modelování, předvídání a vypracovávání scénářů;</w:t>
      </w:r>
    </w:p>
    <w:p>
      <w:pPr>
        <w:pStyle w:val="Point3"/>
        <w:rPr>
          <w:noProof/>
        </w:rPr>
      </w:pPr>
      <w:r>
        <w:rPr>
          <w:noProof/>
        </w:rPr>
        <w:t>c)</w:t>
      </w:r>
      <w:r>
        <w:rPr>
          <w:noProof/>
        </w:rPr>
        <w:tab/>
        <w:t>neobvyklého epidemického jevu nebo nových přenosných nemocí neznámého původu, mimo jiné těch, které se vyskytují ve třetích zemích;</w:t>
      </w:r>
    </w:p>
    <w:p>
      <w:pPr>
        <w:pStyle w:val="Point3"/>
        <w:rPr>
          <w:noProof/>
        </w:rPr>
      </w:pPr>
      <w:r>
        <w:rPr>
          <w:noProof/>
        </w:rPr>
        <w:t>d)</w:t>
      </w:r>
      <w:r>
        <w:rPr>
          <w:noProof/>
        </w:rPr>
        <w:tab/>
        <w:t>údajů o molekulárních patogenech, pokud jsou požadovány pro odhalování nebo vyšetřování přeshraničních zdravotních hrozeb a</w:t>
      </w:r>
    </w:p>
    <w:p>
      <w:pPr>
        <w:pStyle w:val="Point3"/>
        <w:rPr>
          <w:noProof/>
        </w:rPr>
      </w:pPr>
      <w:r>
        <w:rPr>
          <w:noProof/>
        </w:rPr>
        <w:t>e)</w:t>
      </w:r>
      <w:r>
        <w:rPr>
          <w:noProof/>
        </w:rPr>
        <w:tab/>
        <w:t>údajů systémů zdravotní péče potřebných pro zvládání přeshraničních zdravotních hrozeb.“;</w:t>
      </w:r>
    </w:p>
    <w:p>
      <w:pPr>
        <w:pStyle w:val="Point1"/>
        <w:rPr>
          <w:noProof/>
        </w:rPr>
      </w:pPr>
      <w:r>
        <w:rPr>
          <w:noProof/>
        </w:rPr>
        <w:t>c)</w:t>
      </w:r>
      <w:r>
        <w:rPr>
          <w:noProof/>
        </w:rPr>
        <w:tab/>
        <w:t xml:space="preserve">odstavec 2 se nahrazuje tímto: </w:t>
      </w:r>
    </w:p>
    <w:p>
      <w:pPr>
        <w:pStyle w:val="Point2"/>
        <w:rPr>
          <w:noProof/>
        </w:rPr>
      </w:pPr>
      <w:r>
        <w:rPr>
          <w:noProof/>
        </w:rPr>
        <w:t>„2.</w:t>
      </w:r>
      <w:r>
        <w:rPr>
          <w:noProof/>
        </w:rPr>
        <w:tab/>
        <w:t>Pro účely odstavce 1 středisko:</w:t>
      </w:r>
    </w:p>
    <w:p>
      <w:pPr>
        <w:pStyle w:val="Point3"/>
        <w:rPr>
          <w:noProof/>
        </w:rPr>
      </w:pPr>
      <w:r>
        <w:rPr>
          <w:noProof/>
        </w:rPr>
        <w:t>a)</w:t>
      </w:r>
      <w:r>
        <w:rPr>
          <w:noProof/>
        </w:rPr>
        <w:tab/>
        <w:t>vyvíjí společně s příslušnými subjekty členských států a Komisí vhodné postupy k usnadnění konzultací a přenosu a přístupnosti údajů;</w:t>
      </w:r>
    </w:p>
    <w:p>
      <w:pPr>
        <w:pStyle w:val="Point3"/>
        <w:rPr>
          <w:noProof/>
        </w:rPr>
      </w:pPr>
      <w:r>
        <w:rPr>
          <w:noProof/>
        </w:rPr>
        <w:t>b)</w:t>
      </w:r>
      <w:r>
        <w:rPr>
          <w:noProof/>
        </w:rPr>
        <w:tab/>
        <w:t>provádí technické a vědecké vyhodnocení preventivních a kontrolních opatření na úrovni Unie;</w:t>
      </w:r>
    </w:p>
    <w:p>
      <w:pPr>
        <w:pStyle w:val="Point3"/>
        <w:rPr>
          <w:noProof/>
        </w:rPr>
      </w:pPr>
      <w:r>
        <w:rPr>
          <w:noProof/>
        </w:rPr>
        <w:t>c)</w:t>
      </w:r>
      <w:r>
        <w:rPr>
          <w:noProof/>
        </w:rPr>
        <w:tab/>
        <w:t>úzce spolupracuje s příslušnými subjekty organizací působících v oblasti sběru údajů z Unie, třetích zemí, Světové zdravotnické organizace a jiných mezinárodních organizací a</w:t>
      </w:r>
    </w:p>
    <w:p>
      <w:pPr>
        <w:pStyle w:val="Point3"/>
        <w:rPr>
          <w:noProof/>
        </w:rPr>
      </w:pPr>
      <w:r>
        <w:rPr>
          <w:noProof/>
        </w:rPr>
        <w:t>d)</w:t>
      </w:r>
      <w:r>
        <w:rPr>
          <w:noProof/>
        </w:rPr>
        <w:tab/>
        <w:t>v souladu s pravidly pro ochranu údajů vyvíjí řešení týkající se přístupu k relevantním údajům o zdravotním stavu dostupným nebo vyměněným prostřednictvím digitálních infrastruktur, čímž se umožní použití údajů o zdravotním stavu pro účely zdravotní péče, výzkumu, vytváření politik a právní účely; poskytuje a usnadňuje kontrolovaný přístup k údajům o zdravotním stavu s cílem podpořit výzkum v oblasti veřejného zdraví.“;</w:t>
      </w:r>
    </w:p>
    <w:p>
      <w:pPr>
        <w:pStyle w:val="Point1"/>
        <w:rPr>
          <w:noProof/>
        </w:rPr>
      </w:pPr>
      <w:r>
        <w:rPr>
          <w:noProof/>
        </w:rPr>
        <w:t>d)</w:t>
      </w:r>
      <w:r>
        <w:rPr>
          <w:noProof/>
        </w:rPr>
        <w:tab/>
        <w:t>doplňují se nové odstavce 4 a 5, které znějí:</w:t>
      </w:r>
    </w:p>
    <w:p>
      <w:pPr>
        <w:pStyle w:val="Point2"/>
        <w:rPr>
          <w:noProof/>
        </w:rPr>
      </w:pPr>
      <w:r>
        <w:rPr>
          <w:noProof/>
        </w:rPr>
        <w:t>„4.</w:t>
      </w:r>
      <w:r>
        <w:rPr>
          <w:noProof/>
        </w:rPr>
        <w:tab/>
        <w:t>V naléhavých situacích souvisejících s vážností nebo novotou vážné přeshraniční zdravotní hrozby nebo rychlostí jejího šíření mezi členskými státy středisko na žádost Evropské agentury pro léčivé přípravy zveřejní epidemiologické prognózy podle čl. 5 odst. 4 písm. g), objektivním, spolehlivým a jednoduše přístupným způsobem a na základě nejlepších dostupných informací.</w:t>
      </w:r>
    </w:p>
    <w:p>
      <w:pPr>
        <w:pStyle w:val="Point2"/>
        <w:rPr>
          <w:noProof/>
        </w:rPr>
      </w:pPr>
      <w:r>
        <w:rPr>
          <w:noProof/>
        </w:rPr>
        <w:t>5.</w:t>
      </w:r>
      <w:r>
        <w:rPr>
          <w:noProof/>
        </w:rPr>
        <w:tab/>
        <w:t>V naléhavých situacích souvisejících s vážností nebo novotou vážné přeshraniční zdravotní hrozby nebo rychlostí jejího šíření mezi členskými státy středisko poskytne údaje a příslušné analýzy na základě nejlepších dostupných informací.“;</w:t>
      </w:r>
    </w:p>
    <w:p>
      <w:pPr>
        <w:pStyle w:val="Point0"/>
        <w:rPr>
          <w:noProof/>
        </w:rPr>
      </w:pPr>
      <w:r>
        <w:rPr>
          <w:noProof/>
        </w:rPr>
        <w:t>14)</w:t>
      </w:r>
      <w:r>
        <w:rPr>
          <w:noProof/>
        </w:rPr>
        <w:tab/>
        <w:t>Vkládá se nový článek 11a, který zní:</w:t>
      </w:r>
    </w:p>
    <w:p>
      <w:pPr>
        <w:pStyle w:val="Titrearticle"/>
        <w:rPr>
          <w:noProof/>
        </w:rPr>
      </w:pPr>
      <w:r>
        <w:rPr>
          <w:noProof/>
        </w:rPr>
        <w:t>„Článek 11a</w:t>
      </w:r>
    </w:p>
    <w:p>
      <w:pPr>
        <w:jc w:val="center"/>
        <w:rPr>
          <w:b/>
          <w:noProof/>
        </w:rPr>
      </w:pPr>
      <w:r>
        <w:rPr>
          <w:b/>
          <w:noProof/>
        </w:rPr>
        <w:t>Podpora mezinárodní reakce a reakce v terénu</w:t>
      </w:r>
    </w:p>
    <w:p>
      <w:pPr>
        <w:pStyle w:val="Point1"/>
        <w:rPr>
          <w:noProof/>
        </w:rPr>
      </w:pPr>
      <w:r>
        <w:rPr>
          <w:noProof/>
        </w:rPr>
        <w:lastRenderedPageBreak/>
        <w:t>1.</w:t>
      </w:r>
      <w:r>
        <w:rPr>
          <w:noProof/>
        </w:rPr>
        <w:tab/>
        <w:t xml:space="preserve">Středisko zřídí kapacitu k mobilizaci a rozmístění pracovní skupiny EU pro oblast zdraví včetně zaměstnanců střediska a odborníků z členských států a stipendijních programů s cílem pomoci při místní reakci na šíření přenosných nemocí v členských státech </w:t>
      </w:r>
      <w:r>
        <w:rPr>
          <w:noProof/>
          <w:color w:val="FF0000"/>
        </w:rPr>
        <w:t>a třetích zemích</w:t>
      </w:r>
      <w:r>
        <w:rPr>
          <w:noProof/>
        </w:rPr>
        <w:t xml:space="preserve">. </w:t>
      </w:r>
    </w:p>
    <w:p>
      <w:pPr>
        <w:pStyle w:val="Point1"/>
        <w:rPr>
          <w:noProof/>
        </w:rPr>
      </w:pPr>
      <w:r>
        <w:rPr>
          <w:noProof/>
        </w:rPr>
        <w:t>2.</w:t>
      </w:r>
      <w:r>
        <w:rPr>
          <w:noProof/>
        </w:rPr>
        <w:tab/>
        <w:t xml:space="preserve">Středisko vyvine rámec a zavede s Komisí postupy k mobilizaci pracovní skupiny EU pro oblast zdraví. </w:t>
      </w:r>
    </w:p>
    <w:p>
      <w:pPr>
        <w:pStyle w:val="Point1"/>
        <w:rPr>
          <w:noProof/>
        </w:rPr>
      </w:pPr>
      <w:r>
        <w:rPr>
          <w:noProof/>
        </w:rPr>
        <w:t>3.</w:t>
      </w:r>
      <w:r>
        <w:rPr>
          <w:noProof/>
        </w:rPr>
        <w:tab/>
        <w:t xml:space="preserve">Středisko zajistí, aby byla pracovní skupina EU pro oblast zdraví koordinovaná a doplňovala kapacity integrující Evropský zdravotnický sbor a další příslušné kapacity v rámci mechanismu civilní ochrany Unie. </w:t>
      </w:r>
    </w:p>
    <w:p>
      <w:pPr>
        <w:pStyle w:val="Point1"/>
        <w:rPr>
          <w:noProof/>
        </w:rPr>
      </w:pPr>
      <w:r>
        <w:rPr>
          <w:noProof/>
        </w:rPr>
        <w:t>4.</w:t>
      </w:r>
      <w:r>
        <w:rPr>
          <w:noProof/>
        </w:rPr>
        <w:tab/>
        <w:t xml:space="preserve">Středisko vyvíjí s Komisí rámec pro mobilizaci pracovní skupiny EU pro oblast zdraví s ohledem na opatření podle rozhodnutí č. 1313/2013/EU*. </w:t>
      </w:r>
    </w:p>
    <w:p>
      <w:pPr>
        <w:pStyle w:val="Text2"/>
        <w:rPr>
          <w:noProof/>
        </w:rPr>
      </w:pPr>
      <w:r>
        <w:rPr>
          <w:noProof/>
        </w:rPr>
        <w:t xml:space="preserve">Středisko poskytne podporu prostřednictvím odborníků Unie na reakce v terénu v mezinárodních zásahových týmech mobilizovaných pomocí mechanismu programu pro krizové situace v oblasti zdraví a Světové sítě včasného varování a reakce na mimořádné události (GOARN), jež fungují v rámci WHO, a v souladu s odpovídajícími pracovními ujednáními sjednanými s Komisí. </w:t>
      </w:r>
    </w:p>
    <w:p>
      <w:pPr>
        <w:pStyle w:val="Point1"/>
        <w:rPr>
          <w:noProof/>
        </w:rPr>
      </w:pPr>
      <w:r>
        <w:rPr>
          <w:noProof/>
        </w:rPr>
        <w:t>5.</w:t>
      </w:r>
      <w:r>
        <w:rPr>
          <w:noProof/>
        </w:rPr>
        <w:tab/>
        <w:t>Středisko na žádost Komise usnadňuje rozvoj kapacit pro reakci v terénu, jakož i odborných posudků krizového řízení mezi zaměstnanci střediska a odborníky ze zemí EU a EHP, kandidátských zemí EU a potenciálních kandidátů a také ze zemí evropské politiky sousedství a partnerských zemí EU.</w:t>
      </w:r>
    </w:p>
    <w:p>
      <w:pPr>
        <w:pStyle w:val="Point1"/>
        <w:rPr>
          <w:noProof/>
        </w:rPr>
      </w:pPr>
      <w:r>
        <w:rPr>
          <w:noProof/>
        </w:rPr>
        <w:t>6.</w:t>
      </w:r>
      <w:r>
        <w:rPr>
          <w:noProof/>
        </w:rPr>
        <w:tab/>
        <w:t>Na žádost Komise a členských států středisko v rámci svého mandátu udržuje kapacitu pro provádění zahraničních misí do členských států s cílem poskytnout doporučení ohledně reakce na zdravotní hrozby.</w:t>
      </w:r>
    </w:p>
    <w:p>
      <w:pPr>
        <w:pStyle w:val="Point1"/>
        <w:rPr>
          <w:noProof/>
        </w:rPr>
      </w:pPr>
      <w:r>
        <w:rPr>
          <w:noProof/>
        </w:rPr>
        <w:t>7.</w:t>
      </w:r>
      <w:r>
        <w:rPr>
          <w:noProof/>
        </w:rPr>
        <w:tab/>
        <w:t>Na žádost Komise a členských států se středisko zapojuje do dlouhodobých projektů budování kapacit, které jsou zaměřeny na posilování kapacit v oblasti připravenosti podle MZP v neevropských třetích zemích, zejména v partnerských zemích.</w:t>
      </w:r>
    </w:p>
    <w:p>
      <w:pPr>
        <w:pStyle w:val="Text1"/>
        <w:rPr>
          <w:noProof/>
        </w:rPr>
      </w:pPr>
      <w:r>
        <w:rPr>
          <w:noProof/>
        </w:rPr>
        <w:t>_______________</w:t>
      </w:r>
    </w:p>
    <w:p>
      <w:pPr>
        <w:pStyle w:val="Point1"/>
        <w:rPr>
          <w:noProof/>
        </w:rPr>
      </w:pPr>
      <w:r>
        <w:rPr>
          <w:noProof/>
        </w:rPr>
        <w:t>*</w:t>
      </w:r>
      <w:r>
        <w:rPr>
          <w:noProof/>
        </w:rPr>
        <w:tab/>
        <w:t>Rozhodnutí Evropského parlamentu a Rady č. 1313/2013/EU ze dne 17. prosince 2013 o mechanismu civilní ochrany Unie (Úř. věst. L 347, 20.12.2013, s. 924).“;</w:t>
      </w:r>
    </w:p>
    <w:p>
      <w:pPr>
        <w:pStyle w:val="Point0"/>
        <w:rPr>
          <w:noProof/>
        </w:rPr>
      </w:pPr>
      <w:r>
        <w:rPr>
          <w:noProof/>
        </w:rPr>
        <w:t>15)</w:t>
      </w:r>
      <w:r>
        <w:rPr>
          <w:noProof/>
        </w:rPr>
        <w:tab/>
        <w:t>Článek 12 se mění takto:</w:t>
      </w:r>
    </w:p>
    <w:p>
      <w:pPr>
        <w:pStyle w:val="Point1"/>
        <w:rPr>
          <w:noProof/>
        </w:rPr>
      </w:pPr>
      <w:r>
        <w:rPr>
          <w:noProof/>
        </w:rPr>
        <w:t>a)</w:t>
      </w:r>
      <w:r>
        <w:rPr>
          <w:noProof/>
        </w:rPr>
        <w:tab/>
        <w:t>odstavec 1 se nahrazuje tímto:</w:t>
      </w:r>
    </w:p>
    <w:p>
      <w:pPr>
        <w:pStyle w:val="Point2"/>
        <w:rPr>
          <w:noProof/>
        </w:rPr>
      </w:pPr>
      <w:r>
        <w:rPr>
          <w:noProof/>
        </w:rPr>
        <w:t>„1.</w:t>
      </w:r>
      <w:r>
        <w:rPr>
          <w:noProof/>
        </w:rPr>
        <w:tab/>
        <w:t xml:space="preserve">Středisko v rámci svého poslání vydává z vlastního podnětu sdělení poté, co informovalo členské státy a Komisi. </w:t>
      </w:r>
    </w:p>
    <w:p>
      <w:pPr>
        <w:pStyle w:val="Text3"/>
        <w:rPr>
          <w:noProof/>
        </w:rPr>
      </w:pPr>
      <w:r>
        <w:rPr>
          <w:noProof/>
        </w:rPr>
        <w:t>Středisko zajišťuje, aby veřejnost a zúčastněné strany dostávaly rychle objektivní, spolehlivé, na důkazech založené a snadno dostupné informace o výsledcích jeho práce. Středisko zpřístupní informace veřejnosti, a to i prostřednictvím zvláštní webové stránky. Zveřejňuje též svá stanoviska vypracovaná podle článku 6.“;</w:t>
      </w:r>
    </w:p>
    <w:p>
      <w:pPr>
        <w:pStyle w:val="Point1"/>
        <w:rPr>
          <w:noProof/>
        </w:rPr>
      </w:pPr>
      <w:r>
        <w:rPr>
          <w:noProof/>
        </w:rPr>
        <w:t>b)</w:t>
      </w:r>
      <w:r>
        <w:rPr>
          <w:noProof/>
        </w:rPr>
        <w:tab/>
        <w:t>odstavec 2 se zrušuje;</w:t>
      </w:r>
    </w:p>
    <w:p>
      <w:pPr>
        <w:pStyle w:val="Point1"/>
        <w:rPr>
          <w:noProof/>
        </w:rPr>
      </w:pPr>
      <w:r>
        <w:rPr>
          <w:noProof/>
        </w:rPr>
        <w:t>c)</w:t>
      </w:r>
      <w:r>
        <w:rPr>
          <w:noProof/>
        </w:rPr>
        <w:tab/>
        <w:t>odstavec 3 se nahrazuje tímto:</w:t>
      </w:r>
    </w:p>
    <w:p>
      <w:pPr>
        <w:pStyle w:val="Point2"/>
        <w:rPr>
          <w:noProof/>
        </w:rPr>
      </w:pPr>
      <w:r>
        <w:rPr>
          <w:noProof/>
        </w:rPr>
        <w:lastRenderedPageBreak/>
        <w:t>„3.</w:t>
      </w:r>
      <w:r>
        <w:rPr>
          <w:noProof/>
        </w:rPr>
        <w:tab/>
        <w:t>Při informačních kampaních pro veřejnost spolupracuje středisko případně s příslušnými subjekty v členských státech a s jinými zúčastněnými stranami.“;</w:t>
      </w:r>
    </w:p>
    <w:p>
      <w:pPr>
        <w:pStyle w:val="Point0"/>
        <w:rPr>
          <w:noProof/>
        </w:rPr>
      </w:pPr>
      <w:r>
        <w:rPr>
          <w:noProof/>
        </w:rPr>
        <w:t>16)</w:t>
      </w:r>
      <w:r>
        <w:rPr>
          <w:noProof/>
        </w:rPr>
        <w:tab/>
        <w:t xml:space="preserve">Článek 14 se mění takto: </w:t>
      </w:r>
    </w:p>
    <w:p>
      <w:pPr>
        <w:pStyle w:val="Point1"/>
        <w:rPr>
          <w:noProof/>
        </w:rPr>
      </w:pPr>
      <w:r>
        <w:rPr>
          <w:noProof/>
        </w:rPr>
        <w:t>a)</w:t>
      </w:r>
      <w:r>
        <w:rPr>
          <w:noProof/>
        </w:rPr>
        <w:tab/>
        <w:t xml:space="preserve">v odstavci 2 se třetí pododstavec nahrazuje tímto: </w:t>
      </w:r>
    </w:p>
    <w:p>
      <w:pPr>
        <w:pStyle w:val="Text2"/>
        <w:rPr>
          <w:noProof/>
        </w:rPr>
      </w:pPr>
      <w:r>
        <w:rPr>
          <w:noProof/>
        </w:rPr>
        <w:t>Funkční období člena je tříleté a lze jej prodloužit.“;</w:t>
      </w:r>
    </w:p>
    <w:p>
      <w:pPr>
        <w:pStyle w:val="Point1"/>
        <w:rPr>
          <w:noProof/>
        </w:rPr>
      </w:pPr>
      <w:r>
        <w:rPr>
          <w:noProof/>
        </w:rPr>
        <w:t>b)</w:t>
      </w:r>
      <w:r>
        <w:rPr>
          <w:noProof/>
        </w:rPr>
        <w:tab/>
        <w:t xml:space="preserve">v odstavci 5 se písmena d), e) a f) nahrazují tímto: </w:t>
      </w:r>
    </w:p>
    <w:p>
      <w:pPr>
        <w:pStyle w:val="Point2"/>
        <w:rPr>
          <w:noProof/>
        </w:rPr>
      </w:pPr>
      <w:r>
        <w:rPr>
          <w:noProof/>
        </w:rPr>
        <w:t>„d)</w:t>
      </w:r>
      <w:r>
        <w:rPr>
          <w:noProof/>
        </w:rPr>
        <w:tab/>
        <w:t xml:space="preserve">před 31. lednem každého roku přijímá pracovní program střediska na nadcházející rok; </w:t>
      </w:r>
    </w:p>
    <w:p>
      <w:pPr>
        <w:pStyle w:val="Point2"/>
        <w:rPr>
          <w:noProof/>
        </w:rPr>
      </w:pPr>
      <w:r>
        <w:rPr>
          <w:noProof/>
        </w:rPr>
        <w:t>e)</w:t>
      </w:r>
      <w:r>
        <w:rPr>
          <w:noProof/>
        </w:rPr>
        <w:tab/>
        <w:t xml:space="preserve">přijímá návrh jednotného programového dokumentu v souladu s článkem 32 nařízení Komise v přenesené pravomoci (EU) 2019/715* a souvisejícími pokyny Komise pro jednotný programový dokument**; </w:t>
      </w:r>
    </w:p>
    <w:p>
      <w:pPr>
        <w:pStyle w:val="Point2"/>
        <w:rPr>
          <w:noProof/>
        </w:rPr>
      </w:pPr>
      <w:r>
        <w:rPr>
          <w:noProof/>
        </w:rPr>
        <w:t>f)</w:t>
      </w:r>
      <w:r>
        <w:rPr>
          <w:noProof/>
        </w:rPr>
        <w:tab/>
        <w:t xml:space="preserve">zajistí, že pracovní program na nadcházející rok a víceleté programy budou v souladu s legislativními a politickými prioritami Unie v oblasti jeho poslání a úkolů, jakož i v souladu s doporučeními přijatými v ročním stanovisku Komise. </w:t>
      </w:r>
    </w:p>
    <w:p>
      <w:pPr>
        <w:pStyle w:val="Point2"/>
        <w:rPr>
          <w:noProof/>
        </w:rPr>
      </w:pPr>
      <w:r>
        <w:rPr>
          <w:noProof/>
        </w:rPr>
        <w:t>g)</w:t>
      </w:r>
      <w:r>
        <w:rPr>
          <w:noProof/>
        </w:rPr>
        <w:tab/>
        <w:t xml:space="preserve">před 30. březnem každého roku přijímá souhrnnou zprávu o činnosti střediska za uplynulý rok; </w:t>
      </w:r>
    </w:p>
    <w:p>
      <w:pPr>
        <w:pStyle w:val="Point2"/>
        <w:rPr>
          <w:noProof/>
          <w:sz w:val="22"/>
        </w:rPr>
      </w:pPr>
      <w:r>
        <w:rPr>
          <w:noProof/>
        </w:rPr>
        <w:t>h)</w:t>
      </w:r>
      <w:r>
        <w:rPr>
          <w:noProof/>
        </w:rPr>
        <w:tab/>
        <w:t xml:space="preserve">po konzultaci s Komisí přijímá finanční předpisy střediska; </w:t>
      </w:r>
    </w:p>
    <w:p>
      <w:pPr>
        <w:pStyle w:val="Point2"/>
        <w:rPr>
          <w:noProof/>
        </w:rPr>
      </w:pPr>
      <w:r>
        <w:rPr>
          <w:noProof/>
        </w:rPr>
        <w:t>i)</w:t>
      </w:r>
      <w:r>
        <w:rPr>
          <w:noProof/>
        </w:rPr>
        <w:tab/>
        <w:t>určí pravidla pro používání jazyka střediska, včetně možnosti rozlišení mezi vnitřní agendou střediska a vnější komunikací, přičemž se pro oba případy musí brát v úvahu nutnost zajistit všem zúčastněným stranám přístup k práci střediska a účast na této práci.</w:t>
      </w:r>
    </w:p>
    <w:p>
      <w:pPr>
        <w:pStyle w:val="Text3"/>
        <w:rPr>
          <w:noProof/>
        </w:rPr>
      </w:pPr>
      <w:r>
        <w:rPr>
          <w:noProof/>
        </w:rPr>
        <w:t>Finanční předpisy střediska uvedené v prvním pododstavci písm. h) se nesmějí odchýlit od nařízení Komise v přenesené pravomoci (EU) 2019/715, pokud to není výslovně vyžadováno pro provoz střediska a pokud k tomu Komise předem nedala souhlas.</w:t>
      </w:r>
    </w:p>
    <w:p>
      <w:pPr>
        <w:pStyle w:val="Text3"/>
        <w:rPr>
          <w:noProof/>
        </w:rPr>
      </w:pPr>
      <w:r>
        <w:rPr>
          <w:noProof/>
        </w:rPr>
        <w:t>________________</w:t>
      </w:r>
    </w:p>
    <w:p>
      <w:pPr>
        <w:pStyle w:val="Point3"/>
        <w:rPr>
          <w:noProof/>
          <w:sz w:val="22"/>
        </w:rPr>
      </w:pPr>
      <w:r>
        <w:rPr>
          <w:noProof/>
        </w:rPr>
        <w:t>*</w:t>
      </w:r>
      <w:r>
        <w:rPr>
          <w:noProof/>
        </w:rPr>
        <w:tab/>
        <w:t>Nařízení Komise v přenesené pravomoci (EU) 2019/715 ze dne 18. prosince 2018 o rámcovém finančním nařízení pro subjekty zřízené podle SFEU a Smlouvy o Euratomu a uvedené v článku 70 nařízení Evropského parlamentu a Rady (EU, Euratom) 2018/1046 (Úř. věst. L 122, 10.5.2019, s. 1.).“;</w:t>
      </w:r>
    </w:p>
    <w:p>
      <w:pPr>
        <w:pStyle w:val="Point0"/>
        <w:rPr>
          <w:noProof/>
        </w:rPr>
      </w:pPr>
      <w:r>
        <w:rPr>
          <w:noProof/>
        </w:rPr>
        <w:t>17)</w:t>
      </w:r>
      <w:r>
        <w:rPr>
          <w:noProof/>
        </w:rPr>
        <w:tab/>
        <w:t>Čl. 16 odst. 2 písm. b) se nahrazuje tímto:</w:t>
      </w:r>
    </w:p>
    <w:p>
      <w:pPr>
        <w:pStyle w:val="Point1"/>
        <w:rPr>
          <w:noProof/>
        </w:rPr>
      </w:pPr>
      <w:r>
        <w:rPr>
          <w:noProof/>
        </w:rPr>
        <w:t>„b)</w:t>
      </w:r>
      <w:r>
        <w:rPr>
          <w:noProof/>
        </w:rPr>
        <w:tab/>
        <w:t>vypracování návrhů pracovních programů zahrnujících doporučení přijatá v ročním stanovisku Komise ohledně jednotného programového dokumentu;“;</w:t>
      </w:r>
    </w:p>
    <w:p>
      <w:pPr>
        <w:pStyle w:val="Point0"/>
        <w:rPr>
          <w:noProof/>
        </w:rPr>
      </w:pPr>
      <w:r>
        <w:rPr>
          <w:noProof/>
        </w:rPr>
        <w:t>18)</w:t>
      </w:r>
      <w:r>
        <w:rPr>
          <w:noProof/>
        </w:rPr>
        <w:tab/>
        <w:t>Článek 17 se nahrazuje tímto:</w:t>
      </w:r>
    </w:p>
    <w:p>
      <w:pPr>
        <w:pStyle w:val="Point1"/>
        <w:rPr>
          <w:noProof/>
        </w:rPr>
      </w:pPr>
      <w:r>
        <w:rPr>
          <w:noProof/>
        </w:rPr>
        <w:t>„1.</w:t>
      </w:r>
      <w:r>
        <w:rPr>
          <w:noProof/>
        </w:rPr>
        <w:tab/>
        <w:t>Aniž je dotčen čl. 3 odst. 2, ředitel je jmenován správní radou na dobu pěti let, která může být jednou prodloužena až o dalších pět let, na základě seznamu kandidátů navrženého Komisí po veřejné soutěži, která následovala po výzvě k projevení zájmu zveřejněné v </w:t>
      </w:r>
      <w:r>
        <w:rPr>
          <w:i/>
          <w:noProof/>
        </w:rPr>
        <w:t>Úředním věstníku Evropské unie</w:t>
      </w:r>
      <w:r>
        <w:rPr>
          <w:noProof/>
        </w:rPr>
        <w:t xml:space="preserve"> a jinde.“; </w:t>
      </w:r>
    </w:p>
    <w:p>
      <w:pPr>
        <w:pStyle w:val="Point0"/>
        <w:rPr>
          <w:noProof/>
        </w:rPr>
      </w:pPr>
      <w:r>
        <w:rPr>
          <w:noProof/>
        </w:rPr>
        <w:t>19)</w:t>
      </w:r>
      <w:r>
        <w:rPr>
          <w:noProof/>
        </w:rPr>
        <w:tab/>
        <w:t>Článek 18 se mění takto:</w:t>
      </w:r>
    </w:p>
    <w:p>
      <w:pPr>
        <w:pStyle w:val="Point1"/>
        <w:rPr>
          <w:noProof/>
        </w:rPr>
      </w:pPr>
      <w:r>
        <w:rPr>
          <w:noProof/>
        </w:rPr>
        <w:lastRenderedPageBreak/>
        <w:t>a)</w:t>
      </w:r>
      <w:r>
        <w:rPr>
          <w:noProof/>
        </w:rPr>
        <w:tab/>
        <w:t>odstavec 2 se nahrazuje tímto:</w:t>
      </w:r>
    </w:p>
    <w:p>
      <w:pPr>
        <w:pStyle w:val="Point2"/>
        <w:rPr>
          <w:noProof/>
        </w:rPr>
      </w:pPr>
      <w:r>
        <w:rPr>
          <w:noProof/>
        </w:rPr>
        <w:t>„2.</w:t>
      </w:r>
      <w:r>
        <w:rPr>
          <w:noProof/>
        </w:rPr>
        <w:tab/>
        <w:t>Členové poradního sboru nemohou být členy správní rady. Funkční období členů je tříleté a lze jej prodloužit.“;</w:t>
      </w:r>
    </w:p>
    <w:p>
      <w:pPr>
        <w:pStyle w:val="Point1"/>
        <w:rPr>
          <w:noProof/>
        </w:rPr>
      </w:pPr>
      <w:r>
        <w:rPr>
          <w:noProof/>
        </w:rPr>
        <w:t>b)</w:t>
      </w:r>
      <w:r>
        <w:rPr>
          <w:noProof/>
        </w:rPr>
        <w:tab/>
        <w:t>v odstavci 4 se písmeno f) nahrazuje tímto:</w:t>
      </w:r>
    </w:p>
    <w:p>
      <w:pPr>
        <w:pStyle w:val="Point2"/>
        <w:rPr>
          <w:noProof/>
        </w:rPr>
      </w:pPr>
      <w:r>
        <w:rPr>
          <w:noProof/>
        </w:rPr>
        <w:t>„f)</w:t>
      </w:r>
      <w:r>
        <w:rPr>
          <w:noProof/>
        </w:rPr>
        <w:tab/>
        <w:t>při určování vědeckých priorit a priorit veřejného zdraví, které se mají zařadit do pracovního programu a</w:t>
      </w:r>
    </w:p>
    <w:p>
      <w:pPr>
        <w:pStyle w:val="Point2"/>
        <w:rPr>
          <w:noProof/>
        </w:rPr>
      </w:pPr>
      <w:r>
        <w:rPr>
          <w:noProof/>
        </w:rPr>
        <w:t>g)</w:t>
      </w:r>
      <w:r>
        <w:rPr>
          <w:noProof/>
        </w:rPr>
        <w:tab/>
        <w:t>při klíčových publikacích, které středisko připravuje, jako jsou prognostické studie.“;</w:t>
      </w:r>
    </w:p>
    <w:p>
      <w:pPr>
        <w:pStyle w:val="Point1"/>
        <w:rPr>
          <w:noProof/>
        </w:rPr>
      </w:pPr>
      <w:r>
        <w:rPr>
          <w:noProof/>
        </w:rPr>
        <w:t>c)</w:t>
      </w:r>
      <w:r>
        <w:rPr>
          <w:noProof/>
        </w:rPr>
        <w:tab/>
        <w:t>odstavec 8 se nahrazuje tímto:</w:t>
      </w:r>
    </w:p>
    <w:p>
      <w:pPr>
        <w:pStyle w:val="Point2"/>
        <w:rPr>
          <w:noProof/>
        </w:rPr>
      </w:pPr>
      <w:r>
        <w:rPr>
          <w:noProof/>
        </w:rPr>
        <w:t>„8.</w:t>
      </w:r>
      <w:r>
        <w:rPr>
          <w:noProof/>
        </w:rPr>
        <w:tab/>
        <w:t xml:space="preserve">Ředitel může pozvat odborníky nebo zástupce profesních nebo vědeckých subjektů nebo nevládních organizací s uznávanými zkušenostmi v oborech souvisejících s prací střediska, aby spolupracovali na určitých úkolech a účastnili se příslušných činností poradního sboru. Kromě toho může Komise řediteli navrhnout, aby byli odborníci nebo zástupci profesních či vědeckých subjektů nebo nevládních organizací přizváni na základě </w:t>
      </w:r>
      <w:r>
        <w:rPr>
          <w:i/>
          <w:noProof/>
        </w:rPr>
        <w:t>ad hoc</w:t>
      </w:r>
      <w:r>
        <w:rPr>
          <w:noProof/>
        </w:rPr>
        <w:t>.“;</w:t>
      </w:r>
    </w:p>
    <w:p>
      <w:pPr>
        <w:pStyle w:val="Point0"/>
        <w:rPr>
          <w:noProof/>
        </w:rPr>
      </w:pPr>
      <w:r>
        <w:rPr>
          <w:noProof/>
        </w:rPr>
        <w:t>20)</w:t>
      </w:r>
      <w:r>
        <w:rPr>
          <w:noProof/>
        </w:rPr>
        <w:tab/>
        <w:t xml:space="preserve">v článku 20 se odstavec 3 nahrazuje tímto: </w:t>
      </w:r>
    </w:p>
    <w:p>
      <w:pPr>
        <w:pStyle w:val="Point1"/>
        <w:rPr>
          <w:noProof/>
        </w:rPr>
      </w:pPr>
      <w:r>
        <w:rPr>
          <w:noProof/>
        </w:rPr>
        <w:t>„3.</w:t>
      </w:r>
      <w:r>
        <w:rPr>
          <w:noProof/>
        </w:rPr>
        <w:tab/>
        <w:t>Proti rozhodnutím přijatým střediskem podle článku 8 nařízení (ES) č. 1049/2001 lze za podmínek stanovených v článcích 228 a 230 Smlouvy o fungování Evropské unie podat stížnost veřejnému ochránci práv nebo žalobu k Soudnímu dvoru Evropské Unie (dále jen „Soudní dvůr“).</w:t>
      </w:r>
    </w:p>
    <w:p>
      <w:pPr>
        <w:pStyle w:val="Point0"/>
        <w:rPr>
          <w:b/>
          <w:noProof/>
        </w:rPr>
      </w:pPr>
      <w:r>
        <w:rPr>
          <w:noProof/>
        </w:rPr>
        <w:t>21)</w:t>
      </w:r>
      <w:r>
        <w:rPr>
          <w:noProof/>
        </w:rPr>
        <w:tab/>
        <w:t>Článek 21 se nahrazuje tímto:</w:t>
      </w:r>
    </w:p>
    <w:p>
      <w:pPr>
        <w:pStyle w:val="Titrearticle"/>
        <w:rPr>
          <w:iCs/>
          <w:noProof/>
        </w:rPr>
      </w:pPr>
      <w:r>
        <w:rPr>
          <w:noProof/>
        </w:rPr>
        <w:t>„Článek 21</w:t>
      </w:r>
    </w:p>
    <w:p>
      <w:pPr>
        <w:jc w:val="center"/>
        <w:rPr>
          <w:b/>
          <w:noProof/>
        </w:rPr>
      </w:pPr>
      <w:r>
        <w:rPr>
          <w:b/>
          <w:noProof/>
        </w:rPr>
        <w:t>Profesní tajemství a důvěrnost informací</w:t>
      </w:r>
    </w:p>
    <w:p>
      <w:pPr>
        <w:pStyle w:val="Point1"/>
        <w:rPr>
          <w:noProof/>
        </w:rPr>
      </w:pPr>
      <w:r>
        <w:rPr>
          <w:noProof/>
        </w:rPr>
        <w:t>1.</w:t>
      </w:r>
      <w:r>
        <w:rPr>
          <w:noProof/>
        </w:rPr>
        <w:tab/>
        <w:t>Aniž je dotčen článek 20, středisko nevyzrazuje třetím stranám důvěrné informace, které obdrží a u nichž je požadováno a odůvodněno důvěrné zacházení, s výjimkou informací, které musí být zveřejněny za účelem ochrany veřejného zdraví, vyžadují-li to okolnosti. Pokud je důvěrná informace sdělena členským státem, nelze tuto informaci zveřejnit bez předchozího souhlasu dotyčného členského státu.</w:t>
      </w:r>
    </w:p>
    <w:p>
      <w:pPr>
        <w:pStyle w:val="Text2"/>
        <w:rPr>
          <w:noProof/>
        </w:rPr>
      </w:pPr>
      <w:r>
        <w:rPr>
          <w:noProof/>
        </w:rPr>
        <w:t>Pro práci střediska a jeho zaměstnanců platí bezpečnostní pravidla Komise týkající se ochrany utajovaných informací Unie podle rozhodnutí Komise (EU, Euratom) 2015/443* a (EU, Euratom) 2015/444**.</w:t>
      </w:r>
    </w:p>
    <w:p>
      <w:pPr>
        <w:pStyle w:val="Point1"/>
        <w:rPr>
          <w:noProof/>
        </w:rPr>
      </w:pPr>
      <w:r>
        <w:rPr>
          <w:noProof/>
        </w:rPr>
        <w:t>2.</w:t>
      </w:r>
      <w:r>
        <w:rPr>
          <w:noProof/>
        </w:rPr>
        <w:tab/>
        <w:t xml:space="preserve">Členové správní rady, ředitel, členové poradního sboru, jakož i externí odborníci působící ve vědeckých komisích a zaměstnanci střediska jsou podle článku 339 Smlouvy o fungování EU povinni po skončení svých funkcí zachovávat profesní tajemství. </w:t>
      </w:r>
    </w:p>
    <w:p>
      <w:pPr>
        <w:pStyle w:val="Point1"/>
        <w:rPr>
          <w:noProof/>
        </w:rPr>
      </w:pPr>
      <w:r>
        <w:rPr>
          <w:noProof/>
        </w:rPr>
        <w:t>3.</w:t>
      </w:r>
      <w:r>
        <w:rPr>
          <w:noProof/>
        </w:rPr>
        <w:tab/>
        <w:t>Závěry vědeckých stanovisek vydaných střediskem, které se týkají předvídatelných účinků na zdraví, nemohou být v žádném případě důvěrné.</w:t>
      </w:r>
    </w:p>
    <w:p>
      <w:pPr>
        <w:pStyle w:val="Point1"/>
        <w:rPr>
          <w:noProof/>
        </w:rPr>
      </w:pPr>
      <w:r>
        <w:rPr>
          <w:noProof/>
        </w:rPr>
        <w:t>4.</w:t>
      </w:r>
      <w:r>
        <w:rPr>
          <w:noProof/>
        </w:rPr>
        <w:tab/>
        <w:t xml:space="preserve">Středisko stanoví ve svých vnitřních předpisech praktická opatření pro zavedení pravidel důvěrnosti podle odstavců 1 a 2. </w:t>
      </w:r>
    </w:p>
    <w:p>
      <w:pPr>
        <w:pStyle w:val="Point1"/>
        <w:rPr>
          <w:noProof/>
        </w:rPr>
      </w:pPr>
      <w:r>
        <w:rPr>
          <w:noProof/>
        </w:rPr>
        <w:lastRenderedPageBreak/>
        <w:t>5.</w:t>
      </w:r>
      <w:r>
        <w:rPr>
          <w:noProof/>
        </w:rPr>
        <w:tab/>
        <w:t xml:space="preserve">V souladu s odpovídajícími pracovními ujednáními sjednanými s Komisí středisko učiní všechna nezbytná opatření k usnadnění výměny informací, které se týkají jeho úkolů, s Komisí, členskými státy a v příslušných případech s ostatními orgány, institucemi a jinými subjekty Unie a mezinárodními organizacemi a třetími zeměmi. </w:t>
      </w:r>
    </w:p>
    <w:p>
      <w:pPr>
        <w:pStyle w:val="Point1"/>
        <w:rPr>
          <w:noProof/>
        </w:rPr>
      </w:pPr>
      <w:r>
        <w:rPr>
          <w:noProof/>
        </w:rPr>
        <w:t>6.</w:t>
      </w:r>
      <w:r>
        <w:rPr>
          <w:noProof/>
        </w:rPr>
        <w:tab/>
        <w:t xml:space="preserve">Středisko vyvíjí, zavádí a provozuje informační systém umožňující výměnu utajovaných a citlivých neutajovaných informací, jak je uvedeno v tomto článku. </w:t>
      </w:r>
    </w:p>
    <w:p>
      <w:pPr>
        <w:pStyle w:val="Text1"/>
        <w:rPr>
          <w:noProof/>
        </w:rPr>
      </w:pPr>
      <w:r>
        <w:rPr>
          <w:noProof/>
        </w:rPr>
        <w:t>__________________</w:t>
      </w:r>
    </w:p>
    <w:p>
      <w:pPr>
        <w:pStyle w:val="Point1"/>
        <w:rPr>
          <w:noProof/>
        </w:rPr>
      </w:pPr>
      <w:r>
        <w:rPr>
          <w:noProof/>
        </w:rPr>
        <w:t>*</w:t>
      </w:r>
      <w:r>
        <w:rPr>
          <w:noProof/>
        </w:rPr>
        <w:tab/>
        <w:t>Rozhodnutí Komise (EU, Euratom) 2015/443 ze dne 13. března 2015 o bezpečnosti v Komisi (Úř. věst. L 72, 17.3.2015, s. 41).</w:t>
      </w:r>
    </w:p>
    <w:p>
      <w:pPr>
        <w:pStyle w:val="Point1"/>
        <w:rPr>
          <w:noProof/>
        </w:rPr>
      </w:pPr>
      <w:r>
        <w:rPr>
          <w:noProof/>
        </w:rPr>
        <w:t>**</w:t>
      </w:r>
      <w:r>
        <w:rPr>
          <w:noProof/>
        </w:rPr>
        <w:tab/>
        <w:t>Rozhodnutí Komise (EU, Euratom) 2015/444 ze dne 13. března 2015 o bezpečnostních pravidlech na ochranu utajovaných informací EU (Úř. věst. L 72, 17.3.2015, s. 53).“;</w:t>
      </w:r>
    </w:p>
    <w:p>
      <w:pPr>
        <w:pStyle w:val="Point0"/>
        <w:rPr>
          <w:noProof/>
        </w:rPr>
      </w:pPr>
      <w:r>
        <w:rPr>
          <w:noProof/>
        </w:rPr>
        <w:t>22)</w:t>
      </w:r>
      <w:r>
        <w:rPr>
          <w:noProof/>
        </w:rPr>
        <w:tab/>
        <w:t>Článek 22 se mění takto:</w:t>
      </w:r>
    </w:p>
    <w:p>
      <w:pPr>
        <w:pStyle w:val="Point1"/>
        <w:rPr>
          <w:noProof/>
        </w:rPr>
      </w:pPr>
      <w:r>
        <w:rPr>
          <w:noProof/>
        </w:rPr>
        <w:t>a)</w:t>
      </w:r>
      <w:r>
        <w:rPr>
          <w:noProof/>
        </w:rPr>
        <w:tab/>
        <w:t>v odstavci 3 se písmeno d) nahrazuje tímto:</w:t>
      </w:r>
    </w:p>
    <w:p>
      <w:pPr>
        <w:pStyle w:val="Point2"/>
        <w:rPr>
          <w:noProof/>
        </w:rPr>
      </w:pPr>
      <w:r>
        <w:rPr>
          <w:noProof/>
        </w:rPr>
        <w:t>„d)</w:t>
      </w:r>
      <w:r>
        <w:rPr>
          <w:noProof/>
        </w:rPr>
        <w:tab/>
        <w:t>všechny dobrovolné příspěvky od členských států a</w:t>
      </w:r>
    </w:p>
    <w:p>
      <w:pPr>
        <w:pStyle w:val="Point2"/>
        <w:rPr>
          <w:noProof/>
        </w:rPr>
      </w:pPr>
      <w:r>
        <w:rPr>
          <w:noProof/>
        </w:rPr>
        <w:t>e)</w:t>
      </w:r>
      <w:r>
        <w:rPr>
          <w:noProof/>
        </w:rPr>
        <w:tab/>
        <w:t>všechny příjmy z dohod o přiznání příspěvku a grantových dohod výjimečně uzavřených mezi Komisí a střediskem.“;</w:t>
      </w:r>
    </w:p>
    <w:p>
      <w:pPr>
        <w:pStyle w:val="Point1"/>
        <w:rPr>
          <w:noProof/>
        </w:rPr>
      </w:pPr>
      <w:r>
        <w:rPr>
          <w:noProof/>
        </w:rPr>
        <w:t>b)</w:t>
      </w:r>
      <w:r>
        <w:rPr>
          <w:noProof/>
        </w:rPr>
        <w:tab/>
        <w:t>vkládá se nový odstavec 3a, který zní:</w:t>
      </w:r>
    </w:p>
    <w:p>
      <w:pPr>
        <w:pStyle w:val="Point2"/>
        <w:rPr>
          <w:noProof/>
        </w:rPr>
      </w:pPr>
      <w:r>
        <w:rPr>
          <w:noProof/>
        </w:rPr>
        <w:t>„3a</w:t>
      </w:r>
      <w:r>
        <w:rPr>
          <w:noProof/>
        </w:rPr>
        <w:tab/>
        <w:t>Financování ze souhrnného rozpočtu Unie může být středisku přiznáno na náklady, které mu vzniknou při provádění jeho pracovního programu a které jsou stanoveny v souladu s cíli a prioritami pracovních programů přijatých Komisí v souladu s </w:t>
      </w:r>
      <w:r>
        <w:rPr>
          <w:noProof/>
          <w:color w:val="FF0000"/>
        </w:rPr>
        <w:t>nařízením Evropského parlamentu a Rady (EU) …/….*</w:t>
      </w:r>
      <w:r>
        <w:rPr>
          <w:noProof/>
        </w:rPr>
        <w:t xml:space="preserve"> a výzkumnými a inovačními programy EU. Toto financování nepokrývá výdaje, které jsou již pokryty ze souhrnného rozpočtu Evropské unie nebo jakéhokoliv jiného zdroje střediska definovaného v odstavci 3 tohoto článku.“;</w:t>
      </w:r>
    </w:p>
    <w:p>
      <w:pPr>
        <w:pStyle w:val="Point1"/>
        <w:rPr>
          <w:noProof/>
        </w:rPr>
      </w:pPr>
      <w:r>
        <w:rPr>
          <w:noProof/>
        </w:rPr>
        <w:t>c)</w:t>
      </w:r>
      <w:r>
        <w:rPr>
          <w:noProof/>
        </w:rPr>
        <w:tab/>
        <w:t>odstavec 5 se nahrazuje tímto:</w:t>
      </w:r>
    </w:p>
    <w:p>
      <w:pPr>
        <w:pStyle w:val="Point2"/>
        <w:rPr>
          <w:noProof/>
        </w:rPr>
      </w:pPr>
      <w:r>
        <w:rPr>
          <w:noProof/>
        </w:rPr>
        <w:t>„5.</w:t>
      </w:r>
      <w:r>
        <w:rPr>
          <w:noProof/>
        </w:rPr>
        <w:tab/>
        <w:t>Každý rok vydává správní rada na základě návrhu sestaveného ředitelem odhad příjmů a výdajů střediska pro následující rozpočtový rok. Tento odhad, včetně návrhu plánu pracovních míst, se zahrne do návrhu jednotného programového dokumentu. V souladu s článkem 40 nařízení Evropského parlamentu a Rady (EU, Euratom) 2018/1046**, středisko každý rok do 31. ledna zašle Evropskému parlamentu, Radě a Komisi svůj návrh jednotného programového dokumentu tak, jak byl schválen správní radou.“;</w:t>
      </w:r>
    </w:p>
    <w:p>
      <w:pPr>
        <w:pStyle w:val="Point1"/>
        <w:rPr>
          <w:noProof/>
        </w:rPr>
      </w:pPr>
      <w:r>
        <w:rPr>
          <w:noProof/>
        </w:rPr>
        <w:t>d)</w:t>
      </w:r>
      <w:r>
        <w:rPr>
          <w:noProof/>
        </w:rPr>
        <w:tab/>
        <w:t>odstavec 7 se nahrazuje tímto:</w:t>
      </w:r>
    </w:p>
    <w:p>
      <w:pPr>
        <w:pStyle w:val="Point2"/>
        <w:rPr>
          <w:noProof/>
        </w:rPr>
      </w:pPr>
      <w:r>
        <w:rPr>
          <w:noProof/>
        </w:rPr>
        <w:t>„7.</w:t>
      </w:r>
      <w:r>
        <w:rPr>
          <w:noProof/>
        </w:rPr>
        <w:tab/>
        <w:t>Na základě odhadu zapíše Komise odhady, které považuje za nutné pro plán pracovních míst, a výši dotace ze souhrnného rozpočtu, do předběžného návrhu souhrnného rozpočtu Unie, který předloží rozpočtovému orgánu podle článku 314 Smlouvy o fungování EU.</w:t>
      </w:r>
    </w:p>
    <w:p>
      <w:pPr>
        <w:pStyle w:val="Text1"/>
        <w:rPr>
          <w:noProof/>
        </w:rPr>
      </w:pPr>
      <w:r>
        <w:rPr>
          <w:noProof/>
        </w:rPr>
        <w:t>________________________</w:t>
      </w:r>
    </w:p>
    <w:p>
      <w:pPr>
        <w:pStyle w:val="Point1"/>
        <w:rPr>
          <w:noProof/>
        </w:rPr>
      </w:pPr>
      <w:r>
        <w:rPr>
          <w:noProof/>
        </w:rPr>
        <w:lastRenderedPageBreak/>
        <w:t>*</w:t>
      </w:r>
      <w:r>
        <w:rPr>
          <w:noProof/>
        </w:rPr>
        <w:tab/>
        <w:t>Nařízení Evropského parlamentu a Rady (EU) …/… ze dne…, kterým se zavádí program činnosti Unie v oblasti zdraví na období 2021–2027 a zrušuje nařízení (EU) č. 282/2014 (program „EU pro zdraví“) (Úř. věst...).</w:t>
      </w:r>
    </w:p>
    <w:p>
      <w:pPr>
        <w:pStyle w:val="Point1"/>
        <w:rPr>
          <w:noProof/>
        </w:rPr>
      </w:pPr>
      <w:r>
        <w:rPr>
          <w:noProof/>
        </w:rPr>
        <w:t>**</w:t>
      </w:r>
      <w:r>
        <w:rPr>
          <w:noProof/>
        </w:rPr>
        <w:tab/>
        <w:t>Nařízení Evropského parlamentu a Rady (EU, Euratom) 2018/1046 ze dne 18. července 2018, kterým se stanoví finanční pravidla pro souhrnný rozpočet Unie, mění nařízení (EU) č. 1296/2013, (EU) č. 1301/2013, (EU) č. 1303/2013, (EU) č. 1304/2013, (EU) č. 1309/2013, (EU) č. 1316/2013, (EU) č. 223/2014 a (EU) č. 283/2014 a rozhodnutí č. 541/2014/EU a zrušuje nařízení (EU, Euratom) č. 966/2012 (Úř. věst. L 193, 30.7.2018, s. 1).“</w:t>
      </w:r>
    </w:p>
    <w:p>
      <w:pPr>
        <w:pStyle w:val="Point0"/>
        <w:rPr>
          <w:noProof/>
        </w:rPr>
      </w:pPr>
      <w:r>
        <w:rPr>
          <w:noProof/>
        </w:rPr>
        <w:t>23)</w:t>
      </w:r>
      <w:r>
        <w:rPr>
          <w:noProof/>
        </w:rPr>
        <w:tab/>
        <w:t>Článek 23 se mění takto:</w:t>
      </w:r>
    </w:p>
    <w:p>
      <w:pPr>
        <w:pStyle w:val="Point1"/>
        <w:rPr>
          <w:noProof/>
        </w:rPr>
      </w:pPr>
      <w:r>
        <w:rPr>
          <w:noProof/>
        </w:rPr>
        <w:t>a)</w:t>
      </w:r>
      <w:r>
        <w:rPr>
          <w:noProof/>
        </w:rPr>
        <w:tab/>
        <w:t>odstavec 2 se nahrazuje tímto:</w:t>
      </w:r>
    </w:p>
    <w:p>
      <w:pPr>
        <w:pStyle w:val="Point2"/>
        <w:rPr>
          <w:noProof/>
        </w:rPr>
      </w:pPr>
      <w:r>
        <w:rPr>
          <w:noProof/>
        </w:rPr>
        <w:t>„2.</w:t>
      </w:r>
      <w:r>
        <w:rPr>
          <w:noProof/>
        </w:rPr>
        <w:tab/>
        <w:t>Nejpozději do 1. března roku následujícího po uplynutí každého rozpočtového roku doručí účetní střediska účetnímu Komise prozatímní účetní závěrku společně se zprávou o rozpočtovém a finančním řízení uvedeného rozpočtového roku. Účetní Komise konsoliduje prozatímní účetní závěrku orgánů a decentralizovaných subjektů v souladu s článkem 245 nařízení (EU, Euratom) 2018/1046.“;</w:t>
      </w:r>
    </w:p>
    <w:p>
      <w:pPr>
        <w:pStyle w:val="Point1"/>
        <w:rPr>
          <w:noProof/>
        </w:rPr>
      </w:pPr>
      <w:r>
        <w:rPr>
          <w:noProof/>
        </w:rPr>
        <w:t>b)</w:t>
      </w:r>
      <w:r>
        <w:rPr>
          <w:noProof/>
        </w:rPr>
        <w:tab/>
        <w:t>odstavec 4 se nahrazuje tímto:</w:t>
      </w:r>
    </w:p>
    <w:p>
      <w:pPr>
        <w:pStyle w:val="Point2"/>
        <w:rPr>
          <w:noProof/>
        </w:rPr>
      </w:pPr>
      <w:r>
        <w:rPr>
          <w:noProof/>
        </w:rPr>
        <w:t>„4.</w:t>
      </w:r>
      <w:r>
        <w:rPr>
          <w:noProof/>
        </w:rPr>
        <w:tab/>
        <w:t>Po obdržení vyjádření Účetního dvora k prozatímní účetní závěrce střediska podle článku 246 nařízení (EU, Euratom) 2018/1046 vypracuje ředitel na vlastní odpovědnost konečnou účetní závěrku a předloží ji správní radě k vyjádření stanoviska.</w:t>
      </w:r>
    </w:p>
    <w:p>
      <w:pPr>
        <w:pStyle w:val="Text3"/>
        <w:rPr>
          <w:noProof/>
        </w:rPr>
      </w:pPr>
      <w:r>
        <w:rPr>
          <w:noProof/>
        </w:rPr>
        <w:t>Středisko neprodleně informuje Komisi o případech pravděpodobných podvodů a jiných finančních nesrovnalostí, o jakýchkoliv ukončených nebo probíhajících šetřeních ze strany Úřadu evropského veřejného žalobce (dále jen „EPPO“) nebo Evropského úřadu pro boj proti podvodům (dále jen „OLAF“) a o jakýchkoliv auditech nebo kontrolách ze strany Účetního dvora nebo Útvaru interního auditu (IAS), aniž by byla ohrožena důvěrná povaha vyšetřování.“;</w:t>
      </w:r>
    </w:p>
    <w:p>
      <w:pPr>
        <w:pStyle w:val="Point1"/>
        <w:rPr>
          <w:noProof/>
        </w:rPr>
      </w:pPr>
      <w:r>
        <w:rPr>
          <w:noProof/>
        </w:rPr>
        <w:t>c)</w:t>
      </w:r>
      <w:r>
        <w:rPr>
          <w:noProof/>
        </w:rPr>
        <w:tab/>
        <w:t>odstavce 8 a 9 se nahrazují tímto:</w:t>
      </w:r>
    </w:p>
    <w:p>
      <w:pPr>
        <w:pStyle w:val="Point2"/>
        <w:rPr>
          <w:noProof/>
        </w:rPr>
      </w:pPr>
      <w:r>
        <w:rPr>
          <w:noProof/>
        </w:rPr>
        <w:t>„8.</w:t>
      </w:r>
      <w:r>
        <w:rPr>
          <w:noProof/>
        </w:rPr>
        <w:tab/>
        <w:t>Nejpozději do 30. září odpoví ředitel Účetnímu dvoru na jeho vyjádření. Ředitel rovněž zašle tuto odpověď správní radě a Komisi.</w:t>
      </w:r>
    </w:p>
    <w:p>
      <w:pPr>
        <w:pStyle w:val="Point2"/>
        <w:rPr>
          <w:noProof/>
        </w:rPr>
      </w:pPr>
      <w:r>
        <w:rPr>
          <w:noProof/>
        </w:rPr>
        <w:t>9.</w:t>
      </w:r>
      <w:r>
        <w:rPr>
          <w:noProof/>
        </w:rPr>
        <w:tab/>
        <w:t>Ředitel předloží Evropskému parlamentu na jeho žádost všechny informace nezbytné pro hladký průběh udílení absolutoria za daný rozpočtový rok v souladu s čl. 261 odst. 3 nařízení (EU, Euratom) 2018/1046.“;</w:t>
      </w:r>
    </w:p>
    <w:p>
      <w:pPr>
        <w:pStyle w:val="Point0"/>
        <w:rPr>
          <w:noProof/>
        </w:rPr>
      </w:pPr>
      <w:r>
        <w:rPr>
          <w:noProof/>
        </w:rPr>
        <w:t>24)</w:t>
      </w:r>
      <w:r>
        <w:rPr>
          <w:noProof/>
        </w:rPr>
        <w:tab/>
        <w:t xml:space="preserve">Článek 25 se mění takto: </w:t>
      </w:r>
    </w:p>
    <w:p>
      <w:pPr>
        <w:pStyle w:val="Point1"/>
        <w:rPr>
          <w:noProof/>
        </w:rPr>
      </w:pPr>
      <w:r>
        <w:rPr>
          <w:noProof/>
        </w:rPr>
        <w:t>a)</w:t>
      </w:r>
      <w:r>
        <w:rPr>
          <w:noProof/>
        </w:rPr>
        <w:tab/>
        <w:t>odstavec 1 se nahrazuje tímto:</w:t>
      </w:r>
    </w:p>
    <w:p>
      <w:pPr>
        <w:pStyle w:val="Point2"/>
        <w:rPr>
          <w:noProof/>
        </w:rPr>
      </w:pPr>
      <w:r>
        <w:rPr>
          <w:noProof/>
        </w:rPr>
        <w:t>„1.</w:t>
      </w:r>
      <w:r>
        <w:rPr>
          <w:noProof/>
        </w:rPr>
        <w:tab/>
        <w:t>Nařízení Evropského parlamentu a Rady (EU, Euratom) č. 883/2013* platí pro středisko bez omezení.“;</w:t>
      </w:r>
    </w:p>
    <w:p>
      <w:pPr>
        <w:pStyle w:val="Point1"/>
        <w:rPr>
          <w:noProof/>
        </w:rPr>
      </w:pPr>
      <w:r>
        <w:rPr>
          <w:noProof/>
        </w:rPr>
        <w:t>b)</w:t>
      </w:r>
      <w:r>
        <w:rPr>
          <w:noProof/>
        </w:rPr>
        <w:tab/>
        <w:t>odstavec 3 se nahrazuje tímto:</w:t>
      </w:r>
    </w:p>
    <w:p>
      <w:pPr>
        <w:pStyle w:val="Point2"/>
        <w:rPr>
          <w:noProof/>
        </w:rPr>
      </w:pPr>
      <w:r>
        <w:rPr>
          <w:noProof/>
        </w:rPr>
        <w:t>„3.</w:t>
      </w:r>
      <w:r>
        <w:rPr>
          <w:noProof/>
        </w:rPr>
        <w:tab/>
        <w:t xml:space="preserve">Rozhodnutí o financování a provádění dohod a nástrojů z nich plynoucích výslovně stanoví, že Účetní dvůr, EPPO a OLAF mohou </w:t>
      </w:r>
      <w:r>
        <w:rPr>
          <w:noProof/>
        </w:rPr>
        <w:lastRenderedPageBreak/>
        <w:t>podle potřeby provádět kontroly na místě u příjemců finančních prostředků střediska a u činitelů odpovědných za jejich přidělování.“</w:t>
      </w:r>
    </w:p>
    <w:p>
      <w:pPr>
        <w:pStyle w:val="Point1"/>
        <w:rPr>
          <w:noProof/>
        </w:rPr>
      </w:pPr>
      <w:r>
        <w:rPr>
          <w:noProof/>
        </w:rPr>
        <w:t>c)</w:t>
      </w:r>
      <w:r>
        <w:rPr>
          <w:noProof/>
        </w:rPr>
        <w:tab/>
        <w:t>doplňuje se nový odstavec 4, který zní:</w:t>
      </w:r>
    </w:p>
    <w:p>
      <w:pPr>
        <w:pStyle w:val="Point2"/>
        <w:rPr>
          <w:noProof/>
        </w:rPr>
      </w:pPr>
      <w:r>
        <w:rPr>
          <w:noProof/>
        </w:rPr>
        <w:t>„4.</w:t>
      </w:r>
      <w:r>
        <w:rPr>
          <w:noProof/>
        </w:rPr>
        <w:tab/>
        <w:t>Aniž jsou dotčeny odstavce 1 až 3, pracovní ujednání s třetími zeměmi a s mezinárodními organizacemi, grantové dohody, rozhodnutí o udělení grantu a smlouvy střediska obsahují ustanovení výslovně opravňující Účetní dvůr, OLAF a EPPO vést tyto audity a vyšetřování v souladu s jejich příslušnými pravomocemi.</w:t>
      </w:r>
    </w:p>
    <w:p>
      <w:pPr>
        <w:pStyle w:val="Text1"/>
        <w:rPr>
          <w:noProof/>
        </w:rPr>
      </w:pPr>
      <w:r>
        <w:rPr>
          <w:noProof/>
        </w:rPr>
        <w:t>_______________</w:t>
      </w:r>
    </w:p>
    <w:p>
      <w:pPr>
        <w:pStyle w:val="Point1"/>
        <w:rPr>
          <w:noProof/>
        </w:rPr>
      </w:pPr>
      <w:r>
        <w:rPr>
          <w:noProof/>
        </w:rPr>
        <w:t>*</w:t>
      </w:r>
      <w:r>
        <w:rPr>
          <w:noProof/>
        </w:rPr>
        <w:tab/>
        <w:t>Nařízení Evropského parlamentu a Rady (EU, Euratom) č. 883/2013 ze dne 11. září 2013 o vyšetřování prováděném Evropským úřadem pro boj proti podvodům (OLAF) a o zrušení nařízení Evropského parlamentu a Rady (ES) č. 1073/1999 a nařízení Rady (Euratom) č. 1074/1999 (Úř. věst. L 248, 18.9.2013, s. 1).“;</w:t>
      </w:r>
    </w:p>
    <w:p>
      <w:pPr>
        <w:pStyle w:val="Point0"/>
        <w:rPr>
          <w:noProof/>
        </w:rPr>
      </w:pPr>
      <w:r>
        <w:rPr>
          <w:noProof/>
        </w:rPr>
        <w:t>25)</w:t>
      </w:r>
      <w:r>
        <w:rPr>
          <w:noProof/>
        </w:rPr>
        <w:tab/>
        <w:t xml:space="preserve">Článek 26 se mění takto: </w:t>
      </w:r>
    </w:p>
    <w:p>
      <w:pPr>
        <w:pStyle w:val="Point1"/>
        <w:rPr>
          <w:noProof/>
        </w:rPr>
      </w:pPr>
      <w:r>
        <w:rPr>
          <w:noProof/>
        </w:rPr>
        <w:t>a)</w:t>
      </w:r>
      <w:r>
        <w:rPr>
          <w:noProof/>
        </w:rPr>
        <w:tab/>
        <w:t>odstavec 1 se nahrazuje tímto:</w:t>
      </w:r>
    </w:p>
    <w:p>
      <w:pPr>
        <w:pStyle w:val="Point2"/>
        <w:rPr>
          <w:noProof/>
        </w:rPr>
      </w:pPr>
      <w:r>
        <w:rPr>
          <w:noProof/>
        </w:rPr>
        <w:t>„1.</w:t>
      </w:r>
      <w:r>
        <w:rPr>
          <w:noProof/>
        </w:rPr>
        <w:tab/>
        <w:t>Středisko je subjektem Unie. Má právní subjektivitu.“;</w:t>
      </w:r>
    </w:p>
    <w:p>
      <w:pPr>
        <w:pStyle w:val="Point1"/>
        <w:rPr>
          <w:noProof/>
        </w:rPr>
      </w:pPr>
      <w:r>
        <w:rPr>
          <w:noProof/>
        </w:rPr>
        <w:t>b)</w:t>
      </w:r>
      <w:r>
        <w:rPr>
          <w:noProof/>
        </w:rPr>
        <w:tab/>
        <w:t>vkládá se nový odstavec 1a, který zní:</w:t>
      </w:r>
    </w:p>
    <w:p>
      <w:pPr>
        <w:pStyle w:val="Point2"/>
        <w:rPr>
          <w:noProof/>
        </w:rPr>
      </w:pPr>
      <w:r>
        <w:rPr>
          <w:noProof/>
        </w:rPr>
        <w:t>„1a.</w:t>
      </w:r>
      <w:r>
        <w:rPr>
          <w:noProof/>
        </w:rPr>
        <w:tab/>
        <w:t>V každém členském státě má středisko nejširší způsobilost k právům a právním úkonům, jakou jeho vnitrostátní právo přiznává právnickým osobám. Může zejména nabývat nebo zcizovat movitý i nemovitý majetek a vystupovat před soudem.“;</w:t>
      </w:r>
    </w:p>
    <w:p>
      <w:pPr>
        <w:pStyle w:val="Point1"/>
        <w:rPr>
          <w:noProof/>
        </w:rPr>
      </w:pPr>
      <w:r>
        <w:rPr>
          <w:noProof/>
        </w:rPr>
        <w:t>c)</w:t>
      </w:r>
      <w:r>
        <w:rPr>
          <w:noProof/>
        </w:rPr>
        <w:tab/>
        <w:t>odstavec 2 se nahrazuje tímto:</w:t>
      </w:r>
    </w:p>
    <w:p>
      <w:pPr>
        <w:pStyle w:val="Point2"/>
        <w:rPr>
          <w:noProof/>
        </w:rPr>
      </w:pPr>
      <w:r>
        <w:rPr>
          <w:noProof/>
        </w:rPr>
        <w:t>„2.</w:t>
      </w:r>
      <w:r>
        <w:rPr>
          <w:noProof/>
        </w:rPr>
        <w:tab/>
        <w:t>Na středisko a jeho statutární zaměstnance se vztahuje Protokol č. 7 o výsadách a imunitách Evropské Unie připojený ke Smlouvám.</w:t>
      </w:r>
    </w:p>
    <w:p>
      <w:pPr>
        <w:pStyle w:val="Point0"/>
        <w:rPr>
          <w:noProof/>
        </w:rPr>
      </w:pPr>
      <w:r>
        <w:rPr>
          <w:noProof/>
        </w:rPr>
        <w:t>26)</w:t>
      </w:r>
      <w:r>
        <w:rPr>
          <w:noProof/>
        </w:rPr>
        <w:tab/>
        <w:t>v článku 27 se odstavec 1 mění takto:</w:t>
      </w:r>
    </w:p>
    <w:p>
      <w:pPr>
        <w:pStyle w:val="Point1"/>
        <w:rPr>
          <w:noProof/>
        </w:rPr>
      </w:pPr>
      <w:r>
        <w:rPr>
          <w:noProof/>
        </w:rPr>
        <w:t>„1.</w:t>
      </w:r>
      <w:r>
        <w:rPr>
          <w:noProof/>
        </w:rPr>
        <w:tab/>
        <w:t>Smluvní odpovědnost střediska se řídí právem rozhodným pro příslušnou smlouvu. Soudní dvůr má pravomoc rozhodovat na základě rozhodčích doložek, které jsou obsaženy ve smlouvách uzavřených střediskem.“;</w:t>
      </w:r>
    </w:p>
    <w:p>
      <w:pPr>
        <w:pStyle w:val="Point0"/>
        <w:rPr>
          <w:noProof/>
        </w:rPr>
      </w:pPr>
      <w:r>
        <w:rPr>
          <w:noProof/>
        </w:rPr>
        <w:t>27)</w:t>
      </w:r>
      <w:r>
        <w:rPr>
          <w:noProof/>
        </w:rPr>
        <w:tab/>
        <w:t>Článek 28 se nahrazuje tímto:</w:t>
      </w:r>
    </w:p>
    <w:p>
      <w:pPr>
        <w:pStyle w:val="Titrearticle"/>
        <w:rPr>
          <w:iCs/>
          <w:noProof/>
        </w:rPr>
      </w:pPr>
      <w:r>
        <w:rPr>
          <w:noProof/>
        </w:rPr>
        <w:t>„Článek 28</w:t>
      </w:r>
    </w:p>
    <w:p>
      <w:pPr>
        <w:jc w:val="center"/>
        <w:rPr>
          <w:b/>
          <w:noProof/>
        </w:rPr>
      </w:pPr>
      <w:r>
        <w:rPr>
          <w:b/>
          <w:noProof/>
        </w:rPr>
        <w:t>Přezkoumání zákonnosti</w:t>
      </w:r>
    </w:p>
    <w:p>
      <w:pPr>
        <w:pStyle w:val="Point1"/>
        <w:rPr>
          <w:noProof/>
        </w:rPr>
      </w:pPr>
      <w:r>
        <w:rPr>
          <w:noProof/>
        </w:rPr>
        <w:t>1.</w:t>
      </w:r>
      <w:r>
        <w:rPr>
          <w:noProof/>
        </w:rPr>
        <w:tab/>
        <w:t>Členské státy, členové správní rady a přímo a individuálně dotčené třetí strany se mohou obrátit na Komisi, aby posoudila zákonnost jakéhokoliv výslovného nebo mlčky učiněného jednání střediska (dále jen „správní stížnost“).</w:t>
      </w:r>
    </w:p>
    <w:p>
      <w:pPr>
        <w:pStyle w:val="Point1"/>
        <w:rPr>
          <w:noProof/>
        </w:rPr>
      </w:pPr>
      <w:r>
        <w:rPr>
          <w:noProof/>
        </w:rPr>
        <w:t>2.</w:t>
      </w:r>
      <w:r>
        <w:rPr>
          <w:noProof/>
        </w:rPr>
        <w:tab/>
        <w:t>Komisi musí být správní stížnost předložena do 15 dnů ode dne, kdy se dotčená strana poprvé o příslušném jednání dozvěděla.</w:t>
      </w:r>
    </w:p>
    <w:p>
      <w:pPr>
        <w:pStyle w:val="Point1"/>
        <w:rPr>
          <w:noProof/>
        </w:rPr>
      </w:pPr>
      <w:r>
        <w:rPr>
          <w:noProof/>
        </w:rPr>
        <w:t>3.</w:t>
      </w:r>
      <w:r>
        <w:rPr>
          <w:noProof/>
        </w:rPr>
        <w:tab/>
        <w:t>Komise přijme rozhodnutí do jednoho měsíce. Jestliže nerozhodne v této lhůtě, považuje se správní stížnost za zamítnutou.</w:t>
      </w:r>
    </w:p>
    <w:p>
      <w:pPr>
        <w:pStyle w:val="Point1"/>
        <w:rPr>
          <w:noProof/>
        </w:rPr>
      </w:pPr>
      <w:r>
        <w:rPr>
          <w:noProof/>
        </w:rPr>
        <w:lastRenderedPageBreak/>
        <w:t>4.</w:t>
      </w:r>
      <w:r>
        <w:rPr>
          <w:noProof/>
        </w:rPr>
        <w:tab/>
        <w:t>Podle článku 263 Smlouvy o fungování EU lze podat k Soudnímu dvoru žalobu na neplatnost výslovného nebo mlčky učiněného rozhodnutí Komise o zamítnutí správní stížnosti podle odstavce 3.“</w:t>
      </w:r>
    </w:p>
    <w:p>
      <w:pPr>
        <w:pStyle w:val="Point0"/>
        <w:rPr>
          <w:noProof/>
        </w:rPr>
      </w:pPr>
      <w:r>
        <w:rPr>
          <w:noProof/>
        </w:rPr>
        <w:t>28)</w:t>
      </w:r>
      <w:r>
        <w:rPr>
          <w:noProof/>
        </w:rPr>
        <w:tab/>
        <w:t>Článek 31 se nahrazuje tímto:</w:t>
      </w:r>
    </w:p>
    <w:p>
      <w:pPr>
        <w:pStyle w:val="Titrearticle"/>
        <w:rPr>
          <w:iCs/>
          <w:noProof/>
        </w:rPr>
      </w:pPr>
      <w:r>
        <w:rPr>
          <w:noProof/>
        </w:rPr>
        <w:t>„Článek 31</w:t>
      </w:r>
    </w:p>
    <w:p>
      <w:pPr>
        <w:jc w:val="center"/>
        <w:rPr>
          <w:b/>
          <w:noProof/>
        </w:rPr>
      </w:pPr>
      <w:r>
        <w:rPr>
          <w:b/>
          <w:noProof/>
        </w:rPr>
        <w:t>Přezkum</w:t>
      </w:r>
    </w:p>
    <w:p>
      <w:pPr>
        <w:pStyle w:val="Point1"/>
        <w:rPr>
          <w:noProof/>
        </w:rPr>
      </w:pPr>
      <w:r>
        <w:rPr>
          <w:noProof/>
        </w:rPr>
        <w:t>1.</w:t>
      </w:r>
      <w:r>
        <w:rPr>
          <w:noProof/>
        </w:rPr>
        <w:tab/>
        <w:t xml:space="preserve">Do </w:t>
      </w:r>
      <w:r>
        <w:rPr>
          <w:i/>
          <w:noProof/>
        </w:rPr>
        <w:t>[vložte prosím datum tři roky po vstupu v platnost]</w:t>
      </w:r>
      <w:r>
        <w:rPr>
          <w:noProof/>
        </w:rPr>
        <w:t xml:space="preserve"> 2023 Komise předloží zprávu Evropskému parlamentu, Radě a správní radě o činnosti střediska včetně hodnocení:</w:t>
      </w:r>
    </w:p>
    <w:p>
      <w:pPr>
        <w:pStyle w:val="Point2"/>
        <w:rPr>
          <w:noProof/>
        </w:rPr>
      </w:pPr>
      <w:r>
        <w:rPr>
          <w:noProof/>
        </w:rPr>
        <w:t>a)</w:t>
      </w:r>
      <w:r>
        <w:rPr>
          <w:noProof/>
        </w:rPr>
        <w:tab/>
        <w:t>toho, jaký učinilo středisko pokrok s uplatňováním pozměněného mandátu v souvislosti s pandemií COVID-19;</w:t>
      </w:r>
    </w:p>
    <w:p>
      <w:pPr>
        <w:pStyle w:val="Point2"/>
        <w:rPr>
          <w:noProof/>
        </w:rPr>
      </w:pPr>
      <w:r>
        <w:rPr>
          <w:noProof/>
        </w:rPr>
        <w:t>b)</w:t>
      </w:r>
      <w:r>
        <w:rPr>
          <w:noProof/>
        </w:rPr>
        <w:tab/>
        <w:t>toho, jak středisko dodržuje povinnosti stanovené v </w:t>
      </w:r>
      <w:r>
        <w:rPr>
          <w:noProof/>
          <w:color w:val="FF0000"/>
        </w:rPr>
        <w:t>nařízení (EU) …/… [</w:t>
      </w:r>
      <w:r>
        <w:rPr>
          <w:i/>
          <w:noProof/>
          <w:color w:val="FF0000"/>
        </w:rPr>
        <w:t xml:space="preserve">Úř. věst.: vložte prosím číslo nařízení SCBTH </w:t>
      </w:r>
      <w:r>
        <w:rPr>
          <w:noProof/>
          <w:color w:val="FF0000"/>
        </w:rPr>
        <w:t>[ISC/2020/12524]]</w:t>
      </w:r>
      <w:r>
        <w:rPr>
          <w:noProof/>
        </w:rPr>
        <w:t xml:space="preserve"> a dalších příslušných právních předpisech Unie;</w:t>
      </w:r>
    </w:p>
    <w:p>
      <w:pPr>
        <w:pStyle w:val="Point2"/>
        <w:rPr>
          <w:noProof/>
        </w:rPr>
      </w:pPr>
      <w:r>
        <w:rPr>
          <w:noProof/>
        </w:rPr>
        <w:t>c)</w:t>
      </w:r>
      <w:r>
        <w:rPr>
          <w:noProof/>
        </w:rPr>
        <w:tab/>
        <w:t xml:space="preserve">jak činnosti střediska účinně řeší mezinárodní, unijní nebo vnitrostátní priority v oblasti zdraví; </w:t>
      </w:r>
    </w:p>
    <w:p>
      <w:pPr>
        <w:pStyle w:val="Point2"/>
        <w:rPr>
          <w:noProof/>
        </w:rPr>
      </w:pPr>
      <w:r>
        <w:rPr>
          <w:noProof/>
        </w:rPr>
        <w:t>d)</w:t>
      </w:r>
      <w:r>
        <w:rPr>
          <w:noProof/>
        </w:rPr>
        <w:tab/>
        <w:t>jak je práce střediska zaměřená a dopadá na kapacity členských států.</w:t>
      </w:r>
    </w:p>
    <w:p>
      <w:pPr>
        <w:pStyle w:val="Text2"/>
        <w:rPr>
          <w:noProof/>
        </w:rPr>
      </w:pPr>
      <w:r>
        <w:rPr>
          <w:noProof/>
        </w:rPr>
        <w:t>Zpráva odráží názory zúčastněných stran jak na úrovni Unie, tak na vnitrostátní úrovni.</w:t>
      </w:r>
    </w:p>
    <w:p>
      <w:pPr>
        <w:pStyle w:val="Text2"/>
        <w:rPr>
          <w:noProof/>
        </w:rPr>
      </w:pPr>
      <w:r>
        <w:rPr>
          <w:noProof/>
        </w:rPr>
        <w:t>Ke zprávě je přiložena nezávislá studie zadaná Komisí.</w:t>
      </w:r>
    </w:p>
    <w:p>
      <w:pPr>
        <w:pStyle w:val="Point1"/>
        <w:rPr>
          <w:noProof/>
        </w:rPr>
      </w:pPr>
      <w:r>
        <w:rPr>
          <w:noProof/>
        </w:rPr>
        <w:t>2.</w:t>
      </w:r>
      <w:r>
        <w:rPr>
          <w:noProof/>
        </w:rPr>
        <w:tab/>
        <w:t>Do [</w:t>
      </w:r>
      <w:r>
        <w:rPr>
          <w:i/>
          <w:iCs/>
          <w:noProof/>
        </w:rPr>
        <w:t>vložte prosím datum tři roky po vstupu v platnost</w:t>
      </w:r>
      <w:r>
        <w:rPr>
          <w:noProof/>
        </w:rPr>
        <w:t>] 2028 a poté každých pět let Komise posoudí výkon střediska v souvislosti s jeho cíli, mandátem, úkoly, postupy a umístěním. Hodnocení se zaměří zejména na případnou potřebu upravit mandát střediska a finanční dopady jakékoli takové úpravy.</w:t>
      </w:r>
    </w:p>
    <w:p>
      <w:pPr>
        <w:pStyle w:val="Point1"/>
        <w:rPr>
          <w:noProof/>
        </w:rPr>
      </w:pPr>
      <w:r>
        <w:rPr>
          <w:noProof/>
        </w:rPr>
        <w:t>3.</w:t>
      </w:r>
      <w:r>
        <w:rPr>
          <w:noProof/>
        </w:rPr>
        <w:tab/>
        <w:t xml:space="preserve">Pokud Komise usoudí, že další provoz střediska již není s ohledem na jeho cíle, mandát a úkoly, které mu byly svěřeny, odůvodněný, může navrhnout, aby byla příslušná ustanovení tohoto nařízení odpovídajícím způsobem změněna nebo zrušena. </w:t>
      </w:r>
    </w:p>
    <w:p>
      <w:pPr>
        <w:pStyle w:val="Point1"/>
        <w:rPr>
          <w:noProof/>
        </w:rPr>
      </w:pPr>
      <w:r>
        <w:rPr>
          <w:noProof/>
        </w:rPr>
        <w:t>4.</w:t>
      </w:r>
      <w:r>
        <w:rPr>
          <w:noProof/>
        </w:rPr>
        <w:tab/>
        <w:t xml:space="preserve">Komise podá zprávu Evropskému parlamentu, Radě a správní radě o zjištěních ze svých přezkumů a hodnoceních provedených podle odstavce 2. Tato zjištění se zveřejní.“ </w:t>
      </w:r>
    </w:p>
    <w:p>
      <w:pPr>
        <w:pStyle w:val="Titrearticle"/>
        <w:rPr>
          <w:noProof/>
        </w:rPr>
      </w:pPr>
      <w:r>
        <w:rPr>
          <w:noProof/>
        </w:rPr>
        <w:t>Článek 2</w:t>
      </w:r>
    </w:p>
    <w:p>
      <w:pPr>
        <w:rPr>
          <w:noProof/>
        </w:rPr>
      </w:pPr>
      <w:r>
        <w:rPr>
          <w:noProof/>
        </w:rPr>
        <w:t>Toto nařízení vstupuje v platnost dvacátým dnem po vyhlášení v </w:t>
      </w:r>
      <w:r>
        <w:rPr>
          <w:i/>
          <w:noProof/>
        </w:rPr>
        <w:t>Úředním věstníku Evropské unie</w:t>
      </w:r>
      <w:r>
        <w:rPr>
          <w:noProof/>
        </w:rPr>
        <w:t>.</w:t>
      </w:r>
    </w:p>
    <w:p>
      <w:pPr>
        <w:pStyle w:val="Applicationdirecte"/>
        <w:keepNext/>
        <w:keepLines/>
        <w:rPr>
          <w:noProof/>
        </w:rPr>
      </w:pPr>
      <w:r>
        <w:rPr>
          <w:noProof/>
        </w:rPr>
        <w:lastRenderedPageBreak/>
        <w:t>Toto nařízení je závazné v celém rozsahu a přímo použitelné ve všech členských státech.</w:t>
      </w:r>
    </w:p>
    <w:p>
      <w:pPr>
        <w:pStyle w:val="Fait"/>
        <w:rPr>
          <w:noProof/>
        </w:rPr>
      </w:pPr>
      <w:r>
        <w:t>V Bruselu dne</w:t>
      </w:r>
    </w:p>
    <w:p>
      <w:pPr>
        <w:pStyle w:val="Institutionquisigne"/>
        <w:rPr>
          <w:noProof/>
        </w:rPr>
      </w:pPr>
      <w:r>
        <w:rPr>
          <w:noProof/>
        </w:rPr>
        <w:t>Za Evropský parlament</w:t>
      </w:r>
      <w:r>
        <w:rPr>
          <w:noProof/>
        </w:rPr>
        <w:tab/>
        <w:t>Za Radu</w:t>
      </w:r>
    </w:p>
    <w:p>
      <w:pPr>
        <w:pStyle w:val="Personnequisigne"/>
        <w:rPr>
          <w:noProof/>
        </w:rPr>
      </w:pPr>
      <w:r>
        <w:rPr>
          <w:noProof/>
        </w:rPr>
        <w:t>předseda</w:t>
      </w:r>
      <w:r>
        <w:rPr>
          <w:noProof/>
        </w:rPr>
        <w:tab/>
        <w:t>předseda</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lastRenderedPageBreak/>
        <w:t>LEGISLATIVNÍ FINANČNÍ VÝKAZ</w:t>
      </w:r>
    </w:p>
    <w:sdt>
      <w:sdtPr>
        <w:rPr>
          <w:b/>
          <w:noProof/>
        </w:rPr>
        <w:id w:val="1138923797"/>
        <w:docPartObj>
          <w:docPartGallery w:val="Table of Contents"/>
          <w:docPartUnique/>
        </w:docPartObj>
      </w:sdtPr>
      <w:sdtEndPr>
        <w:rPr>
          <w:b w:val="0"/>
          <w:bCs/>
        </w:rPr>
      </w:sdtEndPr>
      <w:sdtContent>
        <w:p>
          <w:pPr>
            <w:spacing w:before="0" w:after="200" w:line="276" w:lineRule="auto"/>
            <w:jc w:val="center"/>
            <w:rPr>
              <w:b/>
              <w:noProof/>
            </w:rPr>
          </w:pPr>
          <w:r>
            <w:rPr>
              <w:b/>
              <w:noProof/>
            </w:rPr>
            <w:t>Obsah</w:t>
          </w:r>
        </w:p>
        <w:p>
          <w:pPr>
            <w:pStyle w:val="TOC1"/>
            <w:rPr>
              <w:rFonts w:asciiTheme="minorHAnsi" w:eastAsiaTheme="minorEastAsia" w:hAnsiTheme="minorHAnsi" w:cstheme="minorBidi"/>
              <w:noProof/>
              <w:sz w:val="22"/>
              <w:lang w:val="en-US"/>
            </w:rPr>
          </w:pPr>
          <w:r>
            <w:rPr>
              <w:b/>
              <w:bCs/>
              <w:noProof/>
            </w:rPr>
            <w:fldChar w:fldCharType="begin"/>
          </w:r>
          <w:r>
            <w:rPr>
              <w:b/>
              <w:bCs/>
              <w:noProof/>
            </w:rPr>
            <w:instrText xml:space="preserve"> TOC \o "1-3" \h \z \u </w:instrText>
          </w:r>
          <w:r>
            <w:rPr>
              <w:b/>
              <w:bCs/>
              <w:noProof/>
            </w:rPr>
            <w:fldChar w:fldCharType="separate"/>
          </w:r>
          <w:hyperlink w:anchor="_Toc58225930" w:history="1">
            <w:r>
              <w:rPr>
                <w:rStyle w:val="Hyperlink"/>
                <w:noProof/>
              </w:rPr>
              <w:t>1.</w:t>
            </w:r>
            <w:r>
              <w:rPr>
                <w:rFonts w:asciiTheme="minorHAnsi" w:eastAsiaTheme="minorEastAsia" w:hAnsiTheme="minorHAnsi" w:cstheme="minorBidi"/>
                <w:noProof/>
                <w:sz w:val="22"/>
                <w:lang w:val="en-US"/>
              </w:rPr>
              <w:tab/>
            </w:r>
            <w:r>
              <w:rPr>
                <w:rStyle w:val="Hyperlink"/>
                <w:noProof/>
              </w:rPr>
              <w:t>SOUVISLOSTI NÁVRHU</w:t>
            </w:r>
            <w:r>
              <w:rPr>
                <w:noProof/>
                <w:webHidden/>
              </w:rPr>
              <w:tab/>
            </w:r>
            <w:r>
              <w:rPr>
                <w:noProof/>
                <w:webHidden/>
              </w:rPr>
              <w:fldChar w:fldCharType="begin"/>
            </w:r>
            <w:r>
              <w:rPr>
                <w:noProof/>
                <w:webHidden/>
              </w:rPr>
              <w:instrText xml:space="preserve"> PAGEREF _Toc58225930 \h </w:instrText>
            </w:r>
            <w:r>
              <w:rPr>
                <w:noProof/>
                <w:webHidden/>
              </w:rPr>
            </w:r>
            <w:r>
              <w:rPr>
                <w:noProof/>
                <w:webHidden/>
              </w:rPr>
              <w:fldChar w:fldCharType="separate"/>
            </w:r>
            <w:r>
              <w:rPr>
                <w:noProof/>
                <w:webHidden/>
              </w:rPr>
              <w:t>1</w:t>
            </w:r>
            <w:r>
              <w:rPr>
                <w:noProof/>
                <w:webHidden/>
              </w:rPr>
              <w:fldChar w:fldCharType="end"/>
            </w:r>
          </w:hyperlink>
        </w:p>
        <w:p>
          <w:pPr>
            <w:pStyle w:val="TOC2"/>
            <w:rPr>
              <w:rFonts w:asciiTheme="minorHAnsi" w:eastAsiaTheme="minorEastAsia" w:hAnsiTheme="minorHAnsi" w:cstheme="minorBidi"/>
              <w:noProof/>
              <w:sz w:val="22"/>
              <w:lang w:val="en-US"/>
            </w:rPr>
          </w:pPr>
          <w:hyperlink w:anchor="_Toc58225931" w:history="1">
            <w:r>
              <w:rPr>
                <w:rStyle w:val="Hyperlink"/>
                <w:noProof/>
                <w:u w:color="000000"/>
                <w:bdr w:val="nil"/>
              </w:rPr>
              <w:t>•</w:t>
            </w:r>
            <w:r>
              <w:rPr>
                <w:rFonts w:asciiTheme="minorHAnsi" w:eastAsiaTheme="minorEastAsia" w:hAnsiTheme="minorHAnsi" w:cstheme="minorBidi"/>
                <w:noProof/>
                <w:sz w:val="22"/>
                <w:lang w:val="en-US"/>
              </w:rPr>
              <w:tab/>
            </w:r>
            <w:r>
              <w:rPr>
                <w:rStyle w:val="Hyperlink"/>
                <w:noProof/>
              </w:rPr>
              <w:t>Odůvodnění a cíle návrhu</w:t>
            </w:r>
            <w:r>
              <w:rPr>
                <w:noProof/>
                <w:webHidden/>
              </w:rPr>
              <w:tab/>
            </w:r>
            <w:r>
              <w:rPr>
                <w:noProof/>
                <w:webHidden/>
              </w:rPr>
              <w:fldChar w:fldCharType="begin"/>
            </w:r>
            <w:r>
              <w:rPr>
                <w:noProof/>
                <w:webHidden/>
              </w:rPr>
              <w:instrText xml:space="preserve"> PAGEREF _Toc58225931 \h </w:instrText>
            </w:r>
            <w:r>
              <w:rPr>
                <w:noProof/>
                <w:webHidden/>
              </w:rPr>
            </w:r>
            <w:r>
              <w:rPr>
                <w:noProof/>
                <w:webHidden/>
              </w:rPr>
              <w:fldChar w:fldCharType="separate"/>
            </w:r>
            <w:r>
              <w:rPr>
                <w:noProof/>
                <w:webHidden/>
              </w:rPr>
              <w:t>1</w:t>
            </w:r>
            <w:r>
              <w:rPr>
                <w:noProof/>
                <w:webHidden/>
              </w:rPr>
              <w:fldChar w:fldCharType="end"/>
            </w:r>
          </w:hyperlink>
        </w:p>
        <w:p>
          <w:pPr>
            <w:pStyle w:val="TOC2"/>
            <w:rPr>
              <w:rFonts w:asciiTheme="minorHAnsi" w:eastAsiaTheme="minorEastAsia" w:hAnsiTheme="minorHAnsi" w:cstheme="minorBidi"/>
              <w:noProof/>
              <w:sz w:val="22"/>
              <w:lang w:val="en-US"/>
            </w:rPr>
          </w:pPr>
          <w:hyperlink w:anchor="_Toc58225932" w:history="1">
            <w:r>
              <w:rPr>
                <w:rStyle w:val="Hyperlink"/>
                <w:noProof/>
                <w:u w:color="000000"/>
                <w:bdr w:val="nil"/>
              </w:rPr>
              <w:t>•</w:t>
            </w:r>
            <w:r>
              <w:rPr>
                <w:rFonts w:asciiTheme="minorHAnsi" w:eastAsiaTheme="minorEastAsia" w:hAnsiTheme="minorHAnsi" w:cstheme="minorBidi"/>
                <w:noProof/>
                <w:sz w:val="22"/>
                <w:lang w:val="en-US"/>
              </w:rPr>
              <w:tab/>
            </w:r>
            <w:r>
              <w:rPr>
                <w:rStyle w:val="Hyperlink"/>
                <w:noProof/>
              </w:rPr>
              <w:t>Soulad se stávajícími opatřeními Unie v této oblasti</w:t>
            </w:r>
            <w:r>
              <w:rPr>
                <w:noProof/>
                <w:webHidden/>
              </w:rPr>
              <w:tab/>
            </w:r>
            <w:r>
              <w:rPr>
                <w:noProof/>
                <w:webHidden/>
              </w:rPr>
              <w:fldChar w:fldCharType="begin"/>
            </w:r>
            <w:r>
              <w:rPr>
                <w:noProof/>
                <w:webHidden/>
              </w:rPr>
              <w:instrText xml:space="preserve"> PAGEREF _Toc58225932 \h </w:instrText>
            </w:r>
            <w:r>
              <w:rPr>
                <w:noProof/>
                <w:webHidden/>
              </w:rPr>
            </w:r>
            <w:r>
              <w:rPr>
                <w:noProof/>
                <w:webHidden/>
              </w:rPr>
              <w:fldChar w:fldCharType="separate"/>
            </w:r>
            <w:r>
              <w:rPr>
                <w:noProof/>
                <w:webHidden/>
              </w:rPr>
              <w:t>1</w:t>
            </w:r>
            <w:r>
              <w:rPr>
                <w:noProof/>
                <w:webHidden/>
              </w:rPr>
              <w:fldChar w:fldCharType="end"/>
            </w:r>
          </w:hyperlink>
        </w:p>
        <w:p>
          <w:pPr>
            <w:pStyle w:val="TOC2"/>
            <w:rPr>
              <w:rFonts w:asciiTheme="minorHAnsi" w:eastAsiaTheme="minorEastAsia" w:hAnsiTheme="minorHAnsi" w:cstheme="minorBidi"/>
              <w:noProof/>
              <w:sz w:val="22"/>
              <w:lang w:val="en-US"/>
            </w:rPr>
          </w:pPr>
          <w:hyperlink w:anchor="_Toc58225933" w:history="1">
            <w:r>
              <w:rPr>
                <w:rStyle w:val="Hyperlink"/>
                <w:noProof/>
                <w:u w:color="000000"/>
                <w:bdr w:val="nil"/>
              </w:rPr>
              <w:t>•</w:t>
            </w:r>
            <w:r>
              <w:rPr>
                <w:rFonts w:asciiTheme="minorHAnsi" w:eastAsiaTheme="minorEastAsia" w:hAnsiTheme="minorHAnsi" w:cstheme="minorBidi"/>
                <w:noProof/>
                <w:sz w:val="22"/>
                <w:lang w:val="en-US"/>
              </w:rPr>
              <w:tab/>
            </w:r>
            <w:r>
              <w:rPr>
                <w:rStyle w:val="Hyperlink"/>
                <w:noProof/>
              </w:rPr>
              <w:t>Soulad s ostatními politikami Unie</w:t>
            </w:r>
            <w:r>
              <w:rPr>
                <w:noProof/>
                <w:webHidden/>
              </w:rPr>
              <w:tab/>
            </w:r>
            <w:r>
              <w:rPr>
                <w:noProof/>
                <w:webHidden/>
              </w:rPr>
              <w:fldChar w:fldCharType="begin"/>
            </w:r>
            <w:r>
              <w:rPr>
                <w:noProof/>
                <w:webHidden/>
              </w:rPr>
              <w:instrText xml:space="preserve"> PAGEREF _Toc58225933 \h </w:instrText>
            </w:r>
            <w:r>
              <w:rPr>
                <w:noProof/>
                <w:webHidden/>
              </w:rPr>
            </w:r>
            <w:r>
              <w:rPr>
                <w:noProof/>
                <w:webHidden/>
              </w:rPr>
              <w:fldChar w:fldCharType="separate"/>
            </w:r>
            <w:r>
              <w:rPr>
                <w:noProof/>
                <w:webHidden/>
              </w:rPr>
              <w:t>1</w:t>
            </w:r>
            <w:r>
              <w:rPr>
                <w:noProof/>
                <w:webHidden/>
              </w:rPr>
              <w:fldChar w:fldCharType="end"/>
            </w:r>
          </w:hyperlink>
        </w:p>
        <w:p>
          <w:pPr>
            <w:pStyle w:val="TOC1"/>
            <w:rPr>
              <w:rFonts w:asciiTheme="minorHAnsi" w:eastAsiaTheme="minorEastAsia" w:hAnsiTheme="minorHAnsi" w:cstheme="minorBidi"/>
              <w:noProof/>
              <w:sz w:val="22"/>
              <w:lang w:val="en-US"/>
            </w:rPr>
          </w:pPr>
          <w:hyperlink w:anchor="_Toc58225934" w:history="1">
            <w:r>
              <w:rPr>
                <w:rStyle w:val="Hyperlink"/>
                <w:noProof/>
              </w:rPr>
              <w:t>2.</w:t>
            </w:r>
            <w:r>
              <w:rPr>
                <w:rFonts w:asciiTheme="minorHAnsi" w:eastAsiaTheme="minorEastAsia" w:hAnsiTheme="minorHAnsi" w:cstheme="minorBidi"/>
                <w:noProof/>
                <w:sz w:val="22"/>
                <w:lang w:val="en-US"/>
              </w:rPr>
              <w:tab/>
            </w:r>
            <w:r>
              <w:rPr>
                <w:rStyle w:val="Hyperlink"/>
                <w:noProof/>
              </w:rPr>
              <w:t>PRÁVNÍ ZÁKLAD, SUBSIDIARITA A PROPORCIONALITA</w:t>
            </w:r>
            <w:r>
              <w:rPr>
                <w:noProof/>
                <w:webHidden/>
              </w:rPr>
              <w:tab/>
            </w:r>
            <w:r>
              <w:rPr>
                <w:noProof/>
                <w:webHidden/>
              </w:rPr>
              <w:fldChar w:fldCharType="begin"/>
            </w:r>
            <w:r>
              <w:rPr>
                <w:noProof/>
                <w:webHidden/>
              </w:rPr>
              <w:instrText xml:space="preserve"> PAGEREF _Toc58225934 \h </w:instrText>
            </w:r>
            <w:r>
              <w:rPr>
                <w:noProof/>
                <w:webHidden/>
              </w:rPr>
            </w:r>
            <w:r>
              <w:rPr>
                <w:noProof/>
                <w:webHidden/>
              </w:rPr>
              <w:fldChar w:fldCharType="separate"/>
            </w:r>
            <w:r>
              <w:rPr>
                <w:noProof/>
                <w:webHidden/>
              </w:rPr>
              <w:t>2</w:t>
            </w:r>
            <w:r>
              <w:rPr>
                <w:noProof/>
                <w:webHidden/>
              </w:rPr>
              <w:fldChar w:fldCharType="end"/>
            </w:r>
          </w:hyperlink>
        </w:p>
        <w:p>
          <w:pPr>
            <w:pStyle w:val="TOC2"/>
            <w:rPr>
              <w:rFonts w:asciiTheme="minorHAnsi" w:eastAsiaTheme="minorEastAsia" w:hAnsiTheme="minorHAnsi" w:cstheme="minorBidi"/>
              <w:noProof/>
              <w:sz w:val="22"/>
              <w:lang w:val="en-US"/>
            </w:rPr>
          </w:pPr>
          <w:hyperlink w:anchor="_Toc58225935" w:history="1">
            <w:r>
              <w:rPr>
                <w:rStyle w:val="Hyperlink"/>
                <w:noProof/>
                <w:u w:color="000000"/>
                <w:bdr w:val="nil"/>
              </w:rPr>
              <w:t>•</w:t>
            </w:r>
            <w:r>
              <w:rPr>
                <w:rFonts w:asciiTheme="minorHAnsi" w:eastAsiaTheme="minorEastAsia" w:hAnsiTheme="minorHAnsi" w:cstheme="minorBidi"/>
                <w:noProof/>
                <w:sz w:val="22"/>
                <w:lang w:val="en-US"/>
              </w:rPr>
              <w:tab/>
            </w:r>
            <w:r>
              <w:rPr>
                <w:rStyle w:val="Hyperlink"/>
                <w:noProof/>
                <w:u w:color="000000"/>
                <w:bdr w:val="nil"/>
              </w:rPr>
              <w:t>Právní základ</w:t>
            </w:r>
            <w:r>
              <w:rPr>
                <w:noProof/>
                <w:webHidden/>
              </w:rPr>
              <w:tab/>
            </w:r>
            <w:r>
              <w:rPr>
                <w:noProof/>
                <w:webHidden/>
              </w:rPr>
              <w:fldChar w:fldCharType="begin"/>
            </w:r>
            <w:r>
              <w:rPr>
                <w:noProof/>
                <w:webHidden/>
              </w:rPr>
              <w:instrText xml:space="preserve"> PAGEREF _Toc58225935 \h </w:instrText>
            </w:r>
            <w:r>
              <w:rPr>
                <w:noProof/>
                <w:webHidden/>
              </w:rPr>
            </w:r>
            <w:r>
              <w:rPr>
                <w:noProof/>
                <w:webHidden/>
              </w:rPr>
              <w:fldChar w:fldCharType="separate"/>
            </w:r>
            <w:r>
              <w:rPr>
                <w:noProof/>
                <w:webHidden/>
              </w:rPr>
              <w:t>2</w:t>
            </w:r>
            <w:r>
              <w:rPr>
                <w:noProof/>
                <w:webHidden/>
              </w:rPr>
              <w:fldChar w:fldCharType="end"/>
            </w:r>
          </w:hyperlink>
        </w:p>
        <w:p>
          <w:pPr>
            <w:pStyle w:val="TOC2"/>
            <w:rPr>
              <w:rFonts w:asciiTheme="minorHAnsi" w:eastAsiaTheme="minorEastAsia" w:hAnsiTheme="minorHAnsi" w:cstheme="minorBidi"/>
              <w:noProof/>
              <w:sz w:val="22"/>
              <w:lang w:val="en-US"/>
            </w:rPr>
          </w:pPr>
          <w:hyperlink w:anchor="_Toc58225936" w:history="1">
            <w:r>
              <w:rPr>
                <w:rStyle w:val="Hyperlink"/>
                <w:noProof/>
                <w:u w:color="000000"/>
                <w:bdr w:val="nil"/>
              </w:rPr>
              <w:t>•</w:t>
            </w:r>
            <w:r>
              <w:rPr>
                <w:rFonts w:asciiTheme="minorHAnsi" w:eastAsiaTheme="minorEastAsia" w:hAnsiTheme="minorHAnsi" w:cstheme="minorBidi"/>
                <w:noProof/>
                <w:sz w:val="22"/>
                <w:lang w:val="en-US"/>
              </w:rPr>
              <w:tab/>
            </w:r>
            <w:r>
              <w:rPr>
                <w:rStyle w:val="Hyperlink"/>
                <w:noProof/>
                <w:u w:color="000000"/>
                <w:bdr w:val="nil"/>
              </w:rPr>
              <w:t>Subsidiarita (v případě nevýlučné pravomoci)</w:t>
            </w:r>
            <w:r>
              <w:rPr>
                <w:noProof/>
                <w:webHidden/>
              </w:rPr>
              <w:tab/>
            </w:r>
            <w:r>
              <w:rPr>
                <w:noProof/>
                <w:webHidden/>
              </w:rPr>
              <w:fldChar w:fldCharType="begin"/>
            </w:r>
            <w:r>
              <w:rPr>
                <w:noProof/>
                <w:webHidden/>
              </w:rPr>
              <w:instrText xml:space="preserve"> PAGEREF _Toc58225936 \h </w:instrText>
            </w:r>
            <w:r>
              <w:rPr>
                <w:noProof/>
                <w:webHidden/>
              </w:rPr>
            </w:r>
            <w:r>
              <w:rPr>
                <w:noProof/>
                <w:webHidden/>
              </w:rPr>
              <w:fldChar w:fldCharType="separate"/>
            </w:r>
            <w:r>
              <w:rPr>
                <w:noProof/>
                <w:webHidden/>
              </w:rPr>
              <w:t>2</w:t>
            </w:r>
            <w:r>
              <w:rPr>
                <w:noProof/>
                <w:webHidden/>
              </w:rPr>
              <w:fldChar w:fldCharType="end"/>
            </w:r>
          </w:hyperlink>
        </w:p>
        <w:p>
          <w:pPr>
            <w:pStyle w:val="TOC2"/>
            <w:rPr>
              <w:rFonts w:asciiTheme="minorHAnsi" w:eastAsiaTheme="minorEastAsia" w:hAnsiTheme="minorHAnsi" w:cstheme="minorBidi"/>
              <w:noProof/>
              <w:sz w:val="22"/>
              <w:lang w:val="en-US"/>
            </w:rPr>
          </w:pPr>
          <w:hyperlink w:anchor="_Toc58225937" w:history="1">
            <w:r>
              <w:rPr>
                <w:rStyle w:val="Hyperlink"/>
                <w:noProof/>
                <w:u w:color="000000"/>
                <w:bdr w:val="nil"/>
              </w:rPr>
              <w:t>•</w:t>
            </w:r>
            <w:r>
              <w:rPr>
                <w:rFonts w:asciiTheme="minorHAnsi" w:eastAsiaTheme="minorEastAsia" w:hAnsiTheme="minorHAnsi" w:cstheme="minorBidi"/>
                <w:noProof/>
                <w:sz w:val="22"/>
                <w:lang w:val="en-US"/>
              </w:rPr>
              <w:tab/>
            </w:r>
            <w:r>
              <w:rPr>
                <w:rStyle w:val="Hyperlink"/>
                <w:noProof/>
                <w:u w:color="000000"/>
                <w:bdr w:val="nil"/>
              </w:rPr>
              <w:t>Proporcionalita</w:t>
            </w:r>
            <w:r>
              <w:rPr>
                <w:noProof/>
                <w:webHidden/>
              </w:rPr>
              <w:tab/>
            </w:r>
            <w:r>
              <w:rPr>
                <w:noProof/>
                <w:webHidden/>
              </w:rPr>
              <w:fldChar w:fldCharType="begin"/>
            </w:r>
            <w:r>
              <w:rPr>
                <w:noProof/>
                <w:webHidden/>
              </w:rPr>
              <w:instrText xml:space="preserve"> PAGEREF _Toc58225937 \h </w:instrText>
            </w:r>
            <w:r>
              <w:rPr>
                <w:noProof/>
                <w:webHidden/>
              </w:rPr>
            </w:r>
            <w:r>
              <w:rPr>
                <w:noProof/>
                <w:webHidden/>
              </w:rPr>
              <w:fldChar w:fldCharType="separate"/>
            </w:r>
            <w:r>
              <w:rPr>
                <w:noProof/>
                <w:webHidden/>
              </w:rPr>
              <w:t>2</w:t>
            </w:r>
            <w:r>
              <w:rPr>
                <w:noProof/>
                <w:webHidden/>
              </w:rPr>
              <w:fldChar w:fldCharType="end"/>
            </w:r>
          </w:hyperlink>
        </w:p>
        <w:p>
          <w:pPr>
            <w:pStyle w:val="TOC2"/>
            <w:rPr>
              <w:rFonts w:asciiTheme="minorHAnsi" w:eastAsiaTheme="minorEastAsia" w:hAnsiTheme="minorHAnsi" w:cstheme="minorBidi"/>
              <w:noProof/>
              <w:sz w:val="22"/>
              <w:lang w:val="en-US"/>
            </w:rPr>
          </w:pPr>
          <w:hyperlink w:anchor="_Toc58225938" w:history="1">
            <w:r>
              <w:rPr>
                <w:rStyle w:val="Hyperlink"/>
                <w:noProof/>
                <w:u w:color="000000"/>
                <w:bdr w:val="nil"/>
              </w:rPr>
              <w:t>•</w:t>
            </w:r>
            <w:r>
              <w:rPr>
                <w:rFonts w:asciiTheme="minorHAnsi" w:eastAsiaTheme="minorEastAsia" w:hAnsiTheme="minorHAnsi" w:cstheme="minorBidi"/>
                <w:noProof/>
                <w:sz w:val="22"/>
                <w:lang w:val="en-US"/>
              </w:rPr>
              <w:tab/>
            </w:r>
            <w:r>
              <w:rPr>
                <w:rStyle w:val="Hyperlink"/>
                <w:noProof/>
                <w:u w:color="000000"/>
                <w:bdr w:val="nil"/>
              </w:rPr>
              <w:t>Volba nástroje</w:t>
            </w:r>
            <w:r>
              <w:rPr>
                <w:noProof/>
                <w:webHidden/>
              </w:rPr>
              <w:tab/>
            </w:r>
            <w:r>
              <w:rPr>
                <w:noProof/>
                <w:webHidden/>
              </w:rPr>
              <w:fldChar w:fldCharType="begin"/>
            </w:r>
            <w:r>
              <w:rPr>
                <w:noProof/>
                <w:webHidden/>
              </w:rPr>
              <w:instrText xml:space="preserve"> PAGEREF _Toc58225938 \h </w:instrText>
            </w:r>
            <w:r>
              <w:rPr>
                <w:noProof/>
                <w:webHidden/>
              </w:rPr>
            </w:r>
            <w:r>
              <w:rPr>
                <w:noProof/>
                <w:webHidden/>
              </w:rPr>
              <w:fldChar w:fldCharType="separate"/>
            </w:r>
            <w:r>
              <w:rPr>
                <w:noProof/>
                <w:webHidden/>
              </w:rPr>
              <w:t>2</w:t>
            </w:r>
            <w:r>
              <w:rPr>
                <w:noProof/>
                <w:webHidden/>
              </w:rPr>
              <w:fldChar w:fldCharType="end"/>
            </w:r>
          </w:hyperlink>
        </w:p>
        <w:p>
          <w:pPr>
            <w:pStyle w:val="TOC1"/>
            <w:rPr>
              <w:rFonts w:asciiTheme="minorHAnsi" w:eastAsiaTheme="minorEastAsia" w:hAnsiTheme="minorHAnsi" w:cstheme="minorBidi"/>
              <w:noProof/>
              <w:sz w:val="22"/>
              <w:lang w:val="en-US"/>
            </w:rPr>
          </w:pPr>
          <w:hyperlink w:anchor="_Toc58225939" w:history="1">
            <w:r>
              <w:rPr>
                <w:rStyle w:val="Hyperlink"/>
                <w:noProof/>
              </w:rPr>
              <w:t>3.</w:t>
            </w:r>
            <w:r>
              <w:rPr>
                <w:rFonts w:asciiTheme="minorHAnsi" w:eastAsiaTheme="minorEastAsia" w:hAnsiTheme="minorHAnsi" w:cstheme="minorBidi"/>
                <w:noProof/>
                <w:sz w:val="22"/>
                <w:lang w:val="en-US"/>
              </w:rPr>
              <w:tab/>
            </w:r>
            <w:r>
              <w:rPr>
                <w:rStyle w:val="Hyperlink"/>
                <w:noProof/>
              </w:rPr>
              <w:t xml:space="preserve">VÝSLEDKY HODNOCENÍ </w:t>
            </w:r>
            <w:r>
              <w:rPr>
                <w:rStyle w:val="Hyperlink"/>
                <w:i/>
                <w:noProof/>
              </w:rPr>
              <w:t>EX POST</w:t>
            </w:r>
            <w:r>
              <w:rPr>
                <w:rStyle w:val="Hyperlink"/>
                <w:noProof/>
              </w:rPr>
              <w:t>, KONZULTACÍ SE ZÚČASTNĚNÝMI STRANAMI A POSOUZENÍ DOPADŮ</w:t>
            </w:r>
            <w:r>
              <w:rPr>
                <w:noProof/>
                <w:webHidden/>
              </w:rPr>
              <w:tab/>
            </w:r>
            <w:r>
              <w:rPr>
                <w:noProof/>
                <w:webHidden/>
              </w:rPr>
              <w:fldChar w:fldCharType="begin"/>
            </w:r>
            <w:r>
              <w:rPr>
                <w:noProof/>
                <w:webHidden/>
              </w:rPr>
              <w:instrText xml:space="preserve"> PAGEREF _Toc58225939 \h </w:instrText>
            </w:r>
            <w:r>
              <w:rPr>
                <w:noProof/>
                <w:webHidden/>
              </w:rPr>
            </w:r>
            <w:r>
              <w:rPr>
                <w:noProof/>
                <w:webHidden/>
              </w:rPr>
              <w:fldChar w:fldCharType="separate"/>
            </w:r>
            <w:r>
              <w:rPr>
                <w:noProof/>
                <w:webHidden/>
              </w:rPr>
              <w:t>3</w:t>
            </w:r>
            <w:r>
              <w:rPr>
                <w:noProof/>
                <w:webHidden/>
              </w:rPr>
              <w:fldChar w:fldCharType="end"/>
            </w:r>
          </w:hyperlink>
        </w:p>
        <w:p>
          <w:pPr>
            <w:pStyle w:val="TOC2"/>
            <w:rPr>
              <w:rFonts w:asciiTheme="minorHAnsi" w:eastAsiaTheme="minorEastAsia" w:hAnsiTheme="minorHAnsi" w:cstheme="minorBidi"/>
              <w:noProof/>
              <w:sz w:val="22"/>
              <w:lang w:val="en-US"/>
            </w:rPr>
          </w:pPr>
          <w:hyperlink w:anchor="_Toc58225940" w:history="1">
            <w:r>
              <w:rPr>
                <w:rStyle w:val="Hyperlink"/>
                <w:noProof/>
                <w:u w:color="000000"/>
                <w:bdr w:val="nil"/>
              </w:rPr>
              <w:t>•</w:t>
            </w:r>
            <w:r>
              <w:rPr>
                <w:rFonts w:asciiTheme="minorHAnsi" w:eastAsiaTheme="minorEastAsia" w:hAnsiTheme="minorHAnsi" w:cstheme="minorBidi"/>
                <w:noProof/>
                <w:sz w:val="22"/>
                <w:lang w:val="en-US"/>
              </w:rPr>
              <w:tab/>
            </w:r>
            <w:r>
              <w:rPr>
                <w:rStyle w:val="Hyperlink"/>
                <w:noProof/>
                <w:u w:color="000000"/>
                <w:bdr w:val="nil"/>
              </w:rPr>
              <w:t xml:space="preserve">Hodnocení </w:t>
            </w:r>
            <w:r>
              <w:rPr>
                <w:rStyle w:val="Hyperlink"/>
                <w:i/>
                <w:noProof/>
                <w:u w:color="000000"/>
                <w:bdr w:val="nil"/>
              </w:rPr>
              <w:t>ex post</w:t>
            </w:r>
            <w:r>
              <w:rPr>
                <w:rStyle w:val="Hyperlink"/>
                <w:noProof/>
                <w:u w:color="000000"/>
                <w:bdr w:val="nil"/>
              </w:rPr>
              <w:t xml:space="preserve"> / kontroly účelnosti platných právních předpisů</w:t>
            </w:r>
            <w:r>
              <w:rPr>
                <w:noProof/>
                <w:webHidden/>
              </w:rPr>
              <w:tab/>
            </w:r>
            <w:r>
              <w:rPr>
                <w:noProof/>
                <w:webHidden/>
              </w:rPr>
              <w:fldChar w:fldCharType="begin"/>
            </w:r>
            <w:r>
              <w:rPr>
                <w:noProof/>
                <w:webHidden/>
              </w:rPr>
              <w:instrText xml:space="preserve"> PAGEREF _Toc58225940 \h </w:instrText>
            </w:r>
            <w:r>
              <w:rPr>
                <w:noProof/>
                <w:webHidden/>
              </w:rPr>
            </w:r>
            <w:r>
              <w:rPr>
                <w:noProof/>
                <w:webHidden/>
              </w:rPr>
              <w:fldChar w:fldCharType="separate"/>
            </w:r>
            <w:r>
              <w:rPr>
                <w:noProof/>
                <w:webHidden/>
              </w:rPr>
              <w:t>3</w:t>
            </w:r>
            <w:r>
              <w:rPr>
                <w:noProof/>
                <w:webHidden/>
              </w:rPr>
              <w:fldChar w:fldCharType="end"/>
            </w:r>
          </w:hyperlink>
        </w:p>
        <w:p>
          <w:pPr>
            <w:pStyle w:val="TOC2"/>
            <w:rPr>
              <w:rFonts w:asciiTheme="minorHAnsi" w:eastAsiaTheme="minorEastAsia" w:hAnsiTheme="minorHAnsi" w:cstheme="minorBidi"/>
              <w:noProof/>
              <w:sz w:val="22"/>
              <w:lang w:val="en-US"/>
            </w:rPr>
          </w:pPr>
          <w:hyperlink w:anchor="_Toc58225941" w:history="1">
            <w:r>
              <w:rPr>
                <w:rStyle w:val="Hyperlink"/>
                <w:noProof/>
                <w:u w:color="000000"/>
                <w:bdr w:val="nil"/>
              </w:rPr>
              <w:t>•</w:t>
            </w:r>
            <w:r>
              <w:rPr>
                <w:rFonts w:asciiTheme="minorHAnsi" w:eastAsiaTheme="minorEastAsia" w:hAnsiTheme="minorHAnsi" w:cstheme="minorBidi"/>
                <w:noProof/>
                <w:sz w:val="22"/>
                <w:lang w:val="en-US"/>
              </w:rPr>
              <w:tab/>
            </w:r>
            <w:r>
              <w:rPr>
                <w:rStyle w:val="Hyperlink"/>
                <w:noProof/>
                <w:u w:color="000000"/>
                <w:bdr w:val="nil"/>
              </w:rPr>
              <w:t>Konzultace se zúčastněnými stranami</w:t>
            </w:r>
            <w:r>
              <w:rPr>
                <w:noProof/>
                <w:webHidden/>
              </w:rPr>
              <w:tab/>
            </w:r>
            <w:r>
              <w:rPr>
                <w:noProof/>
                <w:webHidden/>
              </w:rPr>
              <w:fldChar w:fldCharType="begin"/>
            </w:r>
            <w:r>
              <w:rPr>
                <w:noProof/>
                <w:webHidden/>
              </w:rPr>
              <w:instrText xml:space="preserve"> PAGEREF _Toc58225941 \h </w:instrText>
            </w:r>
            <w:r>
              <w:rPr>
                <w:noProof/>
                <w:webHidden/>
              </w:rPr>
            </w:r>
            <w:r>
              <w:rPr>
                <w:noProof/>
                <w:webHidden/>
              </w:rPr>
              <w:fldChar w:fldCharType="separate"/>
            </w:r>
            <w:r>
              <w:rPr>
                <w:noProof/>
                <w:webHidden/>
              </w:rPr>
              <w:t>3</w:t>
            </w:r>
            <w:r>
              <w:rPr>
                <w:noProof/>
                <w:webHidden/>
              </w:rPr>
              <w:fldChar w:fldCharType="end"/>
            </w:r>
          </w:hyperlink>
        </w:p>
        <w:p>
          <w:pPr>
            <w:pStyle w:val="TOC2"/>
            <w:rPr>
              <w:rFonts w:asciiTheme="minorHAnsi" w:eastAsiaTheme="minorEastAsia" w:hAnsiTheme="minorHAnsi" w:cstheme="minorBidi"/>
              <w:noProof/>
              <w:sz w:val="22"/>
              <w:lang w:val="en-US"/>
            </w:rPr>
          </w:pPr>
          <w:hyperlink w:anchor="_Toc58225942" w:history="1">
            <w:r>
              <w:rPr>
                <w:rStyle w:val="Hyperlink"/>
                <w:noProof/>
                <w:u w:color="000000"/>
                <w:bdr w:val="nil"/>
              </w:rPr>
              <w:t>•</w:t>
            </w:r>
            <w:r>
              <w:rPr>
                <w:rFonts w:asciiTheme="minorHAnsi" w:eastAsiaTheme="minorEastAsia" w:hAnsiTheme="minorHAnsi" w:cstheme="minorBidi"/>
                <w:noProof/>
                <w:sz w:val="22"/>
                <w:lang w:val="en-US"/>
              </w:rPr>
              <w:tab/>
            </w:r>
            <w:r>
              <w:rPr>
                <w:rStyle w:val="Hyperlink"/>
                <w:noProof/>
                <w:u w:color="000000"/>
                <w:bdr w:val="nil"/>
              </w:rPr>
              <w:t>Posouzení dopadů</w:t>
            </w:r>
            <w:r>
              <w:rPr>
                <w:noProof/>
                <w:webHidden/>
              </w:rPr>
              <w:tab/>
            </w:r>
            <w:r>
              <w:rPr>
                <w:noProof/>
                <w:webHidden/>
              </w:rPr>
              <w:fldChar w:fldCharType="begin"/>
            </w:r>
            <w:r>
              <w:rPr>
                <w:noProof/>
                <w:webHidden/>
              </w:rPr>
              <w:instrText xml:space="preserve"> PAGEREF _Toc58225942 \h </w:instrText>
            </w:r>
            <w:r>
              <w:rPr>
                <w:noProof/>
                <w:webHidden/>
              </w:rPr>
            </w:r>
            <w:r>
              <w:rPr>
                <w:noProof/>
                <w:webHidden/>
              </w:rPr>
              <w:fldChar w:fldCharType="separate"/>
            </w:r>
            <w:r>
              <w:rPr>
                <w:noProof/>
                <w:webHidden/>
              </w:rPr>
              <w:t>3</w:t>
            </w:r>
            <w:r>
              <w:rPr>
                <w:noProof/>
                <w:webHidden/>
              </w:rPr>
              <w:fldChar w:fldCharType="end"/>
            </w:r>
          </w:hyperlink>
        </w:p>
        <w:p>
          <w:pPr>
            <w:pStyle w:val="TOC2"/>
            <w:rPr>
              <w:rFonts w:asciiTheme="minorHAnsi" w:eastAsiaTheme="minorEastAsia" w:hAnsiTheme="minorHAnsi" w:cstheme="minorBidi"/>
              <w:noProof/>
              <w:sz w:val="22"/>
              <w:lang w:val="en-US"/>
            </w:rPr>
          </w:pPr>
          <w:hyperlink w:anchor="_Toc58225943" w:history="1">
            <w:r>
              <w:rPr>
                <w:rStyle w:val="Hyperlink"/>
                <w:noProof/>
                <w:u w:color="000000"/>
                <w:bdr w:val="nil"/>
              </w:rPr>
              <w:t>•</w:t>
            </w:r>
            <w:r>
              <w:rPr>
                <w:rFonts w:asciiTheme="minorHAnsi" w:eastAsiaTheme="minorEastAsia" w:hAnsiTheme="minorHAnsi" w:cstheme="minorBidi"/>
                <w:noProof/>
                <w:sz w:val="22"/>
                <w:lang w:val="en-US"/>
              </w:rPr>
              <w:tab/>
            </w:r>
            <w:r>
              <w:rPr>
                <w:rStyle w:val="Hyperlink"/>
                <w:noProof/>
                <w:u w:color="000000"/>
                <w:bdr w:val="nil"/>
              </w:rPr>
              <w:t>Základní práva</w:t>
            </w:r>
            <w:r>
              <w:rPr>
                <w:noProof/>
                <w:webHidden/>
              </w:rPr>
              <w:tab/>
            </w:r>
            <w:r>
              <w:rPr>
                <w:noProof/>
                <w:webHidden/>
              </w:rPr>
              <w:fldChar w:fldCharType="begin"/>
            </w:r>
            <w:r>
              <w:rPr>
                <w:noProof/>
                <w:webHidden/>
              </w:rPr>
              <w:instrText xml:space="preserve"> PAGEREF _Toc58225943 \h </w:instrText>
            </w:r>
            <w:r>
              <w:rPr>
                <w:noProof/>
                <w:webHidden/>
              </w:rPr>
            </w:r>
            <w:r>
              <w:rPr>
                <w:noProof/>
                <w:webHidden/>
              </w:rPr>
              <w:fldChar w:fldCharType="separate"/>
            </w:r>
            <w:r>
              <w:rPr>
                <w:noProof/>
                <w:webHidden/>
              </w:rPr>
              <w:t>4</w:t>
            </w:r>
            <w:r>
              <w:rPr>
                <w:noProof/>
                <w:webHidden/>
              </w:rPr>
              <w:fldChar w:fldCharType="end"/>
            </w:r>
          </w:hyperlink>
        </w:p>
        <w:p>
          <w:pPr>
            <w:pStyle w:val="TOC1"/>
            <w:rPr>
              <w:rFonts w:asciiTheme="minorHAnsi" w:eastAsiaTheme="minorEastAsia" w:hAnsiTheme="minorHAnsi" w:cstheme="minorBidi"/>
              <w:noProof/>
              <w:sz w:val="22"/>
              <w:lang w:val="en-US"/>
            </w:rPr>
          </w:pPr>
          <w:hyperlink w:anchor="_Toc58225944" w:history="1">
            <w:r>
              <w:rPr>
                <w:rStyle w:val="Hyperlink"/>
                <w:noProof/>
              </w:rPr>
              <w:t>4.</w:t>
            </w:r>
            <w:r>
              <w:rPr>
                <w:rFonts w:asciiTheme="minorHAnsi" w:eastAsiaTheme="minorEastAsia" w:hAnsiTheme="minorHAnsi" w:cstheme="minorBidi"/>
                <w:noProof/>
                <w:sz w:val="22"/>
                <w:lang w:val="en-US"/>
              </w:rPr>
              <w:tab/>
            </w:r>
            <w:r>
              <w:rPr>
                <w:rStyle w:val="Hyperlink"/>
                <w:noProof/>
              </w:rPr>
              <w:t>ROZPOČTOVÉ DŮSLEDKY</w:t>
            </w:r>
            <w:r>
              <w:rPr>
                <w:noProof/>
                <w:webHidden/>
              </w:rPr>
              <w:tab/>
            </w:r>
            <w:r>
              <w:rPr>
                <w:noProof/>
                <w:webHidden/>
              </w:rPr>
              <w:fldChar w:fldCharType="begin"/>
            </w:r>
            <w:r>
              <w:rPr>
                <w:noProof/>
                <w:webHidden/>
              </w:rPr>
              <w:instrText xml:space="preserve"> PAGEREF _Toc58225944 \h </w:instrText>
            </w:r>
            <w:r>
              <w:rPr>
                <w:noProof/>
                <w:webHidden/>
              </w:rPr>
            </w:r>
            <w:r>
              <w:rPr>
                <w:noProof/>
                <w:webHidden/>
              </w:rPr>
              <w:fldChar w:fldCharType="separate"/>
            </w:r>
            <w:r>
              <w:rPr>
                <w:noProof/>
                <w:webHidden/>
              </w:rPr>
              <w:t>4</w:t>
            </w:r>
            <w:r>
              <w:rPr>
                <w:noProof/>
                <w:webHidden/>
              </w:rPr>
              <w:fldChar w:fldCharType="end"/>
            </w:r>
          </w:hyperlink>
        </w:p>
        <w:p>
          <w:pPr>
            <w:pStyle w:val="TOC1"/>
            <w:rPr>
              <w:rFonts w:asciiTheme="minorHAnsi" w:eastAsiaTheme="minorEastAsia" w:hAnsiTheme="minorHAnsi" w:cstheme="minorBidi"/>
              <w:noProof/>
              <w:sz w:val="22"/>
              <w:lang w:val="en-US"/>
            </w:rPr>
          </w:pPr>
          <w:hyperlink w:anchor="_Toc58225945" w:history="1">
            <w:r>
              <w:rPr>
                <w:rStyle w:val="Hyperlink"/>
                <w:noProof/>
              </w:rPr>
              <w:t>5.</w:t>
            </w:r>
            <w:r>
              <w:rPr>
                <w:rFonts w:asciiTheme="minorHAnsi" w:eastAsiaTheme="minorEastAsia" w:hAnsiTheme="minorHAnsi" w:cstheme="minorBidi"/>
                <w:noProof/>
                <w:sz w:val="22"/>
                <w:lang w:val="en-US"/>
              </w:rPr>
              <w:tab/>
            </w:r>
            <w:r>
              <w:rPr>
                <w:rStyle w:val="Hyperlink"/>
                <w:noProof/>
              </w:rPr>
              <w:t>OSTATNÍ PRVKY</w:t>
            </w:r>
            <w:r>
              <w:rPr>
                <w:noProof/>
                <w:webHidden/>
              </w:rPr>
              <w:tab/>
            </w:r>
            <w:r>
              <w:rPr>
                <w:noProof/>
                <w:webHidden/>
              </w:rPr>
              <w:fldChar w:fldCharType="begin"/>
            </w:r>
            <w:r>
              <w:rPr>
                <w:noProof/>
                <w:webHidden/>
              </w:rPr>
              <w:instrText xml:space="preserve"> PAGEREF _Toc58225945 \h </w:instrText>
            </w:r>
            <w:r>
              <w:rPr>
                <w:noProof/>
                <w:webHidden/>
              </w:rPr>
            </w:r>
            <w:r>
              <w:rPr>
                <w:noProof/>
                <w:webHidden/>
              </w:rPr>
              <w:fldChar w:fldCharType="separate"/>
            </w:r>
            <w:r>
              <w:rPr>
                <w:noProof/>
                <w:webHidden/>
              </w:rPr>
              <w:t>4</w:t>
            </w:r>
            <w:r>
              <w:rPr>
                <w:noProof/>
                <w:webHidden/>
              </w:rPr>
              <w:fldChar w:fldCharType="end"/>
            </w:r>
          </w:hyperlink>
        </w:p>
        <w:p>
          <w:pPr>
            <w:pStyle w:val="TOC2"/>
            <w:rPr>
              <w:rFonts w:asciiTheme="minorHAnsi" w:eastAsiaTheme="minorEastAsia" w:hAnsiTheme="minorHAnsi" w:cstheme="minorBidi"/>
              <w:noProof/>
              <w:sz w:val="22"/>
              <w:lang w:val="en-US"/>
            </w:rPr>
          </w:pPr>
          <w:hyperlink w:anchor="_Toc58225946" w:history="1">
            <w:r>
              <w:rPr>
                <w:rStyle w:val="Hyperlink"/>
                <w:noProof/>
                <w:u w:color="000000"/>
                <w:bdr w:val="nil"/>
              </w:rPr>
              <w:t>•</w:t>
            </w:r>
            <w:r>
              <w:rPr>
                <w:rFonts w:asciiTheme="minorHAnsi" w:eastAsiaTheme="minorEastAsia" w:hAnsiTheme="minorHAnsi" w:cstheme="minorBidi"/>
                <w:noProof/>
                <w:sz w:val="22"/>
                <w:lang w:val="en-US"/>
              </w:rPr>
              <w:tab/>
            </w:r>
            <w:r>
              <w:rPr>
                <w:rStyle w:val="Hyperlink"/>
                <w:noProof/>
                <w:u w:color="000000"/>
                <w:bdr w:val="nil"/>
              </w:rPr>
              <w:t>Podrobné vysvětlení konkrétních ustanovení návrhu</w:t>
            </w:r>
            <w:r>
              <w:rPr>
                <w:noProof/>
                <w:webHidden/>
              </w:rPr>
              <w:tab/>
            </w:r>
            <w:r>
              <w:rPr>
                <w:noProof/>
                <w:webHidden/>
              </w:rPr>
              <w:fldChar w:fldCharType="begin"/>
            </w:r>
            <w:r>
              <w:rPr>
                <w:noProof/>
                <w:webHidden/>
              </w:rPr>
              <w:instrText xml:space="preserve"> PAGEREF _Toc58225946 \h </w:instrText>
            </w:r>
            <w:r>
              <w:rPr>
                <w:noProof/>
                <w:webHidden/>
              </w:rPr>
            </w:r>
            <w:r>
              <w:rPr>
                <w:noProof/>
                <w:webHidden/>
              </w:rPr>
              <w:fldChar w:fldCharType="separate"/>
            </w:r>
            <w:r>
              <w:rPr>
                <w:noProof/>
                <w:webHidden/>
              </w:rPr>
              <w:t>4</w:t>
            </w:r>
            <w:r>
              <w:rPr>
                <w:noProof/>
                <w:webHidden/>
              </w:rPr>
              <w:fldChar w:fldCharType="end"/>
            </w:r>
          </w:hyperlink>
        </w:p>
        <w:p>
          <w:pPr>
            <w:pStyle w:val="TOC1"/>
            <w:rPr>
              <w:rFonts w:asciiTheme="minorHAnsi" w:eastAsiaTheme="minorEastAsia" w:hAnsiTheme="minorHAnsi" w:cstheme="minorBidi"/>
              <w:noProof/>
              <w:sz w:val="22"/>
              <w:lang w:val="en-US"/>
            </w:rPr>
          </w:pPr>
          <w:hyperlink w:anchor="_Toc58225947" w:history="1">
            <w:r>
              <w:rPr>
                <w:rStyle w:val="Hyperlink"/>
                <w:noProof/>
              </w:rPr>
              <w:t>1.</w:t>
            </w:r>
            <w:r>
              <w:rPr>
                <w:rFonts w:asciiTheme="minorHAnsi" w:eastAsiaTheme="minorEastAsia" w:hAnsiTheme="minorHAnsi" w:cstheme="minorBidi"/>
                <w:noProof/>
                <w:sz w:val="22"/>
                <w:lang w:val="en-US"/>
              </w:rPr>
              <w:tab/>
            </w:r>
            <w:r>
              <w:rPr>
                <w:rStyle w:val="Hyperlink"/>
                <w:noProof/>
              </w:rPr>
              <w:t>RÁMEC NÁVRHU/PODNĚTU</w:t>
            </w:r>
            <w:r>
              <w:rPr>
                <w:noProof/>
                <w:webHidden/>
              </w:rPr>
              <w:tab/>
            </w:r>
            <w:r>
              <w:rPr>
                <w:noProof/>
                <w:webHidden/>
              </w:rPr>
              <w:fldChar w:fldCharType="begin"/>
            </w:r>
            <w:r>
              <w:rPr>
                <w:noProof/>
                <w:webHidden/>
              </w:rPr>
              <w:instrText xml:space="preserve"> PAGEREF _Toc58225947 \h </w:instrText>
            </w:r>
            <w:r>
              <w:rPr>
                <w:noProof/>
                <w:webHidden/>
              </w:rPr>
            </w:r>
            <w:r>
              <w:rPr>
                <w:noProof/>
                <w:webHidden/>
              </w:rPr>
              <w:fldChar w:fldCharType="separate"/>
            </w:r>
            <w:r>
              <w:rPr>
                <w:noProof/>
                <w:webHidden/>
              </w:rPr>
              <w:t>31</w:t>
            </w:r>
            <w:r>
              <w:rPr>
                <w:noProof/>
                <w:webHidden/>
              </w:rPr>
              <w:fldChar w:fldCharType="end"/>
            </w:r>
          </w:hyperlink>
        </w:p>
        <w:p>
          <w:pPr>
            <w:pStyle w:val="TOC2"/>
            <w:rPr>
              <w:rFonts w:asciiTheme="minorHAnsi" w:eastAsiaTheme="minorEastAsia" w:hAnsiTheme="minorHAnsi" w:cstheme="minorBidi"/>
              <w:noProof/>
              <w:sz w:val="22"/>
              <w:lang w:val="en-US"/>
            </w:rPr>
          </w:pPr>
          <w:hyperlink w:anchor="_Toc58225948" w:history="1">
            <w:r>
              <w:rPr>
                <w:rStyle w:val="Hyperlink"/>
                <w:noProof/>
              </w:rPr>
              <w:t>1.1.</w:t>
            </w:r>
            <w:r>
              <w:rPr>
                <w:rFonts w:asciiTheme="minorHAnsi" w:eastAsiaTheme="minorEastAsia" w:hAnsiTheme="minorHAnsi" w:cstheme="minorBidi"/>
                <w:noProof/>
                <w:sz w:val="22"/>
                <w:lang w:val="en-US"/>
              </w:rPr>
              <w:tab/>
            </w:r>
            <w:r>
              <w:rPr>
                <w:rStyle w:val="Hyperlink"/>
                <w:noProof/>
              </w:rPr>
              <w:t>Název návrhu/podnětu</w:t>
            </w:r>
            <w:r>
              <w:rPr>
                <w:noProof/>
                <w:webHidden/>
              </w:rPr>
              <w:tab/>
            </w:r>
            <w:r>
              <w:rPr>
                <w:noProof/>
                <w:webHidden/>
              </w:rPr>
              <w:fldChar w:fldCharType="begin"/>
            </w:r>
            <w:r>
              <w:rPr>
                <w:noProof/>
                <w:webHidden/>
              </w:rPr>
              <w:instrText xml:space="preserve"> PAGEREF _Toc58225948 \h </w:instrText>
            </w:r>
            <w:r>
              <w:rPr>
                <w:noProof/>
                <w:webHidden/>
              </w:rPr>
            </w:r>
            <w:r>
              <w:rPr>
                <w:noProof/>
                <w:webHidden/>
              </w:rPr>
              <w:fldChar w:fldCharType="separate"/>
            </w:r>
            <w:r>
              <w:rPr>
                <w:noProof/>
                <w:webHidden/>
              </w:rPr>
              <w:t>31</w:t>
            </w:r>
            <w:r>
              <w:rPr>
                <w:noProof/>
                <w:webHidden/>
              </w:rPr>
              <w:fldChar w:fldCharType="end"/>
            </w:r>
          </w:hyperlink>
        </w:p>
        <w:p>
          <w:pPr>
            <w:pStyle w:val="TOC2"/>
            <w:rPr>
              <w:rFonts w:asciiTheme="minorHAnsi" w:eastAsiaTheme="minorEastAsia" w:hAnsiTheme="minorHAnsi" w:cstheme="minorBidi"/>
              <w:noProof/>
              <w:sz w:val="22"/>
              <w:lang w:val="en-US"/>
            </w:rPr>
          </w:pPr>
          <w:hyperlink w:anchor="_Toc58225949" w:history="1">
            <w:r>
              <w:rPr>
                <w:rStyle w:val="Hyperlink"/>
                <w:noProof/>
              </w:rPr>
              <w:t>1.2.</w:t>
            </w:r>
            <w:r>
              <w:rPr>
                <w:rFonts w:asciiTheme="minorHAnsi" w:eastAsiaTheme="minorEastAsia" w:hAnsiTheme="minorHAnsi" w:cstheme="minorBidi"/>
                <w:noProof/>
                <w:sz w:val="22"/>
                <w:lang w:val="en-US"/>
              </w:rPr>
              <w:tab/>
            </w:r>
            <w:r>
              <w:rPr>
                <w:rStyle w:val="Hyperlink"/>
                <w:noProof/>
              </w:rPr>
              <w:t>Příslušné oblasti politik</w:t>
            </w:r>
            <w:r>
              <w:rPr>
                <w:noProof/>
                <w:webHidden/>
              </w:rPr>
              <w:tab/>
            </w:r>
            <w:r>
              <w:rPr>
                <w:noProof/>
                <w:webHidden/>
              </w:rPr>
              <w:fldChar w:fldCharType="begin"/>
            </w:r>
            <w:r>
              <w:rPr>
                <w:noProof/>
                <w:webHidden/>
              </w:rPr>
              <w:instrText xml:space="preserve"> PAGEREF _Toc58225949 \h </w:instrText>
            </w:r>
            <w:r>
              <w:rPr>
                <w:noProof/>
                <w:webHidden/>
              </w:rPr>
            </w:r>
            <w:r>
              <w:rPr>
                <w:noProof/>
                <w:webHidden/>
              </w:rPr>
              <w:fldChar w:fldCharType="separate"/>
            </w:r>
            <w:r>
              <w:rPr>
                <w:noProof/>
                <w:webHidden/>
              </w:rPr>
              <w:t>31</w:t>
            </w:r>
            <w:r>
              <w:rPr>
                <w:noProof/>
                <w:webHidden/>
              </w:rPr>
              <w:fldChar w:fldCharType="end"/>
            </w:r>
          </w:hyperlink>
        </w:p>
        <w:p>
          <w:pPr>
            <w:pStyle w:val="TOC2"/>
            <w:rPr>
              <w:rFonts w:asciiTheme="minorHAnsi" w:eastAsiaTheme="minorEastAsia" w:hAnsiTheme="minorHAnsi" w:cstheme="minorBidi"/>
              <w:noProof/>
              <w:sz w:val="22"/>
              <w:lang w:val="en-US"/>
            </w:rPr>
          </w:pPr>
          <w:hyperlink w:anchor="_Toc58225950" w:history="1">
            <w:r>
              <w:rPr>
                <w:rStyle w:val="Hyperlink"/>
                <w:noProof/>
              </w:rPr>
              <w:t>1.3.</w:t>
            </w:r>
            <w:r>
              <w:rPr>
                <w:rFonts w:asciiTheme="minorHAnsi" w:eastAsiaTheme="minorEastAsia" w:hAnsiTheme="minorHAnsi" w:cstheme="minorBidi"/>
                <w:noProof/>
                <w:sz w:val="22"/>
                <w:lang w:val="en-US"/>
              </w:rPr>
              <w:tab/>
            </w:r>
            <w:r>
              <w:rPr>
                <w:rStyle w:val="Hyperlink"/>
                <w:noProof/>
              </w:rPr>
              <w:t>Návrh se týká:</w:t>
            </w:r>
            <w:r>
              <w:rPr>
                <w:noProof/>
                <w:webHidden/>
              </w:rPr>
              <w:tab/>
            </w:r>
            <w:r>
              <w:rPr>
                <w:noProof/>
                <w:webHidden/>
              </w:rPr>
              <w:fldChar w:fldCharType="begin"/>
            </w:r>
            <w:r>
              <w:rPr>
                <w:noProof/>
                <w:webHidden/>
              </w:rPr>
              <w:instrText xml:space="preserve"> PAGEREF _Toc58225950 \h </w:instrText>
            </w:r>
            <w:r>
              <w:rPr>
                <w:noProof/>
                <w:webHidden/>
              </w:rPr>
            </w:r>
            <w:r>
              <w:rPr>
                <w:noProof/>
                <w:webHidden/>
              </w:rPr>
              <w:fldChar w:fldCharType="separate"/>
            </w:r>
            <w:r>
              <w:rPr>
                <w:noProof/>
                <w:webHidden/>
              </w:rPr>
              <w:t>31</w:t>
            </w:r>
            <w:r>
              <w:rPr>
                <w:noProof/>
                <w:webHidden/>
              </w:rPr>
              <w:fldChar w:fldCharType="end"/>
            </w:r>
          </w:hyperlink>
        </w:p>
        <w:p>
          <w:pPr>
            <w:pStyle w:val="TOC2"/>
            <w:rPr>
              <w:rFonts w:asciiTheme="minorHAnsi" w:eastAsiaTheme="minorEastAsia" w:hAnsiTheme="minorHAnsi" w:cstheme="minorBidi"/>
              <w:noProof/>
              <w:sz w:val="22"/>
              <w:lang w:val="en-US"/>
            </w:rPr>
          </w:pPr>
          <w:hyperlink w:anchor="_Toc58225951" w:history="1">
            <w:r>
              <w:rPr>
                <w:rStyle w:val="Hyperlink"/>
                <w:noProof/>
              </w:rPr>
              <w:t>1.4.</w:t>
            </w:r>
            <w:r>
              <w:rPr>
                <w:rFonts w:asciiTheme="minorHAnsi" w:eastAsiaTheme="minorEastAsia" w:hAnsiTheme="minorHAnsi" w:cstheme="minorBidi"/>
                <w:noProof/>
                <w:sz w:val="22"/>
                <w:lang w:val="en-US"/>
              </w:rPr>
              <w:tab/>
            </w:r>
            <w:r>
              <w:rPr>
                <w:rStyle w:val="Hyperlink"/>
                <w:noProof/>
              </w:rPr>
              <w:t>Cíle</w:t>
            </w:r>
            <w:r>
              <w:rPr>
                <w:noProof/>
                <w:webHidden/>
              </w:rPr>
              <w:tab/>
            </w:r>
            <w:r>
              <w:rPr>
                <w:noProof/>
                <w:webHidden/>
              </w:rPr>
              <w:fldChar w:fldCharType="begin"/>
            </w:r>
            <w:r>
              <w:rPr>
                <w:noProof/>
                <w:webHidden/>
              </w:rPr>
              <w:instrText xml:space="preserve"> PAGEREF _Toc58225951 \h </w:instrText>
            </w:r>
            <w:r>
              <w:rPr>
                <w:noProof/>
                <w:webHidden/>
              </w:rPr>
            </w:r>
            <w:r>
              <w:rPr>
                <w:noProof/>
                <w:webHidden/>
              </w:rPr>
              <w:fldChar w:fldCharType="separate"/>
            </w:r>
            <w:r>
              <w:rPr>
                <w:noProof/>
                <w:webHidden/>
              </w:rPr>
              <w:t>31</w:t>
            </w:r>
            <w:r>
              <w:rPr>
                <w:noProof/>
                <w:webHidden/>
              </w:rPr>
              <w:fldChar w:fldCharType="end"/>
            </w:r>
          </w:hyperlink>
        </w:p>
        <w:p>
          <w:pPr>
            <w:pStyle w:val="TOC3"/>
            <w:rPr>
              <w:rFonts w:asciiTheme="minorHAnsi" w:eastAsiaTheme="minorEastAsia" w:hAnsiTheme="minorHAnsi" w:cstheme="minorBidi"/>
              <w:noProof/>
              <w:sz w:val="22"/>
              <w:lang w:val="en-US"/>
            </w:rPr>
          </w:pPr>
          <w:hyperlink w:anchor="_Toc58225952" w:history="1">
            <w:r>
              <w:rPr>
                <w:rStyle w:val="Hyperlink"/>
                <w:noProof/>
              </w:rPr>
              <w:t>1.4.1.</w:t>
            </w:r>
            <w:r>
              <w:rPr>
                <w:rFonts w:asciiTheme="minorHAnsi" w:eastAsiaTheme="minorEastAsia" w:hAnsiTheme="minorHAnsi" w:cstheme="minorBidi"/>
                <w:noProof/>
                <w:sz w:val="22"/>
                <w:lang w:val="en-US"/>
              </w:rPr>
              <w:tab/>
            </w:r>
            <w:r>
              <w:rPr>
                <w:rStyle w:val="Hyperlink"/>
                <w:noProof/>
              </w:rPr>
              <w:t>Obecné cíle</w:t>
            </w:r>
            <w:r>
              <w:rPr>
                <w:noProof/>
                <w:webHidden/>
              </w:rPr>
              <w:tab/>
            </w:r>
            <w:r>
              <w:rPr>
                <w:noProof/>
                <w:webHidden/>
              </w:rPr>
              <w:fldChar w:fldCharType="begin"/>
            </w:r>
            <w:r>
              <w:rPr>
                <w:noProof/>
                <w:webHidden/>
              </w:rPr>
              <w:instrText xml:space="preserve"> PAGEREF _Toc58225952 \h </w:instrText>
            </w:r>
            <w:r>
              <w:rPr>
                <w:noProof/>
                <w:webHidden/>
              </w:rPr>
            </w:r>
            <w:r>
              <w:rPr>
                <w:noProof/>
                <w:webHidden/>
              </w:rPr>
              <w:fldChar w:fldCharType="separate"/>
            </w:r>
            <w:r>
              <w:rPr>
                <w:noProof/>
                <w:webHidden/>
              </w:rPr>
              <w:t>31</w:t>
            </w:r>
            <w:r>
              <w:rPr>
                <w:noProof/>
                <w:webHidden/>
              </w:rPr>
              <w:fldChar w:fldCharType="end"/>
            </w:r>
          </w:hyperlink>
        </w:p>
        <w:p>
          <w:pPr>
            <w:pStyle w:val="TOC3"/>
            <w:rPr>
              <w:rFonts w:asciiTheme="minorHAnsi" w:eastAsiaTheme="minorEastAsia" w:hAnsiTheme="minorHAnsi" w:cstheme="minorBidi"/>
              <w:noProof/>
              <w:sz w:val="22"/>
              <w:lang w:val="en-US"/>
            </w:rPr>
          </w:pPr>
          <w:hyperlink w:anchor="_Toc58225953" w:history="1">
            <w:r>
              <w:rPr>
                <w:rStyle w:val="Hyperlink"/>
                <w:noProof/>
              </w:rPr>
              <w:t>1.4.2.</w:t>
            </w:r>
            <w:r>
              <w:rPr>
                <w:rFonts w:asciiTheme="minorHAnsi" w:eastAsiaTheme="minorEastAsia" w:hAnsiTheme="minorHAnsi" w:cstheme="minorBidi"/>
                <w:noProof/>
                <w:sz w:val="22"/>
                <w:lang w:val="en-US"/>
              </w:rPr>
              <w:tab/>
            </w:r>
            <w:r>
              <w:rPr>
                <w:rStyle w:val="Hyperlink"/>
                <w:noProof/>
              </w:rPr>
              <w:t>Specifické cíle</w:t>
            </w:r>
            <w:r>
              <w:rPr>
                <w:noProof/>
                <w:webHidden/>
              </w:rPr>
              <w:tab/>
            </w:r>
            <w:r>
              <w:rPr>
                <w:noProof/>
                <w:webHidden/>
              </w:rPr>
              <w:fldChar w:fldCharType="begin"/>
            </w:r>
            <w:r>
              <w:rPr>
                <w:noProof/>
                <w:webHidden/>
              </w:rPr>
              <w:instrText xml:space="preserve"> PAGEREF _Toc58225953 \h </w:instrText>
            </w:r>
            <w:r>
              <w:rPr>
                <w:noProof/>
                <w:webHidden/>
              </w:rPr>
            </w:r>
            <w:r>
              <w:rPr>
                <w:noProof/>
                <w:webHidden/>
              </w:rPr>
              <w:fldChar w:fldCharType="separate"/>
            </w:r>
            <w:r>
              <w:rPr>
                <w:noProof/>
                <w:webHidden/>
              </w:rPr>
              <w:t>31</w:t>
            </w:r>
            <w:r>
              <w:rPr>
                <w:noProof/>
                <w:webHidden/>
              </w:rPr>
              <w:fldChar w:fldCharType="end"/>
            </w:r>
          </w:hyperlink>
        </w:p>
        <w:p>
          <w:pPr>
            <w:pStyle w:val="TOC3"/>
            <w:rPr>
              <w:rFonts w:asciiTheme="minorHAnsi" w:eastAsiaTheme="minorEastAsia" w:hAnsiTheme="minorHAnsi" w:cstheme="minorBidi"/>
              <w:noProof/>
              <w:sz w:val="22"/>
              <w:lang w:val="en-US"/>
            </w:rPr>
          </w:pPr>
          <w:hyperlink w:anchor="_Toc58225954" w:history="1">
            <w:r>
              <w:rPr>
                <w:rStyle w:val="Hyperlink"/>
                <w:noProof/>
              </w:rPr>
              <w:t>1.4.3.</w:t>
            </w:r>
            <w:r>
              <w:rPr>
                <w:rFonts w:asciiTheme="minorHAnsi" w:eastAsiaTheme="minorEastAsia" w:hAnsiTheme="minorHAnsi" w:cstheme="minorBidi"/>
                <w:noProof/>
                <w:sz w:val="22"/>
                <w:lang w:val="en-US"/>
              </w:rPr>
              <w:tab/>
            </w:r>
            <w:r>
              <w:rPr>
                <w:rStyle w:val="Hyperlink"/>
                <w:noProof/>
              </w:rPr>
              <w:t>Očekávané výsledky a dopady</w:t>
            </w:r>
            <w:r>
              <w:rPr>
                <w:noProof/>
                <w:webHidden/>
              </w:rPr>
              <w:tab/>
            </w:r>
            <w:r>
              <w:rPr>
                <w:noProof/>
                <w:webHidden/>
              </w:rPr>
              <w:fldChar w:fldCharType="begin"/>
            </w:r>
            <w:r>
              <w:rPr>
                <w:noProof/>
                <w:webHidden/>
              </w:rPr>
              <w:instrText xml:space="preserve"> PAGEREF _Toc58225954 \h </w:instrText>
            </w:r>
            <w:r>
              <w:rPr>
                <w:noProof/>
                <w:webHidden/>
              </w:rPr>
            </w:r>
            <w:r>
              <w:rPr>
                <w:noProof/>
                <w:webHidden/>
              </w:rPr>
              <w:fldChar w:fldCharType="separate"/>
            </w:r>
            <w:r>
              <w:rPr>
                <w:noProof/>
                <w:webHidden/>
              </w:rPr>
              <w:t>32</w:t>
            </w:r>
            <w:r>
              <w:rPr>
                <w:noProof/>
                <w:webHidden/>
              </w:rPr>
              <w:fldChar w:fldCharType="end"/>
            </w:r>
          </w:hyperlink>
        </w:p>
        <w:p>
          <w:pPr>
            <w:pStyle w:val="TOC3"/>
            <w:rPr>
              <w:rFonts w:asciiTheme="minorHAnsi" w:eastAsiaTheme="minorEastAsia" w:hAnsiTheme="minorHAnsi" w:cstheme="minorBidi"/>
              <w:noProof/>
              <w:sz w:val="22"/>
              <w:lang w:val="en-US"/>
            </w:rPr>
          </w:pPr>
          <w:hyperlink w:anchor="_Toc58225955" w:history="1">
            <w:r>
              <w:rPr>
                <w:rStyle w:val="Hyperlink"/>
                <w:noProof/>
              </w:rPr>
              <w:t>1.4.4.</w:t>
            </w:r>
            <w:r>
              <w:rPr>
                <w:rFonts w:asciiTheme="minorHAnsi" w:eastAsiaTheme="minorEastAsia" w:hAnsiTheme="minorHAnsi" w:cstheme="minorBidi"/>
                <w:noProof/>
                <w:sz w:val="22"/>
                <w:lang w:val="en-US"/>
              </w:rPr>
              <w:tab/>
            </w:r>
            <w:r>
              <w:rPr>
                <w:rStyle w:val="Hyperlink"/>
                <w:noProof/>
              </w:rPr>
              <w:t>Ukazatele výkonnosti</w:t>
            </w:r>
            <w:r>
              <w:rPr>
                <w:noProof/>
                <w:webHidden/>
              </w:rPr>
              <w:tab/>
            </w:r>
            <w:r>
              <w:rPr>
                <w:noProof/>
                <w:webHidden/>
              </w:rPr>
              <w:fldChar w:fldCharType="begin"/>
            </w:r>
            <w:r>
              <w:rPr>
                <w:noProof/>
                <w:webHidden/>
              </w:rPr>
              <w:instrText xml:space="preserve"> PAGEREF _Toc58225955 \h </w:instrText>
            </w:r>
            <w:r>
              <w:rPr>
                <w:noProof/>
                <w:webHidden/>
              </w:rPr>
            </w:r>
            <w:r>
              <w:rPr>
                <w:noProof/>
                <w:webHidden/>
              </w:rPr>
              <w:fldChar w:fldCharType="separate"/>
            </w:r>
            <w:r>
              <w:rPr>
                <w:noProof/>
                <w:webHidden/>
              </w:rPr>
              <w:t>32</w:t>
            </w:r>
            <w:r>
              <w:rPr>
                <w:noProof/>
                <w:webHidden/>
              </w:rPr>
              <w:fldChar w:fldCharType="end"/>
            </w:r>
          </w:hyperlink>
        </w:p>
        <w:p>
          <w:pPr>
            <w:pStyle w:val="TOC2"/>
            <w:rPr>
              <w:rFonts w:asciiTheme="minorHAnsi" w:eastAsiaTheme="minorEastAsia" w:hAnsiTheme="minorHAnsi" w:cstheme="minorBidi"/>
              <w:noProof/>
              <w:sz w:val="22"/>
              <w:lang w:val="en-US"/>
            </w:rPr>
          </w:pPr>
          <w:hyperlink w:anchor="_Toc58225956" w:history="1">
            <w:r>
              <w:rPr>
                <w:rStyle w:val="Hyperlink"/>
                <w:noProof/>
              </w:rPr>
              <w:t>1.5.</w:t>
            </w:r>
            <w:r>
              <w:rPr>
                <w:rFonts w:asciiTheme="minorHAnsi" w:eastAsiaTheme="minorEastAsia" w:hAnsiTheme="minorHAnsi" w:cstheme="minorBidi"/>
                <w:noProof/>
                <w:sz w:val="22"/>
                <w:lang w:val="en-US"/>
              </w:rPr>
              <w:tab/>
            </w:r>
            <w:r>
              <w:rPr>
                <w:rStyle w:val="Hyperlink"/>
                <w:noProof/>
              </w:rPr>
              <w:t>Odůvodnění návrhu/podnětu</w:t>
            </w:r>
            <w:r>
              <w:rPr>
                <w:noProof/>
                <w:webHidden/>
              </w:rPr>
              <w:tab/>
            </w:r>
            <w:r>
              <w:rPr>
                <w:noProof/>
                <w:webHidden/>
              </w:rPr>
              <w:fldChar w:fldCharType="begin"/>
            </w:r>
            <w:r>
              <w:rPr>
                <w:noProof/>
                <w:webHidden/>
              </w:rPr>
              <w:instrText xml:space="preserve"> PAGEREF _Toc58225956 \h </w:instrText>
            </w:r>
            <w:r>
              <w:rPr>
                <w:noProof/>
                <w:webHidden/>
              </w:rPr>
            </w:r>
            <w:r>
              <w:rPr>
                <w:noProof/>
                <w:webHidden/>
              </w:rPr>
              <w:fldChar w:fldCharType="separate"/>
            </w:r>
            <w:r>
              <w:rPr>
                <w:noProof/>
                <w:webHidden/>
              </w:rPr>
              <w:t>32</w:t>
            </w:r>
            <w:r>
              <w:rPr>
                <w:noProof/>
                <w:webHidden/>
              </w:rPr>
              <w:fldChar w:fldCharType="end"/>
            </w:r>
          </w:hyperlink>
        </w:p>
        <w:p>
          <w:pPr>
            <w:pStyle w:val="TOC3"/>
            <w:rPr>
              <w:rFonts w:asciiTheme="minorHAnsi" w:eastAsiaTheme="minorEastAsia" w:hAnsiTheme="minorHAnsi" w:cstheme="minorBidi"/>
              <w:noProof/>
              <w:sz w:val="22"/>
              <w:lang w:val="en-US"/>
            </w:rPr>
          </w:pPr>
          <w:hyperlink w:anchor="_Toc58225957" w:history="1">
            <w:r>
              <w:rPr>
                <w:rStyle w:val="Hyperlink"/>
                <w:noProof/>
              </w:rPr>
              <w:t>1.5.1.</w:t>
            </w:r>
            <w:r>
              <w:rPr>
                <w:rFonts w:asciiTheme="minorHAnsi" w:eastAsiaTheme="minorEastAsia" w:hAnsiTheme="minorHAnsi" w:cstheme="minorBidi"/>
                <w:noProof/>
                <w:sz w:val="22"/>
                <w:lang w:val="en-US"/>
              </w:rPr>
              <w:tab/>
            </w:r>
            <w:r>
              <w:rPr>
                <w:rStyle w:val="Hyperlink"/>
                <w:noProof/>
              </w:rPr>
              <w:t>Potřeby, které mají být uspokojeny v krátkodobém nebo dlouhodobém horizontu, včetně podrobného harmonogramu pro zahajovací fázi provádění podnětu</w:t>
            </w:r>
            <w:r>
              <w:rPr>
                <w:noProof/>
                <w:webHidden/>
              </w:rPr>
              <w:tab/>
            </w:r>
            <w:r>
              <w:rPr>
                <w:noProof/>
                <w:webHidden/>
              </w:rPr>
              <w:fldChar w:fldCharType="begin"/>
            </w:r>
            <w:r>
              <w:rPr>
                <w:noProof/>
                <w:webHidden/>
              </w:rPr>
              <w:instrText xml:space="preserve"> PAGEREF _Toc58225957 \h </w:instrText>
            </w:r>
            <w:r>
              <w:rPr>
                <w:noProof/>
                <w:webHidden/>
              </w:rPr>
            </w:r>
            <w:r>
              <w:rPr>
                <w:noProof/>
                <w:webHidden/>
              </w:rPr>
              <w:fldChar w:fldCharType="separate"/>
            </w:r>
            <w:r>
              <w:rPr>
                <w:noProof/>
                <w:webHidden/>
              </w:rPr>
              <w:t>32</w:t>
            </w:r>
            <w:r>
              <w:rPr>
                <w:noProof/>
                <w:webHidden/>
              </w:rPr>
              <w:fldChar w:fldCharType="end"/>
            </w:r>
          </w:hyperlink>
        </w:p>
        <w:p>
          <w:pPr>
            <w:pStyle w:val="TOC3"/>
            <w:rPr>
              <w:rFonts w:asciiTheme="minorHAnsi" w:eastAsiaTheme="minorEastAsia" w:hAnsiTheme="minorHAnsi" w:cstheme="minorBidi"/>
              <w:noProof/>
              <w:sz w:val="22"/>
              <w:lang w:val="en-US"/>
            </w:rPr>
          </w:pPr>
          <w:hyperlink w:anchor="_Toc58225958" w:history="1">
            <w:r>
              <w:rPr>
                <w:rStyle w:val="Hyperlink"/>
                <w:noProof/>
              </w:rPr>
              <w:t>1.5.2.</w:t>
            </w:r>
            <w:r>
              <w:rPr>
                <w:rFonts w:asciiTheme="minorHAnsi" w:eastAsiaTheme="minorEastAsia" w:hAnsiTheme="minorHAnsi" w:cstheme="minorBidi"/>
                <w:noProof/>
                <w:sz w:val="22"/>
                <w:lang w:val="en-US"/>
              </w:rPr>
              <w:tab/>
            </w:r>
            <w:r>
              <w:rPr>
                <w:rStyle w:val="Hyperlink"/>
                <w:noProof/>
              </w:rPr>
              <w:t>Přidaná hodnota ze zapojení Unie (může být důsledkem různých faktorů, např. přínosů z koordinace, právní jistoty, vyšší účinnosti nebo doplňkovosti). Pro účely tohoto bodu se „přidanou hodnotou ze zapojení Unie“ rozumí hodnota plynoucí ze zásahu Unie, jež doplňuje hodnotu, která by jinak vznikla činností samotných členských států.</w:t>
            </w:r>
            <w:r>
              <w:rPr>
                <w:noProof/>
                <w:webHidden/>
              </w:rPr>
              <w:tab/>
            </w:r>
            <w:r>
              <w:rPr>
                <w:noProof/>
                <w:webHidden/>
              </w:rPr>
              <w:fldChar w:fldCharType="begin"/>
            </w:r>
            <w:r>
              <w:rPr>
                <w:noProof/>
                <w:webHidden/>
              </w:rPr>
              <w:instrText xml:space="preserve"> PAGEREF _Toc58225958 \h </w:instrText>
            </w:r>
            <w:r>
              <w:rPr>
                <w:noProof/>
                <w:webHidden/>
              </w:rPr>
            </w:r>
            <w:r>
              <w:rPr>
                <w:noProof/>
                <w:webHidden/>
              </w:rPr>
              <w:fldChar w:fldCharType="separate"/>
            </w:r>
            <w:r>
              <w:rPr>
                <w:noProof/>
                <w:webHidden/>
              </w:rPr>
              <w:t>33</w:t>
            </w:r>
            <w:r>
              <w:rPr>
                <w:noProof/>
                <w:webHidden/>
              </w:rPr>
              <w:fldChar w:fldCharType="end"/>
            </w:r>
          </w:hyperlink>
        </w:p>
        <w:p>
          <w:pPr>
            <w:pStyle w:val="TOC3"/>
            <w:rPr>
              <w:rFonts w:asciiTheme="minorHAnsi" w:eastAsiaTheme="minorEastAsia" w:hAnsiTheme="minorHAnsi" w:cstheme="minorBidi"/>
              <w:noProof/>
              <w:sz w:val="22"/>
              <w:lang w:val="en-US"/>
            </w:rPr>
          </w:pPr>
          <w:hyperlink w:anchor="_Toc58225959" w:history="1">
            <w:r>
              <w:rPr>
                <w:rStyle w:val="Hyperlink"/>
                <w:noProof/>
              </w:rPr>
              <w:t>1.5.3.</w:t>
            </w:r>
            <w:r>
              <w:rPr>
                <w:rFonts w:asciiTheme="minorHAnsi" w:eastAsiaTheme="minorEastAsia" w:hAnsiTheme="minorHAnsi" w:cstheme="minorBidi"/>
                <w:noProof/>
                <w:sz w:val="22"/>
                <w:lang w:val="en-US"/>
              </w:rPr>
              <w:tab/>
            </w:r>
            <w:r>
              <w:rPr>
                <w:rStyle w:val="Hyperlink"/>
                <w:noProof/>
              </w:rPr>
              <w:t>Závěry vyvozené z podobných zkušeností v minulosti</w:t>
            </w:r>
            <w:r>
              <w:rPr>
                <w:noProof/>
                <w:webHidden/>
              </w:rPr>
              <w:tab/>
            </w:r>
            <w:r>
              <w:rPr>
                <w:noProof/>
                <w:webHidden/>
              </w:rPr>
              <w:fldChar w:fldCharType="begin"/>
            </w:r>
            <w:r>
              <w:rPr>
                <w:noProof/>
                <w:webHidden/>
              </w:rPr>
              <w:instrText xml:space="preserve"> PAGEREF _Toc58225959 \h </w:instrText>
            </w:r>
            <w:r>
              <w:rPr>
                <w:noProof/>
                <w:webHidden/>
              </w:rPr>
            </w:r>
            <w:r>
              <w:rPr>
                <w:noProof/>
                <w:webHidden/>
              </w:rPr>
              <w:fldChar w:fldCharType="separate"/>
            </w:r>
            <w:r>
              <w:rPr>
                <w:noProof/>
                <w:webHidden/>
              </w:rPr>
              <w:t>33</w:t>
            </w:r>
            <w:r>
              <w:rPr>
                <w:noProof/>
                <w:webHidden/>
              </w:rPr>
              <w:fldChar w:fldCharType="end"/>
            </w:r>
          </w:hyperlink>
        </w:p>
        <w:p>
          <w:pPr>
            <w:pStyle w:val="TOC3"/>
            <w:rPr>
              <w:rFonts w:asciiTheme="minorHAnsi" w:eastAsiaTheme="minorEastAsia" w:hAnsiTheme="minorHAnsi" w:cstheme="minorBidi"/>
              <w:noProof/>
              <w:sz w:val="22"/>
              <w:lang w:val="en-US"/>
            </w:rPr>
          </w:pPr>
          <w:hyperlink w:anchor="_Toc58225960" w:history="1">
            <w:r>
              <w:rPr>
                <w:rStyle w:val="Hyperlink"/>
                <w:noProof/>
              </w:rPr>
              <w:t>1.5.4.</w:t>
            </w:r>
            <w:r>
              <w:rPr>
                <w:rFonts w:asciiTheme="minorHAnsi" w:eastAsiaTheme="minorEastAsia" w:hAnsiTheme="minorHAnsi" w:cstheme="minorBidi"/>
                <w:noProof/>
                <w:sz w:val="22"/>
                <w:lang w:val="en-US"/>
              </w:rPr>
              <w:tab/>
            </w:r>
            <w:r>
              <w:rPr>
                <w:rStyle w:val="Hyperlink"/>
                <w:noProof/>
              </w:rPr>
              <w:t>Slučitelnost s víceletým finančním rámcem a možné synergie s dalšími vhodnými nástroji</w:t>
            </w:r>
            <w:r>
              <w:rPr>
                <w:noProof/>
                <w:webHidden/>
              </w:rPr>
              <w:tab/>
            </w:r>
            <w:r>
              <w:rPr>
                <w:noProof/>
                <w:webHidden/>
              </w:rPr>
              <w:fldChar w:fldCharType="begin"/>
            </w:r>
            <w:r>
              <w:rPr>
                <w:noProof/>
                <w:webHidden/>
              </w:rPr>
              <w:instrText xml:space="preserve"> PAGEREF _Toc58225960 \h </w:instrText>
            </w:r>
            <w:r>
              <w:rPr>
                <w:noProof/>
                <w:webHidden/>
              </w:rPr>
            </w:r>
            <w:r>
              <w:rPr>
                <w:noProof/>
                <w:webHidden/>
              </w:rPr>
              <w:fldChar w:fldCharType="separate"/>
            </w:r>
            <w:r>
              <w:rPr>
                <w:noProof/>
                <w:webHidden/>
              </w:rPr>
              <w:t>33</w:t>
            </w:r>
            <w:r>
              <w:rPr>
                <w:noProof/>
                <w:webHidden/>
              </w:rPr>
              <w:fldChar w:fldCharType="end"/>
            </w:r>
          </w:hyperlink>
        </w:p>
        <w:p>
          <w:pPr>
            <w:pStyle w:val="TOC3"/>
            <w:rPr>
              <w:rFonts w:asciiTheme="minorHAnsi" w:eastAsiaTheme="minorEastAsia" w:hAnsiTheme="minorHAnsi" w:cstheme="minorBidi"/>
              <w:noProof/>
              <w:sz w:val="22"/>
              <w:lang w:val="en-US"/>
            </w:rPr>
          </w:pPr>
          <w:hyperlink w:anchor="_Toc58225961" w:history="1">
            <w:r>
              <w:rPr>
                <w:rStyle w:val="Hyperlink"/>
                <w:noProof/>
              </w:rPr>
              <w:t>1.5.5.</w:t>
            </w:r>
            <w:r>
              <w:rPr>
                <w:rFonts w:asciiTheme="minorHAnsi" w:eastAsiaTheme="minorEastAsia" w:hAnsiTheme="minorHAnsi" w:cstheme="minorBidi"/>
                <w:noProof/>
                <w:sz w:val="22"/>
                <w:lang w:val="en-US"/>
              </w:rPr>
              <w:tab/>
            </w:r>
            <w:r>
              <w:rPr>
                <w:rStyle w:val="Hyperlink"/>
                <w:noProof/>
              </w:rPr>
              <w:t>Posouzení různých dostupných možností financování, včetně prostoru pro přerozdělení prostředků</w:t>
            </w:r>
            <w:r>
              <w:rPr>
                <w:noProof/>
                <w:webHidden/>
              </w:rPr>
              <w:tab/>
            </w:r>
            <w:r>
              <w:rPr>
                <w:noProof/>
                <w:webHidden/>
              </w:rPr>
              <w:fldChar w:fldCharType="begin"/>
            </w:r>
            <w:r>
              <w:rPr>
                <w:noProof/>
                <w:webHidden/>
              </w:rPr>
              <w:instrText xml:space="preserve"> PAGEREF _Toc58225961 \h </w:instrText>
            </w:r>
            <w:r>
              <w:rPr>
                <w:noProof/>
                <w:webHidden/>
              </w:rPr>
            </w:r>
            <w:r>
              <w:rPr>
                <w:noProof/>
                <w:webHidden/>
              </w:rPr>
              <w:fldChar w:fldCharType="separate"/>
            </w:r>
            <w:r>
              <w:rPr>
                <w:noProof/>
                <w:webHidden/>
              </w:rPr>
              <w:t>33</w:t>
            </w:r>
            <w:r>
              <w:rPr>
                <w:noProof/>
                <w:webHidden/>
              </w:rPr>
              <w:fldChar w:fldCharType="end"/>
            </w:r>
          </w:hyperlink>
        </w:p>
        <w:p>
          <w:pPr>
            <w:pStyle w:val="TOC2"/>
            <w:rPr>
              <w:rFonts w:asciiTheme="minorHAnsi" w:eastAsiaTheme="minorEastAsia" w:hAnsiTheme="minorHAnsi" w:cstheme="minorBidi"/>
              <w:noProof/>
              <w:sz w:val="22"/>
              <w:lang w:val="en-US"/>
            </w:rPr>
          </w:pPr>
          <w:hyperlink w:anchor="_Toc58225962" w:history="1">
            <w:r>
              <w:rPr>
                <w:rStyle w:val="Hyperlink"/>
                <w:noProof/>
              </w:rPr>
              <w:t>1.6.</w:t>
            </w:r>
            <w:r>
              <w:rPr>
                <w:rFonts w:asciiTheme="minorHAnsi" w:eastAsiaTheme="minorEastAsia" w:hAnsiTheme="minorHAnsi" w:cstheme="minorBidi"/>
                <w:noProof/>
                <w:sz w:val="22"/>
                <w:lang w:val="en-US"/>
              </w:rPr>
              <w:tab/>
            </w:r>
            <w:r>
              <w:rPr>
                <w:rStyle w:val="Hyperlink"/>
                <w:noProof/>
              </w:rPr>
              <w:t>Doba trvání a finanční dopad návrhu/podnětu</w:t>
            </w:r>
            <w:r>
              <w:rPr>
                <w:noProof/>
                <w:webHidden/>
              </w:rPr>
              <w:tab/>
            </w:r>
            <w:r>
              <w:rPr>
                <w:noProof/>
                <w:webHidden/>
              </w:rPr>
              <w:fldChar w:fldCharType="begin"/>
            </w:r>
            <w:r>
              <w:rPr>
                <w:noProof/>
                <w:webHidden/>
              </w:rPr>
              <w:instrText xml:space="preserve"> PAGEREF _Toc58225962 \h </w:instrText>
            </w:r>
            <w:r>
              <w:rPr>
                <w:noProof/>
                <w:webHidden/>
              </w:rPr>
            </w:r>
            <w:r>
              <w:rPr>
                <w:noProof/>
                <w:webHidden/>
              </w:rPr>
              <w:fldChar w:fldCharType="separate"/>
            </w:r>
            <w:r>
              <w:rPr>
                <w:noProof/>
                <w:webHidden/>
              </w:rPr>
              <w:t>34</w:t>
            </w:r>
            <w:r>
              <w:rPr>
                <w:noProof/>
                <w:webHidden/>
              </w:rPr>
              <w:fldChar w:fldCharType="end"/>
            </w:r>
          </w:hyperlink>
        </w:p>
        <w:p>
          <w:pPr>
            <w:pStyle w:val="TOC2"/>
            <w:rPr>
              <w:rFonts w:asciiTheme="minorHAnsi" w:eastAsiaTheme="minorEastAsia" w:hAnsiTheme="minorHAnsi" w:cstheme="minorBidi"/>
              <w:noProof/>
              <w:sz w:val="22"/>
              <w:lang w:val="en-US"/>
            </w:rPr>
          </w:pPr>
          <w:hyperlink w:anchor="_Toc58225963" w:history="1">
            <w:r>
              <w:rPr>
                <w:rStyle w:val="Hyperlink"/>
                <w:noProof/>
              </w:rPr>
              <w:t>1.7.</w:t>
            </w:r>
            <w:r>
              <w:rPr>
                <w:rFonts w:asciiTheme="minorHAnsi" w:eastAsiaTheme="minorEastAsia" w:hAnsiTheme="minorHAnsi" w:cstheme="minorBidi"/>
                <w:noProof/>
                <w:sz w:val="22"/>
                <w:lang w:val="en-US"/>
              </w:rPr>
              <w:tab/>
            </w:r>
            <w:r>
              <w:rPr>
                <w:rStyle w:val="Hyperlink"/>
                <w:noProof/>
              </w:rPr>
              <w:t>Předpokládaný způsob řízení</w:t>
            </w:r>
            <w:r>
              <w:rPr>
                <w:noProof/>
                <w:webHidden/>
              </w:rPr>
              <w:tab/>
            </w:r>
            <w:r>
              <w:rPr>
                <w:noProof/>
                <w:webHidden/>
              </w:rPr>
              <w:fldChar w:fldCharType="begin"/>
            </w:r>
            <w:r>
              <w:rPr>
                <w:noProof/>
                <w:webHidden/>
              </w:rPr>
              <w:instrText xml:space="preserve"> PAGEREF _Toc58225963 \h </w:instrText>
            </w:r>
            <w:r>
              <w:rPr>
                <w:noProof/>
                <w:webHidden/>
              </w:rPr>
            </w:r>
            <w:r>
              <w:rPr>
                <w:noProof/>
                <w:webHidden/>
              </w:rPr>
              <w:fldChar w:fldCharType="separate"/>
            </w:r>
            <w:r>
              <w:rPr>
                <w:noProof/>
                <w:webHidden/>
              </w:rPr>
              <w:t>34</w:t>
            </w:r>
            <w:r>
              <w:rPr>
                <w:noProof/>
                <w:webHidden/>
              </w:rPr>
              <w:fldChar w:fldCharType="end"/>
            </w:r>
          </w:hyperlink>
        </w:p>
        <w:p>
          <w:pPr>
            <w:pStyle w:val="TOC1"/>
            <w:rPr>
              <w:rFonts w:asciiTheme="minorHAnsi" w:eastAsiaTheme="minorEastAsia" w:hAnsiTheme="minorHAnsi" w:cstheme="minorBidi"/>
              <w:noProof/>
              <w:sz w:val="22"/>
              <w:lang w:val="en-US"/>
            </w:rPr>
          </w:pPr>
          <w:hyperlink w:anchor="_Toc58225964" w:history="1">
            <w:r>
              <w:rPr>
                <w:rStyle w:val="Hyperlink"/>
                <w:noProof/>
              </w:rPr>
              <w:t>2.</w:t>
            </w:r>
            <w:r>
              <w:rPr>
                <w:rFonts w:asciiTheme="minorHAnsi" w:eastAsiaTheme="minorEastAsia" w:hAnsiTheme="minorHAnsi" w:cstheme="minorBidi"/>
                <w:noProof/>
                <w:sz w:val="22"/>
                <w:lang w:val="en-US"/>
              </w:rPr>
              <w:tab/>
            </w:r>
            <w:r>
              <w:rPr>
                <w:rStyle w:val="Hyperlink"/>
                <w:noProof/>
              </w:rPr>
              <w:t>SPRÁVNÍ OPATŘENÍ</w:t>
            </w:r>
            <w:r>
              <w:rPr>
                <w:noProof/>
                <w:webHidden/>
              </w:rPr>
              <w:tab/>
            </w:r>
            <w:r>
              <w:rPr>
                <w:noProof/>
                <w:webHidden/>
              </w:rPr>
              <w:fldChar w:fldCharType="begin"/>
            </w:r>
            <w:r>
              <w:rPr>
                <w:noProof/>
                <w:webHidden/>
              </w:rPr>
              <w:instrText xml:space="preserve"> PAGEREF _Toc58225964 \h </w:instrText>
            </w:r>
            <w:r>
              <w:rPr>
                <w:noProof/>
                <w:webHidden/>
              </w:rPr>
            </w:r>
            <w:r>
              <w:rPr>
                <w:noProof/>
                <w:webHidden/>
              </w:rPr>
              <w:fldChar w:fldCharType="separate"/>
            </w:r>
            <w:r>
              <w:rPr>
                <w:noProof/>
                <w:webHidden/>
              </w:rPr>
              <w:t>35</w:t>
            </w:r>
            <w:r>
              <w:rPr>
                <w:noProof/>
                <w:webHidden/>
              </w:rPr>
              <w:fldChar w:fldCharType="end"/>
            </w:r>
          </w:hyperlink>
        </w:p>
        <w:p>
          <w:pPr>
            <w:pStyle w:val="TOC2"/>
            <w:rPr>
              <w:rFonts w:asciiTheme="minorHAnsi" w:eastAsiaTheme="minorEastAsia" w:hAnsiTheme="minorHAnsi" w:cstheme="minorBidi"/>
              <w:noProof/>
              <w:sz w:val="22"/>
              <w:lang w:val="en-US"/>
            </w:rPr>
          </w:pPr>
          <w:hyperlink w:anchor="_Toc58225965" w:history="1">
            <w:r>
              <w:rPr>
                <w:rStyle w:val="Hyperlink"/>
                <w:noProof/>
              </w:rPr>
              <w:t>2.1.</w:t>
            </w:r>
            <w:r>
              <w:rPr>
                <w:rFonts w:asciiTheme="minorHAnsi" w:eastAsiaTheme="minorEastAsia" w:hAnsiTheme="minorHAnsi" w:cstheme="minorBidi"/>
                <w:noProof/>
                <w:sz w:val="22"/>
                <w:lang w:val="en-US"/>
              </w:rPr>
              <w:tab/>
            </w:r>
            <w:r>
              <w:rPr>
                <w:rStyle w:val="Hyperlink"/>
                <w:noProof/>
              </w:rPr>
              <w:t>Pravidla pro sledování a podávání zpráv</w:t>
            </w:r>
            <w:r>
              <w:rPr>
                <w:noProof/>
                <w:webHidden/>
              </w:rPr>
              <w:tab/>
            </w:r>
            <w:r>
              <w:rPr>
                <w:noProof/>
                <w:webHidden/>
              </w:rPr>
              <w:fldChar w:fldCharType="begin"/>
            </w:r>
            <w:r>
              <w:rPr>
                <w:noProof/>
                <w:webHidden/>
              </w:rPr>
              <w:instrText xml:space="preserve"> PAGEREF _Toc58225965 \h </w:instrText>
            </w:r>
            <w:r>
              <w:rPr>
                <w:noProof/>
                <w:webHidden/>
              </w:rPr>
            </w:r>
            <w:r>
              <w:rPr>
                <w:noProof/>
                <w:webHidden/>
              </w:rPr>
              <w:fldChar w:fldCharType="separate"/>
            </w:r>
            <w:r>
              <w:rPr>
                <w:noProof/>
                <w:webHidden/>
              </w:rPr>
              <w:t>35</w:t>
            </w:r>
            <w:r>
              <w:rPr>
                <w:noProof/>
                <w:webHidden/>
              </w:rPr>
              <w:fldChar w:fldCharType="end"/>
            </w:r>
          </w:hyperlink>
        </w:p>
        <w:p>
          <w:pPr>
            <w:pStyle w:val="TOC2"/>
            <w:rPr>
              <w:rFonts w:asciiTheme="minorHAnsi" w:eastAsiaTheme="minorEastAsia" w:hAnsiTheme="minorHAnsi" w:cstheme="minorBidi"/>
              <w:noProof/>
              <w:sz w:val="22"/>
              <w:lang w:val="en-US"/>
            </w:rPr>
          </w:pPr>
          <w:hyperlink w:anchor="_Toc58225966" w:history="1">
            <w:r>
              <w:rPr>
                <w:rStyle w:val="Hyperlink"/>
                <w:noProof/>
              </w:rPr>
              <w:t>2.2.</w:t>
            </w:r>
            <w:r>
              <w:rPr>
                <w:rFonts w:asciiTheme="minorHAnsi" w:eastAsiaTheme="minorEastAsia" w:hAnsiTheme="minorHAnsi" w:cstheme="minorBidi"/>
                <w:noProof/>
                <w:sz w:val="22"/>
                <w:lang w:val="en-US"/>
              </w:rPr>
              <w:tab/>
            </w:r>
            <w:r>
              <w:rPr>
                <w:rStyle w:val="Hyperlink"/>
                <w:noProof/>
              </w:rPr>
              <w:t>Systémy řízení a kontroly</w:t>
            </w:r>
            <w:r>
              <w:rPr>
                <w:noProof/>
                <w:webHidden/>
              </w:rPr>
              <w:tab/>
            </w:r>
            <w:r>
              <w:rPr>
                <w:noProof/>
                <w:webHidden/>
              </w:rPr>
              <w:fldChar w:fldCharType="begin"/>
            </w:r>
            <w:r>
              <w:rPr>
                <w:noProof/>
                <w:webHidden/>
              </w:rPr>
              <w:instrText xml:space="preserve"> PAGEREF _Toc58225966 \h </w:instrText>
            </w:r>
            <w:r>
              <w:rPr>
                <w:noProof/>
                <w:webHidden/>
              </w:rPr>
            </w:r>
            <w:r>
              <w:rPr>
                <w:noProof/>
                <w:webHidden/>
              </w:rPr>
              <w:fldChar w:fldCharType="separate"/>
            </w:r>
            <w:r>
              <w:rPr>
                <w:noProof/>
                <w:webHidden/>
              </w:rPr>
              <w:t>35</w:t>
            </w:r>
            <w:r>
              <w:rPr>
                <w:noProof/>
                <w:webHidden/>
              </w:rPr>
              <w:fldChar w:fldCharType="end"/>
            </w:r>
          </w:hyperlink>
        </w:p>
        <w:p>
          <w:pPr>
            <w:pStyle w:val="TOC3"/>
            <w:rPr>
              <w:rFonts w:asciiTheme="minorHAnsi" w:eastAsiaTheme="minorEastAsia" w:hAnsiTheme="minorHAnsi" w:cstheme="minorBidi"/>
              <w:noProof/>
              <w:sz w:val="22"/>
              <w:lang w:val="en-US"/>
            </w:rPr>
          </w:pPr>
          <w:hyperlink w:anchor="_Toc58225967" w:history="1">
            <w:r>
              <w:rPr>
                <w:rStyle w:val="Hyperlink"/>
                <w:noProof/>
              </w:rPr>
              <w:t>2.2.1.</w:t>
            </w:r>
            <w:r>
              <w:rPr>
                <w:rFonts w:asciiTheme="minorHAnsi" w:eastAsiaTheme="minorEastAsia" w:hAnsiTheme="minorHAnsi" w:cstheme="minorBidi"/>
                <w:noProof/>
                <w:sz w:val="22"/>
                <w:lang w:val="en-US"/>
              </w:rPr>
              <w:tab/>
            </w:r>
            <w:r>
              <w:rPr>
                <w:rStyle w:val="Hyperlink"/>
                <w:noProof/>
              </w:rPr>
              <w:t>Odůvodnění navrhovaných způsobů řízení, mechanismů provádění financování, způsobů plateb a kontrolní strategie</w:t>
            </w:r>
            <w:r>
              <w:rPr>
                <w:noProof/>
                <w:webHidden/>
              </w:rPr>
              <w:tab/>
            </w:r>
            <w:r>
              <w:rPr>
                <w:noProof/>
                <w:webHidden/>
              </w:rPr>
              <w:fldChar w:fldCharType="begin"/>
            </w:r>
            <w:r>
              <w:rPr>
                <w:noProof/>
                <w:webHidden/>
              </w:rPr>
              <w:instrText xml:space="preserve"> PAGEREF _Toc58225967 \h </w:instrText>
            </w:r>
            <w:r>
              <w:rPr>
                <w:noProof/>
                <w:webHidden/>
              </w:rPr>
            </w:r>
            <w:r>
              <w:rPr>
                <w:noProof/>
                <w:webHidden/>
              </w:rPr>
              <w:fldChar w:fldCharType="separate"/>
            </w:r>
            <w:r>
              <w:rPr>
                <w:noProof/>
                <w:webHidden/>
              </w:rPr>
              <w:t>35</w:t>
            </w:r>
            <w:r>
              <w:rPr>
                <w:noProof/>
                <w:webHidden/>
              </w:rPr>
              <w:fldChar w:fldCharType="end"/>
            </w:r>
          </w:hyperlink>
        </w:p>
        <w:p>
          <w:pPr>
            <w:pStyle w:val="TOC3"/>
            <w:rPr>
              <w:rFonts w:asciiTheme="minorHAnsi" w:eastAsiaTheme="minorEastAsia" w:hAnsiTheme="minorHAnsi" w:cstheme="minorBidi"/>
              <w:noProof/>
              <w:sz w:val="22"/>
              <w:lang w:val="en-US"/>
            </w:rPr>
          </w:pPr>
          <w:hyperlink w:anchor="_Toc58225968" w:history="1">
            <w:r>
              <w:rPr>
                <w:rStyle w:val="Hyperlink"/>
                <w:noProof/>
              </w:rPr>
              <w:t>2.2.2.</w:t>
            </w:r>
            <w:r>
              <w:rPr>
                <w:rFonts w:asciiTheme="minorHAnsi" w:eastAsiaTheme="minorEastAsia" w:hAnsiTheme="minorHAnsi" w:cstheme="minorBidi"/>
                <w:noProof/>
                <w:sz w:val="22"/>
                <w:lang w:val="en-US"/>
              </w:rPr>
              <w:tab/>
            </w:r>
            <w:r>
              <w:rPr>
                <w:rStyle w:val="Hyperlink"/>
                <w:noProof/>
              </w:rPr>
              <w:t>Informace o zjištěných rizicích a systémech vnitřní kontroly zřízených k jejich zmírnění</w:t>
            </w:r>
            <w:r>
              <w:rPr>
                <w:noProof/>
                <w:webHidden/>
              </w:rPr>
              <w:tab/>
            </w:r>
            <w:r>
              <w:rPr>
                <w:noProof/>
                <w:webHidden/>
              </w:rPr>
              <w:fldChar w:fldCharType="begin"/>
            </w:r>
            <w:r>
              <w:rPr>
                <w:noProof/>
                <w:webHidden/>
              </w:rPr>
              <w:instrText xml:space="preserve"> PAGEREF _Toc58225968 \h </w:instrText>
            </w:r>
            <w:r>
              <w:rPr>
                <w:noProof/>
                <w:webHidden/>
              </w:rPr>
            </w:r>
            <w:r>
              <w:rPr>
                <w:noProof/>
                <w:webHidden/>
              </w:rPr>
              <w:fldChar w:fldCharType="separate"/>
            </w:r>
            <w:r>
              <w:rPr>
                <w:noProof/>
                <w:webHidden/>
              </w:rPr>
              <w:t>35</w:t>
            </w:r>
            <w:r>
              <w:rPr>
                <w:noProof/>
                <w:webHidden/>
              </w:rPr>
              <w:fldChar w:fldCharType="end"/>
            </w:r>
          </w:hyperlink>
        </w:p>
        <w:p>
          <w:pPr>
            <w:pStyle w:val="TOC2"/>
            <w:rPr>
              <w:rFonts w:asciiTheme="minorHAnsi" w:eastAsiaTheme="minorEastAsia" w:hAnsiTheme="minorHAnsi" w:cstheme="minorBidi"/>
              <w:noProof/>
              <w:sz w:val="22"/>
              <w:lang w:val="en-US"/>
            </w:rPr>
          </w:pPr>
          <w:hyperlink w:anchor="_Toc58225969" w:history="1">
            <w:r>
              <w:rPr>
                <w:rStyle w:val="Hyperlink"/>
                <w:noProof/>
              </w:rPr>
              <w:t>2.3.</w:t>
            </w:r>
            <w:r>
              <w:rPr>
                <w:rFonts w:asciiTheme="minorHAnsi" w:eastAsiaTheme="minorEastAsia" w:hAnsiTheme="minorHAnsi" w:cstheme="minorBidi"/>
                <w:noProof/>
                <w:sz w:val="22"/>
                <w:lang w:val="en-US"/>
              </w:rPr>
              <w:tab/>
            </w:r>
            <w:r>
              <w:rPr>
                <w:rStyle w:val="Hyperlink"/>
                <w:noProof/>
              </w:rPr>
              <w:t>Opatření k zamezení podvodů a nesrovnalostí</w:t>
            </w:r>
            <w:r>
              <w:rPr>
                <w:noProof/>
                <w:webHidden/>
              </w:rPr>
              <w:tab/>
            </w:r>
            <w:r>
              <w:rPr>
                <w:noProof/>
                <w:webHidden/>
              </w:rPr>
              <w:fldChar w:fldCharType="begin"/>
            </w:r>
            <w:r>
              <w:rPr>
                <w:noProof/>
                <w:webHidden/>
              </w:rPr>
              <w:instrText xml:space="preserve"> PAGEREF _Toc58225969 \h </w:instrText>
            </w:r>
            <w:r>
              <w:rPr>
                <w:noProof/>
                <w:webHidden/>
              </w:rPr>
            </w:r>
            <w:r>
              <w:rPr>
                <w:noProof/>
                <w:webHidden/>
              </w:rPr>
              <w:fldChar w:fldCharType="separate"/>
            </w:r>
            <w:r>
              <w:rPr>
                <w:noProof/>
                <w:webHidden/>
              </w:rPr>
              <w:t>35</w:t>
            </w:r>
            <w:r>
              <w:rPr>
                <w:noProof/>
                <w:webHidden/>
              </w:rPr>
              <w:fldChar w:fldCharType="end"/>
            </w:r>
          </w:hyperlink>
        </w:p>
        <w:p>
          <w:pPr>
            <w:pStyle w:val="TOC1"/>
            <w:rPr>
              <w:rFonts w:asciiTheme="minorHAnsi" w:eastAsiaTheme="minorEastAsia" w:hAnsiTheme="minorHAnsi" w:cstheme="minorBidi"/>
              <w:noProof/>
              <w:sz w:val="22"/>
              <w:lang w:val="en-US"/>
            </w:rPr>
          </w:pPr>
          <w:hyperlink w:anchor="_Toc58225970" w:history="1">
            <w:r>
              <w:rPr>
                <w:rStyle w:val="Hyperlink"/>
                <w:noProof/>
              </w:rPr>
              <w:t>3.</w:t>
            </w:r>
            <w:r>
              <w:rPr>
                <w:rFonts w:asciiTheme="minorHAnsi" w:eastAsiaTheme="minorEastAsia" w:hAnsiTheme="minorHAnsi" w:cstheme="minorBidi"/>
                <w:noProof/>
                <w:sz w:val="22"/>
                <w:lang w:val="en-US"/>
              </w:rPr>
              <w:tab/>
            </w:r>
            <w:r>
              <w:rPr>
                <w:rStyle w:val="Hyperlink"/>
                <w:noProof/>
              </w:rPr>
              <w:t>ODHADOVANÝ FINANČNÍ DOPAD NÁVRHU/PODNĚTU</w:t>
            </w:r>
            <w:r>
              <w:rPr>
                <w:noProof/>
                <w:webHidden/>
              </w:rPr>
              <w:tab/>
            </w:r>
            <w:r>
              <w:rPr>
                <w:noProof/>
                <w:webHidden/>
              </w:rPr>
              <w:fldChar w:fldCharType="begin"/>
            </w:r>
            <w:r>
              <w:rPr>
                <w:noProof/>
                <w:webHidden/>
              </w:rPr>
              <w:instrText xml:space="preserve"> PAGEREF _Toc58225970 \h </w:instrText>
            </w:r>
            <w:r>
              <w:rPr>
                <w:noProof/>
                <w:webHidden/>
              </w:rPr>
            </w:r>
            <w:r>
              <w:rPr>
                <w:noProof/>
                <w:webHidden/>
              </w:rPr>
              <w:fldChar w:fldCharType="separate"/>
            </w:r>
            <w:r>
              <w:rPr>
                <w:noProof/>
                <w:webHidden/>
              </w:rPr>
              <w:t>36</w:t>
            </w:r>
            <w:r>
              <w:rPr>
                <w:noProof/>
                <w:webHidden/>
              </w:rPr>
              <w:fldChar w:fldCharType="end"/>
            </w:r>
          </w:hyperlink>
        </w:p>
        <w:p>
          <w:pPr>
            <w:pStyle w:val="TOC2"/>
            <w:rPr>
              <w:rFonts w:asciiTheme="minorHAnsi" w:eastAsiaTheme="minorEastAsia" w:hAnsiTheme="minorHAnsi" w:cstheme="minorBidi"/>
              <w:noProof/>
              <w:sz w:val="22"/>
              <w:lang w:val="en-US"/>
            </w:rPr>
          </w:pPr>
          <w:hyperlink w:anchor="_Toc58225971" w:history="1">
            <w:r>
              <w:rPr>
                <w:rStyle w:val="Hyperlink"/>
                <w:noProof/>
              </w:rPr>
              <w:t>3.1.</w:t>
            </w:r>
            <w:r>
              <w:rPr>
                <w:rFonts w:asciiTheme="minorHAnsi" w:eastAsiaTheme="minorEastAsia" w:hAnsiTheme="minorHAnsi" w:cstheme="minorBidi"/>
                <w:noProof/>
                <w:sz w:val="22"/>
                <w:lang w:val="en-US"/>
              </w:rPr>
              <w:tab/>
            </w:r>
            <w:r>
              <w:rPr>
                <w:rStyle w:val="Hyperlink"/>
                <w:noProof/>
              </w:rPr>
              <w:t>Okruhy víceletého finančního rámce a dotčené výdajové rozpočtové položky</w:t>
            </w:r>
            <w:r>
              <w:rPr>
                <w:noProof/>
                <w:webHidden/>
              </w:rPr>
              <w:tab/>
            </w:r>
            <w:r>
              <w:rPr>
                <w:noProof/>
                <w:webHidden/>
              </w:rPr>
              <w:fldChar w:fldCharType="begin"/>
            </w:r>
            <w:r>
              <w:rPr>
                <w:noProof/>
                <w:webHidden/>
              </w:rPr>
              <w:instrText xml:space="preserve"> PAGEREF _Toc58225971 \h </w:instrText>
            </w:r>
            <w:r>
              <w:rPr>
                <w:noProof/>
                <w:webHidden/>
              </w:rPr>
            </w:r>
            <w:r>
              <w:rPr>
                <w:noProof/>
                <w:webHidden/>
              </w:rPr>
              <w:fldChar w:fldCharType="separate"/>
            </w:r>
            <w:r>
              <w:rPr>
                <w:noProof/>
                <w:webHidden/>
              </w:rPr>
              <w:t>36</w:t>
            </w:r>
            <w:r>
              <w:rPr>
                <w:noProof/>
                <w:webHidden/>
              </w:rPr>
              <w:fldChar w:fldCharType="end"/>
            </w:r>
          </w:hyperlink>
        </w:p>
        <w:p>
          <w:pPr>
            <w:pStyle w:val="TOC2"/>
            <w:rPr>
              <w:rFonts w:asciiTheme="minorHAnsi" w:eastAsiaTheme="minorEastAsia" w:hAnsiTheme="minorHAnsi" w:cstheme="minorBidi"/>
              <w:noProof/>
              <w:sz w:val="22"/>
              <w:lang w:val="en-US"/>
            </w:rPr>
          </w:pPr>
          <w:hyperlink w:anchor="_Toc58225972" w:history="1">
            <w:r>
              <w:rPr>
                <w:rStyle w:val="Hyperlink"/>
                <w:noProof/>
              </w:rPr>
              <w:t>3.2.</w:t>
            </w:r>
            <w:r>
              <w:rPr>
                <w:rFonts w:asciiTheme="minorHAnsi" w:eastAsiaTheme="minorEastAsia" w:hAnsiTheme="minorHAnsi" w:cstheme="minorBidi"/>
                <w:noProof/>
                <w:sz w:val="22"/>
                <w:lang w:val="en-US"/>
              </w:rPr>
              <w:tab/>
            </w:r>
            <w:r>
              <w:rPr>
                <w:rStyle w:val="Hyperlink"/>
                <w:noProof/>
              </w:rPr>
              <w:t>Odhadovaný dopad na výdaje</w:t>
            </w:r>
            <w:r>
              <w:rPr>
                <w:noProof/>
                <w:webHidden/>
              </w:rPr>
              <w:tab/>
            </w:r>
            <w:r>
              <w:rPr>
                <w:noProof/>
                <w:webHidden/>
              </w:rPr>
              <w:fldChar w:fldCharType="begin"/>
            </w:r>
            <w:r>
              <w:rPr>
                <w:noProof/>
                <w:webHidden/>
              </w:rPr>
              <w:instrText xml:space="preserve"> PAGEREF _Toc58225972 \h </w:instrText>
            </w:r>
            <w:r>
              <w:rPr>
                <w:noProof/>
                <w:webHidden/>
              </w:rPr>
            </w:r>
            <w:r>
              <w:rPr>
                <w:noProof/>
                <w:webHidden/>
              </w:rPr>
              <w:fldChar w:fldCharType="separate"/>
            </w:r>
            <w:r>
              <w:rPr>
                <w:noProof/>
                <w:webHidden/>
              </w:rPr>
              <w:t>38</w:t>
            </w:r>
            <w:r>
              <w:rPr>
                <w:noProof/>
                <w:webHidden/>
              </w:rPr>
              <w:fldChar w:fldCharType="end"/>
            </w:r>
          </w:hyperlink>
        </w:p>
        <w:p>
          <w:pPr>
            <w:pStyle w:val="TOC3"/>
            <w:rPr>
              <w:rFonts w:asciiTheme="minorHAnsi" w:eastAsiaTheme="minorEastAsia" w:hAnsiTheme="minorHAnsi" w:cstheme="minorBidi"/>
              <w:noProof/>
              <w:sz w:val="22"/>
              <w:lang w:val="en-US"/>
            </w:rPr>
          </w:pPr>
          <w:hyperlink w:anchor="_Toc58225973" w:history="1">
            <w:r>
              <w:rPr>
                <w:rStyle w:val="Hyperlink"/>
                <w:noProof/>
              </w:rPr>
              <w:t>3.2.1.</w:t>
            </w:r>
            <w:r>
              <w:rPr>
                <w:rFonts w:asciiTheme="minorHAnsi" w:eastAsiaTheme="minorEastAsia" w:hAnsiTheme="minorHAnsi" w:cstheme="minorBidi"/>
                <w:noProof/>
                <w:sz w:val="22"/>
                <w:lang w:val="en-US"/>
              </w:rPr>
              <w:tab/>
            </w:r>
            <w:r>
              <w:rPr>
                <w:rStyle w:val="Hyperlink"/>
                <w:noProof/>
              </w:rPr>
              <w:t>Odhadovaný souhrnný dopad na výdaje</w:t>
            </w:r>
            <w:r>
              <w:rPr>
                <w:noProof/>
                <w:webHidden/>
              </w:rPr>
              <w:tab/>
            </w:r>
            <w:r>
              <w:rPr>
                <w:noProof/>
                <w:webHidden/>
              </w:rPr>
              <w:fldChar w:fldCharType="begin"/>
            </w:r>
            <w:r>
              <w:rPr>
                <w:noProof/>
                <w:webHidden/>
              </w:rPr>
              <w:instrText xml:space="preserve"> PAGEREF _Toc58225973 \h </w:instrText>
            </w:r>
            <w:r>
              <w:rPr>
                <w:noProof/>
                <w:webHidden/>
              </w:rPr>
            </w:r>
            <w:r>
              <w:rPr>
                <w:noProof/>
                <w:webHidden/>
              </w:rPr>
              <w:fldChar w:fldCharType="separate"/>
            </w:r>
            <w:r>
              <w:rPr>
                <w:noProof/>
                <w:webHidden/>
              </w:rPr>
              <w:t>38</w:t>
            </w:r>
            <w:r>
              <w:rPr>
                <w:noProof/>
                <w:webHidden/>
              </w:rPr>
              <w:fldChar w:fldCharType="end"/>
            </w:r>
          </w:hyperlink>
        </w:p>
        <w:p>
          <w:pPr>
            <w:pStyle w:val="TOC3"/>
            <w:rPr>
              <w:rFonts w:asciiTheme="minorHAnsi" w:eastAsiaTheme="minorEastAsia" w:hAnsiTheme="minorHAnsi" w:cstheme="minorBidi"/>
              <w:noProof/>
              <w:sz w:val="22"/>
              <w:lang w:val="en-US"/>
            </w:rPr>
          </w:pPr>
          <w:hyperlink w:anchor="_Toc58225974" w:history="1">
            <w:r>
              <w:rPr>
                <w:rStyle w:val="Hyperlink"/>
                <w:noProof/>
              </w:rPr>
              <w:t>3.2.2.</w:t>
            </w:r>
            <w:r>
              <w:rPr>
                <w:rFonts w:asciiTheme="minorHAnsi" w:eastAsiaTheme="minorEastAsia" w:hAnsiTheme="minorHAnsi" w:cstheme="minorBidi"/>
                <w:noProof/>
                <w:sz w:val="22"/>
                <w:lang w:val="en-US"/>
              </w:rPr>
              <w:tab/>
            </w:r>
            <w:r>
              <w:rPr>
                <w:rStyle w:val="Hyperlink"/>
                <w:noProof/>
              </w:rPr>
              <w:t>Odhadovaný dopad na prostředky střediska ECDC</w:t>
            </w:r>
            <w:r>
              <w:rPr>
                <w:noProof/>
                <w:webHidden/>
              </w:rPr>
              <w:tab/>
            </w:r>
            <w:r>
              <w:rPr>
                <w:noProof/>
                <w:webHidden/>
              </w:rPr>
              <w:fldChar w:fldCharType="begin"/>
            </w:r>
            <w:r>
              <w:rPr>
                <w:noProof/>
                <w:webHidden/>
              </w:rPr>
              <w:instrText xml:space="preserve"> PAGEREF _Toc58225974 \h </w:instrText>
            </w:r>
            <w:r>
              <w:rPr>
                <w:noProof/>
                <w:webHidden/>
              </w:rPr>
            </w:r>
            <w:r>
              <w:rPr>
                <w:noProof/>
                <w:webHidden/>
              </w:rPr>
              <w:fldChar w:fldCharType="separate"/>
            </w:r>
            <w:r>
              <w:rPr>
                <w:noProof/>
                <w:webHidden/>
              </w:rPr>
              <w:t>40</w:t>
            </w:r>
            <w:r>
              <w:rPr>
                <w:noProof/>
                <w:webHidden/>
              </w:rPr>
              <w:fldChar w:fldCharType="end"/>
            </w:r>
          </w:hyperlink>
        </w:p>
        <w:p>
          <w:pPr>
            <w:pStyle w:val="TOC3"/>
            <w:rPr>
              <w:rFonts w:asciiTheme="minorHAnsi" w:eastAsiaTheme="minorEastAsia" w:hAnsiTheme="minorHAnsi" w:cstheme="minorBidi"/>
              <w:noProof/>
              <w:sz w:val="22"/>
              <w:lang w:val="en-US"/>
            </w:rPr>
          </w:pPr>
          <w:hyperlink w:anchor="_Toc58225975" w:history="1">
            <w:r>
              <w:rPr>
                <w:rStyle w:val="Hyperlink"/>
                <w:noProof/>
              </w:rPr>
              <w:t>3.2.3.</w:t>
            </w:r>
            <w:r>
              <w:rPr>
                <w:rFonts w:asciiTheme="minorHAnsi" w:eastAsiaTheme="minorEastAsia" w:hAnsiTheme="minorHAnsi" w:cstheme="minorBidi"/>
                <w:noProof/>
                <w:sz w:val="22"/>
                <w:lang w:val="en-US"/>
              </w:rPr>
              <w:tab/>
            </w:r>
            <w:r>
              <w:rPr>
                <w:rStyle w:val="Hyperlink"/>
                <w:noProof/>
              </w:rPr>
              <w:t>Odhadovaný dopad na lidské zdroje [subjektu]</w:t>
            </w:r>
            <w:r>
              <w:rPr>
                <w:noProof/>
                <w:webHidden/>
              </w:rPr>
              <w:tab/>
            </w:r>
            <w:r>
              <w:rPr>
                <w:noProof/>
                <w:webHidden/>
              </w:rPr>
              <w:fldChar w:fldCharType="begin"/>
            </w:r>
            <w:r>
              <w:rPr>
                <w:noProof/>
                <w:webHidden/>
              </w:rPr>
              <w:instrText xml:space="preserve"> PAGEREF _Toc58225975 \h </w:instrText>
            </w:r>
            <w:r>
              <w:rPr>
                <w:noProof/>
                <w:webHidden/>
              </w:rPr>
            </w:r>
            <w:r>
              <w:rPr>
                <w:noProof/>
                <w:webHidden/>
              </w:rPr>
              <w:fldChar w:fldCharType="separate"/>
            </w:r>
            <w:r>
              <w:rPr>
                <w:noProof/>
                <w:webHidden/>
              </w:rPr>
              <w:t>44</w:t>
            </w:r>
            <w:r>
              <w:rPr>
                <w:noProof/>
                <w:webHidden/>
              </w:rPr>
              <w:fldChar w:fldCharType="end"/>
            </w:r>
          </w:hyperlink>
        </w:p>
        <w:p>
          <w:pPr>
            <w:pStyle w:val="TOC3"/>
            <w:rPr>
              <w:rFonts w:asciiTheme="minorHAnsi" w:eastAsiaTheme="minorEastAsia" w:hAnsiTheme="minorHAnsi" w:cstheme="minorBidi"/>
              <w:noProof/>
              <w:sz w:val="22"/>
              <w:lang w:val="en-US"/>
            </w:rPr>
          </w:pPr>
          <w:hyperlink w:anchor="_Toc58225976" w:history="1">
            <w:r>
              <w:rPr>
                <w:rStyle w:val="Hyperlink"/>
                <w:noProof/>
              </w:rPr>
              <w:t>3.2.4.</w:t>
            </w:r>
            <w:r>
              <w:rPr>
                <w:rFonts w:asciiTheme="minorHAnsi" w:eastAsiaTheme="minorEastAsia" w:hAnsiTheme="minorHAnsi" w:cstheme="minorBidi"/>
                <w:noProof/>
                <w:sz w:val="22"/>
                <w:lang w:val="en-US"/>
              </w:rPr>
              <w:tab/>
            </w:r>
            <w:r>
              <w:rPr>
                <w:rStyle w:val="Hyperlink"/>
                <w:noProof/>
              </w:rPr>
              <w:t>Slučitelnost se stávajícím víceletým finančním rámcem</w:t>
            </w:r>
            <w:r>
              <w:rPr>
                <w:noProof/>
                <w:webHidden/>
              </w:rPr>
              <w:tab/>
            </w:r>
            <w:r>
              <w:rPr>
                <w:noProof/>
                <w:webHidden/>
              </w:rPr>
              <w:fldChar w:fldCharType="begin"/>
            </w:r>
            <w:r>
              <w:rPr>
                <w:noProof/>
                <w:webHidden/>
              </w:rPr>
              <w:instrText xml:space="preserve"> PAGEREF _Toc58225976 \h </w:instrText>
            </w:r>
            <w:r>
              <w:rPr>
                <w:noProof/>
                <w:webHidden/>
              </w:rPr>
            </w:r>
            <w:r>
              <w:rPr>
                <w:noProof/>
                <w:webHidden/>
              </w:rPr>
              <w:fldChar w:fldCharType="separate"/>
            </w:r>
            <w:r>
              <w:rPr>
                <w:noProof/>
                <w:webHidden/>
              </w:rPr>
              <w:t>48</w:t>
            </w:r>
            <w:r>
              <w:rPr>
                <w:noProof/>
                <w:webHidden/>
              </w:rPr>
              <w:fldChar w:fldCharType="end"/>
            </w:r>
          </w:hyperlink>
        </w:p>
        <w:p>
          <w:pPr>
            <w:pStyle w:val="TOC3"/>
            <w:rPr>
              <w:rFonts w:asciiTheme="minorHAnsi" w:eastAsiaTheme="minorEastAsia" w:hAnsiTheme="minorHAnsi" w:cstheme="minorBidi"/>
              <w:noProof/>
              <w:sz w:val="22"/>
              <w:lang w:val="en-US"/>
            </w:rPr>
          </w:pPr>
          <w:hyperlink w:anchor="_Toc58225977" w:history="1">
            <w:r>
              <w:rPr>
                <w:rStyle w:val="Hyperlink"/>
                <w:noProof/>
              </w:rPr>
              <w:t>3.2.5.</w:t>
            </w:r>
            <w:r>
              <w:rPr>
                <w:rFonts w:asciiTheme="minorHAnsi" w:eastAsiaTheme="minorEastAsia" w:hAnsiTheme="minorHAnsi" w:cstheme="minorBidi"/>
                <w:noProof/>
                <w:sz w:val="22"/>
                <w:lang w:val="en-US"/>
              </w:rPr>
              <w:tab/>
            </w:r>
            <w:r>
              <w:rPr>
                <w:rStyle w:val="Hyperlink"/>
                <w:noProof/>
              </w:rPr>
              <w:t>Příspěvky třetích stran</w:t>
            </w:r>
            <w:r>
              <w:rPr>
                <w:noProof/>
                <w:webHidden/>
              </w:rPr>
              <w:tab/>
            </w:r>
            <w:r>
              <w:rPr>
                <w:noProof/>
                <w:webHidden/>
              </w:rPr>
              <w:fldChar w:fldCharType="begin"/>
            </w:r>
            <w:r>
              <w:rPr>
                <w:noProof/>
                <w:webHidden/>
              </w:rPr>
              <w:instrText xml:space="preserve"> PAGEREF _Toc58225977 \h </w:instrText>
            </w:r>
            <w:r>
              <w:rPr>
                <w:noProof/>
                <w:webHidden/>
              </w:rPr>
            </w:r>
            <w:r>
              <w:rPr>
                <w:noProof/>
                <w:webHidden/>
              </w:rPr>
              <w:fldChar w:fldCharType="separate"/>
            </w:r>
            <w:r>
              <w:rPr>
                <w:noProof/>
                <w:webHidden/>
              </w:rPr>
              <w:t>48</w:t>
            </w:r>
            <w:r>
              <w:rPr>
                <w:noProof/>
                <w:webHidden/>
              </w:rPr>
              <w:fldChar w:fldCharType="end"/>
            </w:r>
          </w:hyperlink>
        </w:p>
        <w:p>
          <w:pPr>
            <w:pStyle w:val="TOC2"/>
            <w:rPr>
              <w:rFonts w:asciiTheme="minorHAnsi" w:eastAsiaTheme="minorEastAsia" w:hAnsiTheme="minorHAnsi" w:cstheme="minorBidi"/>
              <w:noProof/>
              <w:sz w:val="22"/>
              <w:lang w:val="en-US"/>
            </w:rPr>
          </w:pPr>
          <w:hyperlink w:anchor="_Toc58225978" w:history="1">
            <w:r>
              <w:rPr>
                <w:rStyle w:val="Hyperlink"/>
                <w:noProof/>
              </w:rPr>
              <w:t>3.3.</w:t>
            </w:r>
            <w:r>
              <w:rPr>
                <w:rFonts w:asciiTheme="minorHAnsi" w:eastAsiaTheme="minorEastAsia" w:hAnsiTheme="minorHAnsi" w:cstheme="minorBidi"/>
                <w:noProof/>
                <w:sz w:val="22"/>
                <w:lang w:val="en-US"/>
              </w:rPr>
              <w:tab/>
            </w:r>
            <w:r>
              <w:rPr>
                <w:rStyle w:val="Hyperlink"/>
                <w:noProof/>
              </w:rPr>
              <w:t>Odhadovaný dopad na příjmy</w:t>
            </w:r>
            <w:r>
              <w:rPr>
                <w:noProof/>
                <w:webHidden/>
              </w:rPr>
              <w:tab/>
            </w:r>
            <w:r>
              <w:rPr>
                <w:noProof/>
                <w:webHidden/>
              </w:rPr>
              <w:fldChar w:fldCharType="begin"/>
            </w:r>
            <w:r>
              <w:rPr>
                <w:noProof/>
                <w:webHidden/>
              </w:rPr>
              <w:instrText xml:space="preserve"> PAGEREF _Toc58225978 \h </w:instrText>
            </w:r>
            <w:r>
              <w:rPr>
                <w:noProof/>
                <w:webHidden/>
              </w:rPr>
            </w:r>
            <w:r>
              <w:rPr>
                <w:noProof/>
                <w:webHidden/>
              </w:rPr>
              <w:fldChar w:fldCharType="separate"/>
            </w:r>
            <w:r>
              <w:rPr>
                <w:noProof/>
                <w:webHidden/>
              </w:rPr>
              <w:t>49</w:t>
            </w:r>
            <w:r>
              <w:rPr>
                <w:noProof/>
                <w:webHidden/>
              </w:rPr>
              <w:fldChar w:fldCharType="end"/>
            </w:r>
          </w:hyperlink>
        </w:p>
        <w:p>
          <w:pPr>
            <w:rPr>
              <w:noProof/>
            </w:rPr>
          </w:pPr>
          <w:r>
            <w:rPr>
              <w:b/>
              <w:bCs/>
              <w:noProof/>
            </w:rPr>
            <w:fldChar w:fldCharType="end"/>
          </w:r>
        </w:p>
      </w:sdtContent>
    </w:sdt>
    <w:p>
      <w:pPr>
        <w:rPr>
          <w:noProof/>
        </w:rPr>
        <w:sectPr>
          <w:pgSz w:w="12240" w:h="15840"/>
          <w:pgMar w:top="794" w:right="907" w:bottom="851" w:left="1361" w:header="510" w:footer="454" w:gutter="0"/>
          <w:cols w:space="720"/>
          <w:docGrid w:linePitch="326"/>
        </w:sectPr>
      </w:pPr>
    </w:p>
    <w:p>
      <w:pPr>
        <w:jc w:val="center"/>
        <w:rPr>
          <w:b/>
          <w:noProof/>
          <w:u w:val="single"/>
        </w:rPr>
      </w:pPr>
      <w:r>
        <w:rPr>
          <w:b/>
          <w:noProof/>
          <w:u w:val="single"/>
        </w:rPr>
        <w:t>LEGISLATIVNÍ FINANČNÍ VÝKAZ „AGENTURY“</w:t>
      </w:r>
    </w:p>
    <w:p>
      <w:pPr>
        <w:pStyle w:val="ManualHeading1"/>
        <w:rPr>
          <w:bCs/>
          <w:noProof/>
          <w:szCs w:val="24"/>
        </w:rPr>
      </w:pPr>
      <w:bookmarkStart w:id="18" w:name="_Toc514938659"/>
      <w:bookmarkStart w:id="19" w:name="_Toc58225947"/>
      <w:r>
        <w:t>1.</w:t>
      </w:r>
      <w:r>
        <w:tab/>
      </w:r>
      <w:r>
        <w:rPr>
          <w:noProof/>
        </w:rPr>
        <w:t>RÁMEC NÁVRHU/PODNĚTU</w:t>
      </w:r>
      <w:bookmarkEnd w:id="18"/>
      <w:bookmarkEnd w:id="19"/>
      <w:r>
        <w:rPr>
          <w:noProof/>
        </w:rPr>
        <w:t xml:space="preserve"> </w:t>
      </w:r>
    </w:p>
    <w:p>
      <w:pPr>
        <w:pStyle w:val="ManualHeading2"/>
        <w:rPr>
          <w:bCs/>
          <w:noProof/>
          <w:szCs w:val="24"/>
        </w:rPr>
      </w:pPr>
      <w:bookmarkStart w:id="20" w:name="_Toc514938660"/>
      <w:bookmarkStart w:id="21" w:name="_Toc58225948"/>
      <w:r>
        <w:t>1.1.</w:t>
      </w:r>
      <w:r>
        <w:tab/>
      </w:r>
      <w:r>
        <w:rPr>
          <w:noProof/>
        </w:rPr>
        <w:t>Název návrhu/podnětu</w:t>
      </w:r>
      <w:bookmarkEnd w:id="20"/>
      <w:bookmarkEnd w:id="21"/>
    </w:p>
    <w:p>
      <w:pPr>
        <w:pStyle w:val="Text1"/>
        <w:pBdr>
          <w:top w:val="single" w:sz="4" w:space="1" w:color="auto"/>
          <w:left w:val="single" w:sz="4" w:space="4" w:color="auto"/>
          <w:bottom w:val="single" w:sz="4" w:space="1" w:color="auto"/>
          <w:right w:val="single" w:sz="4" w:space="4" w:color="auto"/>
        </w:pBdr>
        <w:rPr>
          <w:noProof/>
        </w:rPr>
      </w:pPr>
      <w:r>
        <w:rPr>
          <w:noProof/>
        </w:rPr>
        <w:t>Návrh nařízení Evropského parlamentu a Rady (EU) XXX, kterým se mění nařízení (ES) č. 851/2004 o zřízení Evropského střediska pro prevenci a kontrolu nemocí</w:t>
      </w:r>
    </w:p>
    <w:p>
      <w:pPr>
        <w:pStyle w:val="ManualHeading2"/>
        <w:rPr>
          <w:bCs/>
          <w:noProof/>
          <w:szCs w:val="24"/>
        </w:rPr>
      </w:pPr>
      <w:bookmarkStart w:id="22" w:name="_Toc514938661"/>
      <w:bookmarkStart w:id="23" w:name="_Toc58225949"/>
      <w:r>
        <w:t>1.2.</w:t>
      </w:r>
      <w:r>
        <w:tab/>
      </w:r>
      <w:r>
        <w:rPr>
          <w:noProof/>
        </w:rPr>
        <w:t>Příslušné oblasti politik</w:t>
      </w:r>
      <w:bookmarkEnd w:id="22"/>
      <w:bookmarkEnd w:id="23"/>
    </w:p>
    <w:p>
      <w:pPr>
        <w:pStyle w:val="Text1"/>
        <w:pBdr>
          <w:top w:val="single" w:sz="4" w:space="1" w:color="auto"/>
          <w:left w:val="single" w:sz="4" w:space="4" w:color="auto"/>
          <w:bottom w:val="single" w:sz="4" w:space="1" w:color="auto"/>
          <w:right w:val="single" w:sz="4" w:space="4" w:color="auto"/>
        </w:pBdr>
        <w:rPr>
          <w:noProof/>
        </w:rPr>
      </w:pPr>
      <w:r>
        <w:rPr>
          <w:noProof/>
        </w:rPr>
        <w:t>Oblast politik: Oživení a odolnost</w:t>
      </w:r>
    </w:p>
    <w:p>
      <w:pPr>
        <w:pStyle w:val="Text1"/>
        <w:pBdr>
          <w:top w:val="single" w:sz="4" w:space="1" w:color="auto"/>
          <w:left w:val="single" w:sz="4" w:space="4" w:color="auto"/>
          <w:bottom w:val="single" w:sz="4" w:space="1" w:color="auto"/>
          <w:right w:val="single" w:sz="4" w:space="4" w:color="auto"/>
        </w:pBdr>
        <w:rPr>
          <w:noProof/>
        </w:rPr>
      </w:pPr>
      <w:r>
        <w:rPr>
          <w:noProof/>
        </w:rPr>
        <w:t xml:space="preserve">Činnost: Zdraví </w:t>
      </w:r>
    </w:p>
    <w:p>
      <w:pPr>
        <w:pStyle w:val="ManualHeading2"/>
        <w:rPr>
          <w:bCs/>
          <w:noProof/>
          <w:szCs w:val="24"/>
        </w:rPr>
      </w:pPr>
      <w:bookmarkStart w:id="24" w:name="_Toc514938662"/>
      <w:bookmarkStart w:id="25" w:name="_Toc58225950"/>
      <w:r>
        <w:t>1.3.</w:t>
      </w:r>
      <w:r>
        <w:tab/>
      </w:r>
      <w:r>
        <w:rPr>
          <w:noProof/>
        </w:rPr>
        <w:t>Návrh se týká:</w:t>
      </w:r>
      <w:bookmarkEnd w:id="24"/>
      <w:bookmarkEnd w:id="25"/>
      <w:r>
        <w:rPr>
          <w:noProof/>
        </w:rPr>
        <w:t xml:space="preserve"> </w:t>
      </w:r>
    </w:p>
    <w:p>
      <w:pPr>
        <w:pStyle w:val="Text1"/>
        <w:rPr>
          <w:b/>
          <w:noProof/>
        </w:rPr>
      </w:pPr>
      <w:r>
        <w:rPr>
          <w:noProof/>
        </w:rPr>
        <w:t>X</w:t>
      </w:r>
      <w:r>
        <w:rPr>
          <w:b/>
          <w:i/>
          <w:noProof/>
        </w:rPr>
        <w:t xml:space="preserve"> </w:t>
      </w:r>
      <w:r>
        <w:rPr>
          <w:b/>
          <w:noProof/>
        </w:rPr>
        <w:t xml:space="preserve">nové akce </w:t>
      </w:r>
    </w:p>
    <w:p>
      <w:pPr>
        <w:pStyle w:val="Text1"/>
        <w:rPr>
          <w:noProof/>
          <w:sz w:val="22"/>
        </w:rPr>
      </w:pPr>
      <w:r>
        <w:rPr>
          <w:noProof/>
        </w:rPr>
        <w:sym w:font="Wingdings" w:char="F0A8"/>
      </w:r>
      <w:r>
        <w:rPr>
          <w:i/>
          <w:noProof/>
        </w:rPr>
        <w:t xml:space="preserve"> </w:t>
      </w:r>
      <w:r>
        <w:rPr>
          <w:b/>
          <w:noProof/>
        </w:rPr>
        <w:t>nové akce následující po pilotním projektu / přípravné akci</w:t>
      </w:r>
      <w:r>
        <w:rPr>
          <w:rStyle w:val="FootnoteReference"/>
          <w:b/>
          <w:noProof/>
        </w:rPr>
        <w:footnoteReference w:id="14"/>
      </w:r>
      <w:r>
        <w:rPr>
          <w:noProof/>
          <w:sz w:val="22"/>
        </w:rPr>
        <w:t xml:space="preserve"> </w:t>
      </w:r>
    </w:p>
    <w:p>
      <w:pPr>
        <w:pStyle w:val="Text1"/>
        <w:rPr>
          <w:noProof/>
        </w:rPr>
      </w:pPr>
      <w:r>
        <w:rPr>
          <w:noProof/>
        </w:rPr>
        <w:t>X</w:t>
      </w:r>
      <w:r>
        <w:rPr>
          <w:i/>
          <w:noProof/>
        </w:rPr>
        <w:t xml:space="preserve"> </w:t>
      </w:r>
      <w:r>
        <w:rPr>
          <w:b/>
          <w:noProof/>
        </w:rPr>
        <w:t>prodloužení stávající akce</w:t>
      </w:r>
      <w:r>
        <w:rPr>
          <w:noProof/>
        </w:rPr>
        <w:t xml:space="preserve"> </w:t>
      </w:r>
    </w:p>
    <w:p>
      <w:pPr>
        <w:pStyle w:val="Text1"/>
        <w:rPr>
          <w:noProof/>
        </w:rPr>
      </w:pPr>
      <w:r>
        <w:rPr>
          <w:noProof/>
        </w:rPr>
        <w:sym w:font="Wingdings" w:char="F0A8"/>
      </w:r>
      <w:r>
        <w:rPr>
          <w:i/>
          <w:noProof/>
        </w:rPr>
        <w:t xml:space="preserve"> </w:t>
      </w:r>
      <w:r>
        <w:rPr>
          <w:b/>
          <w:noProof/>
        </w:rPr>
        <w:t>sloučení jedné či více</w:t>
      </w:r>
      <w:r>
        <w:rPr>
          <w:noProof/>
        </w:rPr>
        <w:t xml:space="preserve"> </w:t>
      </w:r>
      <w:r>
        <w:rPr>
          <w:b/>
          <w:noProof/>
        </w:rPr>
        <w:t>akcí v jinou/novou akci</w:t>
      </w:r>
      <w:r>
        <w:rPr>
          <w:noProof/>
        </w:rPr>
        <w:t xml:space="preserve"> </w:t>
      </w:r>
    </w:p>
    <w:p>
      <w:pPr>
        <w:pStyle w:val="ManualHeading2"/>
        <w:rPr>
          <w:bCs/>
          <w:noProof/>
          <w:szCs w:val="24"/>
        </w:rPr>
      </w:pPr>
      <w:bookmarkStart w:id="26" w:name="_Toc514938663"/>
      <w:bookmarkStart w:id="27" w:name="_Toc58225951"/>
      <w:r>
        <w:t>1.4.</w:t>
      </w:r>
      <w:r>
        <w:tab/>
      </w:r>
      <w:r>
        <w:rPr>
          <w:noProof/>
        </w:rPr>
        <w:t>Cíle</w:t>
      </w:r>
      <w:bookmarkEnd w:id="26"/>
      <w:bookmarkEnd w:id="27"/>
    </w:p>
    <w:p>
      <w:pPr>
        <w:pStyle w:val="ManualHeading3"/>
        <w:rPr>
          <w:bCs/>
          <w:noProof/>
          <w:szCs w:val="24"/>
        </w:rPr>
      </w:pPr>
      <w:bookmarkStart w:id="28" w:name="_Toc514938664"/>
      <w:bookmarkStart w:id="29" w:name="_Toc58225952"/>
      <w:r>
        <w:t>1.4.1.</w:t>
      </w:r>
      <w:r>
        <w:tab/>
      </w:r>
      <w:r>
        <w:rPr>
          <w:noProof/>
        </w:rPr>
        <w:t>Obecné cíle</w:t>
      </w:r>
      <w:bookmarkEnd w:id="28"/>
      <w:bookmarkEnd w:id="29"/>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bookmarkStart w:id="30" w:name="_Toc514938665"/>
      <w:r>
        <w:rPr>
          <w:noProof/>
        </w:rPr>
        <w:t>Obecným cílem činnosti střediska ECDC je posoudit stávající a vznikající hrozby pro lidské zdraví vyplývající z přenosných nemocí a informovat o nich a poskytnout doporučení pro reakci na úrovni EU i na vnitrostátní úrovni.</w:t>
      </w:r>
    </w:p>
    <w:p>
      <w:pPr>
        <w:pStyle w:val="ManualHeading3"/>
        <w:rPr>
          <w:bCs/>
          <w:noProof/>
          <w:szCs w:val="24"/>
        </w:rPr>
      </w:pPr>
      <w:bookmarkStart w:id="31" w:name="_Toc58225953"/>
      <w:r>
        <w:t>1.4.2.</w:t>
      </w:r>
      <w:r>
        <w:tab/>
      </w:r>
      <w:r>
        <w:rPr>
          <w:noProof/>
        </w:rPr>
        <w:t>Specifické cíle</w:t>
      </w:r>
      <w:bookmarkEnd w:id="30"/>
      <w:bookmarkEnd w:id="31"/>
      <w:r>
        <w:rPr>
          <w:noProof/>
        </w:rPr>
        <w:t xml:space="preserve">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 xml:space="preserve">Specifické cíle </w:t>
      </w:r>
    </w:p>
    <w:p>
      <w:pPr>
        <w:pStyle w:val="Text1"/>
        <w:pBdr>
          <w:top w:val="single" w:sz="4" w:space="1" w:color="auto"/>
          <w:left w:val="single" w:sz="4" w:space="4" w:color="auto"/>
          <w:bottom w:val="single" w:sz="4" w:space="1" w:color="auto"/>
          <w:right w:val="single" w:sz="4" w:space="4" w:color="auto"/>
        </w:pBdr>
        <w:rPr>
          <w:noProof/>
        </w:rPr>
      </w:pPr>
      <w:r>
        <w:rPr>
          <w:noProof/>
        </w:rPr>
        <w:t>ECDC poskytne včasné informace Komisi, členským státům, subjektům a agenturám EU a mezinárodním organizacím činným v oblasti veřejného zdraví, včetně posouzení rizik.</w:t>
      </w:r>
    </w:p>
    <w:p>
      <w:pPr>
        <w:pStyle w:val="Text1"/>
        <w:pBdr>
          <w:top w:val="single" w:sz="4" w:space="1" w:color="auto"/>
          <w:left w:val="single" w:sz="4" w:space="4" w:color="auto"/>
          <w:bottom w:val="single" w:sz="4" w:space="1" w:color="auto"/>
          <w:right w:val="single" w:sz="4" w:space="4" w:color="auto"/>
        </w:pBdr>
        <w:rPr>
          <w:noProof/>
        </w:rPr>
      </w:pPr>
      <w:r>
        <w:rPr>
          <w:noProof/>
        </w:rPr>
        <w:t>ECDC poskytne odborné vědecké a technické posudky členským státům a Komisi v oblasti plánování připravenosti a reakce, včetně vzdělávání.</w:t>
      </w:r>
    </w:p>
    <w:p>
      <w:pPr>
        <w:pStyle w:val="Text1"/>
        <w:pBdr>
          <w:top w:val="single" w:sz="4" w:space="1" w:color="auto"/>
          <w:left w:val="single" w:sz="4" w:space="4" w:color="auto"/>
          <w:bottom w:val="single" w:sz="4" w:space="1" w:color="auto"/>
          <w:right w:val="single" w:sz="4" w:space="4" w:color="auto"/>
        </w:pBdr>
        <w:rPr>
          <w:noProof/>
        </w:rPr>
      </w:pPr>
      <w:r>
        <w:rPr>
          <w:noProof/>
        </w:rPr>
        <w:t>ECDC bude koordinovat sběr údajů, ověřování, analýzu a šíření údajů na úrovni EU, a vytvoří tak odolný evropský systém dozoru nad přenosnými nemocemi v rámci evropského prostoru pro data z oblasti veřejného zdraví.</w:t>
      </w:r>
    </w:p>
    <w:p>
      <w:pPr>
        <w:pStyle w:val="Text1"/>
        <w:pBdr>
          <w:top w:val="single" w:sz="4" w:space="1" w:color="auto"/>
          <w:left w:val="single" w:sz="4" w:space="4" w:color="auto"/>
          <w:bottom w:val="single" w:sz="4" w:space="1" w:color="auto"/>
          <w:right w:val="single" w:sz="4" w:space="4" w:color="auto"/>
        </w:pBdr>
        <w:rPr>
          <w:noProof/>
        </w:rPr>
      </w:pPr>
      <w:r>
        <w:rPr>
          <w:noProof/>
        </w:rPr>
        <w:t>ECDC bude provozovat specializované sítě v oblasti přenosných nemocí a látek lidského původu.</w:t>
      </w:r>
    </w:p>
    <w:p>
      <w:pPr>
        <w:pStyle w:val="Text1"/>
        <w:pBdr>
          <w:top w:val="single" w:sz="4" w:space="1" w:color="auto"/>
          <w:left w:val="single" w:sz="4" w:space="4" w:color="auto"/>
          <w:bottom w:val="single" w:sz="4" w:space="1" w:color="auto"/>
          <w:right w:val="single" w:sz="4" w:space="4" w:color="auto"/>
        </w:pBdr>
        <w:rPr>
          <w:noProof/>
        </w:rPr>
      </w:pPr>
      <w:r>
        <w:rPr>
          <w:noProof/>
        </w:rPr>
        <w:t>ECDC bude hostitelskou strukturou pro pracovní skupinu EU pro oblast zdraví, jejímž cílem je poskytovat zemím nepřetržitou podporu při posilování připravenosti a rychle zasáhnout v případě zdravotní krize.</w:t>
      </w:r>
    </w:p>
    <w:p>
      <w:pPr>
        <w:pStyle w:val="Text1"/>
        <w:pBdr>
          <w:top w:val="single" w:sz="4" w:space="1" w:color="auto"/>
          <w:left w:val="single" w:sz="4" w:space="4" w:color="auto"/>
          <w:bottom w:val="single" w:sz="4" w:space="1" w:color="auto"/>
          <w:right w:val="single" w:sz="4" w:space="4" w:color="auto"/>
        </w:pBdr>
        <w:rPr>
          <w:noProof/>
        </w:rPr>
      </w:pPr>
      <w:r>
        <w:rPr>
          <w:noProof/>
        </w:rPr>
        <w:t>ECDC bude zlepšovat mezinárodní spolupráci a shromažďovat regionální/vnitrostátní informace.</w:t>
      </w:r>
    </w:p>
    <w:p>
      <w:pPr>
        <w:pStyle w:val="ManualHeading3"/>
        <w:rPr>
          <w:noProof/>
        </w:rPr>
      </w:pPr>
      <w:bookmarkStart w:id="32" w:name="_Toc514938666"/>
      <w:bookmarkStart w:id="33" w:name="_Toc58225954"/>
      <w:r>
        <w:t>1.4.3.</w:t>
      </w:r>
      <w:r>
        <w:tab/>
      </w:r>
      <w:r>
        <w:rPr>
          <w:noProof/>
        </w:rPr>
        <w:t>Očekávané výsledky a dopady</w:t>
      </w:r>
      <w:bookmarkEnd w:id="32"/>
      <w:bookmarkEnd w:id="33"/>
    </w:p>
    <w:p>
      <w:pPr>
        <w:pStyle w:val="Text1"/>
        <w:rPr>
          <w:i/>
          <w:noProof/>
          <w:sz w:val="20"/>
        </w:rPr>
      </w:pPr>
      <w:r>
        <w:rPr>
          <w:i/>
          <w:noProof/>
          <w:sz w:val="20"/>
        </w:rPr>
        <w:t>Upřesněte účinky, které by návrh/podnět měl mít na příjemce / cílové skupiny.</w:t>
      </w:r>
    </w:p>
    <w:p>
      <w:pPr>
        <w:pStyle w:val="Tiret1"/>
        <w:numPr>
          <w:ilvl w:val="0"/>
          <w:numId w:val="19"/>
        </w:numPr>
        <w:pBdr>
          <w:top w:val="single" w:sz="4" w:space="1" w:color="auto"/>
          <w:left w:val="single" w:sz="4" w:space="4" w:color="auto"/>
          <w:bottom w:val="single" w:sz="4" w:space="1" w:color="auto"/>
          <w:right w:val="single" w:sz="4" w:space="4" w:color="auto"/>
        </w:pBdr>
        <w:rPr>
          <w:noProof/>
        </w:rPr>
      </w:pPr>
      <w:bookmarkStart w:id="34" w:name="_Toc514938667"/>
      <w:r>
        <w:rPr>
          <w:noProof/>
        </w:rPr>
        <w:t>Aktualizované plány připravenosti ve všech členských státech EU, včetně auditu a nápravných opatření,</w:t>
      </w:r>
    </w:p>
    <w:p>
      <w:pPr>
        <w:pStyle w:val="Tiret1"/>
        <w:pBdr>
          <w:top w:val="single" w:sz="4" w:space="1" w:color="auto"/>
          <w:left w:val="single" w:sz="4" w:space="4" w:color="auto"/>
          <w:bottom w:val="single" w:sz="4" w:space="1" w:color="auto"/>
          <w:right w:val="single" w:sz="4" w:space="4" w:color="auto"/>
        </w:pBdr>
        <w:rPr>
          <w:noProof/>
        </w:rPr>
      </w:pPr>
      <w:r>
        <w:rPr>
          <w:noProof/>
        </w:rPr>
        <w:t>Pravidelně školení specialisté ve všech členských státech EU s cílem zvládnout krize v oblasti veřejného zdraví,</w:t>
      </w:r>
    </w:p>
    <w:p>
      <w:pPr>
        <w:pStyle w:val="Tiret1"/>
        <w:pBdr>
          <w:top w:val="single" w:sz="4" w:space="1" w:color="auto"/>
          <w:left w:val="single" w:sz="4" w:space="4" w:color="auto"/>
          <w:bottom w:val="single" w:sz="4" w:space="1" w:color="auto"/>
          <w:right w:val="single" w:sz="4" w:space="4" w:color="auto"/>
        </w:pBdr>
        <w:rPr>
          <w:noProof/>
        </w:rPr>
      </w:pPr>
      <w:r>
        <w:rPr>
          <w:noProof/>
        </w:rPr>
        <w:t>Zřízené fungující evropské sítě odborníků na všechny klíčové přenosné nemoci včetně nových nemocí,</w:t>
      </w:r>
    </w:p>
    <w:p>
      <w:pPr>
        <w:pStyle w:val="Tiret1"/>
        <w:pBdr>
          <w:top w:val="single" w:sz="4" w:space="1" w:color="auto"/>
          <w:left w:val="single" w:sz="4" w:space="4" w:color="auto"/>
          <w:bottom w:val="single" w:sz="4" w:space="1" w:color="auto"/>
          <w:right w:val="single" w:sz="4" w:space="4" w:color="auto"/>
        </w:pBdr>
        <w:rPr>
          <w:noProof/>
        </w:rPr>
      </w:pPr>
      <w:r>
        <w:rPr>
          <w:noProof/>
        </w:rPr>
        <w:t>Včasné a proaktivní vstupy a podpora ze strany ECDC všem členským státům a Evropské komisi týkající se reakcí na zdravotní krize</w:t>
      </w:r>
    </w:p>
    <w:p>
      <w:pPr>
        <w:pStyle w:val="Tiret1"/>
        <w:pBdr>
          <w:top w:val="single" w:sz="4" w:space="1" w:color="auto"/>
          <w:left w:val="single" w:sz="4" w:space="4" w:color="auto"/>
          <w:bottom w:val="single" w:sz="4" w:space="1" w:color="auto"/>
          <w:right w:val="single" w:sz="4" w:space="4" w:color="auto"/>
        </w:pBdr>
        <w:rPr>
          <w:noProof/>
        </w:rPr>
      </w:pPr>
      <w:r>
        <w:rPr>
          <w:noProof/>
        </w:rPr>
        <w:t>Včasná a cílená podpora v případě zdravotní krize poskytovaná pracovní skupinou EU pro oblast zdraví</w:t>
      </w:r>
    </w:p>
    <w:p>
      <w:pPr>
        <w:pStyle w:val="Tiret1"/>
        <w:pBdr>
          <w:top w:val="single" w:sz="4" w:space="1" w:color="auto"/>
          <w:left w:val="single" w:sz="4" w:space="4" w:color="auto"/>
          <w:bottom w:val="single" w:sz="4" w:space="1" w:color="auto"/>
          <w:right w:val="single" w:sz="4" w:space="4" w:color="auto"/>
        </w:pBdr>
        <w:rPr>
          <w:noProof/>
        </w:rPr>
      </w:pPr>
      <w:r>
        <w:rPr>
          <w:noProof/>
        </w:rPr>
        <w:t>Včasné a aktuální informace a plynulá spolupráce s dalšími středisky CDC a mezinárodními zdravotnickými organizacemi.</w:t>
      </w:r>
    </w:p>
    <w:p>
      <w:pPr>
        <w:pStyle w:val="ManualHeading3"/>
        <w:rPr>
          <w:bCs/>
          <w:noProof/>
          <w:szCs w:val="24"/>
        </w:rPr>
      </w:pPr>
      <w:bookmarkStart w:id="35" w:name="_Toc58225955"/>
      <w:r>
        <w:t>1.4.4.</w:t>
      </w:r>
      <w:r>
        <w:tab/>
      </w:r>
      <w:r>
        <w:rPr>
          <w:noProof/>
        </w:rPr>
        <w:t>Ukazatele výkonnosti</w:t>
      </w:r>
      <w:bookmarkEnd w:id="34"/>
      <w:bookmarkEnd w:id="35"/>
      <w:r>
        <w:rPr>
          <w:noProof/>
        </w:rPr>
        <w:t xml:space="preserve"> </w:t>
      </w:r>
    </w:p>
    <w:p>
      <w:pPr>
        <w:pStyle w:val="Text1"/>
        <w:rPr>
          <w:i/>
          <w:noProof/>
          <w:sz w:val="20"/>
        </w:rPr>
      </w:pPr>
      <w:r>
        <w:rPr>
          <w:i/>
          <w:noProof/>
          <w:sz w:val="20"/>
        </w:rPr>
        <w:t>Upřesněte ukazatele pro sledování pokroku a dosažených výsledků.</w:t>
      </w:r>
    </w:p>
    <w:p>
      <w:pPr>
        <w:pStyle w:val="Text1"/>
        <w:pBdr>
          <w:top w:val="single" w:sz="4" w:space="1" w:color="auto"/>
          <w:left w:val="single" w:sz="4" w:space="1" w:color="auto"/>
          <w:bottom w:val="single" w:sz="4" w:space="1" w:color="auto"/>
          <w:right w:val="single" w:sz="4" w:space="1" w:color="auto"/>
        </w:pBdr>
        <w:rPr>
          <w:noProof/>
          <w:sz w:val="23"/>
          <w:szCs w:val="23"/>
        </w:rPr>
      </w:pPr>
      <w:r>
        <w:rPr>
          <w:noProof/>
          <w:sz w:val="23"/>
          <w:szCs w:val="23"/>
        </w:rPr>
        <w:t xml:space="preserve">Podrobné cíle a očekávané výsledky včetně ukazatelů výkonnosti budou stanoveny v ročním pracovním programu, zatímco obecné strategické cíle, očekávané výsledky a ukazatele výkonnosti budou stanoveny ve víceletém pracovním programu. </w:t>
      </w:r>
    </w:p>
    <w:p>
      <w:pPr>
        <w:pStyle w:val="Text1"/>
        <w:pBdr>
          <w:top w:val="single" w:sz="4" w:space="1" w:color="auto"/>
          <w:left w:val="single" w:sz="4" w:space="1" w:color="auto"/>
          <w:bottom w:val="single" w:sz="4" w:space="1" w:color="auto"/>
          <w:right w:val="single" w:sz="4" w:space="1" w:color="auto"/>
        </w:pBdr>
        <w:rPr>
          <w:noProof/>
          <w:sz w:val="23"/>
          <w:szCs w:val="23"/>
        </w:rPr>
      </w:pPr>
      <w:r>
        <w:rPr>
          <w:noProof/>
          <w:sz w:val="23"/>
          <w:szCs w:val="23"/>
        </w:rPr>
        <w:t>Pro specifické úkoly a akce uvedené v aktuálním návrhu jsou předloženy následující ukazatele:</w:t>
      </w:r>
    </w:p>
    <w:p>
      <w:pPr>
        <w:pStyle w:val="Text1"/>
        <w:pBdr>
          <w:top w:val="single" w:sz="4" w:space="1" w:color="auto"/>
          <w:left w:val="single" w:sz="4" w:space="1" w:color="auto"/>
          <w:bottom w:val="single" w:sz="4" w:space="1" w:color="auto"/>
          <w:right w:val="single" w:sz="4" w:space="1" w:color="auto"/>
        </w:pBdr>
        <w:rPr>
          <w:noProof/>
        </w:rPr>
      </w:pPr>
      <w:r>
        <w:rPr>
          <w:noProof/>
        </w:rPr>
        <w:t xml:space="preserve">– počet posouzení rizik proaktivním způsobem v případě potřeby nebo na žádost Evropské komise nebo Výboru pro zdravotní bezpečnost do 1–5 dnů, v závislosti na velikosti rozšíření nákazy nebo jiné události v oblasti zdravotní bezpečnosti, </w:t>
      </w:r>
    </w:p>
    <w:p>
      <w:pPr>
        <w:pStyle w:val="Text1"/>
        <w:pBdr>
          <w:top w:val="single" w:sz="4" w:space="1" w:color="auto"/>
          <w:left w:val="single" w:sz="4" w:space="1" w:color="auto"/>
          <w:bottom w:val="single" w:sz="4" w:space="1" w:color="auto"/>
          <w:right w:val="single" w:sz="4" w:space="1" w:color="auto"/>
        </w:pBdr>
        <w:rPr>
          <w:noProof/>
        </w:rPr>
      </w:pPr>
      <w:r>
        <w:rPr>
          <w:noProof/>
        </w:rPr>
        <w:t>– počet vytvořených vzdělávacích modulů pro připravenost.</w:t>
      </w:r>
    </w:p>
    <w:p>
      <w:pPr>
        <w:pStyle w:val="Text1"/>
        <w:pBdr>
          <w:top w:val="single" w:sz="4" w:space="1" w:color="auto"/>
          <w:left w:val="single" w:sz="4" w:space="1" w:color="auto"/>
          <w:bottom w:val="single" w:sz="4" w:space="1" w:color="auto"/>
          <w:right w:val="single" w:sz="4" w:space="1" w:color="auto"/>
        </w:pBdr>
        <w:rPr>
          <w:noProof/>
        </w:rPr>
      </w:pPr>
      <w:r>
        <w:rPr>
          <w:noProof/>
        </w:rPr>
        <w:t>– procento zvýšení kapacity systému TESSy a rozšíření EWRS při zachování jeho rychlosti při výměně informací,</w:t>
      </w:r>
    </w:p>
    <w:p>
      <w:pPr>
        <w:pStyle w:val="Text1"/>
        <w:pBdr>
          <w:top w:val="single" w:sz="4" w:space="1" w:color="auto"/>
          <w:left w:val="single" w:sz="4" w:space="1" w:color="auto"/>
          <w:bottom w:val="single" w:sz="4" w:space="1" w:color="auto"/>
          <w:right w:val="single" w:sz="4" w:space="1" w:color="auto"/>
        </w:pBdr>
        <w:rPr>
          <w:noProof/>
        </w:rPr>
      </w:pPr>
      <w:r>
        <w:rPr>
          <w:noProof/>
        </w:rPr>
        <w:t>– počet rychlých cílených zásahů pracovní skupiny EU pro oblast zdraví.</w:t>
      </w:r>
    </w:p>
    <w:p>
      <w:pPr>
        <w:pStyle w:val="ManualHeading2"/>
        <w:rPr>
          <w:bCs/>
          <w:noProof/>
          <w:szCs w:val="24"/>
        </w:rPr>
      </w:pPr>
      <w:bookmarkStart w:id="36" w:name="_Toc514938668"/>
      <w:bookmarkStart w:id="37" w:name="_Toc58225956"/>
      <w:r>
        <w:t>1.5.</w:t>
      </w:r>
      <w:r>
        <w:tab/>
      </w:r>
      <w:r>
        <w:rPr>
          <w:noProof/>
        </w:rPr>
        <w:t>Odůvodnění návrhu/podnětu</w:t>
      </w:r>
      <w:bookmarkEnd w:id="36"/>
      <w:bookmarkEnd w:id="37"/>
      <w:r>
        <w:rPr>
          <w:noProof/>
        </w:rPr>
        <w:t xml:space="preserve"> </w:t>
      </w:r>
    </w:p>
    <w:p>
      <w:pPr>
        <w:pStyle w:val="ManualHeading3"/>
        <w:rPr>
          <w:noProof/>
        </w:rPr>
      </w:pPr>
      <w:bookmarkStart w:id="38" w:name="_Toc514938669"/>
      <w:bookmarkStart w:id="39" w:name="_Toc58225957"/>
      <w:r>
        <w:t>1.5.1.</w:t>
      </w:r>
      <w:r>
        <w:tab/>
      </w:r>
      <w:r>
        <w:rPr>
          <w:noProof/>
        </w:rPr>
        <w:t>Potřeby, které mají být uspokojeny v krátkodobém nebo dlouhodobém horizontu, včetně podrobného harmonogramu pro zahajovací fázi provádění podnětu</w:t>
      </w:r>
      <w:bookmarkEnd w:id="38"/>
      <w:bookmarkEnd w:id="39"/>
    </w:p>
    <w:p>
      <w:pPr>
        <w:pStyle w:val="Text1"/>
        <w:pBdr>
          <w:top w:val="single" w:sz="4" w:space="1" w:color="auto"/>
          <w:left w:val="single" w:sz="4" w:space="4" w:color="auto"/>
          <w:bottom w:val="single" w:sz="4" w:space="1" w:color="auto"/>
          <w:right w:val="single" w:sz="4" w:space="4" w:color="auto"/>
        </w:pBdr>
        <w:rPr>
          <w:noProof/>
        </w:rPr>
      </w:pPr>
      <w:r>
        <w:rPr>
          <w:noProof/>
        </w:rPr>
        <w:t>Jedna ze zkušeností získaných v souvislosti s pandemií COVID-19 ukázala, je třeba posílit rámec EU pro zdravotní bezpečnost, aby se zlepšila koordinace EU v oblasti připravenosti a reakce na vážné přeshraniční zdravotní hrozby. Středisko ECDC je v tomto rámci klíčovým hráčem a musí být cíleně posíleno, aby mohlo provádět větší škálu opatření.</w:t>
      </w:r>
    </w:p>
    <w:p>
      <w:pPr>
        <w:pStyle w:val="Text1"/>
        <w:pBdr>
          <w:top w:val="single" w:sz="4" w:space="1" w:color="auto"/>
          <w:left w:val="single" w:sz="4" w:space="4" w:color="auto"/>
          <w:bottom w:val="single" w:sz="4" w:space="1" w:color="auto"/>
          <w:right w:val="single" w:sz="4" w:space="4" w:color="auto"/>
        </w:pBdr>
        <w:rPr>
          <w:noProof/>
          <w:color w:val="0000FF"/>
        </w:rPr>
      </w:pPr>
      <w:r>
        <w:rPr>
          <w:noProof/>
        </w:rPr>
        <w:t>Revize mandátu by měla proběhnout počátkem roku 2021 a měla by být okamžitě provedena.</w:t>
      </w:r>
    </w:p>
    <w:p>
      <w:pPr>
        <w:pStyle w:val="ManualHeading3"/>
        <w:rPr>
          <w:bCs/>
          <w:noProof/>
          <w:szCs w:val="24"/>
        </w:rPr>
      </w:pPr>
      <w:bookmarkStart w:id="40" w:name="_Toc514938670"/>
      <w:bookmarkStart w:id="41" w:name="_Toc58225958"/>
      <w:r>
        <w:t>1.5.2.</w:t>
      </w:r>
      <w:r>
        <w:tab/>
      </w:r>
      <w:r>
        <w:rPr>
          <w:noProof/>
        </w:rPr>
        <w:t>Přidaná hodnota ze zapojení Unie (může být důsledkem různých faktorů, např. přínosů z koordinace, právní jistoty, vyšší účinnosti nebo doplňkovosti). Pro účely tohoto bodu se „přidanou hodnotou ze zapojení Unie“ rozumí hodnota plynoucí ze zásahu Unie, jež doplňuje hodnotu, která by jinak vznikla činností samotných členských států.</w:t>
      </w:r>
      <w:bookmarkEnd w:id="40"/>
      <w:bookmarkEnd w:id="41"/>
    </w:p>
    <w:p>
      <w:pPr>
        <w:pStyle w:val="Text1"/>
        <w:pBdr>
          <w:top w:val="single" w:sz="4" w:space="1" w:color="auto"/>
          <w:left w:val="single" w:sz="4" w:space="4" w:color="auto"/>
          <w:bottom w:val="single" w:sz="4" w:space="1" w:color="auto"/>
          <w:right w:val="single" w:sz="4" w:space="4" w:color="auto"/>
        </w:pBdr>
        <w:rPr>
          <w:noProof/>
        </w:rPr>
      </w:pPr>
      <w:bookmarkStart w:id="42" w:name="_Toc514938671"/>
      <w:r>
        <w:rPr>
          <w:noProof/>
        </w:rPr>
        <w:t>Důvody pro akci na evropské úrovni (</w:t>
      </w:r>
      <w:r>
        <w:rPr>
          <w:i/>
          <w:noProof/>
        </w:rPr>
        <w:t>ex ante</w:t>
      </w:r>
      <w:r>
        <w:rPr>
          <w:noProof/>
        </w:rPr>
        <w:t xml:space="preserve">): ECDC je zřízenou decentralizovanou agenturou EU a podpora, kterou poskytuje členským státům, jakož i vědecké publikace jsou klíčovými prvky pro připravenost a reakci v případě přeshraniční zdravotní hrozby. Na základě získaných poznatků v souvislosti s pandemií COVID-19 je načase provést revizi mandátu s cílem posílit připravenost v Evropské unii. </w:t>
      </w:r>
    </w:p>
    <w:p>
      <w:pPr>
        <w:pStyle w:val="Text1"/>
        <w:pBdr>
          <w:top w:val="single" w:sz="4" w:space="1" w:color="auto"/>
          <w:left w:val="single" w:sz="4" w:space="4" w:color="auto"/>
          <w:bottom w:val="single" w:sz="4" w:space="1" w:color="auto"/>
          <w:right w:val="single" w:sz="4" w:space="4" w:color="auto"/>
        </w:pBdr>
        <w:rPr>
          <w:noProof/>
        </w:rPr>
      </w:pPr>
      <w:r>
        <w:rPr>
          <w:noProof/>
        </w:rPr>
        <w:t>Očekávaná generovaná přidaná hodnota Unie (</w:t>
      </w:r>
      <w:r>
        <w:rPr>
          <w:i/>
          <w:noProof/>
        </w:rPr>
        <w:t>ex post</w:t>
      </w:r>
      <w:r>
        <w:rPr>
          <w:noProof/>
        </w:rPr>
        <w:t>) – členské státy budou lépe připraveny čelit možným budoucím pandemiím a dalším přeshraničním zdravotním hrozbám.</w:t>
      </w:r>
    </w:p>
    <w:p>
      <w:pPr>
        <w:pStyle w:val="ManualHeading3"/>
        <w:rPr>
          <w:noProof/>
        </w:rPr>
      </w:pPr>
      <w:bookmarkStart w:id="43" w:name="_Toc58225959"/>
      <w:r>
        <w:t>1.5.3.</w:t>
      </w:r>
      <w:r>
        <w:tab/>
      </w:r>
      <w:r>
        <w:rPr>
          <w:noProof/>
        </w:rPr>
        <w:t>Závěry vyvozené z podobných zkušeností v minulosti</w:t>
      </w:r>
      <w:bookmarkEnd w:id="42"/>
      <w:bookmarkEnd w:id="43"/>
    </w:p>
    <w:p>
      <w:pPr>
        <w:pStyle w:val="Text1"/>
        <w:pBdr>
          <w:top w:val="single" w:sz="4" w:space="1" w:color="auto"/>
          <w:left w:val="single" w:sz="4" w:space="4" w:color="auto"/>
          <w:bottom w:val="single" w:sz="4" w:space="1" w:color="auto"/>
          <w:right w:val="single" w:sz="4" w:space="4" w:color="auto"/>
        </w:pBdr>
        <w:rPr>
          <w:noProof/>
        </w:rPr>
      </w:pPr>
      <w:bookmarkStart w:id="44" w:name="_Toc514938672"/>
      <w:r>
        <w:rPr>
          <w:noProof/>
        </w:rPr>
        <w:t>Pandemie COVID-19 sice stále probíhá, avšak tento návrh vychází z poznatků získaných během posledních měsíců této pandemie. Zejména je zapotřebí lepší připravenost a sledování.</w:t>
      </w:r>
    </w:p>
    <w:p>
      <w:pPr>
        <w:pStyle w:val="Text1"/>
        <w:pBdr>
          <w:top w:val="single" w:sz="4" w:space="1" w:color="auto"/>
          <w:left w:val="single" w:sz="4" w:space="4" w:color="auto"/>
          <w:bottom w:val="single" w:sz="4" w:space="1" w:color="auto"/>
          <w:right w:val="single" w:sz="4" w:space="4" w:color="auto"/>
        </w:pBdr>
        <w:rPr>
          <w:noProof/>
        </w:rPr>
      </w:pPr>
      <w:r>
        <w:rPr>
          <w:noProof/>
        </w:rPr>
        <w:t>Byly zohledněny zkušenosti s předchozími revizemi mandátů jiných decentralizovaných agentur EU, např. EFSA.</w:t>
      </w:r>
    </w:p>
    <w:p>
      <w:pPr>
        <w:pStyle w:val="ManualHeading3"/>
        <w:rPr>
          <w:noProof/>
        </w:rPr>
      </w:pPr>
      <w:bookmarkStart w:id="45" w:name="_Toc58225960"/>
      <w:r>
        <w:t>1.5.4.</w:t>
      </w:r>
      <w:r>
        <w:tab/>
      </w:r>
      <w:r>
        <w:rPr>
          <w:noProof/>
        </w:rPr>
        <w:t>Slučitelnost s víceletým finančním rámcem a možné synergie s dalšími vhodnými nástroji</w:t>
      </w:r>
      <w:bookmarkEnd w:id="44"/>
      <w:bookmarkEnd w:id="45"/>
    </w:p>
    <w:p>
      <w:pPr>
        <w:pStyle w:val="Text1"/>
        <w:pBdr>
          <w:top w:val="single" w:sz="4" w:space="1" w:color="auto"/>
          <w:left w:val="single" w:sz="4" w:space="4" w:color="auto"/>
          <w:bottom w:val="single" w:sz="4" w:space="1" w:color="auto"/>
          <w:right w:val="single" w:sz="4" w:space="4" w:color="auto"/>
        </w:pBdr>
        <w:rPr>
          <w:noProof/>
          <w:sz w:val="23"/>
          <w:szCs w:val="23"/>
        </w:rPr>
      </w:pPr>
      <w:r>
        <w:rPr>
          <w:noProof/>
          <w:sz w:val="23"/>
          <w:szCs w:val="23"/>
        </w:rPr>
        <w:t>Agentura by měla spolupracovat s dalšími subjekty a agenturami Unie, jako je Evropská agentura pro léčivé přípravky (EMA), Evropský úřad pro bezpečnost potravin (EFSA) a Evropská agentura pro životní prostředí (EEA), podporovat součinnosti s těmito subjekty a agenturami, plně využívat programu „EU pro zdraví“ a dalších programů EU, z nichž se financují akce v oblasti veřejného zdraví, a zajistit s těmito programy soulad.</w:t>
      </w:r>
    </w:p>
    <w:p>
      <w:pPr>
        <w:pStyle w:val="Text1"/>
        <w:pBdr>
          <w:top w:val="single" w:sz="4" w:space="1" w:color="auto"/>
          <w:left w:val="single" w:sz="4" w:space="4" w:color="auto"/>
          <w:bottom w:val="single" w:sz="4" w:space="1" w:color="auto"/>
          <w:right w:val="single" w:sz="4" w:space="4" w:color="auto"/>
        </w:pBdr>
        <w:rPr>
          <w:noProof/>
          <w:sz w:val="23"/>
          <w:szCs w:val="23"/>
        </w:rPr>
      </w:pPr>
    </w:p>
    <w:p>
      <w:pPr>
        <w:pStyle w:val="ManualHeading3"/>
        <w:rPr>
          <w:noProof/>
        </w:rPr>
      </w:pPr>
      <w:bookmarkStart w:id="46" w:name="_Toc514938673"/>
      <w:bookmarkStart w:id="47" w:name="_Toc58225961"/>
      <w:r>
        <w:t>1.5.5.</w:t>
      </w:r>
      <w:r>
        <w:tab/>
      </w:r>
      <w:r>
        <w:rPr>
          <w:noProof/>
        </w:rPr>
        <w:t>Posouzení různých dostupných možností financování, včetně prostoru pro přerozdělení prostředků</w:t>
      </w:r>
      <w:bookmarkEnd w:id="46"/>
      <w:bookmarkEnd w:id="47"/>
    </w:p>
    <w:p>
      <w:pPr>
        <w:pStyle w:val="Text1"/>
        <w:pBdr>
          <w:top w:val="single" w:sz="4" w:space="1" w:color="auto"/>
          <w:left w:val="single" w:sz="4" w:space="4" w:color="auto"/>
          <w:bottom w:val="single" w:sz="4" w:space="1" w:color="auto"/>
          <w:right w:val="single" w:sz="4" w:space="4" w:color="auto"/>
        </w:pBdr>
        <w:rPr>
          <w:noProof/>
          <w:sz w:val="23"/>
          <w:szCs w:val="23"/>
        </w:rPr>
      </w:pPr>
      <w:r>
        <w:rPr>
          <w:noProof/>
          <w:sz w:val="23"/>
          <w:szCs w:val="23"/>
        </w:rPr>
        <w:t>Neuvedeno</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rPr>
      </w:pPr>
    </w:p>
    <w:p>
      <w:pPr>
        <w:pStyle w:val="ManualHeading2"/>
        <w:rPr>
          <w:bCs/>
          <w:noProof/>
          <w:szCs w:val="24"/>
        </w:rPr>
      </w:pPr>
      <w:r>
        <w:rPr>
          <w:noProof/>
        </w:rPr>
        <w:br w:type="page"/>
      </w:r>
      <w:bookmarkStart w:id="48" w:name="_Toc514938674"/>
      <w:bookmarkStart w:id="49" w:name="_Toc58225962"/>
      <w:r>
        <w:t>1.6.</w:t>
      </w:r>
      <w:r>
        <w:tab/>
      </w:r>
      <w:r>
        <w:rPr>
          <w:noProof/>
        </w:rPr>
        <w:t>Doba trvání a finanční dopad návrhu/podnětu</w:t>
      </w:r>
      <w:bookmarkEnd w:id="48"/>
      <w:bookmarkEnd w:id="49"/>
    </w:p>
    <w:p>
      <w:pPr>
        <w:pStyle w:val="Text1"/>
        <w:rPr>
          <w:noProof/>
        </w:rPr>
      </w:pPr>
      <w:r>
        <w:rPr>
          <w:noProof/>
        </w:rPr>
        <w:sym w:font="Wingdings" w:char="F0A8"/>
      </w:r>
      <w:r>
        <w:rPr>
          <w:b/>
          <w:i/>
          <w:noProof/>
        </w:rPr>
        <w:t xml:space="preserve"> </w:t>
      </w:r>
      <w:r>
        <w:rPr>
          <w:b/>
          <w:noProof/>
        </w:rPr>
        <w:t xml:space="preserve">Časově omezená doba trvání </w:t>
      </w:r>
    </w:p>
    <w:p>
      <w:pPr>
        <w:pStyle w:val="ListDash2"/>
        <w:rPr>
          <w:noProof/>
        </w:rPr>
      </w:pPr>
      <w:r>
        <w:rPr>
          <w:noProof/>
        </w:rPr>
        <w:sym w:font="Wingdings" w:char="F0A8"/>
      </w:r>
      <w:r>
        <w:rPr>
          <w:noProof/>
        </w:rPr>
        <w:tab/>
        <w:t xml:space="preserve">návrh/podnět s platností od [DD.MM]RRRR do [DD.MM]RRRR, </w:t>
      </w:r>
    </w:p>
    <w:p>
      <w:pPr>
        <w:pStyle w:val="ListDash2"/>
        <w:rPr>
          <w:noProof/>
        </w:rPr>
      </w:pPr>
      <w:r>
        <w:rPr>
          <w:noProof/>
        </w:rPr>
        <w:sym w:font="Wingdings" w:char="F0A8"/>
      </w:r>
      <w:r>
        <w:rPr>
          <w:noProof/>
        </w:rPr>
        <w:tab/>
        <w:t>finanční dopad od RRRR do RRRR</w:t>
      </w:r>
    </w:p>
    <w:p>
      <w:pPr>
        <w:pStyle w:val="Text1"/>
        <w:rPr>
          <w:noProof/>
        </w:rPr>
      </w:pPr>
      <w:r>
        <w:rPr>
          <w:noProof/>
        </w:rPr>
        <w:t>X</w:t>
      </w:r>
      <w:r>
        <w:rPr>
          <w:b/>
          <w:i/>
          <w:noProof/>
        </w:rPr>
        <w:t xml:space="preserve"> </w:t>
      </w:r>
      <w:r>
        <w:rPr>
          <w:b/>
          <w:noProof/>
        </w:rPr>
        <w:t>Časově neomezená doba trvání</w:t>
      </w:r>
    </w:p>
    <w:p>
      <w:pPr>
        <w:pStyle w:val="ListDash1"/>
        <w:rPr>
          <w:noProof/>
        </w:rPr>
      </w:pPr>
      <w:r>
        <w:rPr>
          <w:noProof/>
        </w:rPr>
        <w:t>Provádění s obdobím rozběhu od ledna 2021 do prosince 2023,</w:t>
      </w:r>
    </w:p>
    <w:p>
      <w:pPr>
        <w:pStyle w:val="ListDash1"/>
        <w:rPr>
          <w:noProof/>
        </w:rPr>
      </w:pPr>
      <w:r>
        <w:rPr>
          <w:noProof/>
        </w:rPr>
        <w:t>poté plné fungování.</w:t>
      </w:r>
    </w:p>
    <w:p>
      <w:pPr>
        <w:pStyle w:val="ManualHeading2"/>
        <w:rPr>
          <w:bCs/>
          <w:noProof/>
          <w:szCs w:val="24"/>
        </w:rPr>
      </w:pPr>
      <w:bookmarkStart w:id="50" w:name="_Toc58225963"/>
      <w:bookmarkStart w:id="51" w:name="_Toc514938675"/>
      <w:r>
        <w:t>1.7.</w:t>
      </w:r>
      <w:r>
        <w:tab/>
      </w:r>
      <w:r>
        <w:rPr>
          <w:noProof/>
        </w:rPr>
        <w:t>Předpokládaný způsob řízení</w:t>
      </w:r>
      <w:r>
        <w:rPr>
          <w:rStyle w:val="FootnoteReference"/>
          <w:noProof/>
        </w:rPr>
        <w:footnoteReference w:id="15"/>
      </w:r>
      <w:bookmarkEnd w:id="50"/>
      <w:r>
        <w:rPr>
          <w:rStyle w:val="FootnoteReference"/>
          <w:noProof/>
        </w:rPr>
        <w:t xml:space="preserve"> </w:t>
      </w:r>
      <w:bookmarkEnd w:id="51"/>
      <w:r>
        <w:rPr>
          <w:rStyle w:val="FootnoteReference"/>
          <w:noProof/>
        </w:rPr>
        <w:t xml:space="preserve"> </w:t>
      </w:r>
    </w:p>
    <w:p>
      <w:pPr>
        <w:pStyle w:val="Text1"/>
        <w:rPr>
          <w:noProof/>
        </w:rPr>
      </w:pPr>
      <w:r>
        <w:rPr>
          <w:noProof/>
        </w:rPr>
        <w:sym w:font="Wingdings" w:char="F0A8"/>
      </w:r>
      <w:r>
        <w:rPr>
          <w:i/>
          <w:noProof/>
        </w:rPr>
        <w:t xml:space="preserve"> </w:t>
      </w:r>
      <w:r>
        <w:rPr>
          <w:b/>
          <w:noProof/>
        </w:rPr>
        <w:t>Přímé řízení</w:t>
      </w:r>
      <w:r>
        <w:rPr>
          <w:noProof/>
        </w:rPr>
        <w:t xml:space="preserve"> Komisí prostřednictvím</w:t>
      </w:r>
    </w:p>
    <w:p>
      <w:pPr>
        <w:pStyle w:val="ListDash2"/>
        <w:rPr>
          <w:noProof/>
        </w:rPr>
      </w:pPr>
      <w:r>
        <w:rPr>
          <w:noProof/>
        </w:rPr>
        <w:sym w:font="Wingdings" w:char="F0A8"/>
      </w:r>
      <w:r>
        <w:rPr>
          <w:noProof/>
        </w:rPr>
        <w:tab/>
        <w:t xml:space="preserve">výkonných agentur </w:t>
      </w:r>
    </w:p>
    <w:p>
      <w:pPr>
        <w:pStyle w:val="Text1"/>
        <w:rPr>
          <w:noProof/>
        </w:rPr>
      </w:pPr>
      <w:r>
        <w:rPr>
          <w:noProof/>
        </w:rPr>
        <w:sym w:font="Wingdings" w:char="F0A8"/>
      </w:r>
      <w:r>
        <w:rPr>
          <w:b/>
          <w:i/>
          <w:noProof/>
        </w:rPr>
        <w:t xml:space="preserve"> </w:t>
      </w:r>
      <w:r>
        <w:rPr>
          <w:b/>
          <w:noProof/>
        </w:rPr>
        <w:t>Sdílené řízení</w:t>
      </w:r>
      <w:r>
        <w:rPr>
          <w:noProof/>
        </w:rPr>
        <w:t xml:space="preserve"> s členskými státy </w:t>
      </w:r>
    </w:p>
    <w:p>
      <w:pPr>
        <w:pStyle w:val="Text1"/>
        <w:rPr>
          <w:noProof/>
        </w:rPr>
      </w:pPr>
      <w:r>
        <w:rPr>
          <w:noProof/>
        </w:rPr>
        <w:t>X</w:t>
      </w:r>
      <w:r>
        <w:rPr>
          <w:i/>
          <w:noProof/>
        </w:rPr>
        <w:t xml:space="preserve"> </w:t>
      </w:r>
      <w:r>
        <w:rPr>
          <w:b/>
          <w:noProof/>
        </w:rPr>
        <w:t>Nepřímé řízení</w:t>
      </w:r>
      <w:r>
        <w:rPr>
          <w:noProof/>
        </w:rPr>
        <w:t>, při kterém jsou úkoly souvisejícími s plněním rozpočtu pověřeny:</w:t>
      </w:r>
    </w:p>
    <w:p>
      <w:pPr>
        <w:pStyle w:val="Text1"/>
        <w:rPr>
          <w:noProof/>
        </w:rPr>
      </w:pPr>
      <w:r>
        <w:rPr>
          <w:noProof/>
        </w:rPr>
        <w:sym w:font="Wingdings" w:char="F0A8"/>
      </w:r>
      <w:r>
        <w:rPr>
          <w:noProof/>
        </w:rPr>
        <w:t xml:space="preserve"> mezinárodní organizace a jejich agentury (upřesněte),</w:t>
      </w:r>
    </w:p>
    <w:p>
      <w:pPr>
        <w:pStyle w:val="Text1"/>
        <w:rPr>
          <w:noProof/>
        </w:rPr>
      </w:pPr>
      <w:r>
        <w:rPr>
          <w:noProof/>
        </w:rPr>
        <w:sym w:font="Wingdings" w:char="F0A8"/>
      </w:r>
      <w:r>
        <w:rPr>
          <w:noProof/>
        </w:rPr>
        <w:t>EIB a Evropský investiční fond,</w:t>
      </w:r>
    </w:p>
    <w:p>
      <w:pPr>
        <w:pStyle w:val="Text1"/>
        <w:rPr>
          <w:noProof/>
        </w:rPr>
      </w:pPr>
      <w:r>
        <w:rPr>
          <w:noProof/>
        </w:rPr>
        <w:t>X subjekty uvedené v článcích 70 a 71,</w:t>
      </w:r>
    </w:p>
    <w:p>
      <w:pPr>
        <w:pStyle w:val="Text1"/>
        <w:rPr>
          <w:noProof/>
        </w:rPr>
      </w:pPr>
      <w:r>
        <w:rPr>
          <w:noProof/>
        </w:rPr>
        <w:sym w:font="Wingdings" w:char="F0A8"/>
      </w:r>
      <w:r>
        <w:rPr>
          <w:noProof/>
        </w:rPr>
        <w:t xml:space="preserve"> veřejnoprávní subjekty,</w:t>
      </w:r>
    </w:p>
    <w:p>
      <w:pPr>
        <w:pStyle w:val="Text1"/>
        <w:rPr>
          <w:noProof/>
        </w:rPr>
      </w:pPr>
      <w:r>
        <w:rPr>
          <w:noProof/>
        </w:rPr>
        <w:sym w:font="Wingdings" w:char="F0A8"/>
      </w:r>
      <w:r>
        <w:rPr>
          <w:noProof/>
        </w:rPr>
        <w:t xml:space="preserve"> soukromoprávní subjekty pověřené výkonem veřejné služby v rozsahu, v jakém poskytují dostatečné finanční záruky,</w:t>
      </w:r>
    </w:p>
    <w:p>
      <w:pPr>
        <w:pStyle w:val="Text1"/>
        <w:rPr>
          <w:noProof/>
        </w:rPr>
      </w:pPr>
      <w:r>
        <w:rPr>
          <w:noProof/>
        </w:rPr>
        <w:sym w:font="Wingdings" w:char="F0A8"/>
      </w:r>
      <w:r>
        <w:rPr>
          <w:noProof/>
        </w:rPr>
        <w:t xml:space="preserve"> soukromoprávní subjekty členského státu pověřené uskutečňováním partnerství soukromého a veřejného sektoru a poskytující dostatečné finanční záruky,</w:t>
      </w:r>
    </w:p>
    <w:p>
      <w:pPr>
        <w:pStyle w:val="Text1"/>
        <w:rPr>
          <w:noProof/>
        </w:rPr>
      </w:pPr>
      <w:r>
        <w:rPr>
          <w:noProof/>
        </w:rPr>
        <w:sym w:font="Wingdings" w:char="F0A8"/>
      </w:r>
      <w:r>
        <w:rPr>
          <w:noProof/>
        </w:rPr>
        <w:t xml:space="preserve"> osoby pověřené prováděním specifických akcí v rámci společné zahraniční a bezpečností politiky podle hlavy V Smlouvy o EU a určené v příslušném základním právním aktu.</w:t>
      </w:r>
    </w:p>
    <w:p>
      <w:pPr>
        <w:rPr>
          <w:noProof/>
        </w:rPr>
      </w:pPr>
      <w:r>
        <w:rPr>
          <w:noProof/>
        </w:rPr>
        <w:t>Poznámky</w:t>
      </w:r>
    </w:p>
    <w:p>
      <w:pPr>
        <w:pBdr>
          <w:top w:val="single" w:sz="4" w:space="1" w:color="auto"/>
          <w:left w:val="single" w:sz="4" w:space="4" w:color="auto"/>
          <w:bottom w:val="single" w:sz="4" w:space="1" w:color="auto"/>
          <w:right w:val="single" w:sz="4" w:space="4" w:color="auto"/>
        </w:pBdr>
        <w:rPr>
          <w:noProof/>
        </w:rPr>
      </w:pPr>
    </w:p>
    <w:p>
      <w:pPr>
        <w:pBdr>
          <w:top w:val="single" w:sz="4" w:space="1" w:color="auto"/>
          <w:left w:val="single" w:sz="4" w:space="4" w:color="auto"/>
          <w:bottom w:val="single" w:sz="4" w:space="1" w:color="auto"/>
          <w:right w:val="single" w:sz="4" w:space="4" w:color="auto"/>
        </w:pBdr>
        <w:rPr>
          <w:noProof/>
          <w:color w:val="0000FF"/>
        </w:rPr>
      </w:pPr>
    </w:p>
    <w:p>
      <w:pPr>
        <w:rPr>
          <w:noProof/>
        </w:rPr>
      </w:pPr>
    </w:p>
    <w:p>
      <w:pPr>
        <w:rPr>
          <w:noProof/>
        </w:rPr>
        <w:sectPr>
          <w:pgSz w:w="12240" w:h="15840"/>
          <w:pgMar w:top="794" w:right="907" w:bottom="851" w:left="1361" w:header="510" w:footer="454" w:gutter="0"/>
          <w:cols w:space="720"/>
          <w:docGrid w:linePitch="326"/>
        </w:sectPr>
      </w:pPr>
    </w:p>
    <w:p>
      <w:pPr>
        <w:pStyle w:val="ManualHeading1"/>
        <w:rPr>
          <w:bCs/>
          <w:noProof/>
          <w:szCs w:val="24"/>
        </w:rPr>
      </w:pPr>
      <w:bookmarkStart w:id="52" w:name="_Toc514938676"/>
      <w:bookmarkStart w:id="53" w:name="_Toc58225964"/>
      <w:r>
        <w:t>2.</w:t>
      </w:r>
      <w:r>
        <w:tab/>
      </w:r>
      <w:r>
        <w:rPr>
          <w:noProof/>
        </w:rPr>
        <w:t>SPRÁVNÍ OPATŘENÍ</w:t>
      </w:r>
      <w:bookmarkEnd w:id="52"/>
      <w:bookmarkEnd w:id="53"/>
      <w:r>
        <w:rPr>
          <w:noProof/>
        </w:rPr>
        <w:t xml:space="preserve"> </w:t>
      </w:r>
    </w:p>
    <w:p>
      <w:pPr>
        <w:pStyle w:val="ManualHeading2"/>
        <w:rPr>
          <w:bCs/>
          <w:noProof/>
          <w:szCs w:val="24"/>
        </w:rPr>
      </w:pPr>
      <w:bookmarkStart w:id="54" w:name="_Toc514938677"/>
      <w:bookmarkStart w:id="55" w:name="_Toc58225965"/>
      <w:r>
        <w:t>2.1.</w:t>
      </w:r>
      <w:r>
        <w:tab/>
      </w:r>
      <w:r>
        <w:rPr>
          <w:noProof/>
        </w:rPr>
        <w:t>Pravidla pro sledování a podávání zpráv</w:t>
      </w:r>
      <w:bookmarkEnd w:id="54"/>
      <w:bookmarkEnd w:id="55"/>
      <w:r>
        <w:rPr>
          <w:noProof/>
        </w:rPr>
        <w:t xml:space="preserve"> </w:t>
      </w:r>
    </w:p>
    <w:p>
      <w:pPr>
        <w:pStyle w:val="Text1"/>
        <w:rPr>
          <w:i/>
          <w:noProof/>
          <w:sz w:val="20"/>
        </w:rPr>
      </w:pPr>
      <w:r>
        <w:rPr>
          <w:i/>
          <w:noProof/>
          <w:sz w:val="20"/>
        </w:rPr>
        <w:t>Upřesněte četnost a podmínky.</w:t>
      </w:r>
    </w:p>
    <w:p>
      <w:pPr>
        <w:pStyle w:val="Text1"/>
        <w:pBdr>
          <w:top w:val="single" w:sz="4" w:space="1" w:color="auto"/>
          <w:left w:val="single" w:sz="4" w:space="4" w:color="auto"/>
          <w:bottom w:val="single" w:sz="4" w:space="1" w:color="auto"/>
          <w:right w:val="single" w:sz="4" w:space="4" w:color="auto"/>
        </w:pBdr>
        <w:rPr>
          <w:noProof/>
          <w:sz w:val="23"/>
          <w:szCs w:val="23"/>
        </w:rPr>
      </w:pPr>
      <w:r>
        <w:rPr>
          <w:noProof/>
          <w:sz w:val="23"/>
          <w:szCs w:val="23"/>
        </w:rPr>
        <w:t xml:space="preserve">Všechny agentury EU pracují na základě přísného systému sledování za účasti koordinátora vnitřní kontroly, útvaru vnitřního auditu Komise, správní rady, Komise, Účetního dvora a rozpočtového orgánu. Tento systém je zohledněn a stanoven v nařízení o zřízení střediska ECDC. </w:t>
      </w:r>
    </w:p>
    <w:p>
      <w:pPr>
        <w:pStyle w:val="Text1"/>
        <w:pBdr>
          <w:top w:val="single" w:sz="4" w:space="1" w:color="auto"/>
          <w:left w:val="single" w:sz="4" w:space="4" w:color="auto"/>
          <w:bottom w:val="single" w:sz="4" w:space="1" w:color="auto"/>
          <w:right w:val="single" w:sz="4" w:space="4" w:color="auto"/>
        </w:pBdr>
        <w:rPr>
          <w:noProof/>
          <w:sz w:val="23"/>
          <w:szCs w:val="23"/>
        </w:rPr>
      </w:pPr>
      <w:r>
        <w:rPr>
          <w:noProof/>
          <w:sz w:val="23"/>
          <w:szCs w:val="23"/>
        </w:rPr>
        <w:t xml:space="preserve">V souladu se společným prohlášením o decentralizovaných agenturách EU (dále jen „společný přístup“) a rámcovým finančním nařízením (2019/715) obsahuje roční pracovní program agentury podrobné cíle a očekávané výsledky, včetně stanovení ukazatelů výkonnosti. Agentura doplní své činnosti, které jsou zahrnuty do jejího pracovního programu, o klíčové ukazatele výkonnosti. Činnosti agentury budou poté v porovnání s těmito ukazateli vyhodnoceny v konsolidované výroční zprávě o činnosti. Roční pracovní program musí být v souladu s víceletým pracovním programem a oba budou zahrnuty do každoročního jednotného programového dokumentu, který se předkládá Evropskému parlamentu, Radě a Komisi. </w:t>
      </w:r>
    </w:p>
    <w:p>
      <w:pPr>
        <w:pStyle w:val="Text1"/>
        <w:pBdr>
          <w:top w:val="single" w:sz="4" w:space="1" w:color="auto"/>
          <w:left w:val="single" w:sz="4" w:space="4" w:color="auto"/>
          <w:bottom w:val="single" w:sz="4" w:space="1" w:color="auto"/>
          <w:right w:val="single" w:sz="4" w:space="4" w:color="auto"/>
        </w:pBdr>
        <w:rPr>
          <w:noProof/>
          <w:sz w:val="23"/>
          <w:szCs w:val="23"/>
        </w:rPr>
      </w:pPr>
      <w:r>
        <w:rPr>
          <w:noProof/>
          <w:sz w:val="23"/>
          <w:szCs w:val="23"/>
        </w:rPr>
        <w:t xml:space="preserve">Správní rada agentury je odpovědná za dozor nad účinností správního, provozního a rozpočtového řízení agentury. </w:t>
      </w:r>
    </w:p>
    <w:p>
      <w:pPr>
        <w:pStyle w:val="Text1"/>
        <w:pBdr>
          <w:top w:val="single" w:sz="4" w:space="1" w:color="auto"/>
          <w:left w:val="single" w:sz="4" w:space="4" w:color="auto"/>
          <w:bottom w:val="single" w:sz="4" w:space="1" w:color="auto"/>
          <w:right w:val="single" w:sz="4" w:space="4" w:color="auto"/>
        </w:pBdr>
        <w:rPr>
          <w:noProof/>
          <w:sz w:val="23"/>
          <w:szCs w:val="23"/>
        </w:rPr>
      </w:pPr>
      <w:r>
        <w:rPr>
          <w:noProof/>
          <w:sz w:val="23"/>
          <w:szCs w:val="23"/>
        </w:rPr>
        <w:t>Každých pět let (další hodnocení zahrne období 2018–2022) Komise posoudí výkonnost agentury ve vztahu k jejím cílům, mandátu a úkolům. Hodnocení se zejména zaměří na případnou potřebu upravit mandát agentury a finanční dopady jakékoli takové úpravy. Komise podá Evropskému parlamentu, Radě a správní radě zprávu o zjištěních, která z hodnocení vyplynou. Závěry hodnocení se zveřejní.</w:t>
      </w:r>
    </w:p>
    <w:p>
      <w:pPr>
        <w:pStyle w:val="Text1"/>
        <w:pBdr>
          <w:top w:val="single" w:sz="4" w:space="1" w:color="auto"/>
          <w:left w:val="single" w:sz="4" w:space="4" w:color="auto"/>
          <w:bottom w:val="single" w:sz="4" w:space="1" w:color="auto"/>
          <w:right w:val="single" w:sz="4" w:space="4" w:color="auto"/>
        </w:pBdr>
        <w:rPr>
          <w:noProof/>
        </w:rPr>
      </w:pPr>
    </w:p>
    <w:p>
      <w:pPr>
        <w:pStyle w:val="ManualHeading2"/>
        <w:rPr>
          <w:bCs/>
          <w:noProof/>
          <w:szCs w:val="24"/>
        </w:rPr>
      </w:pPr>
      <w:bookmarkStart w:id="56" w:name="_Toc514938678"/>
      <w:bookmarkStart w:id="57" w:name="_Toc58225966"/>
      <w:r>
        <w:t>2.2.</w:t>
      </w:r>
      <w:r>
        <w:tab/>
      </w:r>
      <w:r>
        <w:rPr>
          <w:noProof/>
        </w:rPr>
        <w:t>Systémy řízení a kontroly</w:t>
      </w:r>
      <w:bookmarkEnd w:id="56"/>
      <w:bookmarkEnd w:id="57"/>
      <w:r>
        <w:rPr>
          <w:noProof/>
        </w:rPr>
        <w:t xml:space="preserve"> </w:t>
      </w:r>
    </w:p>
    <w:p>
      <w:pPr>
        <w:pStyle w:val="ManualHeading3"/>
        <w:rPr>
          <w:noProof/>
        </w:rPr>
      </w:pPr>
      <w:bookmarkStart w:id="58" w:name="_Toc514938679"/>
      <w:bookmarkStart w:id="59" w:name="_Toc58225967"/>
      <w:r>
        <w:t>2.2.1.</w:t>
      </w:r>
      <w:r>
        <w:tab/>
      </w:r>
      <w:r>
        <w:rPr>
          <w:noProof/>
        </w:rPr>
        <w:t>Odůvodnění navrhovaných způsobů řízení, mechanismů provádění financování, způsobů plateb a kontrolní strategie</w:t>
      </w:r>
      <w:bookmarkEnd w:id="58"/>
      <w:bookmarkEnd w:id="59"/>
    </w:p>
    <w:p>
      <w:pPr>
        <w:pStyle w:val="Text1"/>
        <w:pBdr>
          <w:top w:val="single" w:sz="4" w:space="1" w:color="auto"/>
          <w:left w:val="single" w:sz="4" w:space="4" w:color="auto"/>
          <w:bottom w:val="single" w:sz="4" w:space="1" w:color="auto"/>
          <w:right w:val="single" w:sz="4" w:space="4" w:color="auto"/>
        </w:pBdr>
        <w:rPr>
          <w:noProof/>
          <w:sz w:val="23"/>
          <w:szCs w:val="23"/>
        </w:rPr>
      </w:pPr>
      <w:r>
        <w:rPr>
          <w:noProof/>
          <w:sz w:val="23"/>
          <w:szCs w:val="23"/>
        </w:rPr>
        <w:t xml:space="preserve">Roční dotace EU se agentuře převádí v souladu s jejími platebními potřebami a na její žádost. </w:t>
      </w:r>
    </w:p>
    <w:p>
      <w:pPr>
        <w:pStyle w:val="Text1"/>
        <w:pBdr>
          <w:top w:val="single" w:sz="4" w:space="1" w:color="auto"/>
          <w:left w:val="single" w:sz="4" w:space="4" w:color="auto"/>
          <w:bottom w:val="single" w:sz="4" w:space="1" w:color="auto"/>
          <w:right w:val="single" w:sz="4" w:space="4" w:color="auto"/>
        </w:pBdr>
        <w:rPr>
          <w:noProof/>
        </w:rPr>
      </w:pPr>
      <w:r>
        <w:rPr>
          <w:noProof/>
          <w:sz w:val="23"/>
          <w:szCs w:val="23"/>
        </w:rPr>
        <w:t>Na agenturu se budou vztahovat správní kontroly včetně rozpočtové kontroly, interního auditu, výročních zpráv Evropského účetního dvora, každoročního udělování absolutoria za plnění rozpočtu EU a případných vyšetřování prováděných úřadem OLAF, aby se zajistilo zejména řádné využívání zdrojů přidělených agenturám. Činnosti agentury budou rovněž podléhat dohledu veřejného ochránce práv v souladu s článkem 228 Smlouvy. Tyto správní kontroly poskytují četné procesní záruky zaručující zohlednění zájmů zúčastněných stran.</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noProof/>
        </w:rPr>
      </w:pPr>
      <w:bookmarkStart w:id="60" w:name="_Toc514938680"/>
      <w:bookmarkStart w:id="61" w:name="_Toc58225968"/>
      <w:r>
        <w:t>2.2.2.</w:t>
      </w:r>
      <w:r>
        <w:tab/>
      </w:r>
      <w:r>
        <w:rPr>
          <w:noProof/>
        </w:rPr>
        <w:t>Informace o zjištěných rizicích a systémech vnitřní kontroly zřízených k jejich zmírnění</w:t>
      </w:r>
      <w:bookmarkEnd w:id="60"/>
      <w:bookmarkEnd w:id="61"/>
    </w:p>
    <w:p>
      <w:pPr>
        <w:pStyle w:val="Text1"/>
        <w:pBdr>
          <w:top w:val="single" w:sz="4" w:space="1" w:color="auto"/>
          <w:left w:val="single" w:sz="4" w:space="4" w:color="auto"/>
          <w:bottom w:val="single" w:sz="4" w:space="1" w:color="auto"/>
          <w:right w:val="single" w:sz="4" w:space="4" w:color="auto"/>
        </w:pBdr>
        <w:rPr>
          <w:noProof/>
        </w:rPr>
      </w:pPr>
      <w:r>
        <w:rPr>
          <w:noProof/>
          <w:sz w:val="23"/>
          <w:szCs w:val="23"/>
        </w:rPr>
        <w:t>Hlavní riziko souvisí s tím, že plánované úkoly budou plněny nedostatečně, nebo vůbec. Aby se toto riziko zmírnilo, mělo by být k dispozici dostatek finančních i personálních zdrojů.</w:t>
      </w:r>
    </w:p>
    <w:p>
      <w:pPr>
        <w:pStyle w:val="ManualHeading2"/>
        <w:rPr>
          <w:bCs/>
          <w:noProof/>
          <w:szCs w:val="24"/>
        </w:rPr>
      </w:pPr>
      <w:bookmarkStart w:id="62" w:name="_Toc514938682"/>
      <w:bookmarkStart w:id="63" w:name="_Toc58225969"/>
      <w:r>
        <w:t>2.3.</w:t>
      </w:r>
      <w:r>
        <w:tab/>
      </w:r>
      <w:r>
        <w:rPr>
          <w:noProof/>
        </w:rPr>
        <w:t>Opatření k zamezení podvodů a nesrovnalostí</w:t>
      </w:r>
      <w:bookmarkEnd w:id="62"/>
      <w:bookmarkEnd w:id="63"/>
      <w:r>
        <w:rPr>
          <w:noProof/>
        </w:rPr>
        <w:t xml:space="preserve"> </w:t>
      </w:r>
    </w:p>
    <w:p>
      <w:pPr>
        <w:pStyle w:val="Text1"/>
        <w:rPr>
          <w:i/>
          <w:noProof/>
          <w:sz w:val="20"/>
        </w:rPr>
      </w:pPr>
      <w:r>
        <w:rPr>
          <w:i/>
          <w:noProof/>
          <w:sz w:val="20"/>
        </w:rPr>
        <w:t>Upřesněte stávající či předpokládaná preventivní a ochranná opatření, např. opatření uvedená ve strategii pro boj proti podvodům.</w:t>
      </w:r>
    </w:p>
    <w:p>
      <w:pPr>
        <w:pStyle w:val="Text1"/>
        <w:pBdr>
          <w:top w:val="single" w:sz="4" w:space="1" w:color="auto"/>
          <w:left w:val="single" w:sz="4" w:space="4" w:color="auto"/>
          <w:bottom w:val="single" w:sz="4" w:space="1" w:color="auto"/>
          <w:right w:val="single" w:sz="4" w:space="4" w:color="auto"/>
        </w:pBdr>
        <w:rPr>
          <w:noProof/>
        </w:rPr>
      </w:pPr>
      <w:r>
        <w:rPr>
          <w:noProof/>
          <w:sz w:val="23"/>
          <w:szCs w:val="23"/>
        </w:rPr>
        <w:t>Opatření proti podvodům jsou stanovena v článku 25 nařízení o zřízení Evropského střediska pro prevenci a kontrolu nemocí a výkonný ředitel a správní rada přijmou vhodná opatření v souladu se zásadami vnitřní kontroly uplatňovanými ve všech orgánech EU. V souladu se společným přístupem byla vypracována strategie proti podvodům, kterou agentura uplatňuje.</w:t>
      </w:r>
    </w:p>
    <w:p>
      <w:pPr>
        <w:pStyle w:val="Text1"/>
        <w:pBdr>
          <w:top w:val="single" w:sz="4" w:space="1" w:color="auto"/>
          <w:left w:val="single" w:sz="4" w:space="4" w:color="auto"/>
          <w:bottom w:val="single" w:sz="4" w:space="1" w:color="auto"/>
          <w:right w:val="single" w:sz="4" w:space="4" w:color="auto"/>
        </w:pBdr>
        <w:rPr>
          <w:noProof/>
        </w:rPr>
      </w:pPr>
      <w:r>
        <w:rPr>
          <w:noProof/>
        </w:rPr>
        <w:t>Mandát střediska ECDC jasně stanovuje, že ustanovení nařízení (EU, Euratom) č. 883/2013 platí bez omezení.</w:t>
      </w:r>
    </w:p>
    <w:p>
      <w:pPr>
        <w:pStyle w:val="Text1"/>
        <w:pBdr>
          <w:top w:val="single" w:sz="4" w:space="1" w:color="auto"/>
          <w:left w:val="single" w:sz="4" w:space="4" w:color="auto"/>
          <w:bottom w:val="single" w:sz="4" w:space="1" w:color="auto"/>
          <w:right w:val="single" w:sz="4" w:space="4" w:color="auto"/>
        </w:pBdr>
        <w:rPr>
          <w:noProof/>
        </w:rPr>
      </w:pPr>
      <w:r>
        <w:rPr>
          <w:noProof/>
        </w:rPr>
        <w:t>ECDC rovněž přistupuje k interinstitucionální dohodě ze dne 25. května 1999 o vnitřním vyšetřování prováděném Evropským úřadem pro boj proti podvodům (OLAF) (10) a neprodleně vydá odpovídající předpisy, které jsou platné pro všechny jeho zaměstnance.</w:t>
      </w:r>
    </w:p>
    <w:p>
      <w:pPr>
        <w:pStyle w:val="Text1"/>
        <w:pBdr>
          <w:top w:val="single" w:sz="4" w:space="1" w:color="auto"/>
          <w:left w:val="single" w:sz="4" w:space="4" w:color="auto"/>
          <w:bottom w:val="single" w:sz="4" w:space="1" w:color="auto"/>
          <w:right w:val="single" w:sz="4" w:space="4" w:color="auto"/>
        </w:pBdr>
        <w:rPr>
          <w:noProof/>
        </w:rPr>
      </w:pPr>
      <w:r>
        <w:rPr>
          <w:noProof/>
        </w:rPr>
        <w:t>V rozhodnutích střediska ECDC o financování a prováděcích dohodách a nástrojích z nich vyplývajících se výslovně stanoví, že Účetní dvůr a OLAF mohou v případě potřeby provádět kontroly na místě u příjemců finančních prostředků střediska a činitelů odpovědných za jejich přidělování.</w:t>
      </w:r>
    </w:p>
    <w:p>
      <w:pPr>
        <w:pStyle w:val="Text1"/>
        <w:pBdr>
          <w:top w:val="single" w:sz="4" w:space="1" w:color="auto"/>
          <w:left w:val="single" w:sz="4" w:space="4" w:color="auto"/>
          <w:bottom w:val="single" w:sz="4" w:space="1" w:color="auto"/>
          <w:right w:val="single" w:sz="4" w:space="4" w:color="auto"/>
        </w:pBdr>
        <w:rPr>
          <w:noProof/>
        </w:rPr>
      </w:pPr>
      <w:r>
        <w:rPr>
          <w:noProof/>
        </w:rPr>
        <w:t>V souladu s nařízením (EU) 2017/1939 může Úřad evropského veřejného žalobce (EPPO) vyšetřovat a stíhat podvody a jiná protiprávní jednání poškozující finanční zájmy Unie, jak je stanoveno ve směrnici (EU) 2017/1371.</w:t>
      </w:r>
    </w:p>
    <w:p>
      <w:pPr>
        <w:pStyle w:val="Text1"/>
        <w:pBdr>
          <w:top w:val="single" w:sz="4" w:space="1" w:color="auto"/>
          <w:left w:val="single" w:sz="4" w:space="4" w:color="auto"/>
          <w:bottom w:val="single" w:sz="4" w:space="1" w:color="auto"/>
          <w:right w:val="single" w:sz="4" w:space="4" w:color="auto"/>
        </w:pBdr>
        <w:rPr>
          <w:noProof/>
        </w:rPr>
      </w:pPr>
      <w:r>
        <w:rPr>
          <w:noProof/>
        </w:rPr>
        <w:t>Pracovní ujednání s třetími zeměmi a mezinárodními organizacemi, grantové dohody, rozhodnutí o udělení grantu a smlouvy obsahují v případě, že je ECDC uzavře, ustanovení výslovně zmocňující Účetní dvůr, OLAF a EPPO vést tyto audity a vyšetřování, v souladu s jejich příslušnými pravomocemi.</w:t>
      </w:r>
    </w:p>
    <w:p>
      <w:pPr>
        <w:pStyle w:val="ManualHeading1"/>
        <w:rPr>
          <w:noProof/>
        </w:rPr>
      </w:pPr>
      <w:bookmarkStart w:id="64" w:name="_Toc514938683"/>
      <w:bookmarkStart w:id="65" w:name="_Toc58225970"/>
      <w:r>
        <w:t>3.</w:t>
      </w:r>
      <w:r>
        <w:tab/>
      </w:r>
      <w:r>
        <w:rPr>
          <w:noProof/>
        </w:rPr>
        <w:t>ODHADOVANÝ FINANČNÍ DOPAD NÁVRHU/PODNĚTU</w:t>
      </w:r>
      <w:bookmarkEnd w:id="64"/>
      <w:bookmarkEnd w:id="65"/>
      <w:r>
        <w:rPr>
          <w:noProof/>
        </w:rPr>
        <w:t xml:space="preserve"> </w:t>
      </w:r>
    </w:p>
    <w:p>
      <w:pPr>
        <w:rPr>
          <w:bCs/>
          <w:noProof/>
        </w:rPr>
      </w:pPr>
      <w:r>
        <w:rPr>
          <w:noProof/>
        </w:rPr>
        <w:t xml:space="preserve">Vzhledem k probíhajícím úvahám o vytvoření Evropské agentury pro biomedicínský výzkum a vývoj (EU BARDA) si Komise ponechává právo upravit navrhované přidělení zdrojů a zaměstnanců, jakmile bude předložen přesný návrh týkající se uvedené agentury. </w:t>
      </w:r>
    </w:p>
    <w:p>
      <w:pPr>
        <w:pStyle w:val="Text1"/>
        <w:rPr>
          <w:noProof/>
        </w:rPr>
      </w:pPr>
    </w:p>
    <w:p>
      <w:pPr>
        <w:pStyle w:val="ManualHeading2"/>
        <w:rPr>
          <w:bCs/>
          <w:noProof/>
          <w:szCs w:val="24"/>
        </w:rPr>
      </w:pPr>
      <w:bookmarkStart w:id="66" w:name="_Toc514938684"/>
      <w:bookmarkStart w:id="67" w:name="_Toc58225971"/>
      <w:r>
        <w:t>3.1.</w:t>
      </w:r>
      <w:r>
        <w:tab/>
      </w:r>
      <w:r>
        <w:rPr>
          <w:noProof/>
        </w:rPr>
        <w:t>Okruhy víceletého finančního rámce a dotčené výdajové rozpočtové položky</w:t>
      </w:r>
      <w:bookmarkEnd w:id="66"/>
      <w:bookmarkEnd w:id="67"/>
      <w:r>
        <w:rPr>
          <w:noProof/>
        </w:rPr>
        <w:t xml:space="preserve"> </w:t>
      </w:r>
    </w:p>
    <w:p>
      <w:pPr>
        <w:pStyle w:val="ListBullet1"/>
        <w:rPr>
          <w:noProof/>
        </w:rPr>
      </w:pPr>
      <w:r>
        <w:rPr>
          <w:noProof/>
        </w:rPr>
        <w:t xml:space="preserve">Stávající rozpočtové položky </w:t>
      </w:r>
    </w:p>
    <w:p>
      <w:pPr>
        <w:pStyle w:val="Text1"/>
        <w:rPr>
          <w:noProof/>
        </w:rPr>
      </w:pPr>
      <w:r>
        <w:rPr>
          <w:noProof/>
          <w:u w:val="single"/>
        </w:rPr>
        <w:t>V pořadí</w:t>
      </w:r>
      <w:r>
        <w:rPr>
          <w:noProof/>
        </w:rPr>
        <w:t xml:space="preserve"> okruhů víceletého finančního rámce a rozpočtových položek.</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tc>
          <w:tcPr>
            <w:tcW w:w="1080" w:type="dxa"/>
            <w:vMerge w:val="restart"/>
            <w:vAlign w:val="center"/>
          </w:tcPr>
          <w:p>
            <w:pPr>
              <w:spacing w:before="60" w:after="60"/>
              <w:jc w:val="center"/>
              <w:rPr>
                <w:noProof/>
                <w:sz w:val="18"/>
              </w:rPr>
            </w:pPr>
            <w:r>
              <w:rPr>
                <w:noProof/>
                <w:sz w:val="18"/>
              </w:rPr>
              <w:t>Okruh víceletého finančního rámce</w:t>
            </w:r>
          </w:p>
        </w:tc>
        <w:tc>
          <w:tcPr>
            <w:tcW w:w="3960" w:type="dxa"/>
            <w:vAlign w:val="center"/>
          </w:tcPr>
          <w:p>
            <w:pPr>
              <w:spacing w:before="60" w:after="60"/>
              <w:jc w:val="center"/>
              <w:rPr>
                <w:noProof/>
              </w:rPr>
            </w:pPr>
            <w:r>
              <w:rPr>
                <w:noProof/>
                <w:sz w:val="20"/>
              </w:rPr>
              <w:t>Rozpočtová položka</w:t>
            </w:r>
          </w:p>
        </w:tc>
        <w:tc>
          <w:tcPr>
            <w:tcW w:w="1080" w:type="dxa"/>
            <w:vAlign w:val="center"/>
          </w:tcPr>
          <w:p>
            <w:pPr>
              <w:spacing w:before="60" w:after="60"/>
              <w:jc w:val="center"/>
              <w:rPr>
                <w:noProof/>
              </w:rPr>
            </w:pPr>
            <w:r>
              <w:rPr>
                <w:noProof/>
                <w:sz w:val="18"/>
              </w:rPr>
              <w:t xml:space="preserve">Druh </w:t>
            </w:r>
            <w:r>
              <w:rPr>
                <w:noProof/>
              </w:rPr>
              <w:t xml:space="preserve"> </w:t>
            </w:r>
            <w:r>
              <w:rPr>
                <w:noProof/>
              </w:rPr>
              <w:br/>
            </w:r>
            <w:r>
              <w:rPr>
                <w:noProof/>
                <w:sz w:val="18"/>
              </w:rPr>
              <w:t>výdaje</w:t>
            </w:r>
          </w:p>
        </w:tc>
        <w:tc>
          <w:tcPr>
            <w:tcW w:w="4556" w:type="dxa"/>
            <w:gridSpan w:val="4"/>
            <w:vAlign w:val="center"/>
          </w:tcPr>
          <w:p>
            <w:pPr>
              <w:spacing w:before="60" w:after="60"/>
              <w:jc w:val="center"/>
              <w:rPr>
                <w:noProof/>
              </w:rPr>
            </w:pPr>
            <w:r>
              <w:rPr>
                <w:noProof/>
                <w:sz w:val="20"/>
              </w:rPr>
              <w:t xml:space="preserve">Příspěvek </w:t>
            </w:r>
          </w:p>
        </w:tc>
      </w:tr>
      <w:tr>
        <w:tc>
          <w:tcPr>
            <w:tcW w:w="1080" w:type="dxa"/>
            <w:vMerge/>
            <w:vAlign w:val="center"/>
          </w:tcPr>
          <w:p>
            <w:pPr>
              <w:rPr>
                <w:noProof/>
                <w:sz w:val="18"/>
              </w:rPr>
            </w:pPr>
          </w:p>
        </w:tc>
        <w:tc>
          <w:tcPr>
            <w:tcW w:w="3960" w:type="dxa"/>
            <w:vAlign w:val="center"/>
          </w:tcPr>
          <w:p>
            <w:pPr>
              <w:rPr>
                <w:noProof/>
              </w:rPr>
            </w:pPr>
            <w:r>
              <w:rPr>
                <w:noProof/>
                <w:sz w:val="20"/>
              </w:rPr>
              <w:t xml:space="preserve">Číslo </w:t>
            </w:r>
            <w:r>
              <w:rPr>
                <w:noProof/>
              </w:rPr>
              <w:t xml:space="preserve"> </w:t>
            </w:r>
            <w:r>
              <w:rPr>
                <w:noProof/>
              </w:rPr>
              <w:br/>
            </w:r>
          </w:p>
        </w:tc>
        <w:tc>
          <w:tcPr>
            <w:tcW w:w="1080" w:type="dxa"/>
            <w:vAlign w:val="center"/>
          </w:tcPr>
          <w:p>
            <w:pPr>
              <w:jc w:val="center"/>
              <w:rPr>
                <w:noProof/>
              </w:rPr>
            </w:pPr>
            <w:r>
              <w:rPr>
                <w:noProof/>
                <w:sz w:val="18"/>
              </w:rPr>
              <w:t>NRP</w:t>
            </w:r>
            <w:r>
              <w:rPr>
                <w:rStyle w:val="FootnoteReference"/>
                <w:noProof/>
                <w:sz w:val="18"/>
              </w:rPr>
              <w:footnoteReference w:id="16"/>
            </w:r>
            <w:r>
              <w:rPr>
                <w:noProof/>
              </w:rPr>
              <w:t>.</w:t>
            </w:r>
          </w:p>
        </w:tc>
        <w:tc>
          <w:tcPr>
            <w:tcW w:w="956" w:type="dxa"/>
            <w:vAlign w:val="center"/>
          </w:tcPr>
          <w:p>
            <w:pPr>
              <w:jc w:val="center"/>
              <w:rPr>
                <w:noProof/>
              </w:rPr>
            </w:pPr>
            <w:r>
              <w:rPr>
                <w:noProof/>
                <w:sz w:val="18"/>
              </w:rPr>
              <w:t>zemí ESVO</w:t>
            </w:r>
            <w:r>
              <w:rPr>
                <w:rStyle w:val="FootnoteReference"/>
                <w:noProof/>
                <w:sz w:val="18"/>
              </w:rPr>
              <w:footnoteReference w:id="17"/>
            </w:r>
          </w:p>
        </w:tc>
        <w:tc>
          <w:tcPr>
            <w:tcW w:w="1080" w:type="dxa"/>
            <w:vAlign w:val="center"/>
          </w:tcPr>
          <w:p>
            <w:pPr>
              <w:jc w:val="center"/>
              <w:rPr>
                <w:noProof/>
                <w:sz w:val="18"/>
              </w:rPr>
            </w:pPr>
            <w:r>
              <w:rPr>
                <w:noProof/>
                <w:sz w:val="18"/>
              </w:rPr>
              <w:t>kandidátských zemí</w:t>
            </w:r>
            <w:r>
              <w:rPr>
                <w:rStyle w:val="FootnoteReference"/>
                <w:noProof/>
                <w:sz w:val="18"/>
              </w:rPr>
              <w:footnoteReference w:id="18"/>
            </w:r>
          </w:p>
        </w:tc>
        <w:tc>
          <w:tcPr>
            <w:tcW w:w="956" w:type="dxa"/>
            <w:vAlign w:val="center"/>
          </w:tcPr>
          <w:p>
            <w:pPr>
              <w:jc w:val="center"/>
              <w:rPr>
                <w:noProof/>
                <w:sz w:val="18"/>
              </w:rPr>
            </w:pPr>
            <w:r>
              <w:rPr>
                <w:noProof/>
                <w:sz w:val="18"/>
              </w:rPr>
              <w:t>třetích zemí</w:t>
            </w:r>
          </w:p>
        </w:tc>
        <w:tc>
          <w:tcPr>
            <w:tcW w:w="1564" w:type="dxa"/>
            <w:vAlign w:val="center"/>
          </w:tcPr>
          <w:p>
            <w:pPr>
              <w:jc w:val="center"/>
              <w:rPr>
                <w:noProof/>
                <w:sz w:val="16"/>
                <w:szCs w:val="16"/>
              </w:rPr>
            </w:pPr>
            <w:r>
              <w:rPr>
                <w:noProof/>
                <w:sz w:val="16"/>
                <w:szCs w:val="16"/>
              </w:rPr>
              <w:t xml:space="preserve">ve smyslu čl. 21 odst. 2 písm. b) finančního nařízení </w:t>
            </w:r>
          </w:p>
        </w:tc>
      </w:tr>
      <w:tr>
        <w:tc>
          <w:tcPr>
            <w:tcW w:w="1080" w:type="dxa"/>
            <w:vAlign w:val="center"/>
          </w:tcPr>
          <w:p>
            <w:pPr>
              <w:jc w:val="center"/>
              <w:rPr>
                <w:noProof/>
                <w:color w:val="0000FF"/>
              </w:rPr>
            </w:pPr>
            <w:r>
              <w:rPr>
                <w:noProof/>
              </w:rPr>
              <w:t>2</w:t>
            </w:r>
          </w:p>
        </w:tc>
        <w:tc>
          <w:tcPr>
            <w:tcW w:w="3960" w:type="dxa"/>
            <w:vAlign w:val="center"/>
          </w:tcPr>
          <w:p>
            <w:pPr>
              <w:spacing w:after="60"/>
              <w:rPr>
                <w:noProof/>
              </w:rPr>
            </w:pPr>
            <w:r>
              <w:rPr>
                <w:noProof/>
              </w:rPr>
              <w:t>06.1001</w:t>
            </w:r>
          </w:p>
        </w:tc>
        <w:tc>
          <w:tcPr>
            <w:tcW w:w="1080" w:type="dxa"/>
            <w:vAlign w:val="center"/>
          </w:tcPr>
          <w:p>
            <w:pPr>
              <w:jc w:val="center"/>
              <w:rPr>
                <w:noProof/>
                <w:color w:val="0000FF"/>
              </w:rPr>
            </w:pPr>
            <w:r>
              <w:rPr>
                <w:noProof/>
                <w:sz w:val="18"/>
              </w:rPr>
              <w:t>RP</w:t>
            </w:r>
          </w:p>
        </w:tc>
        <w:tc>
          <w:tcPr>
            <w:tcW w:w="956" w:type="dxa"/>
            <w:vAlign w:val="center"/>
          </w:tcPr>
          <w:p>
            <w:pPr>
              <w:jc w:val="center"/>
              <w:rPr>
                <w:noProof/>
                <w:sz w:val="20"/>
              </w:rPr>
            </w:pPr>
            <w:r>
              <w:rPr>
                <w:noProof/>
                <w:sz w:val="20"/>
              </w:rPr>
              <w:t>ANO</w:t>
            </w:r>
          </w:p>
        </w:tc>
        <w:tc>
          <w:tcPr>
            <w:tcW w:w="1080" w:type="dxa"/>
            <w:vAlign w:val="center"/>
          </w:tcPr>
          <w:p>
            <w:pPr>
              <w:jc w:val="center"/>
              <w:rPr>
                <w:noProof/>
                <w:sz w:val="20"/>
              </w:rPr>
            </w:pPr>
            <w:r>
              <w:rPr>
                <w:noProof/>
                <w:sz w:val="20"/>
              </w:rPr>
              <w:t>NE</w:t>
            </w:r>
          </w:p>
        </w:tc>
        <w:tc>
          <w:tcPr>
            <w:tcW w:w="956" w:type="dxa"/>
            <w:vAlign w:val="center"/>
          </w:tcPr>
          <w:p>
            <w:pPr>
              <w:jc w:val="center"/>
              <w:rPr>
                <w:noProof/>
                <w:sz w:val="20"/>
              </w:rPr>
            </w:pPr>
            <w:r>
              <w:rPr>
                <w:noProof/>
                <w:sz w:val="20"/>
              </w:rPr>
              <w:t>NE</w:t>
            </w:r>
          </w:p>
        </w:tc>
        <w:tc>
          <w:tcPr>
            <w:tcW w:w="1564" w:type="dxa"/>
            <w:vAlign w:val="center"/>
          </w:tcPr>
          <w:p>
            <w:pPr>
              <w:jc w:val="center"/>
              <w:rPr>
                <w:noProof/>
                <w:sz w:val="20"/>
              </w:rPr>
            </w:pPr>
            <w:r>
              <w:rPr>
                <w:noProof/>
                <w:sz w:val="20"/>
              </w:rPr>
              <w:t>NE</w:t>
            </w:r>
          </w:p>
        </w:tc>
      </w:tr>
    </w:tbl>
    <w:p>
      <w:pPr>
        <w:pStyle w:val="ListBullet1"/>
        <w:rPr>
          <w:noProof/>
        </w:rPr>
      </w:pPr>
      <w:r>
        <w:rPr>
          <w:noProof/>
        </w:rPr>
        <w:t xml:space="preserve">Nové rozpočtové položky, jejichž vytvoření se požaduje </w:t>
      </w:r>
    </w:p>
    <w:p>
      <w:pPr>
        <w:pStyle w:val="Text1"/>
        <w:rPr>
          <w:i/>
          <w:noProof/>
          <w:sz w:val="20"/>
        </w:rPr>
      </w:pPr>
      <w:r>
        <w:rPr>
          <w:noProof/>
          <w:u w:val="single"/>
        </w:rPr>
        <w:t>V pořadí</w:t>
      </w:r>
      <w:r>
        <w:rPr>
          <w:noProof/>
        </w:rPr>
        <w:t xml:space="preserve"> okruhů víceletého finančního rámce a rozpočtových položek.</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tc>
          <w:tcPr>
            <w:tcW w:w="1080" w:type="dxa"/>
            <w:vMerge w:val="restart"/>
            <w:vAlign w:val="center"/>
          </w:tcPr>
          <w:p>
            <w:pPr>
              <w:spacing w:before="60" w:after="60"/>
              <w:jc w:val="center"/>
              <w:rPr>
                <w:noProof/>
              </w:rPr>
            </w:pPr>
            <w:r>
              <w:rPr>
                <w:noProof/>
                <w:sz w:val="18"/>
              </w:rPr>
              <w:t>Okruh víceletého finančního rámce</w:t>
            </w:r>
          </w:p>
        </w:tc>
        <w:tc>
          <w:tcPr>
            <w:tcW w:w="3960" w:type="dxa"/>
            <w:vAlign w:val="center"/>
          </w:tcPr>
          <w:p>
            <w:pPr>
              <w:spacing w:before="60" w:after="60"/>
              <w:jc w:val="center"/>
              <w:rPr>
                <w:noProof/>
              </w:rPr>
            </w:pPr>
            <w:r>
              <w:rPr>
                <w:noProof/>
                <w:sz w:val="20"/>
              </w:rPr>
              <w:t>Rozpočtová položka</w:t>
            </w:r>
          </w:p>
        </w:tc>
        <w:tc>
          <w:tcPr>
            <w:tcW w:w="1080" w:type="dxa"/>
            <w:vAlign w:val="center"/>
          </w:tcPr>
          <w:p>
            <w:pPr>
              <w:spacing w:before="60" w:after="60"/>
              <w:jc w:val="center"/>
              <w:rPr>
                <w:noProof/>
              </w:rPr>
            </w:pPr>
            <w:r>
              <w:rPr>
                <w:noProof/>
                <w:sz w:val="18"/>
              </w:rPr>
              <w:t>Druh</w:t>
            </w:r>
            <w:r>
              <w:rPr>
                <w:noProof/>
              </w:rPr>
              <w:t xml:space="preserve"> </w:t>
            </w:r>
            <w:r>
              <w:rPr>
                <w:noProof/>
              </w:rPr>
              <w:br/>
            </w:r>
            <w:r>
              <w:rPr>
                <w:noProof/>
                <w:sz w:val="18"/>
              </w:rPr>
              <w:t>výdaje</w:t>
            </w:r>
          </w:p>
        </w:tc>
        <w:tc>
          <w:tcPr>
            <w:tcW w:w="4556" w:type="dxa"/>
            <w:gridSpan w:val="4"/>
            <w:vAlign w:val="center"/>
          </w:tcPr>
          <w:p>
            <w:pPr>
              <w:spacing w:before="60" w:after="60"/>
              <w:jc w:val="center"/>
              <w:rPr>
                <w:noProof/>
              </w:rPr>
            </w:pPr>
            <w:r>
              <w:rPr>
                <w:noProof/>
                <w:sz w:val="20"/>
              </w:rPr>
              <w:t xml:space="preserve">Příspěvek </w:t>
            </w:r>
          </w:p>
        </w:tc>
      </w:tr>
      <w:tr>
        <w:tc>
          <w:tcPr>
            <w:tcW w:w="1080" w:type="dxa"/>
            <w:vMerge/>
            <w:vAlign w:val="center"/>
          </w:tcPr>
          <w:p>
            <w:pPr>
              <w:rPr>
                <w:noProof/>
              </w:rPr>
            </w:pPr>
          </w:p>
        </w:tc>
        <w:tc>
          <w:tcPr>
            <w:tcW w:w="3960" w:type="dxa"/>
            <w:vAlign w:val="center"/>
          </w:tcPr>
          <w:p>
            <w:pPr>
              <w:rPr>
                <w:noProof/>
              </w:rPr>
            </w:pPr>
            <w:r>
              <w:rPr>
                <w:noProof/>
                <w:sz w:val="20"/>
              </w:rPr>
              <w:t xml:space="preserve">Číslo </w:t>
            </w:r>
            <w:r>
              <w:rPr>
                <w:noProof/>
              </w:rPr>
              <w:t xml:space="preserve"> </w:t>
            </w:r>
            <w:r>
              <w:rPr>
                <w:noProof/>
              </w:rPr>
              <w:br/>
            </w:r>
          </w:p>
        </w:tc>
        <w:tc>
          <w:tcPr>
            <w:tcW w:w="1080" w:type="dxa"/>
            <w:vAlign w:val="center"/>
          </w:tcPr>
          <w:p>
            <w:pPr>
              <w:jc w:val="center"/>
              <w:rPr>
                <w:noProof/>
              </w:rPr>
            </w:pPr>
            <w:r>
              <w:rPr>
                <w:noProof/>
                <w:sz w:val="18"/>
              </w:rPr>
              <w:t>RP/NRP</w:t>
            </w:r>
          </w:p>
        </w:tc>
        <w:tc>
          <w:tcPr>
            <w:tcW w:w="956" w:type="dxa"/>
            <w:vAlign w:val="center"/>
          </w:tcPr>
          <w:p>
            <w:pPr>
              <w:jc w:val="center"/>
              <w:rPr>
                <w:noProof/>
                <w:sz w:val="18"/>
              </w:rPr>
            </w:pPr>
            <w:r>
              <w:rPr>
                <w:noProof/>
                <w:sz w:val="18"/>
              </w:rPr>
              <w:t>zemí ESVO</w:t>
            </w:r>
          </w:p>
        </w:tc>
        <w:tc>
          <w:tcPr>
            <w:tcW w:w="1080" w:type="dxa"/>
            <w:vAlign w:val="center"/>
          </w:tcPr>
          <w:p>
            <w:pPr>
              <w:jc w:val="center"/>
              <w:rPr>
                <w:noProof/>
                <w:sz w:val="18"/>
              </w:rPr>
            </w:pPr>
            <w:r>
              <w:rPr>
                <w:noProof/>
                <w:sz w:val="18"/>
              </w:rPr>
              <w:t>kandidátských zemí</w:t>
            </w:r>
          </w:p>
        </w:tc>
        <w:tc>
          <w:tcPr>
            <w:tcW w:w="956" w:type="dxa"/>
            <w:vAlign w:val="center"/>
          </w:tcPr>
          <w:p>
            <w:pPr>
              <w:jc w:val="center"/>
              <w:rPr>
                <w:noProof/>
                <w:sz w:val="18"/>
              </w:rPr>
            </w:pPr>
            <w:r>
              <w:rPr>
                <w:noProof/>
                <w:sz w:val="18"/>
              </w:rPr>
              <w:t>třetích zemí</w:t>
            </w:r>
          </w:p>
        </w:tc>
        <w:tc>
          <w:tcPr>
            <w:tcW w:w="1564" w:type="dxa"/>
            <w:vAlign w:val="center"/>
          </w:tcPr>
          <w:p>
            <w:pPr>
              <w:jc w:val="center"/>
              <w:rPr>
                <w:noProof/>
              </w:rPr>
            </w:pPr>
            <w:r>
              <w:rPr>
                <w:noProof/>
                <w:sz w:val="16"/>
              </w:rPr>
              <w:t xml:space="preserve">ve smyslu čl. 21 odst. 2 písm. b) finančního nařízení </w:t>
            </w:r>
          </w:p>
        </w:tc>
      </w:tr>
      <w:tr>
        <w:tc>
          <w:tcPr>
            <w:tcW w:w="1080" w:type="dxa"/>
            <w:vAlign w:val="center"/>
          </w:tcPr>
          <w:p>
            <w:pPr>
              <w:jc w:val="center"/>
              <w:rPr>
                <w:noProof/>
                <w:color w:val="0000FF"/>
              </w:rPr>
            </w:pPr>
          </w:p>
        </w:tc>
        <w:tc>
          <w:tcPr>
            <w:tcW w:w="3960" w:type="dxa"/>
            <w:vAlign w:val="center"/>
          </w:tcPr>
          <w:p>
            <w:pPr>
              <w:spacing w:before="60"/>
              <w:rPr>
                <w:noProof/>
              </w:rPr>
            </w:pPr>
            <w:r>
              <w:rPr>
                <w:noProof/>
              </w:rPr>
              <w:t>[XX.RR.RR.RR]</w:t>
            </w:r>
          </w:p>
          <w:p>
            <w:pPr>
              <w:spacing w:after="60"/>
              <w:rPr>
                <w:noProof/>
              </w:rPr>
            </w:pPr>
          </w:p>
        </w:tc>
        <w:tc>
          <w:tcPr>
            <w:tcW w:w="1080" w:type="dxa"/>
            <w:vAlign w:val="center"/>
          </w:tcPr>
          <w:p>
            <w:pPr>
              <w:jc w:val="center"/>
              <w:rPr>
                <w:noProof/>
                <w:color w:val="0000FF"/>
              </w:rPr>
            </w:pPr>
          </w:p>
        </w:tc>
        <w:tc>
          <w:tcPr>
            <w:tcW w:w="956" w:type="dxa"/>
            <w:vAlign w:val="center"/>
          </w:tcPr>
          <w:p>
            <w:pPr>
              <w:jc w:val="center"/>
              <w:rPr>
                <w:noProof/>
                <w:sz w:val="20"/>
              </w:rPr>
            </w:pPr>
            <w:r>
              <w:rPr>
                <w:noProof/>
                <w:sz w:val="20"/>
              </w:rPr>
              <w:t>ANO/NE</w:t>
            </w:r>
          </w:p>
        </w:tc>
        <w:tc>
          <w:tcPr>
            <w:tcW w:w="1080" w:type="dxa"/>
            <w:vAlign w:val="center"/>
          </w:tcPr>
          <w:p>
            <w:pPr>
              <w:jc w:val="center"/>
              <w:rPr>
                <w:noProof/>
                <w:color w:val="0000FF"/>
                <w:sz w:val="20"/>
              </w:rPr>
            </w:pPr>
            <w:r>
              <w:rPr>
                <w:noProof/>
                <w:sz w:val="20"/>
              </w:rPr>
              <w:t>ANO/NE</w:t>
            </w:r>
          </w:p>
        </w:tc>
        <w:tc>
          <w:tcPr>
            <w:tcW w:w="956" w:type="dxa"/>
            <w:vAlign w:val="center"/>
          </w:tcPr>
          <w:p>
            <w:pPr>
              <w:jc w:val="center"/>
              <w:rPr>
                <w:noProof/>
                <w:color w:val="0000FF"/>
                <w:sz w:val="20"/>
              </w:rPr>
            </w:pPr>
            <w:r>
              <w:rPr>
                <w:noProof/>
                <w:sz w:val="20"/>
              </w:rPr>
              <w:t>ANO/NE</w:t>
            </w:r>
          </w:p>
        </w:tc>
        <w:tc>
          <w:tcPr>
            <w:tcW w:w="1564" w:type="dxa"/>
            <w:vAlign w:val="center"/>
          </w:tcPr>
          <w:p>
            <w:pPr>
              <w:jc w:val="center"/>
              <w:rPr>
                <w:noProof/>
                <w:sz w:val="20"/>
              </w:rPr>
            </w:pPr>
            <w:r>
              <w:rPr>
                <w:noProof/>
                <w:sz w:val="20"/>
              </w:rPr>
              <w:t>ANO/NE</w:t>
            </w:r>
          </w:p>
        </w:tc>
      </w:tr>
    </w:tbl>
    <w:p>
      <w:pPr>
        <w:rPr>
          <w:noProof/>
        </w:rPr>
        <w:sectPr>
          <w:pgSz w:w="12240" w:h="15840"/>
          <w:pgMar w:top="794" w:right="907" w:bottom="851" w:left="1361" w:header="510" w:footer="454" w:gutter="0"/>
          <w:cols w:space="720"/>
          <w:docGrid w:linePitch="326"/>
        </w:sectPr>
      </w:pPr>
    </w:p>
    <w:p>
      <w:pPr>
        <w:pStyle w:val="ManualHeading2"/>
        <w:rPr>
          <w:bCs/>
          <w:noProof/>
          <w:szCs w:val="24"/>
        </w:rPr>
      </w:pPr>
      <w:bookmarkStart w:id="68" w:name="_Toc514938685"/>
      <w:bookmarkStart w:id="69" w:name="_Toc58225972"/>
      <w:r>
        <w:t>3.2.</w:t>
      </w:r>
      <w:r>
        <w:tab/>
      </w:r>
      <w:r>
        <w:rPr>
          <w:noProof/>
        </w:rPr>
        <w:t>Odhadovaný dopad na výdaje</w:t>
      </w:r>
      <w:bookmarkEnd w:id="68"/>
      <w:bookmarkEnd w:id="69"/>
      <w:r>
        <w:rPr>
          <w:noProof/>
        </w:rPr>
        <w:t xml:space="preserve"> </w:t>
      </w:r>
    </w:p>
    <w:p>
      <w:pPr>
        <w:pStyle w:val="ManualHeading3"/>
        <w:rPr>
          <w:bCs/>
          <w:noProof/>
          <w:szCs w:val="24"/>
        </w:rPr>
      </w:pPr>
      <w:bookmarkStart w:id="70" w:name="_Toc514938686"/>
      <w:bookmarkStart w:id="71" w:name="_Toc58225973"/>
      <w:r>
        <w:t>3.2.1.</w:t>
      </w:r>
      <w:r>
        <w:tab/>
      </w:r>
      <w:r>
        <w:rPr>
          <w:noProof/>
        </w:rPr>
        <w:t>Odhadovaný souhrnný dopad na výdaje</w:t>
      </w:r>
      <w:bookmarkEnd w:id="70"/>
      <w:bookmarkEnd w:id="71"/>
      <w:r>
        <w:rPr>
          <w:noProof/>
        </w:rPr>
        <w:t xml:space="preserve"> </w:t>
      </w:r>
    </w:p>
    <w:p>
      <w:pPr>
        <w:jc w:val="right"/>
        <w:rPr>
          <w:noProof/>
          <w:sz w:val="20"/>
        </w:rPr>
      </w:pPr>
      <w:r>
        <w:rPr>
          <w:noProof/>
          <w:sz w:val="20"/>
        </w:rPr>
        <w:t>v milionech EUR (zaokrouhleno na tři desetinná místa)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Okruh víceletého finančního</w:t>
            </w:r>
            <w:r>
              <w:rPr>
                <w:noProof/>
              </w:rPr>
              <w:t xml:space="preserve"> </w:t>
            </w:r>
            <w:r>
              <w:rPr>
                <w:noProof/>
              </w:rPr>
              <w:br/>
            </w:r>
            <w:r>
              <w:rPr>
                <w:b/>
                <w:noProof/>
                <w:sz w:val="22"/>
              </w:rPr>
              <w:t xml:space="preserve">rámce </w:t>
            </w:r>
          </w:p>
        </w:tc>
        <w:tc>
          <w:tcPr>
            <w:tcW w:w="1080" w:type="dxa"/>
            <w:vAlign w:val="center"/>
          </w:tcPr>
          <w:p>
            <w:pPr>
              <w:spacing w:before="60" w:after="60"/>
              <w:jc w:val="center"/>
              <w:rPr>
                <w:noProof/>
              </w:rPr>
            </w:pPr>
            <w:r>
              <w:rPr>
                <w:noProof/>
                <w:sz w:val="22"/>
              </w:rPr>
              <w:t>Číslo</w:t>
            </w:r>
          </w:p>
        </w:tc>
        <w:tc>
          <w:tcPr>
            <w:tcW w:w="7817" w:type="dxa"/>
            <w:vAlign w:val="center"/>
          </w:tcPr>
          <w:p>
            <w:pPr>
              <w:spacing w:before="60" w:after="60"/>
              <w:rPr>
                <w:noProof/>
              </w:rPr>
            </w:pPr>
            <w:r>
              <w:rPr>
                <w:noProof/>
              </w:rPr>
              <w:t>Okruh 2: Soudržnost, odolnost a hodnoty</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tc>
          <w:tcPr>
            <w:tcW w:w="3960" w:type="dxa"/>
            <w:vAlign w:val="center"/>
          </w:tcPr>
          <w:p>
            <w:pPr>
              <w:jc w:val="center"/>
              <w:rPr>
                <w:noProof/>
              </w:rPr>
            </w:pPr>
            <w:r>
              <w:rPr>
                <w:noProof/>
                <w:sz w:val="22"/>
              </w:rPr>
              <w:t xml:space="preserve">[Subjekt]: </w:t>
            </w:r>
            <w:r>
              <w:rPr>
                <w:noProof/>
              </w:rPr>
              <w:t>ECDC</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Rok</w:t>
            </w:r>
            <w:r>
              <w:rPr>
                <w:noProof/>
              </w:rPr>
              <w:t xml:space="preserve"> </w:t>
            </w:r>
            <w:r>
              <w:rPr>
                <w:noProof/>
              </w:rPr>
              <w:br/>
            </w:r>
            <w:r>
              <w:rPr>
                <w:b/>
                <w:noProof/>
                <w:sz w:val="20"/>
              </w:rPr>
              <w:t>2021</w:t>
            </w:r>
          </w:p>
        </w:tc>
        <w:tc>
          <w:tcPr>
            <w:tcW w:w="868" w:type="dxa"/>
            <w:vAlign w:val="center"/>
          </w:tcPr>
          <w:p>
            <w:pPr>
              <w:jc w:val="center"/>
              <w:rPr>
                <w:noProof/>
                <w:sz w:val="20"/>
              </w:rPr>
            </w:pPr>
            <w:r>
              <w:rPr>
                <w:noProof/>
                <w:sz w:val="20"/>
              </w:rPr>
              <w:t>Rok</w:t>
            </w:r>
            <w:r>
              <w:rPr>
                <w:noProof/>
              </w:rPr>
              <w:t xml:space="preserve"> </w:t>
            </w:r>
            <w:r>
              <w:rPr>
                <w:noProof/>
              </w:rPr>
              <w:br/>
            </w:r>
            <w:r>
              <w:rPr>
                <w:b/>
                <w:noProof/>
                <w:sz w:val="20"/>
              </w:rPr>
              <w:t>2022</w:t>
            </w:r>
          </w:p>
        </w:tc>
        <w:tc>
          <w:tcPr>
            <w:tcW w:w="868" w:type="dxa"/>
            <w:vAlign w:val="center"/>
          </w:tcPr>
          <w:p>
            <w:pPr>
              <w:jc w:val="center"/>
              <w:rPr>
                <w:noProof/>
                <w:sz w:val="20"/>
              </w:rPr>
            </w:pPr>
            <w:r>
              <w:rPr>
                <w:noProof/>
                <w:sz w:val="20"/>
              </w:rPr>
              <w:t>Rok</w:t>
            </w:r>
            <w:r>
              <w:rPr>
                <w:noProof/>
              </w:rPr>
              <w:t xml:space="preserve"> </w:t>
            </w:r>
            <w:r>
              <w:rPr>
                <w:noProof/>
              </w:rPr>
              <w:br/>
            </w:r>
            <w:r>
              <w:rPr>
                <w:b/>
                <w:noProof/>
                <w:sz w:val="20"/>
              </w:rPr>
              <w:t>2023</w:t>
            </w:r>
          </w:p>
        </w:tc>
        <w:tc>
          <w:tcPr>
            <w:tcW w:w="868" w:type="dxa"/>
            <w:vAlign w:val="center"/>
          </w:tcPr>
          <w:p>
            <w:pPr>
              <w:jc w:val="center"/>
              <w:rPr>
                <w:noProof/>
                <w:sz w:val="20"/>
              </w:rPr>
            </w:pPr>
            <w:r>
              <w:rPr>
                <w:noProof/>
                <w:sz w:val="20"/>
              </w:rPr>
              <w:t>Rok</w:t>
            </w:r>
            <w:r>
              <w:rPr>
                <w:noProof/>
              </w:rPr>
              <w:t xml:space="preserve"> </w:t>
            </w:r>
            <w:r>
              <w:rPr>
                <w:noProof/>
              </w:rPr>
              <w:br/>
            </w:r>
            <w:r>
              <w:rPr>
                <w:b/>
                <w:noProof/>
                <w:sz w:val="20"/>
              </w:rPr>
              <w:t>2024</w:t>
            </w:r>
          </w:p>
        </w:tc>
        <w:tc>
          <w:tcPr>
            <w:tcW w:w="868" w:type="dxa"/>
            <w:vAlign w:val="center"/>
          </w:tcPr>
          <w:p>
            <w:pPr>
              <w:jc w:val="center"/>
              <w:rPr>
                <w:b/>
                <w:noProof/>
                <w:sz w:val="18"/>
              </w:rPr>
            </w:pPr>
            <w:r>
              <w:rPr>
                <w:noProof/>
                <w:sz w:val="20"/>
              </w:rPr>
              <w:t>Rok</w:t>
            </w:r>
            <w:r>
              <w:rPr>
                <w:noProof/>
              </w:rPr>
              <w:t xml:space="preserve"> </w:t>
            </w:r>
            <w:r>
              <w:rPr>
                <w:noProof/>
              </w:rPr>
              <w:br/>
            </w:r>
            <w:r>
              <w:rPr>
                <w:b/>
                <w:noProof/>
                <w:sz w:val="20"/>
              </w:rPr>
              <w:t>2025</w:t>
            </w:r>
          </w:p>
        </w:tc>
        <w:tc>
          <w:tcPr>
            <w:tcW w:w="868" w:type="dxa"/>
            <w:vAlign w:val="center"/>
          </w:tcPr>
          <w:p>
            <w:pPr>
              <w:rPr>
                <w:noProof/>
                <w:sz w:val="20"/>
              </w:rPr>
            </w:pPr>
            <w:r>
              <w:rPr>
                <w:noProof/>
                <w:sz w:val="20"/>
              </w:rPr>
              <w:t>Rok</w:t>
            </w:r>
            <w:r>
              <w:rPr>
                <w:noProof/>
              </w:rPr>
              <w:t xml:space="preserve"> </w:t>
            </w:r>
            <w:r>
              <w:rPr>
                <w:noProof/>
              </w:rPr>
              <w:br/>
            </w:r>
            <w:r>
              <w:rPr>
                <w:b/>
                <w:noProof/>
                <w:sz w:val="20"/>
              </w:rPr>
              <w:t>2026</w:t>
            </w:r>
          </w:p>
        </w:tc>
        <w:tc>
          <w:tcPr>
            <w:tcW w:w="868" w:type="dxa"/>
            <w:vAlign w:val="center"/>
          </w:tcPr>
          <w:p>
            <w:pPr>
              <w:jc w:val="center"/>
              <w:rPr>
                <w:b/>
                <w:noProof/>
                <w:sz w:val="18"/>
              </w:rPr>
            </w:pPr>
            <w:r>
              <w:rPr>
                <w:noProof/>
                <w:sz w:val="20"/>
              </w:rPr>
              <w:t>Rok</w:t>
            </w:r>
            <w:r>
              <w:rPr>
                <w:noProof/>
              </w:rPr>
              <w:t xml:space="preserve"> </w:t>
            </w:r>
            <w:r>
              <w:rPr>
                <w:noProof/>
              </w:rPr>
              <w:br/>
            </w:r>
            <w:r>
              <w:rPr>
                <w:b/>
                <w:noProof/>
                <w:sz w:val="20"/>
              </w:rPr>
              <w:t>2027</w:t>
            </w:r>
            <w:r>
              <w:rPr>
                <w:noProof/>
                <w:sz w:val="20"/>
              </w:rPr>
              <w:t xml:space="preserve"> a násl.</w:t>
            </w:r>
          </w:p>
        </w:tc>
        <w:tc>
          <w:tcPr>
            <w:tcW w:w="1777" w:type="dxa"/>
            <w:vAlign w:val="center"/>
          </w:tcPr>
          <w:p>
            <w:pPr>
              <w:jc w:val="center"/>
              <w:rPr>
                <w:b/>
                <w:noProof/>
                <w:sz w:val="20"/>
              </w:rPr>
            </w:pPr>
            <w:r>
              <w:rPr>
                <w:b/>
                <w:noProof/>
                <w:sz w:val="20"/>
              </w:rPr>
              <w:t>CELKEM</w:t>
            </w:r>
          </w:p>
        </w:tc>
      </w:tr>
      <w:tr>
        <w:trPr>
          <w:trHeight w:val="277"/>
        </w:trPr>
        <w:tc>
          <w:tcPr>
            <w:tcW w:w="3960" w:type="dxa"/>
            <w:vMerge w:val="restart"/>
            <w:vAlign w:val="center"/>
          </w:tcPr>
          <w:p>
            <w:pPr>
              <w:rPr>
                <w:noProof/>
              </w:rPr>
            </w:pPr>
            <w:r>
              <w:rPr>
                <w:noProof/>
                <w:sz w:val="20"/>
              </w:rPr>
              <w:t>Hlava 1:</w:t>
            </w:r>
          </w:p>
        </w:tc>
        <w:tc>
          <w:tcPr>
            <w:tcW w:w="1440" w:type="dxa"/>
            <w:vAlign w:val="center"/>
          </w:tcPr>
          <w:p>
            <w:pPr>
              <w:spacing w:before="20" w:after="20"/>
              <w:rPr>
                <w:noProof/>
              </w:rPr>
            </w:pPr>
            <w:r>
              <w:rPr>
                <w:noProof/>
                <w:sz w:val="18"/>
              </w:rPr>
              <w:t>Závazky</w:t>
            </w:r>
          </w:p>
        </w:tc>
        <w:tc>
          <w:tcPr>
            <w:tcW w:w="654" w:type="dxa"/>
            <w:gridSpan w:val="2"/>
            <w:vAlign w:val="center"/>
          </w:tcPr>
          <w:p>
            <w:pPr>
              <w:spacing w:before="20" w:after="20"/>
              <w:jc w:val="center"/>
              <w:rPr>
                <w:noProof/>
                <w:sz w:val="14"/>
              </w:rPr>
            </w:pPr>
            <w:r>
              <w:rPr>
                <w:noProof/>
                <w:sz w:val="14"/>
              </w:rPr>
              <w:t>1)</w:t>
            </w:r>
          </w:p>
        </w:tc>
        <w:tc>
          <w:tcPr>
            <w:tcW w:w="868" w:type="dxa"/>
          </w:tcPr>
          <w:p>
            <w:pPr>
              <w:spacing w:before="20" w:after="20"/>
              <w:jc w:val="right"/>
              <w:rPr>
                <w:noProof/>
                <w:sz w:val="20"/>
              </w:rPr>
            </w:pPr>
            <w:r>
              <w:rPr>
                <w:noProof/>
                <w:sz w:val="20"/>
              </w:rPr>
              <w:t>2,965</w:t>
            </w:r>
          </w:p>
        </w:tc>
        <w:tc>
          <w:tcPr>
            <w:tcW w:w="868" w:type="dxa"/>
          </w:tcPr>
          <w:p>
            <w:pPr>
              <w:spacing w:before="20" w:after="20"/>
              <w:jc w:val="right"/>
              <w:rPr>
                <w:noProof/>
                <w:sz w:val="20"/>
              </w:rPr>
            </w:pPr>
            <w:r>
              <w:rPr>
                <w:noProof/>
                <w:sz w:val="20"/>
              </w:rPr>
              <w:t>5,475</w:t>
            </w:r>
          </w:p>
        </w:tc>
        <w:tc>
          <w:tcPr>
            <w:tcW w:w="868" w:type="dxa"/>
          </w:tcPr>
          <w:p>
            <w:pPr>
              <w:spacing w:before="20" w:after="20"/>
              <w:jc w:val="right"/>
              <w:rPr>
                <w:noProof/>
                <w:sz w:val="20"/>
              </w:rPr>
            </w:pPr>
            <w:r>
              <w:rPr>
                <w:noProof/>
                <w:sz w:val="20"/>
              </w:rPr>
              <w:t>6,680</w:t>
            </w:r>
          </w:p>
        </w:tc>
        <w:tc>
          <w:tcPr>
            <w:tcW w:w="868" w:type="dxa"/>
          </w:tcPr>
          <w:p>
            <w:pPr>
              <w:spacing w:before="20" w:after="20"/>
              <w:jc w:val="right"/>
              <w:rPr>
                <w:noProof/>
                <w:sz w:val="20"/>
              </w:rPr>
            </w:pPr>
            <w:r>
              <w:rPr>
                <w:noProof/>
                <w:sz w:val="20"/>
              </w:rPr>
              <w:t>7,165</w:t>
            </w:r>
          </w:p>
        </w:tc>
        <w:tc>
          <w:tcPr>
            <w:tcW w:w="868" w:type="dxa"/>
          </w:tcPr>
          <w:p>
            <w:pPr>
              <w:spacing w:before="20" w:after="20"/>
              <w:jc w:val="right"/>
              <w:rPr>
                <w:noProof/>
                <w:sz w:val="20"/>
              </w:rPr>
            </w:pPr>
            <w:r>
              <w:rPr>
                <w:noProof/>
                <w:sz w:val="20"/>
              </w:rPr>
              <w:t>7,165</w:t>
            </w:r>
          </w:p>
        </w:tc>
        <w:tc>
          <w:tcPr>
            <w:tcW w:w="868" w:type="dxa"/>
          </w:tcPr>
          <w:p>
            <w:pPr>
              <w:spacing w:before="20" w:after="20"/>
              <w:jc w:val="right"/>
              <w:rPr>
                <w:noProof/>
                <w:sz w:val="20"/>
              </w:rPr>
            </w:pPr>
            <w:r>
              <w:rPr>
                <w:noProof/>
                <w:sz w:val="20"/>
              </w:rPr>
              <w:t>7,165</w:t>
            </w:r>
          </w:p>
        </w:tc>
        <w:tc>
          <w:tcPr>
            <w:tcW w:w="868" w:type="dxa"/>
          </w:tcPr>
          <w:p>
            <w:pPr>
              <w:spacing w:before="20" w:after="20"/>
              <w:jc w:val="right"/>
              <w:rPr>
                <w:b/>
                <w:noProof/>
                <w:sz w:val="20"/>
              </w:rPr>
            </w:pPr>
            <w:r>
              <w:rPr>
                <w:noProof/>
                <w:sz w:val="20"/>
              </w:rPr>
              <w:t>7,165</w:t>
            </w:r>
          </w:p>
        </w:tc>
        <w:tc>
          <w:tcPr>
            <w:tcW w:w="1777" w:type="dxa"/>
            <w:vAlign w:val="center"/>
          </w:tcPr>
          <w:p>
            <w:pPr>
              <w:spacing w:before="20" w:after="20"/>
              <w:jc w:val="right"/>
              <w:rPr>
                <w:b/>
                <w:noProof/>
                <w:sz w:val="20"/>
              </w:rPr>
            </w:pPr>
            <w:r>
              <w:rPr>
                <w:b/>
                <w:noProof/>
                <w:sz w:val="20"/>
              </w:rPr>
              <w:t>43,780</w:t>
            </w:r>
          </w:p>
        </w:tc>
      </w:tr>
      <w:tr>
        <w:tc>
          <w:tcPr>
            <w:tcW w:w="3960" w:type="dxa"/>
            <w:vMerge/>
            <w:vAlign w:val="center"/>
          </w:tcPr>
          <w:p>
            <w:pPr>
              <w:rPr>
                <w:noProof/>
              </w:rPr>
            </w:pPr>
          </w:p>
        </w:tc>
        <w:tc>
          <w:tcPr>
            <w:tcW w:w="1440" w:type="dxa"/>
            <w:vAlign w:val="center"/>
          </w:tcPr>
          <w:p>
            <w:pPr>
              <w:spacing w:before="20" w:after="20"/>
              <w:rPr>
                <w:noProof/>
                <w:sz w:val="18"/>
              </w:rPr>
            </w:pPr>
            <w:r>
              <w:rPr>
                <w:noProof/>
                <w:sz w:val="18"/>
              </w:rPr>
              <w:t>Platby</w:t>
            </w:r>
          </w:p>
        </w:tc>
        <w:tc>
          <w:tcPr>
            <w:tcW w:w="654" w:type="dxa"/>
            <w:gridSpan w:val="2"/>
            <w:vAlign w:val="center"/>
          </w:tcPr>
          <w:p>
            <w:pPr>
              <w:spacing w:before="20" w:after="20"/>
              <w:jc w:val="center"/>
              <w:rPr>
                <w:noProof/>
                <w:sz w:val="14"/>
              </w:rPr>
            </w:pPr>
            <w:r>
              <w:rPr>
                <w:noProof/>
                <w:sz w:val="14"/>
              </w:rPr>
              <w:t>2)</w:t>
            </w:r>
          </w:p>
        </w:tc>
        <w:tc>
          <w:tcPr>
            <w:tcW w:w="868" w:type="dxa"/>
          </w:tcPr>
          <w:p>
            <w:pPr>
              <w:spacing w:before="20" w:after="20"/>
              <w:jc w:val="right"/>
              <w:rPr>
                <w:noProof/>
                <w:sz w:val="20"/>
              </w:rPr>
            </w:pPr>
            <w:r>
              <w:rPr>
                <w:noProof/>
                <w:sz w:val="20"/>
              </w:rPr>
              <w:t>2,965</w:t>
            </w:r>
          </w:p>
        </w:tc>
        <w:tc>
          <w:tcPr>
            <w:tcW w:w="868" w:type="dxa"/>
          </w:tcPr>
          <w:p>
            <w:pPr>
              <w:spacing w:before="20" w:after="20"/>
              <w:jc w:val="right"/>
              <w:rPr>
                <w:noProof/>
                <w:sz w:val="20"/>
              </w:rPr>
            </w:pPr>
            <w:r>
              <w:rPr>
                <w:noProof/>
                <w:sz w:val="20"/>
              </w:rPr>
              <w:t>5,475</w:t>
            </w:r>
          </w:p>
        </w:tc>
        <w:tc>
          <w:tcPr>
            <w:tcW w:w="868" w:type="dxa"/>
          </w:tcPr>
          <w:p>
            <w:pPr>
              <w:spacing w:before="20" w:after="20"/>
              <w:jc w:val="right"/>
              <w:rPr>
                <w:noProof/>
                <w:sz w:val="20"/>
              </w:rPr>
            </w:pPr>
            <w:r>
              <w:rPr>
                <w:noProof/>
                <w:sz w:val="20"/>
              </w:rPr>
              <w:t>6,680</w:t>
            </w:r>
          </w:p>
        </w:tc>
        <w:tc>
          <w:tcPr>
            <w:tcW w:w="868" w:type="dxa"/>
          </w:tcPr>
          <w:p>
            <w:pPr>
              <w:spacing w:before="20" w:after="20"/>
              <w:jc w:val="right"/>
              <w:rPr>
                <w:noProof/>
                <w:sz w:val="20"/>
              </w:rPr>
            </w:pPr>
            <w:r>
              <w:rPr>
                <w:noProof/>
                <w:sz w:val="20"/>
              </w:rPr>
              <w:t>7,165</w:t>
            </w:r>
          </w:p>
        </w:tc>
        <w:tc>
          <w:tcPr>
            <w:tcW w:w="868" w:type="dxa"/>
          </w:tcPr>
          <w:p>
            <w:pPr>
              <w:spacing w:before="20" w:after="20"/>
              <w:jc w:val="right"/>
              <w:rPr>
                <w:noProof/>
                <w:sz w:val="20"/>
              </w:rPr>
            </w:pPr>
            <w:r>
              <w:rPr>
                <w:noProof/>
                <w:sz w:val="20"/>
              </w:rPr>
              <w:t>7,165</w:t>
            </w:r>
          </w:p>
        </w:tc>
        <w:tc>
          <w:tcPr>
            <w:tcW w:w="868" w:type="dxa"/>
          </w:tcPr>
          <w:p>
            <w:pPr>
              <w:spacing w:before="20" w:after="20"/>
              <w:jc w:val="right"/>
              <w:rPr>
                <w:noProof/>
                <w:sz w:val="20"/>
              </w:rPr>
            </w:pPr>
            <w:r>
              <w:rPr>
                <w:noProof/>
                <w:sz w:val="20"/>
              </w:rPr>
              <w:t>7,165</w:t>
            </w:r>
          </w:p>
        </w:tc>
        <w:tc>
          <w:tcPr>
            <w:tcW w:w="868" w:type="dxa"/>
          </w:tcPr>
          <w:p>
            <w:pPr>
              <w:spacing w:before="20" w:after="20"/>
              <w:jc w:val="right"/>
              <w:rPr>
                <w:b/>
                <w:noProof/>
                <w:sz w:val="20"/>
              </w:rPr>
            </w:pPr>
            <w:r>
              <w:rPr>
                <w:noProof/>
                <w:sz w:val="20"/>
              </w:rPr>
              <w:t>7,165</w:t>
            </w:r>
          </w:p>
        </w:tc>
        <w:tc>
          <w:tcPr>
            <w:tcW w:w="1777" w:type="dxa"/>
            <w:vAlign w:val="center"/>
          </w:tcPr>
          <w:p>
            <w:pPr>
              <w:spacing w:before="20" w:after="20"/>
              <w:jc w:val="right"/>
              <w:rPr>
                <w:b/>
                <w:noProof/>
                <w:sz w:val="20"/>
              </w:rPr>
            </w:pPr>
            <w:r>
              <w:rPr>
                <w:b/>
                <w:noProof/>
                <w:sz w:val="20"/>
              </w:rPr>
              <w:t>43,780</w:t>
            </w:r>
          </w:p>
        </w:tc>
      </w:tr>
      <w:tr>
        <w:tc>
          <w:tcPr>
            <w:tcW w:w="3960" w:type="dxa"/>
            <w:vMerge w:val="restart"/>
            <w:vAlign w:val="center"/>
          </w:tcPr>
          <w:p>
            <w:pPr>
              <w:rPr>
                <w:noProof/>
              </w:rPr>
            </w:pPr>
            <w:r>
              <w:rPr>
                <w:noProof/>
                <w:sz w:val="20"/>
              </w:rPr>
              <w:t>Hlava 2:</w:t>
            </w:r>
          </w:p>
        </w:tc>
        <w:tc>
          <w:tcPr>
            <w:tcW w:w="1440" w:type="dxa"/>
            <w:vAlign w:val="center"/>
          </w:tcPr>
          <w:p>
            <w:pPr>
              <w:spacing w:before="20" w:after="20"/>
              <w:rPr>
                <w:noProof/>
                <w:sz w:val="18"/>
              </w:rPr>
            </w:pPr>
            <w:r>
              <w:rPr>
                <w:noProof/>
                <w:sz w:val="18"/>
              </w:rPr>
              <w:t>Závazky</w:t>
            </w:r>
          </w:p>
        </w:tc>
        <w:tc>
          <w:tcPr>
            <w:tcW w:w="654" w:type="dxa"/>
            <w:gridSpan w:val="2"/>
            <w:vAlign w:val="center"/>
          </w:tcPr>
          <w:p>
            <w:pPr>
              <w:spacing w:before="20" w:after="20"/>
              <w:jc w:val="center"/>
              <w:rPr>
                <w:noProof/>
                <w:sz w:val="14"/>
              </w:rPr>
            </w:pPr>
            <w:r>
              <w:rPr>
                <w:noProof/>
                <w:sz w:val="14"/>
              </w:rPr>
              <w:t>(1a)</w:t>
            </w:r>
          </w:p>
        </w:tc>
        <w:tc>
          <w:tcPr>
            <w:tcW w:w="868" w:type="dxa"/>
          </w:tcPr>
          <w:p>
            <w:pPr>
              <w:spacing w:before="20" w:after="20"/>
              <w:jc w:val="right"/>
              <w:rPr>
                <w:noProof/>
                <w:sz w:val="20"/>
              </w:rPr>
            </w:pPr>
            <w:r>
              <w:rPr>
                <w:noProof/>
                <w:sz w:val="20"/>
              </w:rPr>
              <w:t>0,775</w:t>
            </w:r>
          </w:p>
        </w:tc>
        <w:tc>
          <w:tcPr>
            <w:tcW w:w="868" w:type="dxa"/>
          </w:tcPr>
          <w:p>
            <w:pPr>
              <w:spacing w:before="20" w:after="20"/>
              <w:jc w:val="right"/>
              <w:rPr>
                <w:noProof/>
                <w:sz w:val="20"/>
              </w:rPr>
            </w:pPr>
            <w:r>
              <w:rPr>
                <w:noProof/>
                <w:sz w:val="20"/>
              </w:rPr>
              <w:t>1,375</w:t>
            </w:r>
          </w:p>
        </w:tc>
        <w:tc>
          <w:tcPr>
            <w:tcW w:w="868" w:type="dxa"/>
          </w:tcPr>
          <w:p>
            <w:pPr>
              <w:spacing w:before="20" w:after="20"/>
              <w:jc w:val="right"/>
              <w:rPr>
                <w:noProof/>
                <w:sz w:val="20"/>
              </w:rPr>
            </w:pPr>
            <w:r>
              <w:rPr>
                <w:noProof/>
                <w:sz w:val="20"/>
              </w:rPr>
              <w:t>1,700</w:t>
            </w:r>
          </w:p>
        </w:tc>
        <w:tc>
          <w:tcPr>
            <w:tcW w:w="868" w:type="dxa"/>
          </w:tcPr>
          <w:p>
            <w:pPr>
              <w:spacing w:before="20" w:after="20"/>
              <w:jc w:val="right"/>
              <w:rPr>
                <w:noProof/>
                <w:sz w:val="20"/>
              </w:rPr>
            </w:pPr>
            <w:r>
              <w:rPr>
                <w:noProof/>
                <w:sz w:val="20"/>
              </w:rPr>
              <w:t>1,825</w:t>
            </w:r>
          </w:p>
        </w:tc>
        <w:tc>
          <w:tcPr>
            <w:tcW w:w="868" w:type="dxa"/>
          </w:tcPr>
          <w:p>
            <w:pPr>
              <w:spacing w:before="20" w:after="20"/>
              <w:jc w:val="right"/>
              <w:rPr>
                <w:noProof/>
                <w:sz w:val="20"/>
              </w:rPr>
            </w:pPr>
            <w:r>
              <w:rPr>
                <w:noProof/>
                <w:sz w:val="20"/>
              </w:rPr>
              <w:t>1,825</w:t>
            </w:r>
          </w:p>
        </w:tc>
        <w:tc>
          <w:tcPr>
            <w:tcW w:w="868" w:type="dxa"/>
          </w:tcPr>
          <w:p>
            <w:pPr>
              <w:spacing w:before="20" w:after="20"/>
              <w:jc w:val="right"/>
              <w:rPr>
                <w:noProof/>
                <w:sz w:val="20"/>
              </w:rPr>
            </w:pPr>
            <w:r>
              <w:rPr>
                <w:noProof/>
                <w:sz w:val="20"/>
              </w:rPr>
              <w:t>1,825</w:t>
            </w:r>
          </w:p>
        </w:tc>
        <w:tc>
          <w:tcPr>
            <w:tcW w:w="868" w:type="dxa"/>
          </w:tcPr>
          <w:p>
            <w:pPr>
              <w:spacing w:before="20" w:after="20"/>
              <w:jc w:val="right"/>
              <w:rPr>
                <w:b/>
                <w:noProof/>
                <w:sz w:val="20"/>
              </w:rPr>
            </w:pPr>
            <w:r>
              <w:rPr>
                <w:noProof/>
                <w:sz w:val="20"/>
              </w:rPr>
              <w:t>1,825</w:t>
            </w:r>
          </w:p>
        </w:tc>
        <w:tc>
          <w:tcPr>
            <w:tcW w:w="1777" w:type="dxa"/>
            <w:vAlign w:val="center"/>
          </w:tcPr>
          <w:p>
            <w:pPr>
              <w:spacing w:before="20" w:after="20"/>
              <w:jc w:val="right"/>
              <w:rPr>
                <w:b/>
                <w:noProof/>
                <w:sz w:val="20"/>
              </w:rPr>
            </w:pPr>
            <w:r>
              <w:rPr>
                <w:b/>
                <w:noProof/>
                <w:sz w:val="20"/>
              </w:rPr>
              <w:t>11,150</w:t>
            </w:r>
          </w:p>
        </w:tc>
      </w:tr>
      <w:tr>
        <w:tc>
          <w:tcPr>
            <w:tcW w:w="3960" w:type="dxa"/>
            <w:vMerge/>
            <w:vAlign w:val="center"/>
          </w:tcPr>
          <w:p>
            <w:pPr>
              <w:rPr>
                <w:noProof/>
              </w:rPr>
            </w:pPr>
          </w:p>
        </w:tc>
        <w:tc>
          <w:tcPr>
            <w:tcW w:w="1440" w:type="dxa"/>
            <w:vAlign w:val="center"/>
          </w:tcPr>
          <w:p>
            <w:pPr>
              <w:spacing w:before="20" w:after="20"/>
              <w:rPr>
                <w:noProof/>
                <w:sz w:val="18"/>
              </w:rPr>
            </w:pPr>
            <w:r>
              <w:rPr>
                <w:noProof/>
                <w:sz w:val="18"/>
              </w:rPr>
              <w:t>Platby</w:t>
            </w:r>
          </w:p>
        </w:tc>
        <w:tc>
          <w:tcPr>
            <w:tcW w:w="654" w:type="dxa"/>
            <w:gridSpan w:val="2"/>
            <w:vAlign w:val="center"/>
          </w:tcPr>
          <w:p>
            <w:pPr>
              <w:spacing w:before="20" w:after="20"/>
              <w:jc w:val="center"/>
              <w:rPr>
                <w:noProof/>
                <w:sz w:val="14"/>
              </w:rPr>
            </w:pPr>
            <w:r>
              <w:rPr>
                <w:noProof/>
                <w:sz w:val="14"/>
              </w:rPr>
              <w:t>(2a)</w:t>
            </w:r>
          </w:p>
        </w:tc>
        <w:tc>
          <w:tcPr>
            <w:tcW w:w="868" w:type="dxa"/>
          </w:tcPr>
          <w:p>
            <w:pPr>
              <w:spacing w:before="20" w:after="20"/>
              <w:jc w:val="right"/>
              <w:rPr>
                <w:noProof/>
                <w:sz w:val="20"/>
              </w:rPr>
            </w:pPr>
            <w:r>
              <w:rPr>
                <w:noProof/>
                <w:sz w:val="20"/>
              </w:rPr>
              <w:t>0,775</w:t>
            </w:r>
          </w:p>
        </w:tc>
        <w:tc>
          <w:tcPr>
            <w:tcW w:w="868" w:type="dxa"/>
          </w:tcPr>
          <w:p>
            <w:pPr>
              <w:spacing w:before="20" w:after="20"/>
              <w:jc w:val="right"/>
              <w:rPr>
                <w:noProof/>
                <w:sz w:val="20"/>
              </w:rPr>
            </w:pPr>
            <w:r>
              <w:rPr>
                <w:noProof/>
                <w:sz w:val="20"/>
              </w:rPr>
              <w:t>1,375</w:t>
            </w:r>
          </w:p>
        </w:tc>
        <w:tc>
          <w:tcPr>
            <w:tcW w:w="868" w:type="dxa"/>
          </w:tcPr>
          <w:p>
            <w:pPr>
              <w:spacing w:before="20" w:after="20"/>
              <w:jc w:val="right"/>
              <w:rPr>
                <w:noProof/>
                <w:sz w:val="20"/>
              </w:rPr>
            </w:pPr>
            <w:r>
              <w:rPr>
                <w:noProof/>
                <w:sz w:val="20"/>
              </w:rPr>
              <w:t>1,700</w:t>
            </w:r>
          </w:p>
        </w:tc>
        <w:tc>
          <w:tcPr>
            <w:tcW w:w="868" w:type="dxa"/>
          </w:tcPr>
          <w:p>
            <w:pPr>
              <w:spacing w:before="20" w:after="20"/>
              <w:jc w:val="right"/>
              <w:rPr>
                <w:noProof/>
                <w:sz w:val="20"/>
              </w:rPr>
            </w:pPr>
            <w:r>
              <w:rPr>
                <w:noProof/>
                <w:sz w:val="20"/>
              </w:rPr>
              <w:t>1,825</w:t>
            </w:r>
          </w:p>
        </w:tc>
        <w:tc>
          <w:tcPr>
            <w:tcW w:w="868" w:type="dxa"/>
          </w:tcPr>
          <w:p>
            <w:pPr>
              <w:spacing w:before="20" w:after="20"/>
              <w:jc w:val="right"/>
              <w:rPr>
                <w:noProof/>
                <w:sz w:val="20"/>
              </w:rPr>
            </w:pPr>
            <w:r>
              <w:rPr>
                <w:noProof/>
                <w:sz w:val="20"/>
              </w:rPr>
              <w:t>1,825</w:t>
            </w:r>
          </w:p>
        </w:tc>
        <w:tc>
          <w:tcPr>
            <w:tcW w:w="868" w:type="dxa"/>
          </w:tcPr>
          <w:p>
            <w:pPr>
              <w:spacing w:before="20" w:after="20"/>
              <w:jc w:val="right"/>
              <w:rPr>
                <w:noProof/>
                <w:sz w:val="20"/>
              </w:rPr>
            </w:pPr>
            <w:r>
              <w:rPr>
                <w:noProof/>
                <w:sz w:val="20"/>
              </w:rPr>
              <w:t>1,825</w:t>
            </w:r>
          </w:p>
        </w:tc>
        <w:tc>
          <w:tcPr>
            <w:tcW w:w="868" w:type="dxa"/>
          </w:tcPr>
          <w:p>
            <w:pPr>
              <w:spacing w:before="20" w:after="20"/>
              <w:jc w:val="right"/>
              <w:rPr>
                <w:b/>
                <w:noProof/>
                <w:sz w:val="20"/>
              </w:rPr>
            </w:pPr>
            <w:r>
              <w:rPr>
                <w:noProof/>
                <w:sz w:val="20"/>
              </w:rPr>
              <w:t>1,825</w:t>
            </w:r>
          </w:p>
        </w:tc>
        <w:tc>
          <w:tcPr>
            <w:tcW w:w="1777" w:type="dxa"/>
            <w:vAlign w:val="center"/>
          </w:tcPr>
          <w:p>
            <w:pPr>
              <w:spacing w:before="20" w:after="20"/>
              <w:jc w:val="right"/>
              <w:rPr>
                <w:b/>
                <w:noProof/>
                <w:sz w:val="20"/>
              </w:rPr>
            </w:pPr>
            <w:r>
              <w:rPr>
                <w:b/>
                <w:noProof/>
                <w:sz w:val="20"/>
              </w:rPr>
              <w:t>11,150</w:t>
            </w:r>
          </w:p>
        </w:tc>
      </w:tr>
      <w:tr>
        <w:trPr>
          <w:trHeight w:val="319"/>
        </w:trPr>
        <w:tc>
          <w:tcPr>
            <w:tcW w:w="3960" w:type="dxa"/>
            <w:vAlign w:val="center"/>
          </w:tcPr>
          <w:p>
            <w:pPr>
              <w:spacing w:before="60" w:after="60"/>
              <w:rPr>
                <w:noProof/>
              </w:rPr>
            </w:pPr>
            <w:r>
              <w:rPr>
                <w:noProof/>
                <w:sz w:val="20"/>
              </w:rPr>
              <w:t>Hlava 3:</w:t>
            </w:r>
          </w:p>
        </w:tc>
        <w:tc>
          <w:tcPr>
            <w:tcW w:w="1440" w:type="dxa"/>
            <w:vAlign w:val="center"/>
          </w:tcPr>
          <w:p>
            <w:pPr>
              <w:spacing w:before="40" w:after="40"/>
              <w:rPr>
                <w:noProof/>
                <w:sz w:val="18"/>
              </w:rPr>
            </w:pPr>
            <w:r>
              <w:rPr>
                <w:noProof/>
                <w:sz w:val="18"/>
              </w:rPr>
              <w:t>Závazky</w:t>
            </w:r>
          </w:p>
        </w:tc>
        <w:tc>
          <w:tcPr>
            <w:tcW w:w="654" w:type="dxa"/>
            <w:gridSpan w:val="2"/>
            <w:vAlign w:val="center"/>
          </w:tcPr>
          <w:p>
            <w:pPr>
              <w:spacing w:before="40" w:after="40"/>
              <w:jc w:val="center"/>
              <w:rPr>
                <w:noProof/>
                <w:sz w:val="14"/>
              </w:rPr>
            </w:pPr>
            <w:r>
              <w:rPr>
                <w:noProof/>
                <w:sz w:val="14"/>
              </w:rPr>
              <w:t>(3a)</w:t>
            </w:r>
          </w:p>
        </w:tc>
        <w:tc>
          <w:tcPr>
            <w:tcW w:w="868" w:type="dxa"/>
          </w:tcPr>
          <w:p>
            <w:pPr>
              <w:spacing w:before="40" w:after="40"/>
              <w:jc w:val="right"/>
              <w:rPr>
                <w:noProof/>
                <w:sz w:val="20"/>
              </w:rPr>
            </w:pPr>
            <w:r>
              <w:rPr>
                <w:noProof/>
                <w:sz w:val="20"/>
              </w:rPr>
              <w:t xml:space="preserve"> 12,300</w:t>
            </w:r>
          </w:p>
        </w:tc>
        <w:tc>
          <w:tcPr>
            <w:tcW w:w="868" w:type="dxa"/>
          </w:tcPr>
          <w:p>
            <w:pPr>
              <w:spacing w:before="40" w:after="40"/>
              <w:jc w:val="right"/>
              <w:rPr>
                <w:noProof/>
                <w:sz w:val="20"/>
              </w:rPr>
            </w:pPr>
            <w:r>
              <w:rPr>
                <w:noProof/>
                <w:sz w:val="20"/>
              </w:rPr>
              <w:t xml:space="preserve"> 16,500</w:t>
            </w:r>
          </w:p>
        </w:tc>
        <w:tc>
          <w:tcPr>
            <w:tcW w:w="868" w:type="dxa"/>
          </w:tcPr>
          <w:p>
            <w:pPr>
              <w:spacing w:before="40" w:after="40"/>
              <w:jc w:val="right"/>
              <w:rPr>
                <w:noProof/>
                <w:sz w:val="20"/>
              </w:rPr>
            </w:pPr>
            <w:r>
              <w:rPr>
                <w:noProof/>
                <w:sz w:val="20"/>
              </w:rPr>
              <w:t xml:space="preserve"> 16,700</w:t>
            </w:r>
          </w:p>
        </w:tc>
        <w:tc>
          <w:tcPr>
            <w:tcW w:w="868" w:type="dxa"/>
          </w:tcPr>
          <w:p>
            <w:pPr>
              <w:spacing w:before="40" w:after="40"/>
              <w:jc w:val="right"/>
              <w:rPr>
                <w:noProof/>
                <w:sz w:val="20"/>
              </w:rPr>
            </w:pPr>
            <w:r>
              <w:rPr>
                <w:noProof/>
                <w:sz w:val="20"/>
              </w:rPr>
              <w:t xml:space="preserve"> 17,000</w:t>
            </w:r>
          </w:p>
        </w:tc>
        <w:tc>
          <w:tcPr>
            <w:tcW w:w="868" w:type="dxa"/>
          </w:tcPr>
          <w:p>
            <w:pPr>
              <w:spacing w:before="40" w:after="40"/>
              <w:jc w:val="right"/>
              <w:rPr>
                <w:noProof/>
                <w:sz w:val="20"/>
              </w:rPr>
            </w:pPr>
            <w:r>
              <w:rPr>
                <w:noProof/>
                <w:sz w:val="20"/>
              </w:rPr>
              <w:t xml:space="preserve"> 14,000</w:t>
            </w:r>
          </w:p>
        </w:tc>
        <w:tc>
          <w:tcPr>
            <w:tcW w:w="868" w:type="dxa"/>
          </w:tcPr>
          <w:p>
            <w:pPr>
              <w:spacing w:before="40" w:after="40"/>
              <w:jc w:val="right"/>
              <w:rPr>
                <w:noProof/>
                <w:sz w:val="20"/>
              </w:rPr>
            </w:pPr>
            <w:r>
              <w:rPr>
                <w:noProof/>
                <w:sz w:val="20"/>
              </w:rPr>
              <w:t xml:space="preserve"> 13,000</w:t>
            </w:r>
          </w:p>
        </w:tc>
        <w:tc>
          <w:tcPr>
            <w:tcW w:w="868" w:type="dxa"/>
          </w:tcPr>
          <w:p>
            <w:pPr>
              <w:spacing w:before="40" w:after="40"/>
              <w:jc w:val="right"/>
              <w:rPr>
                <w:noProof/>
                <w:sz w:val="20"/>
              </w:rPr>
            </w:pPr>
            <w:r>
              <w:rPr>
                <w:noProof/>
                <w:sz w:val="20"/>
              </w:rPr>
              <w:t xml:space="preserve"> 13,000</w:t>
            </w:r>
          </w:p>
        </w:tc>
        <w:tc>
          <w:tcPr>
            <w:tcW w:w="1777" w:type="dxa"/>
            <w:vAlign w:val="center"/>
          </w:tcPr>
          <w:p>
            <w:pPr>
              <w:spacing w:before="40" w:after="40"/>
              <w:jc w:val="right"/>
              <w:rPr>
                <w:b/>
                <w:noProof/>
                <w:sz w:val="20"/>
              </w:rPr>
            </w:pPr>
            <w:r>
              <w:rPr>
                <w:b/>
                <w:noProof/>
                <w:sz w:val="20"/>
              </w:rPr>
              <w:t>102,500</w:t>
            </w:r>
          </w:p>
        </w:tc>
      </w:tr>
      <w:tr>
        <w:trPr>
          <w:trHeight w:val="319"/>
        </w:trPr>
        <w:tc>
          <w:tcPr>
            <w:tcW w:w="3960" w:type="dxa"/>
            <w:vAlign w:val="center"/>
          </w:tcPr>
          <w:p>
            <w:pPr>
              <w:spacing w:before="60" w:after="60"/>
              <w:rPr>
                <w:b/>
                <w:noProof/>
                <w:sz w:val="20"/>
              </w:rPr>
            </w:pPr>
          </w:p>
        </w:tc>
        <w:tc>
          <w:tcPr>
            <w:tcW w:w="1440" w:type="dxa"/>
            <w:vAlign w:val="center"/>
          </w:tcPr>
          <w:p>
            <w:pPr>
              <w:spacing w:before="40" w:after="40"/>
              <w:rPr>
                <w:noProof/>
                <w:sz w:val="18"/>
              </w:rPr>
            </w:pPr>
            <w:r>
              <w:rPr>
                <w:noProof/>
                <w:sz w:val="18"/>
              </w:rPr>
              <w:t>Platby</w:t>
            </w:r>
          </w:p>
        </w:tc>
        <w:tc>
          <w:tcPr>
            <w:tcW w:w="654" w:type="dxa"/>
            <w:gridSpan w:val="2"/>
            <w:vAlign w:val="center"/>
          </w:tcPr>
          <w:p>
            <w:pPr>
              <w:spacing w:before="40" w:after="40"/>
              <w:jc w:val="center"/>
              <w:rPr>
                <w:noProof/>
                <w:sz w:val="14"/>
              </w:rPr>
            </w:pPr>
            <w:r>
              <w:rPr>
                <w:noProof/>
                <w:sz w:val="14"/>
              </w:rPr>
              <w:t>(3b)</w:t>
            </w:r>
          </w:p>
        </w:tc>
        <w:tc>
          <w:tcPr>
            <w:tcW w:w="868" w:type="dxa"/>
          </w:tcPr>
          <w:p>
            <w:pPr>
              <w:spacing w:before="40" w:after="40"/>
              <w:jc w:val="right"/>
              <w:rPr>
                <w:noProof/>
                <w:sz w:val="20"/>
              </w:rPr>
            </w:pPr>
            <w:r>
              <w:rPr>
                <w:noProof/>
                <w:sz w:val="20"/>
              </w:rPr>
              <w:t xml:space="preserve"> 12,300</w:t>
            </w:r>
          </w:p>
        </w:tc>
        <w:tc>
          <w:tcPr>
            <w:tcW w:w="868" w:type="dxa"/>
          </w:tcPr>
          <w:p>
            <w:pPr>
              <w:spacing w:before="40" w:after="40"/>
              <w:jc w:val="right"/>
              <w:rPr>
                <w:noProof/>
                <w:sz w:val="20"/>
              </w:rPr>
            </w:pPr>
            <w:r>
              <w:rPr>
                <w:noProof/>
                <w:sz w:val="20"/>
              </w:rPr>
              <w:t xml:space="preserve"> 16,500</w:t>
            </w:r>
          </w:p>
        </w:tc>
        <w:tc>
          <w:tcPr>
            <w:tcW w:w="868" w:type="dxa"/>
          </w:tcPr>
          <w:p>
            <w:pPr>
              <w:spacing w:before="40" w:after="40"/>
              <w:jc w:val="right"/>
              <w:rPr>
                <w:noProof/>
                <w:sz w:val="20"/>
              </w:rPr>
            </w:pPr>
            <w:r>
              <w:rPr>
                <w:noProof/>
                <w:sz w:val="20"/>
              </w:rPr>
              <w:t xml:space="preserve"> 16,700</w:t>
            </w:r>
          </w:p>
        </w:tc>
        <w:tc>
          <w:tcPr>
            <w:tcW w:w="868" w:type="dxa"/>
          </w:tcPr>
          <w:p>
            <w:pPr>
              <w:spacing w:before="40" w:after="40"/>
              <w:jc w:val="right"/>
              <w:rPr>
                <w:noProof/>
                <w:sz w:val="20"/>
              </w:rPr>
            </w:pPr>
            <w:r>
              <w:rPr>
                <w:noProof/>
                <w:sz w:val="20"/>
              </w:rPr>
              <w:t xml:space="preserve"> 17,000</w:t>
            </w:r>
          </w:p>
        </w:tc>
        <w:tc>
          <w:tcPr>
            <w:tcW w:w="868" w:type="dxa"/>
          </w:tcPr>
          <w:p>
            <w:pPr>
              <w:spacing w:before="40" w:after="40"/>
              <w:jc w:val="right"/>
              <w:rPr>
                <w:noProof/>
                <w:sz w:val="20"/>
              </w:rPr>
            </w:pPr>
            <w:r>
              <w:rPr>
                <w:noProof/>
                <w:sz w:val="20"/>
              </w:rPr>
              <w:t xml:space="preserve"> 14,000</w:t>
            </w:r>
          </w:p>
        </w:tc>
        <w:tc>
          <w:tcPr>
            <w:tcW w:w="868" w:type="dxa"/>
          </w:tcPr>
          <w:p>
            <w:pPr>
              <w:spacing w:before="40" w:after="40"/>
              <w:jc w:val="right"/>
              <w:rPr>
                <w:noProof/>
                <w:sz w:val="20"/>
              </w:rPr>
            </w:pPr>
            <w:r>
              <w:rPr>
                <w:noProof/>
                <w:sz w:val="20"/>
              </w:rPr>
              <w:t xml:space="preserve"> 13,000</w:t>
            </w:r>
          </w:p>
        </w:tc>
        <w:tc>
          <w:tcPr>
            <w:tcW w:w="868" w:type="dxa"/>
          </w:tcPr>
          <w:p>
            <w:pPr>
              <w:spacing w:before="40" w:after="40"/>
              <w:jc w:val="right"/>
              <w:rPr>
                <w:noProof/>
                <w:sz w:val="20"/>
              </w:rPr>
            </w:pPr>
            <w:r>
              <w:rPr>
                <w:noProof/>
                <w:sz w:val="20"/>
              </w:rPr>
              <w:t xml:space="preserve"> 13,000</w:t>
            </w:r>
          </w:p>
        </w:tc>
        <w:tc>
          <w:tcPr>
            <w:tcW w:w="1777" w:type="dxa"/>
            <w:vAlign w:val="center"/>
          </w:tcPr>
          <w:p>
            <w:pPr>
              <w:spacing w:before="40" w:after="40"/>
              <w:jc w:val="right"/>
              <w:rPr>
                <w:b/>
                <w:noProof/>
                <w:sz w:val="20"/>
              </w:rPr>
            </w:pPr>
            <w:r>
              <w:rPr>
                <w:b/>
                <w:noProof/>
                <w:sz w:val="20"/>
              </w:rPr>
              <w:t>102,500</w:t>
            </w:r>
          </w:p>
        </w:tc>
      </w:tr>
      <w:tr>
        <w:trPr>
          <w:trHeight w:val="703"/>
        </w:trPr>
        <w:tc>
          <w:tcPr>
            <w:tcW w:w="3960" w:type="dxa"/>
            <w:vMerge w:val="restart"/>
            <w:vAlign w:val="center"/>
          </w:tcPr>
          <w:p>
            <w:pPr>
              <w:jc w:val="center"/>
              <w:rPr>
                <w:noProof/>
              </w:rPr>
            </w:pPr>
            <w:r>
              <w:rPr>
                <w:b/>
                <w:noProof/>
                <w:sz w:val="22"/>
              </w:rPr>
              <w:t>CELKEM prostředky</w:t>
            </w:r>
            <w:r>
              <w:rPr>
                <w:noProof/>
              </w:rPr>
              <w:t xml:space="preserve"> </w:t>
            </w:r>
            <w:r>
              <w:rPr>
                <w:noProof/>
              </w:rPr>
              <w:br/>
            </w:r>
            <w:r>
              <w:rPr>
                <w:b/>
                <w:noProof/>
                <w:sz w:val="22"/>
              </w:rPr>
              <w:t xml:space="preserve">pro </w:t>
            </w:r>
            <w:r>
              <w:rPr>
                <w:b/>
                <w:noProof/>
              </w:rPr>
              <w:t>ECDC</w:t>
            </w:r>
          </w:p>
        </w:tc>
        <w:tc>
          <w:tcPr>
            <w:tcW w:w="1440" w:type="dxa"/>
            <w:vAlign w:val="center"/>
          </w:tcPr>
          <w:p>
            <w:pPr>
              <w:rPr>
                <w:noProof/>
                <w:sz w:val="18"/>
              </w:rPr>
            </w:pPr>
            <w:r>
              <w:rPr>
                <w:noProof/>
                <w:sz w:val="18"/>
              </w:rPr>
              <w:t>Závazky</w:t>
            </w:r>
          </w:p>
        </w:tc>
        <w:tc>
          <w:tcPr>
            <w:tcW w:w="654" w:type="dxa"/>
            <w:gridSpan w:val="2"/>
            <w:vAlign w:val="center"/>
          </w:tcPr>
          <w:p>
            <w:pPr>
              <w:jc w:val="center"/>
              <w:rPr>
                <w:noProof/>
                <w:sz w:val="14"/>
              </w:rPr>
            </w:pPr>
            <w:r>
              <w:rPr>
                <w:noProof/>
                <w:sz w:val="14"/>
              </w:rPr>
              <w:t>=1+1a +3a</w:t>
            </w:r>
          </w:p>
        </w:tc>
        <w:tc>
          <w:tcPr>
            <w:tcW w:w="868" w:type="dxa"/>
            <w:vAlign w:val="center"/>
          </w:tcPr>
          <w:p>
            <w:pPr>
              <w:spacing w:before="20" w:after="20"/>
              <w:jc w:val="right"/>
              <w:rPr>
                <w:b/>
                <w:noProof/>
                <w:sz w:val="20"/>
              </w:rPr>
            </w:pPr>
            <w:r>
              <w:rPr>
                <w:b/>
                <w:noProof/>
                <w:sz w:val="20"/>
              </w:rPr>
              <w:t xml:space="preserve"> 16,040 </w:t>
            </w:r>
          </w:p>
        </w:tc>
        <w:tc>
          <w:tcPr>
            <w:tcW w:w="868" w:type="dxa"/>
            <w:vAlign w:val="center"/>
          </w:tcPr>
          <w:p>
            <w:pPr>
              <w:spacing w:before="20" w:after="20"/>
              <w:jc w:val="right"/>
              <w:rPr>
                <w:b/>
                <w:noProof/>
                <w:sz w:val="20"/>
              </w:rPr>
            </w:pPr>
            <w:r>
              <w:rPr>
                <w:b/>
                <w:noProof/>
                <w:sz w:val="20"/>
              </w:rPr>
              <w:t xml:space="preserve"> 23,350 </w:t>
            </w:r>
          </w:p>
        </w:tc>
        <w:tc>
          <w:tcPr>
            <w:tcW w:w="868" w:type="dxa"/>
            <w:vAlign w:val="center"/>
          </w:tcPr>
          <w:p>
            <w:pPr>
              <w:spacing w:before="20" w:after="20"/>
              <w:jc w:val="right"/>
              <w:rPr>
                <w:b/>
                <w:noProof/>
                <w:sz w:val="20"/>
              </w:rPr>
            </w:pPr>
            <w:r>
              <w:rPr>
                <w:b/>
                <w:noProof/>
                <w:sz w:val="20"/>
              </w:rPr>
              <w:t xml:space="preserve"> 25,080 </w:t>
            </w:r>
          </w:p>
        </w:tc>
        <w:tc>
          <w:tcPr>
            <w:tcW w:w="868" w:type="dxa"/>
            <w:vAlign w:val="center"/>
          </w:tcPr>
          <w:p>
            <w:pPr>
              <w:spacing w:before="20" w:after="20"/>
              <w:jc w:val="right"/>
              <w:rPr>
                <w:b/>
                <w:noProof/>
                <w:sz w:val="20"/>
              </w:rPr>
            </w:pPr>
            <w:r>
              <w:rPr>
                <w:b/>
                <w:noProof/>
                <w:sz w:val="20"/>
              </w:rPr>
              <w:t xml:space="preserve"> 25,990 </w:t>
            </w:r>
          </w:p>
        </w:tc>
        <w:tc>
          <w:tcPr>
            <w:tcW w:w="868" w:type="dxa"/>
            <w:vAlign w:val="center"/>
          </w:tcPr>
          <w:p>
            <w:pPr>
              <w:spacing w:before="20" w:after="20"/>
              <w:jc w:val="right"/>
              <w:rPr>
                <w:b/>
                <w:noProof/>
                <w:sz w:val="20"/>
              </w:rPr>
            </w:pPr>
            <w:r>
              <w:rPr>
                <w:b/>
                <w:noProof/>
                <w:sz w:val="20"/>
              </w:rPr>
              <w:t xml:space="preserve"> 22,990 </w:t>
            </w:r>
          </w:p>
        </w:tc>
        <w:tc>
          <w:tcPr>
            <w:tcW w:w="868" w:type="dxa"/>
            <w:vAlign w:val="center"/>
          </w:tcPr>
          <w:p>
            <w:pPr>
              <w:spacing w:before="20" w:after="20"/>
              <w:jc w:val="right"/>
              <w:rPr>
                <w:b/>
                <w:noProof/>
                <w:sz w:val="20"/>
              </w:rPr>
            </w:pPr>
            <w:r>
              <w:rPr>
                <w:b/>
                <w:noProof/>
                <w:sz w:val="20"/>
              </w:rPr>
              <w:t xml:space="preserve"> 21,990 </w:t>
            </w:r>
          </w:p>
        </w:tc>
        <w:tc>
          <w:tcPr>
            <w:tcW w:w="868" w:type="dxa"/>
            <w:vAlign w:val="center"/>
          </w:tcPr>
          <w:p>
            <w:pPr>
              <w:spacing w:before="20" w:after="20"/>
              <w:jc w:val="right"/>
              <w:rPr>
                <w:b/>
                <w:noProof/>
                <w:sz w:val="20"/>
              </w:rPr>
            </w:pPr>
            <w:r>
              <w:rPr>
                <w:b/>
                <w:noProof/>
                <w:sz w:val="20"/>
              </w:rPr>
              <w:t xml:space="preserve"> 21,990 </w:t>
            </w:r>
          </w:p>
        </w:tc>
        <w:tc>
          <w:tcPr>
            <w:tcW w:w="1777" w:type="dxa"/>
            <w:vAlign w:val="center"/>
          </w:tcPr>
          <w:p>
            <w:pPr>
              <w:spacing w:before="20" w:after="20"/>
              <w:jc w:val="right"/>
              <w:rPr>
                <w:b/>
                <w:noProof/>
                <w:sz w:val="20"/>
              </w:rPr>
            </w:pPr>
            <w:r>
              <w:rPr>
                <w:b/>
                <w:noProof/>
                <w:sz w:val="20"/>
              </w:rPr>
              <w:t>157,430</w:t>
            </w:r>
          </w:p>
        </w:tc>
      </w:tr>
      <w:tr>
        <w:tc>
          <w:tcPr>
            <w:tcW w:w="3960" w:type="dxa"/>
            <w:vMerge/>
            <w:vAlign w:val="center"/>
          </w:tcPr>
          <w:p>
            <w:pPr>
              <w:rPr>
                <w:b/>
                <w:noProof/>
              </w:rPr>
            </w:pPr>
          </w:p>
        </w:tc>
        <w:tc>
          <w:tcPr>
            <w:tcW w:w="1440" w:type="dxa"/>
            <w:vAlign w:val="center"/>
          </w:tcPr>
          <w:p>
            <w:pPr>
              <w:rPr>
                <w:noProof/>
                <w:sz w:val="18"/>
              </w:rPr>
            </w:pPr>
            <w:r>
              <w:rPr>
                <w:noProof/>
                <w:sz w:val="18"/>
              </w:rPr>
              <w:t>Platby</w:t>
            </w:r>
          </w:p>
        </w:tc>
        <w:tc>
          <w:tcPr>
            <w:tcW w:w="654" w:type="dxa"/>
            <w:gridSpan w:val="2"/>
            <w:vAlign w:val="center"/>
          </w:tcPr>
          <w:p>
            <w:pPr>
              <w:jc w:val="center"/>
              <w:rPr>
                <w:noProof/>
                <w:sz w:val="14"/>
              </w:rPr>
            </w:pPr>
            <w:r>
              <w:rPr>
                <w:noProof/>
                <w:sz w:val="14"/>
              </w:rPr>
              <w:t>=2+2a</w:t>
            </w:r>
          </w:p>
          <w:p>
            <w:pPr>
              <w:jc w:val="center"/>
              <w:rPr>
                <w:noProof/>
                <w:sz w:val="14"/>
              </w:rPr>
            </w:pPr>
            <w:r>
              <w:rPr>
                <w:noProof/>
                <w:sz w:val="14"/>
              </w:rPr>
              <w:t>+3b</w:t>
            </w:r>
          </w:p>
        </w:tc>
        <w:tc>
          <w:tcPr>
            <w:tcW w:w="868" w:type="dxa"/>
            <w:vAlign w:val="center"/>
          </w:tcPr>
          <w:p>
            <w:pPr>
              <w:spacing w:before="20" w:after="20"/>
              <w:jc w:val="right"/>
              <w:rPr>
                <w:b/>
                <w:noProof/>
                <w:sz w:val="20"/>
              </w:rPr>
            </w:pPr>
            <w:r>
              <w:rPr>
                <w:b/>
                <w:noProof/>
                <w:sz w:val="20"/>
              </w:rPr>
              <w:t xml:space="preserve"> 16,040 </w:t>
            </w:r>
          </w:p>
        </w:tc>
        <w:tc>
          <w:tcPr>
            <w:tcW w:w="868" w:type="dxa"/>
            <w:vAlign w:val="center"/>
          </w:tcPr>
          <w:p>
            <w:pPr>
              <w:spacing w:before="20" w:after="20"/>
              <w:jc w:val="right"/>
              <w:rPr>
                <w:b/>
                <w:noProof/>
                <w:sz w:val="20"/>
              </w:rPr>
            </w:pPr>
            <w:r>
              <w:rPr>
                <w:b/>
                <w:noProof/>
                <w:sz w:val="20"/>
              </w:rPr>
              <w:t xml:space="preserve"> 23,350 </w:t>
            </w:r>
          </w:p>
        </w:tc>
        <w:tc>
          <w:tcPr>
            <w:tcW w:w="868" w:type="dxa"/>
            <w:vAlign w:val="center"/>
          </w:tcPr>
          <w:p>
            <w:pPr>
              <w:spacing w:before="20" w:after="20"/>
              <w:jc w:val="right"/>
              <w:rPr>
                <w:b/>
                <w:noProof/>
                <w:sz w:val="20"/>
              </w:rPr>
            </w:pPr>
            <w:r>
              <w:rPr>
                <w:b/>
                <w:noProof/>
                <w:sz w:val="20"/>
              </w:rPr>
              <w:t xml:space="preserve"> 25,080 </w:t>
            </w:r>
          </w:p>
        </w:tc>
        <w:tc>
          <w:tcPr>
            <w:tcW w:w="868" w:type="dxa"/>
            <w:vAlign w:val="center"/>
          </w:tcPr>
          <w:p>
            <w:pPr>
              <w:spacing w:before="20" w:after="20"/>
              <w:jc w:val="right"/>
              <w:rPr>
                <w:b/>
                <w:noProof/>
                <w:sz w:val="20"/>
              </w:rPr>
            </w:pPr>
            <w:r>
              <w:rPr>
                <w:b/>
                <w:noProof/>
                <w:sz w:val="20"/>
              </w:rPr>
              <w:t xml:space="preserve"> 25,990 </w:t>
            </w:r>
          </w:p>
        </w:tc>
        <w:tc>
          <w:tcPr>
            <w:tcW w:w="868" w:type="dxa"/>
            <w:vAlign w:val="center"/>
          </w:tcPr>
          <w:p>
            <w:pPr>
              <w:spacing w:before="20" w:after="20"/>
              <w:jc w:val="right"/>
              <w:rPr>
                <w:b/>
                <w:noProof/>
                <w:sz w:val="20"/>
              </w:rPr>
            </w:pPr>
            <w:r>
              <w:rPr>
                <w:b/>
                <w:noProof/>
                <w:sz w:val="20"/>
              </w:rPr>
              <w:t xml:space="preserve"> 22,990 </w:t>
            </w:r>
          </w:p>
        </w:tc>
        <w:tc>
          <w:tcPr>
            <w:tcW w:w="868" w:type="dxa"/>
            <w:vAlign w:val="center"/>
          </w:tcPr>
          <w:p>
            <w:pPr>
              <w:spacing w:before="20" w:after="20"/>
              <w:jc w:val="right"/>
              <w:rPr>
                <w:b/>
                <w:noProof/>
                <w:sz w:val="20"/>
              </w:rPr>
            </w:pPr>
            <w:r>
              <w:rPr>
                <w:b/>
                <w:noProof/>
                <w:sz w:val="20"/>
              </w:rPr>
              <w:t xml:space="preserve"> 21,990 </w:t>
            </w:r>
          </w:p>
        </w:tc>
        <w:tc>
          <w:tcPr>
            <w:tcW w:w="868" w:type="dxa"/>
            <w:vAlign w:val="center"/>
          </w:tcPr>
          <w:p>
            <w:pPr>
              <w:spacing w:before="20" w:after="20"/>
              <w:jc w:val="right"/>
              <w:rPr>
                <w:b/>
                <w:noProof/>
                <w:sz w:val="20"/>
              </w:rPr>
            </w:pPr>
            <w:r>
              <w:rPr>
                <w:b/>
                <w:noProof/>
                <w:sz w:val="20"/>
              </w:rPr>
              <w:t xml:space="preserve"> 21,990 </w:t>
            </w:r>
          </w:p>
        </w:tc>
        <w:tc>
          <w:tcPr>
            <w:tcW w:w="1777" w:type="dxa"/>
            <w:vAlign w:val="center"/>
          </w:tcPr>
          <w:p>
            <w:pPr>
              <w:spacing w:before="20" w:after="20"/>
              <w:jc w:val="right"/>
              <w:rPr>
                <w:b/>
                <w:noProof/>
                <w:sz w:val="20"/>
              </w:rPr>
            </w:pPr>
            <w:r>
              <w:rPr>
                <w:b/>
                <w:noProof/>
                <w:sz w:val="20"/>
              </w:rPr>
              <w:t>157,430</w:t>
            </w:r>
          </w:p>
        </w:tc>
      </w:tr>
    </w:tbl>
    <w:p>
      <w:pPr>
        <w:rPr>
          <w:noProof/>
        </w:rPr>
      </w:pPr>
      <w:r>
        <w:rPr>
          <w:noProof/>
        </w:rPr>
        <w:t xml:space="preserve"> </w:t>
      </w:r>
      <w:r>
        <w:rPr>
          <w:noProof/>
        </w:rPr>
        <w:br/>
        <w:t xml:space="preserve"> </w:t>
      </w:r>
      <w:r>
        <w:rPr>
          <w:noProof/>
        </w:rPr>
        <w:br/>
      </w:r>
    </w:p>
    <w:p>
      <w:pPr>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Okruh víceletého finančního</w:t>
            </w:r>
            <w:r>
              <w:rPr>
                <w:noProof/>
              </w:rPr>
              <w:t xml:space="preserve"> </w:t>
            </w:r>
            <w:r>
              <w:rPr>
                <w:noProof/>
              </w:rPr>
              <w:br/>
            </w:r>
            <w:r>
              <w:rPr>
                <w:b/>
                <w:noProof/>
                <w:sz w:val="22"/>
              </w:rPr>
              <w:t xml:space="preserve">rámce </w:t>
            </w:r>
          </w:p>
        </w:tc>
        <w:tc>
          <w:tcPr>
            <w:tcW w:w="1080" w:type="dxa"/>
            <w:shd w:val="thinDiagStripe" w:color="C0C0C0" w:fill="auto"/>
            <w:vAlign w:val="center"/>
          </w:tcPr>
          <w:p>
            <w:pPr>
              <w:spacing w:before="60" w:after="60"/>
              <w:jc w:val="center"/>
              <w:rPr>
                <w:noProof/>
              </w:rPr>
            </w:pPr>
            <w:r>
              <w:rPr>
                <w:b/>
                <w:noProof/>
                <w:sz w:val="22"/>
              </w:rPr>
              <w:t>7</w:t>
            </w:r>
          </w:p>
        </w:tc>
        <w:tc>
          <w:tcPr>
            <w:tcW w:w="7817" w:type="dxa"/>
            <w:vAlign w:val="center"/>
          </w:tcPr>
          <w:p>
            <w:pPr>
              <w:spacing w:before="60" w:after="60"/>
              <w:rPr>
                <w:noProof/>
              </w:rPr>
            </w:pPr>
            <w:r>
              <w:rPr>
                <w:noProof/>
                <w:sz w:val="22"/>
              </w:rPr>
              <w:t>Správní výdaje</w:t>
            </w:r>
          </w:p>
        </w:tc>
      </w:tr>
    </w:tbl>
    <w:p>
      <w:pPr>
        <w:jc w:val="right"/>
        <w:rPr>
          <w:noProof/>
          <w:sz w:val="20"/>
        </w:rPr>
      </w:pPr>
      <w:r>
        <w:rPr>
          <w:noProof/>
          <w:sz w:val="20"/>
        </w:rPr>
        <w:t>v milionech EUR (zaokrouhleno na tři desetinná místa)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1040"/>
        <w:gridCol w:w="696"/>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Rok</w:t>
            </w:r>
            <w:r>
              <w:rPr>
                <w:noProof/>
              </w:rPr>
              <w:t xml:space="preserve"> </w:t>
            </w:r>
            <w:r>
              <w:rPr>
                <w:noProof/>
              </w:rPr>
              <w:br/>
            </w:r>
            <w:r>
              <w:rPr>
                <w:b/>
                <w:noProof/>
                <w:sz w:val="20"/>
              </w:rPr>
              <w:t>2021</w:t>
            </w:r>
          </w:p>
        </w:tc>
        <w:tc>
          <w:tcPr>
            <w:tcW w:w="868" w:type="dxa"/>
            <w:vAlign w:val="center"/>
          </w:tcPr>
          <w:p>
            <w:pPr>
              <w:jc w:val="center"/>
              <w:rPr>
                <w:noProof/>
                <w:sz w:val="20"/>
              </w:rPr>
            </w:pPr>
            <w:r>
              <w:rPr>
                <w:noProof/>
                <w:sz w:val="20"/>
              </w:rPr>
              <w:t>Rok</w:t>
            </w:r>
            <w:r>
              <w:rPr>
                <w:noProof/>
              </w:rPr>
              <w:t xml:space="preserve"> </w:t>
            </w:r>
            <w:r>
              <w:rPr>
                <w:noProof/>
              </w:rPr>
              <w:br/>
            </w:r>
            <w:r>
              <w:rPr>
                <w:b/>
                <w:noProof/>
                <w:sz w:val="20"/>
              </w:rPr>
              <w:t>2022</w:t>
            </w:r>
          </w:p>
        </w:tc>
        <w:tc>
          <w:tcPr>
            <w:tcW w:w="868" w:type="dxa"/>
            <w:vAlign w:val="center"/>
          </w:tcPr>
          <w:p>
            <w:pPr>
              <w:jc w:val="center"/>
              <w:rPr>
                <w:noProof/>
                <w:sz w:val="20"/>
              </w:rPr>
            </w:pPr>
            <w:r>
              <w:rPr>
                <w:noProof/>
                <w:sz w:val="20"/>
              </w:rPr>
              <w:t>Rok</w:t>
            </w:r>
            <w:r>
              <w:rPr>
                <w:noProof/>
              </w:rPr>
              <w:t xml:space="preserve"> </w:t>
            </w:r>
            <w:r>
              <w:rPr>
                <w:noProof/>
              </w:rPr>
              <w:br/>
            </w:r>
            <w:r>
              <w:rPr>
                <w:b/>
                <w:noProof/>
                <w:sz w:val="20"/>
              </w:rPr>
              <w:t>2023</w:t>
            </w:r>
          </w:p>
        </w:tc>
        <w:tc>
          <w:tcPr>
            <w:tcW w:w="868" w:type="dxa"/>
            <w:vAlign w:val="center"/>
          </w:tcPr>
          <w:p>
            <w:pPr>
              <w:jc w:val="center"/>
              <w:rPr>
                <w:noProof/>
                <w:sz w:val="20"/>
              </w:rPr>
            </w:pPr>
            <w:r>
              <w:rPr>
                <w:noProof/>
                <w:sz w:val="20"/>
              </w:rPr>
              <w:t>Rok</w:t>
            </w:r>
            <w:r>
              <w:rPr>
                <w:noProof/>
              </w:rPr>
              <w:t xml:space="preserve"> </w:t>
            </w:r>
            <w:r>
              <w:rPr>
                <w:noProof/>
              </w:rPr>
              <w:br/>
            </w:r>
            <w:r>
              <w:rPr>
                <w:b/>
                <w:noProof/>
                <w:sz w:val="20"/>
              </w:rPr>
              <w:t>2024</w:t>
            </w:r>
          </w:p>
        </w:tc>
        <w:tc>
          <w:tcPr>
            <w:tcW w:w="1040" w:type="dxa"/>
            <w:vAlign w:val="center"/>
          </w:tcPr>
          <w:p>
            <w:pPr>
              <w:jc w:val="center"/>
              <w:rPr>
                <w:b/>
                <w:noProof/>
                <w:sz w:val="18"/>
              </w:rPr>
            </w:pPr>
            <w:r>
              <w:rPr>
                <w:noProof/>
                <w:sz w:val="20"/>
              </w:rPr>
              <w:t>Rok</w:t>
            </w:r>
            <w:r>
              <w:rPr>
                <w:noProof/>
              </w:rPr>
              <w:t xml:space="preserve"> </w:t>
            </w:r>
            <w:r>
              <w:rPr>
                <w:noProof/>
              </w:rPr>
              <w:br/>
            </w:r>
            <w:r>
              <w:rPr>
                <w:b/>
                <w:noProof/>
                <w:sz w:val="20"/>
              </w:rPr>
              <w:t>2025</w:t>
            </w:r>
          </w:p>
        </w:tc>
        <w:tc>
          <w:tcPr>
            <w:tcW w:w="696" w:type="dxa"/>
            <w:vAlign w:val="center"/>
          </w:tcPr>
          <w:p>
            <w:pPr>
              <w:jc w:val="center"/>
              <w:rPr>
                <w:b/>
                <w:noProof/>
                <w:sz w:val="18"/>
              </w:rPr>
            </w:pPr>
            <w:r>
              <w:rPr>
                <w:noProof/>
                <w:sz w:val="20"/>
              </w:rPr>
              <w:t>Rok</w:t>
            </w:r>
            <w:r>
              <w:rPr>
                <w:noProof/>
              </w:rPr>
              <w:t xml:space="preserve"> </w:t>
            </w:r>
            <w:r>
              <w:rPr>
                <w:noProof/>
              </w:rPr>
              <w:br/>
            </w:r>
            <w:r>
              <w:rPr>
                <w:b/>
                <w:noProof/>
                <w:sz w:val="20"/>
              </w:rPr>
              <w:t>2026</w:t>
            </w:r>
          </w:p>
        </w:tc>
        <w:tc>
          <w:tcPr>
            <w:tcW w:w="868" w:type="dxa"/>
            <w:vAlign w:val="center"/>
          </w:tcPr>
          <w:p>
            <w:pPr>
              <w:jc w:val="center"/>
              <w:rPr>
                <w:b/>
                <w:noProof/>
                <w:sz w:val="18"/>
              </w:rPr>
            </w:pPr>
            <w:r>
              <w:rPr>
                <w:noProof/>
                <w:sz w:val="20"/>
              </w:rPr>
              <w:t>Rok</w:t>
            </w:r>
            <w:r>
              <w:rPr>
                <w:noProof/>
              </w:rPr>
              <w:t xml:space="preserve"> </w:t>
            </w:r>
            <w:r>
              <w:rPr>
                <w:noProof/>
              </w:rPr>
              <w:br/>
            </w:r>
            <w:r>
              <w:rPr>
                <w:b/>
                <w:noProof/>
                <w:sz w:val="20"/>
              </w:rPr>
              <w:t>2027</w:t>
            </w:r>
            <w:r>
              <w:rPr>
                <w:noProof/>
                <w:sz w:val="20"/>
              </w:rPr>
              <w:t xml:space="preserve"> a násl.</w:t>
            </w:r>
          </w:p>
        </w:tc>
        <w:tc>
          <w:tcPr>
            <w:tcW w:w="1777" w:type="dxa"/>
            <w:vAlign w:val="center"/>
          </w:tcPr>
          <w:p>
            <w:pPr>
              <w:jc w:val="center"/>
              <w:rPr>
                <w:b/>
                <w:noProof/>
                <w:sz w:val="20"/>
              </w:rPr>
            </w:pPr>
            <w:r>
              <w:rPr>
                <w:b/>
                <w:noProof/>
                <w:sz w:val="20"/>
              </w:rPr>
              <w:t>CELKEM</w:t>
            </w:r>
          </w:p>
        </w:tc>
      </w:tr>
      <w:tr>
        <w:trPr>
          <w:gridAfter w:val="10"/>
          <w:wAfter w:w="9947" w:type="dxa"/>
        </w:trPr>
        <w:tc>
          <w:tcPr>
            <w:tcW w:w="3960" w:type="dxa"/>
            <w:vAlign w:val="center"/>
          </w:tcPr>
          <w:p>
            <w:pPr>
              <w:spacing w:before="60" w:after="60"/>
              <w:jc w:val="center"/>
              <w:rPr>
                <w:noProof/>
              </w:rPr>
            </w:pPr>
            <w:r>
              <w:rPr>
                <w:noProof/>
                <w:sz w:val="22"/>
              </w:rPr>
              <w:t xml:space="preserve">GŘ: </w:t>
            </w:r>
            <w:r>
              <w:rPr>
                <w:noProof/>
              </w:rPr>
              <w:t>&lt;…….&gt;</w:t>
            </w:r>
          </w:p>
        </w:tc>
      </w:tr>
      <w:tr>
        <w:trPr>
          <w:trHeight w:val="313"/>
        </w:trPr>
        <w:tc>
          <w:tcPr>
            <w:tcW w:w="6054" w:type="dxa"/>
            <w:gridSpan w:val="3"/>
            <w:vAlign w:val="center"/>
          </w:tcPr>
          <w:p>
            <w:pPr>
              <w:spacing w:before="20" w:after="20"/>
              <w:rPr>
                <w:noProof/>
              </w:rPr>
            </w:pPr>
            <w:r>
              <w:rPr>
                <w:noProof/>
                <w:sz w:val="22"/>
              </w:rPr>
              <w:sym w:font="Wingdings" w:char="F09F"/>
            </w:r>
            <w:r>
              <w:rPr>
                <w:noProof/>
                <w:sz w:val="22"/>
              </w:rPr>
              <w:t xml:space="preserve"> Lidské zdroje </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040" w:type="dxa"/>
            <w:vAlign w:val="center"/>
          </w:tcPr>
          <w:p>
            <w:pPr>
              <w:spacing w:before="20" w:after="20"/>
              <w:jc w:val="right"/>
              <w:rPr>
                <w:noProof/>
                <w:sz w:val="20"/>
              </w:rPr>
            </w:pPr>
          </w:p>
        </w:tc>
        <w:tc>
          <w:tcPr>
            <w:tcW w:w="696"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351"/>
        </w:trPr>
        <w:tc>
          <w:tcPr>
            <w:tcW w:w="6054" w:type="dxa"/>
            <w:gridSpan w:val="3"/>
            <w:vAlign w:val="center"/>
          </w:tcPr>
          <w:p>
            <w:pPr>
              <w:spacing w:before="20" w:after="20"/>
              <w:rPr>
                <w:noProof/>
              </w:rPr>
            </w:pPr>
            <w:r>
              <w:rPr>
                <w:noProof/>
                <w:sz w:val="22"/>
              </w:rPr>
              <w:sym w:font="Wingdings" w:char="F09F"/>
            </w:r>
            <w:r>
              <w:rPr>
                <w:noProof/>
                <w:sz w:val="22"/>
              </w:rPr>
              <w:t xml:space="preserve"> Ostatní správní výdaje </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040" w:type="dxa"/>
            <w:vAlign w:val="center"/>
          </w:tcPr>
          <w:p>
            <w:pPr>
              <w:spacing w:before="20" w:after="20"/>
              <w:jc w:val="right"/>
              <w:rPr>
                <w:b/>
                <w:noProof/>
                <w:sz w:val="20"/>
              </w:rPr>
            </w:pPr>
          </w:p>
        </w:tc>
        <w:tc>
          <w:tcPr>
            <w:tcW w:w="696"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Align w:val="center"/>
          </w:tcPr>
          <w:p>
            <w:pPr>
              <w:jc w:val="center"/>
              <w:rPr>
                <w:b/>
                <w:noProof/>
              </w:rPr>
            </w:pPr>
            <w:r>
              <w:rPr>
                <w:b/>
                <w:noProof/>
                <w:sz w:val="22"/>
              </w:rPr>
              <w:t xml:space="preserve">GŘ CELKEM </w:t>
            </w:r>
            <w:r>
              <w:rPr>
                <w:noProof/>
              </w:rPr>
              <w:t>&lt;…….&gt;</w:t>
            </w:r>
          </w:p>
        </w:tc>
        <w:tc>
          <w:tcPr>
            <w:tcW w:w="2094" w:type="dxa"/>
            <w:gridSpan w:val="2"/>
            <w:vAlign w:val="center"/>
          </w:tcPr>
          <w:p>
            <w:pPr>
              <w:rPr>
                <w:noProof/>
                <w:sz w:val="14"/>
              </w:rPr>
            </w:pPr>
            <w:r>
              <w:rPr>
                <w:noProof/>
                <w:sz w:val="18"/>
              </w:rPr>
              <w:t xml:space="preserve">Prostředky </w:t>
            </w:r>
          </w:p>
        </w:tc>
        <w:tc>
          <w:tcPr>
            <w:tcW w:w="868" w:type="dxa"/>
            <w:vAlign w:val="center"/>
          </w:tcPr>
          <w:p>
            <w:pPr>
              <w:spacing w:before="60" w:after="6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040" w:type="dxa"/>
            <w:vAlign w:val="center"/>
          </w:tcPr>
          <w:p>
            <w:pPr>
              <w:spacing w:before="20" w:after="20"/>
              <w:jc w:val="right"/>
              <w:rPr>
                <w:noProof/>
                <w:sz w:val="20"/>
              </w:rPr>
            </w:pPr>
          </w:p>
        </w:tc>
        <w:tc>
          <w:tcPr>
            <w:tcW w:w="696"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rPr>
            </w:pPr>
            <w:r>
              <w:rPr>
                <w:b/>
                <w:noProof/>
                <w:sz w:val="22"/>
              </w:rPr>
              <w:t>CELKEM prostředky</w:t>
            </w:r>
            <w:r>
              <w:rPr>
                <w:noProof/>
              </w:rPr>
              <w:t xml:space="preserve"> </w:t>
            </w:r>
            <w:r>
              <w:rPr>
                <w:noProof/>
              </w:rPr>
              <w:br/>
            </w:r>
            <w:r>
              <w:rPr>
                <w:b/>
                <w:noProof/>
                <w:sz w:val="22"/>
              </w:rPr>
              <w:t>z OKRUHU 7</w:t>
            </w:r>
            <w:r>
              <w:rPr>
                <w:noProof/>
              </w:rPr>
              <w:t xml:space="preserve"> </w:t>
            </w:r>
            <w:r>
              <w:rPr>
                <w:noProof/>
              </w:rPr>
              <w:br/>
            </w:r>
            <w:r>
              <w:rPr>
                <w:noProof/>
                <w:sz w:val="22"/>
              </w:rPr>
              <w:t>víceletého finančního rámce</w:t>
            </w:r>
            <w:r>
              <w:rPr>
                <w:b/>
                <w:noProof/>
                <w:sz w:val="22"/>
              </w:rPr>
              <w:t xml:space="preserve"> </w:t>
            </w:r>
          </w:p>
        </w:tc>
        <w:tc>
          <w:tcPr>
            <w:tcW w:w="2094" w:type="dxa"/>
            <w:vAlign w:val="center"/>
          </w:tcPr>
          <w:p>
            <w:pPr>
              <w:spacing w:before="40" w:after="40"/>
              <w:rPr>
                <w:noProof/>
              </w:rPr>
            </w:pPr>
            <w:r>
              <w:rPr>
                <w:noProof/>
                <w:sz w:val="18"/>
              </w:rPr>
              <w:t>(Závazky celkem = platby celkem)</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jc w:val="right"/>
        <w:rPr>
          <w:noProof/>
          <w:sz w:val="20"/>
        </w:rPr>
      </w:pPr>
      <w:r>
        <w:rPr>
          <w:noProof/>
          <w:sz w:val="20"/>
        </w:rPr>
        <w:t>v milionech EUR (zaokrouhleno na tři desetinná místa)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Rok</w:t>
            </w:r>
            <w:r>
              <w:rPr>
                <w:noProof/>
              </w:rPr>
              <w:t xml:space="preserve"> </w:t>
            </w:r>
            <w:r>
              <w:rPr>
                <w:noProof/>
              </w:rPr>
              <w:br/>
            </w:r>
            <w:r>
              <w:rPr>
                <w:b/>
                <w:noProof/>
                <w:sz w:val="20"/>
              </w:rPr>
              <w:t>2021</w:t>
            </w:r>
          </w:p>
        </w:tc>
        <w:tc>
          <w:tcPr>
            <w:tcW w:w="868" w:type="dxa"/>
            <w:vAlign w:val="center"/>
          </w:tcPr>
          <w:p>
            <w:pPr>
              <w:jc w:val="center"/>
              <w:rPr>
                <w:noProof/>
                <w:sz w:val="20"/>
              </w:rPr>
            </w:pPr>
            <w:r>
              <w:rPr>
                <w:noProof/>
                <w:sz w:val="20"/>
              </w:rPr>
              <w:t>Rok</w:t>
            </w:r>
            <w:r>
              <w:rPr>
                <w:noProof/>
              </w:rPr>
              <w:t xml:space="preserve"> </w:t>
            </w:r>
            <w:r>
              <w:rPr>
                <w:noProof/>
              </w:rPr>
              <w:br/>
            </w:r>
            <w:r>
              <w:rPr>
                <w:b/>
                <w:noProof/>
                <w:sz w:val="20"/>
              </w:rPr>
              <w:t>2022</w:t>
            </w:r>
          </w:p>
        </w:tc>
        <w:tc>
          <w:tcPr>
            <w:tcW w:w="868" w:type="dxa"/>
            <w:vAlign w:val="center"/>
          </w:tcPr>
          <w:p>
            <w:pPr>
              <w:jc w:val="center"/>
              <w:rPr>
                <w:noProof/>
                <w:sz w:val="20"/>
              </w:rPr>
            </w:pPr>
            <w:r>
              <w:rPr>
                <w:noProof/>
                <w:sz w:val="20"/>
              </w:rPr>
              <w:t>Rok</w:t>
            </w:r>
            <w:r>
              <w:rPr>
                <w:noProof/>
              </w:rPr>
              <w:t xml:space="preserve"> </w:t>
            </w:r>
            <w:r>
              <w:rPr>
                <w:noProof/>
              </w:rPr>
              <w:br/>
            </w:r>
            <w:r>
              <w:rPr>
                <w:b/>
                <w:noProof/>
                <w:sz w:val="20"/>
              </w:rPr>
              <w:t>2023</w:t>
            </w:r>
          </w:p>
        </w:tc>
        <w:tc>
          <w:tcPr>
            <w:tcW w:w="868" w:type="dxa"/>
            <w:vAlign w:val="center"/>
          </w:tcPr>
          <w:p>
            <w:pPr>
              <w:jc w:val="center"/>
              <w:rPr>
                <w:noProof/>
                <w:sz w:val="20"/>
              </w:rPr>
            </w:pPr>
            <w:r>
              <w:rPr>
                <w:noProof/>
                <w:sz w:val="20"/>
              </w:rPr>
              <w:t>Rok</w:t>
            </w:r>
            <w:r>
              <w:rPr>
                <w:noProof/>
              </w:rPr>
              <w:t xml:space="preserve"> </w:t>
            </w:r>
            <w:r>
              <w:rPr>
                <w:noProof/>
              </w:rPr>
              <w:br/>
            </w:r>
            <w:r>
              <w:rPr>
                <w:b/>
                <w:noProof/>
                <w:sz w:val="20"/>
              </w:rPr>
              <w:t>2024</w:t>
            </w:r>
          </w:p>
        </w:tc>
        <w:tc>
          <w:tcPr>
            <w:tcW w:w="868" w:type="dxa"/>
            <w:vAlign w:val="center"/>
          </w:tcPr>
          <w:p>
            <w:pPr>
              <w:jc w:val="center"/>
              <w:rPr>
                <w:b/>
                <w:noProof/>
                <w:sz w:val="18"/>
              </w:rPr>
            </w:pPr>
            <w:r>
              <w:rPr>
                <w:noProof/>
                <w:sz w:val="20"/>
              </w:rPr>
              <w:t>Rok</w:t>
            </w:r>
            <w:r>
              <w:rPr>
                <w:noProof/>
              </w:rPr>
              <w:t xml:space="preserve"> </w:t>
            </w:r>
            <w:r>
              <w:rPr>
                <w:noProof/>
              </w:rPr>
              <w:br/>
            </w:r>
            <w:r>
              <w:rPr>
                <w:b/>
                <w:noProof/>
                <w:sz w:val="20"/>
              </w:rPr>
              <w:t>2025</w:t>
            </w:r>
          </w:p>
        </w:tc>
        <w:tc>
          <w:tcPr>
            <w:tcW w:w="868" w:type="dxa"/>
            <w:vAlign w:val="center"/>
          </w:tcPr>
          <w:p>
            <w:pPr>
              <w:jc w:val="center"/>
              <w:rPr>
                <w:b/>
                <w:noProof/>
                <w:sz w:val="18"/>
              </w:rPr>
            </w:pPr>
            <w:r>
              <w:rPr>
                <w:noProof/>
                <w:sz w:val="20"/>
              </w:rPr>
              <w:t>Rok</w:t>
            </w:r>
            <w:r>
              <w:rPr>
                <w:noProof/>
              </w:rPr>
              <w:t xml:space="preserve"> </w:t>
            </w:r>
            <w:r>
              <w:rPr>
                <w:noProof/>
              </w:rPr>
              <w:br/>
            </w:r>
            <w:r>
              <w:rPr>
                <w:b/>
                <w:noProof/>
                <w:sz w:val="20"/>
              </w:rPr>
              <w:t>2026</w:t>
            </w:r>
          </w:p>
        </w:tc>
        <w:tc>
          <w:tcPr>
            <w:tcW w:w="868" w:type="dxa"/>
            <w:vAlign w:val="center"/>
          </w:tcPr>
          <w:p>
            <w:pPr>
              <w:jc w:val="center"/>
              <w:rPr>
                <w:b/>
                <w:noProof/>
                <w:sz w:val="18"/>
              </w:rPr>
            </w:pPr>
            <w:r>
              <w:rPr>
                <w:noProof/>
                <w:sz w:val="20"/>
              </w:rPr>
              <w:t>Rok</w:t>
            </w:r>
            <w:r>
              <w:rPr>
                <w:noProof/>
              </w:rPr>
              <w:t xml:space="preserve"> </w:t>
            </w:r>
            <w:r>
              <w:rPr>
                <w:noProof/>
              </w:rPr>
              <w:br/>
            </w:r>
            <w:r>
              <w:rPr>
                <w:b/>
                <w:noProof/>
                <w:sz w:val="20"/>
              </w:rPr>
              <w:t>2027</w:t>
            </w:r>
            <w:r>
              <w:rPr>
                <w:noProof/>
                <w:sz w:val="20"/>
              </w:rPr>
              <w:t xml:space="preserve"> a násl.</w:t>
            </w:r>
          </w:p>
        </w:tc>
        <w:tc>
          <w:tcPr>
            <w:tcW w:w="1777" w:type="dxa"/>
            <w:vAlign w:val="center"/>
          </w:tcPr>
          <w:p>
            <w:pPr>
              <w:jc w:val="center"/>
              <w:rPr>
                <w:b/>
                <w:noProof/>
                <w:sz w:val="20"/>
              </w:rPr>
            </w:pPr>
            <w:r>
              <w:rPr>
                <w:b/>
                <w:noProof/>
                <w:sz w:val="20"/>
              </w:rPr>
              <w:t>CELKEM</w:t>
            </w:r>
          </w:p>
        </w:tc>
      </w:tr>
      <w:tr>
        <w:tc>
          <w:tcPr>
            <w:tcW w:w="3960" w:type="dxa"/>
            <w:vMerge w:val="restart"/>
            <w:shd w:val="clear" w:color="auto" w:fill="C0C0C0"/>
            <w:vAlign w:val="center"/>
          </w:tcPr>
          <w:p>
            <w:pPr>
              <w:jc w:val="center"/>
              <w:rPr>
                <w:b/>
                <w:noProof/>
              </w:rPr>
            </w:pPr>
            <w:r>
              <w:rPr>
                <w:b/>
                <w:noProof/>
                <w:sz w:val="22"/>
              </w:rPr>
              <w:t>CELKEM prostředky</w:t>
            </w:r>
            <w:r>
              <w:rPr>
                <w:noProof/>
              </w:rPr>
              <w:t xml:space="preserve"> </w:t>
            </w:r>
            <w:r>
              <w:rPr>
                <w:noProof/>
              </w:rPr>
              <w:br/>
            </w:r>
            <w:r>
              <w:rPr>
                <w:b/>
                <w:noProof/>
                <w:sz w:val="22"/>
              </w:rPr>
              <w:t>z OKRUHU 1 až 7</w:t>
            </w:r>
            <w:r>
              <w:rPr>
                <w:noProof/>
              </w:rPr>
              <w:t xml:space="preserve"> </w:t>
            </w:r>
            <w:r>
              <w:rPr>
                <w:noProof/>
              </w:rPr>
              <w:br/>
            </w:r>
            <w:r>
              <w:rPr>
                <w:noProof/>
                <w:sz w:val="22"/>
              </w:rPr>
              <w:t>víceletého finančního rámce</w:t>
            </w:r>
            <w:r>
              <w:rPr>
                <w:b/>
                <w:noProof/>
                <w:sz w:val="22"/>
              </w:rPr>
              <w:t xml:space="preserve"> </w:t>
            </w:r>
          </w:p>
        </w:tc>
        <w:tc>
          <w:tcPr>
            <w:tcW w:w="2094" w:type="dxa"/>
            <w:gridSpan w:val="2"/>
            <w:vAlign w:val="center"/>
          </w:tcPr>
          <w:p>
            <w:pPr>
              <w:rPr>
                <w:noProof/>
                <w:sz w:val="14"/>
              </w:rPr>
            </w:pPr>
            <w:r>
              <w:rPr>
                <w:noProof/>
                <w:sz w:val="18"/>
              </w:rPr>
              <w:t>Závazky</w:t>
            </w:r>
          </w:p>
        </w:tc>
        <w:tc>
          <w:tcPr>
            <w:tcW w:w="868" w:type="dxa"/>
            <w:vAlign w:val="center"/>
          </w:tcPr>
          <w:p>
            <w:pPr>
              <w:spacing w:before="60" w:after="60"/>
              <w:jc w:val="right"/>
              <w:rPr>
                <w:b/>
                <w:noProof/>
                <w:sz w:val="20"/>
              </w:rPr>
            </w:pPr>
            <w:r>
              <w:rPr>
                <w:b/>
                <w:noProof/>
                <w:sz w:val="20"/>
              </w:rPr>
              <w:t xml:space="preserve"> 16,040 </w:t>
            </w:r>
          </w:p>
        </w:tc>
        <w:tc>
          <w:tcPr>
            <w:tcW w:w="868" w:type="dxa"/>
            <w:vAlign w:val="center"/>
          </w:tcPr>
          <w:p>
            <w:pPr>
              <w:spacing w:before="60" w:after="60"/>
              <w:jc w:val="right"/>
              <w:rPr>
                <w:b/>
                <w:noProof/>
                <w:sz w:val="20"/>
              </w:rPr>
            </w:pPr>
            <w:r>
              <w:rPr>
                <w:b/>
                <w:noProof/>
                <w:sz w:val="20"/>
              </w:rPr>
              <w:t xml:space="preserve"> 23,350 </w:t>
            </w:r>
          </w:p>
        </w:tc>
        <w:tc>
          <w:tcPr>
            <w:tcW w:w="868" w:type="dxa"/>
            <w:vAlign w:val="center"/>
          </w:tcPr>
          <w:p>
            <w:pPr>
              <w:spacing w:before="60" w:after="60"/>
              <w:jc w:val="right"/>
              <w:rPr>
                <w:b/>
                <w:noProof/>
                <w:sz w:val="20"/>
              </w:rPr>
            </w:pPr>
            <w:r>
              <w:rPr>
                <w:b/>
                <w:noProof/>
                <w:sz w:val="20"/>
              </w:rPr>
              <w:t xml:space="preserve"> 25,080 </w:t>
            </w:r>
          </w:p>
        </w:tc>
        <w:tc>
          <w:tcPr>
            <w:tcW w:w="868" w:type="dxa"/>
            <w:vAlign w:val="center"/>
          </w:tcPr>
          <w:p>
            <w:pPr>
              <w:spacing w:before="60" w:after="60"/>
              <w:jc w:val="right"/>
              <w:rPr>
                <w:b/>
                <w:noProof/>
                <w:sz w:val="20"/>
              </w:rPr>
            </w:pPr>
            <w:r>
              <w:rPr>
                <w:b/>
                <w:noProof/>
                <w:sz w:val="20"/>
              </w:rPr>
              <w:t xml:space="preserve"> 25,990 </w:t>
            </w:r>
          </w:p>
        </w:tc>
        <w:tc>
          <w:tcPr>
            <w:tcW w:w="868" w:type="dxa"/>
            <w:vAlign w:val="center"/>
          </w:tcPr>
          <w:p>
            <w:pPr>
              <w:spacing w:before="60" w:after="60"/>
              <w:jc w:val="right"/>
              <w:rPr>
                <w:b/>
                <w:noProof/>
                <w:sz w:val="20"/>
              </w:rPr>
            </w:pPr>
            <w:r>
              <w:rPr>
                <w:b/>
                <w:noProof/>
                <w:sz w:val="20"/>
              </w:rPr>
              <w:t xml:space="preserve"> 22,990 </w:t>
            </w:r>
          </w:p>
        </w:tc>
        <w:tc>
          <w:tcPr>
            <w:tcW w:w="868" w:type="dxa"/>
            <w:vAlign w:val="center"/>
          </w:tcPr>
          <w:p>
            <w:pPr>
              <w:spacing w:before="60" w:after="60"/>
              <w:jc w:val="right"/>
              <w:rPr>
                <w:b/>
                <w:noProof/>
                <w:sz w:val="20"/>
              </w:rPr>
            </w:pPr>
            <w:r>
              <w:rPr>
                <w:b/>
                <w:noProof/>
                <w:sz w:val="20"/>
              </w:rPr>
              <w:t xml:space="preserve"> 21,990 </w:t>
            </w:r>
          </w:p>
        </w:tc>
        <w:tc>
          <w:tcPr>
            <w:tcW w:w="868" w:type="dxa"/>
            <w:vAlign w:val="center"/>
          </w:tcPr>
          <w:p>
            <w:pPr>
              <w:spacing w:before="60" w:after="60"/>
              <w:jc w:val="right"/>
              <w:rPr>
                <w:b/>
                <w:noProof/>
                <w:sz w:val="20"/>
              </w:rPr>
            </w:pPr>
            <w:r>
              <w:rPr>
                <w:b/>
                <w:noProof/>
                <w:sz w:val="20"/>
              </w:rPr>
              <w:t xml:space="preserve"> 21,990 </w:t>
            </w:r>
          </w:p>
        </w:tc>
        <w:tc>
          <w:tcPr>
            <w:tcW w:w="1777" w:type="dxa"/>
            <w:vAlign w:val="center"/>
          </w:tcPr>
          <w:p>
            <w:pPr>
              <w:spacing w:before="60" w:after="60"/>
              <w:jc w:val="right"/>
              <w:rPr>
                <w:b/>
                <w:noProof/>
                <w:sz w:val="20"/>
              </w:rPr>
            </w:pPr>
            <w:r>
              <w:rPr>
                <w:b/>
                <w:noProof/>
                <w:sz w:val="20"/>
              </w:rPr>
              <w:t>157,430</w:t>
            </w:r>
          </w:p>
        </w:tc>
      </w:tr>
      <w:tr>
        <w:tc>
          <w:tcPr>
            <w:tcW w:w="3960" w:type="dxa"/>
            <w:vMerge/>
            <w:vAlign w:val="center"/>
          </w:tcPr>
          <w:p>
            <w:pPr>
              <w:rPr>
                <w:b/>
                <w:noProof/>
              </w:rPr>
            </w:pPr>
          </w:p>
        </w:tc>
        <w:tc>
          <w:tcPr>
            <w:tcW w:w="2094" w:type="dxa"/>
            <w:gridSpan w:val="2"/>
            <w:vAlign w:val="center"/>
          </w:tcPr>
          <w:p>
            <w:pPr>
              <w:rPr>
                <w:noProof/>
                <w:sz w:val="14"/>
              </w:rPr>
            </w:pPr>
            <w:r>
              <w:rPr>
                <w:noProof/>
                <w:sz w:val="18"/>
              </w:rPr>
              <w:t>Platby</w:t>
            </w:r>
          </w:p>
        </w:tc>
        <w:tc>
          <w:tcPr>
            <w:tcW w:w="868" w:type="dxa"/>
            <w:vAlign w:val="center"/>
          </w:tcPr>
          <w:p>
            <w:pPr>
              <w:spacing w:before="60" w:after="60"/>
              <w:jc w:val="right"/>
              <w:rPr>
                <w:b/>
                <w:noProof/>
                <w:sz w:val="20"/>
              </w:rPr>
            </w:pPr>
            <w:r>
              <w:rPr>
                <w:b/>
                <w:noProof/>
                <w:sz w:val="20"/>
              </w:rPr>
              <w:t xml:space="preserve"> 16,040 </w:t>
            </w:r>
          </w:p>
        </w:tc>
        <w:tc>
          <w:tcPr>
            <w:tcW w:w="868" w:type="dxa"/>
            <w:vAlign w:val="center"/>
          </w:tcPr>
          <w:p>
            <w:pPr>
              <w:spacing w:before="60" w:after="60"/>
              <w:jc w:val="right"/>
              <w:rPr>
                <w:b/>
                <w:noProof/>
                <w:sz w:val="20"/>
              </w:rPr>
            </w:pPr>
            <w:r>
              <w:rPr>
                <w:b/>
                <w:noProof/>
                <w:sz w:val="20"/>
              </w:rPr>
              <w:t xml:space="preserve"> 23,350 </w:t>
            </w:r>
          </w:p>
        </w:tc>
        <w:tc>
          <w:tcPr>
            <w:tcW w:w="868" w:type="dxa"/>
            <w:vAlign w:val="center"/>
          </w:tcPr>
          <w:p>
            <w:pPr>
              <w:spacing w:before="60" w:after="60"/>
              <w:jc w:val="right"/>
              <w:rPr>
                <w:b/>
                <w:noProof/>
                <w:sz w:val="20"/>
              </w:rPr>
            </w:pPr>
            <w:r>
              <w:rPr>
                <w:b/>
                <w:noProof/>
                <w:sz w:val="20"/>
              </w:rPr>
              <w:t xml:space="preserve"> 25,080 </w:t>
            </w:r>
          </w:p>
        </w:tc>
        <w:tc>
          <w:tcPr>
            <w:tcW w:w="868" w:type="dxa"/>
            <w:vAlign w:val="center"/>
          </w:tcPr>
          <w:p>
            <w:pPr>
              <w:spacing w:before="60" w:after="60"/>
              <w:jc w:val="right"/>
              <w:rPr>
                <w:b/>
                <w:noProof/>
                <w:sz w:val="20"/>
              </w:rPr>
            </w:pPr>
            <w:r>
              <w:rPr>
                <w:b/>
                <w:noProof/>
                <w:sz w:val="20"/>
              </w:rPr>
              <w:t xml:space="preserve"> 25,990 </w:t>
            </w:r>
          </w:p>
        </w:tc>
        <w:tc>
          <w:tcPr>
            <w:tcW w:w="868" w:type="dxa"/>
            <w:vAlign w:val="center"/>
          </w:tcPr>
          <w:p>
            <w:pPr>
              <w:spacing w:before="60" w:after="60"/>
              <w:jc w:val="right"/>
              <w:rPr>
                <w:b/>
                <w:noProof/>
                <w:sz w:val="20"/>
              </w:rPr>
            </w:pPr>
            <w:r>
              <w:rPr>
                <w:b/>
                <w:noProof/>
                <w:sz w:val="20"/>
              </w:rPr>
              <w:t xml:space="preserve"> 22,990 </w:t>
            </w:r>
          </w:p>
        </w:tc>
        <w:tc>
          <w:tcPr>
            <w:tcW w:w="868" w:type="dxa"/>
            <w:vAlign w:val="center"/>
          </w:tcPr>
          <w:p>
            <w:pPr>
              <w:spacing w:before="60" w:after="60"/>
              <w:jc w:val="right"/>
              <w:rPr>
                <w:b/>
                <w:noProof/>
                <w:sz w:val="20"/>
              </w:rPr>
            </w:pPr>
            <w:r>
              <w:rPr>
                <w:b/>
                <w:noProof/>
                <w:sz w:val="20"/>
              </w:rPr>
              <w:t xml:space="preserve"> 21,990 </w:t>
            </w:r>
          </w:p>
        </w:tc>
        <w:tc>
          <w:tcPr>
            <w:tcW w:w="868" w:type="dxa"/>
            <w:vAlign w:val="center"/>
          </w:tcPr>
          <w:p>
            <w:pPr>
              <w:spacing w:before="60" w:after="60"/>
              <w:jc w:val="right"/>
              <w:rPr>
                <w:b/>
                <w:noProof/>
                <w:sz w:val="20"/>
              </w:rPr>
            </w:pPr>
            <w:r>
              <w:rPr>
                <w:b/>
                <w:noProof/>
                <w:sz w:val="20"/>
              </w:rPr>
              <w:t xml:space="preserve"> 21,990 </w:t>
            </w:r>
          </w:p>
        </w:tc>
        <w:tc>
          <w:tcPr>
            <w:tcW w:w="1777" w:type="dxa"/>
            <w:vAlign w:val="center"/>
          </w:tcPr>
          <w:p>
            <w:pPr>
              <w:spacing w:before="60" w:after="60"/>
              <w:jc w:val="right"/>
              <w:rPr>
                <w:b/>
                <w:noProof/>
                <w:sz w:val="20"/>
              </w:rPr>
            </w:pPr>
            <w:r>
              <w:rPr>
                <w:b/>
                <w:noProof/>
                <w:sz w:val="20"/>
              </w:rPr>
              <w:t>157,430</w:t>
            </w:r>
          </w:p>
        </w:tc>
      </w:tr>
    </w:tbl>
    <w:p>
      <w:pPr>
        <w:rPr>
          <w:noProof/>
        </w:rPr>
        <w:sectPr>
          <w:headerReference w:type="default" r:id="rId12"/>
          <w:footerReference w:type="default" r:id="rId13"/>
          <w:headerReference w:type="first" r:id="rId14"/>
          <w:footerReference w:type="first" r:id="rId15"/>
          <w:pgSz w:w="15840" w:h="12240" w:orient="landscape"/>
          <w:pgMar w:top="1134" w:right="1077" w:bottom="902" w:left="1247" w:header="709" w:footer="510" w:gutter="0"/>
          <w:cols w:space="720"/>
          <w:docGrid w:linePitch="326"/>
        </w:sectPr>
      </w:pPr>
    </w:p>
    <w:p>
      <w:pPr>
        <w:pStyle w:val="ManualHeading3"/>
        <w:rPr>
          <w:bCs/>
          <w:noProof/>
          <w:szCs w:val="24"/>
        </w:rPr>
      </w:pPr>
      <w:bookmarkStart w:id="72" w:name="_Toc514938687"/>
      <w:bookmarkStart w:id="73" w:name="_Toc58225974"/>
      <w:r>
        <w:t>3.2.2.</w:t>
      </w:r>
      <w:r>
        <w:tab/>
      </w:r>
      <w:r>
        <w:rPr>
          <w:noProof/>
        </w:rPr>
        <w:t>Odhadovaný dopad na prostředky střediska ECDC</w:t>
      </w:r>
      <w:bookmarkEnd w:id="72"/>
      <w:bookmarkEnd w:id="73"/>
      <w:r>
        <w:rPr>
          <w:noProof/>
        </w:rPr>
        <w:t xml:space="preserve"> </w:t>
      </w:r>
    </w:p>
    <w:p>
      <w:pPr>
        <w:pStyle w:val="ListDash1"/>
        <w:rPr>
          <w:noProof/>
        </w:rPr>
      </w:pPr>
      <w:r>
        <w:rPr>
          <w:noProof/>
        </w:rPr>
        <w:sym w:font="Wingdings" w:char="F0A8"/>
      </w:r>
      <w:r>
        <w:rPr>
          <w:noProof/>
        </w:rPr>
        <w:tab/>
        <w:t xml:space="preserve">Návrh/podnět nevyžaduje využití operačních prostředků. </w:t>
      </w:r>
    </w:p>
    <w:p>
      <w:pPr>
        <w:pStyle w:val="ListDash1"/>
        <w:rPr>
          <w:noProof/>
        </w:rPr>
      </w:pPr>
      <w:r>
        <w:rPr>
          <w:noProof/>
        </w:rPr>
        <w:sym w:font="Webdings" w:char="F061"/>
      </w:r>
      <w:r>
        <w:rPr>
          <w:noProof/>
        </w:rPr>
        <w:tab/>
        <w:t>Návrh/podnět vyžaduje využití operačních prostředků, jak je vysvětleno dále:</w:t>
      </w:r>
    </w:p>
    <w:p>
      <w:pPr>
        <w:jc w:val="right"/>
        <w:rPr>
          <w:noProof/>
          <w:sz w:val="20"/>
        </w:rPr>
      </w:pPr>
      <w:r>
        <w:rPr>
          <w:noProof/>
          <w:sz w:val="20"/>
        </w:rPr>
        <w:t>Prostředky na závazky v milionech EUR (zaokrouhleno na tři desetinná místa)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447"/>
        <w:gridCol w:w="542"/>
        <w:gridCol w:w="631"/>
        <w:gridCol w:w="32"/>
        <w:gridCol w:w="9"/>
        <w:gridCol w:w="711"/>
        <w:gridCol w:w="9"/>
        <w:gridCol w:w="531"/>
        <w:gridCol w:w="9"/>
        <w:gridCol w:w="711"/>
        <w:gridCol w:w="9"/>
        <w:gridCol w:w="711"/>
        <w:gridCol w:w="9"/>
        <w:gridCol w:w="711"/>
        <w:gridCol w:w="9"/>
        <w:gridCol w:w="891"/>
        <w:gridCol w:w="51"/>
        <w:gridCol w:w="9"/>
        <w:gridCol w:w="660"/>
        <w:gridCol w:w="12"/>
        <w:gridCol w:w="528"/>
        <w:gridCol w:w="12"/>
        <w:gridCol w:w="636"/>
        <w:gridCol w:w="15"/>
        <w:gridCol w:w="417"/>
        <w:gridCol w:w="15"/>
        <w:gridCol w:w="705"/>
        <w:gridCol w:w="15"/>
        <w:gridCol w:w="48"/>
        <w:gridCol w:w="477"/>
        <w:gridCol w:w="15"/>
        <w:gridCol w:w="708"/>
        <w:gridCol w:w="12"/>
        <w:gridCol w:w="708"/>
        <w:gridCol w:w="12"/>
        <w:gridCol w:w="888"/>
        <w:gridCol w:w="12"/>
      </w:tblGrid>
      <w:tr>
        <w:trPr>
          <w:gridAfter w:val="1"/>
          <w:wAfter w:w="12" w:type="dxa"/>
          <w:jc w:val="center"/>
        </w:trPr>
        <w:tc>
          <w:tcPr>
            <w:tcW w:w="1696" w:type="dxa"/>
            <w:vMerge w:val="restart"/>
            <w:vAlign w:val="center"/>
          </w:tcPr>
          <w:p>
            <w:pPr>
              <w:ind w:right="-29"/>
              <w:jc w:val="center"/>
              <w:rPr>
                <w:b/>
                <w:noProof/>
                <w:sz w:val="18"/>
              </w:rPr>
            </w:pPr>
            <w:r>
              <w:rPr>
                <w:b/>
                <w:noProof/>
                <w:sz w:val="18"/>
              </w:rPr>
              <w:t xml:space="preserve">Uveďte cíle a výstupy </w:t>
            </w:r>
          </w:p>
          <w:p>
            <w:pPr>
              <w:ind w:right="-29"/>
              <w:jc w:val="center"/>
              <w:rPr>
                <w:b/>
                <w:noProof/>
                <w:sz w:val="18"/>
              </w:rPr>
            </w:pPr>
          </w:p>
          <w:p>
            <w:pPr>
              <w:ind w:right="-29"/>
              <w:jc w:val="center"/>
              <w:rPr>
                <w:noProof/>
                <w:sz w:val="18"/>
              </w:rPr>
            </w:pPr>
            <w:r>
              <w:rPr>
                <w:noProof/>
                <w:sz w:val="18"/>
              </w:rPr>
              <w:sym w:font="Wingdings" w:char="F0F2"/>
            </w:r>
          </w:p>
        </w:tc>
        <w:tc>
          <w:tcPr>
            <w:tcW w:w="447" w:type="dxa"/>
            <w:vAlign w:val="center"/>
          </w:tcPr>
          <w:p>
            <w:pPr>
              <w:ind w:right="-29"/>
              <w:jc w:val="center"/>
              <w:rPr>
                <w:noProof/>
                <w:sz w:val="18"/>
              </w:rPr>
            </w:pPr>
          </w:p>
        </w:tc>
        <w:tc>
          <w:tcPr>
            <w:tcW w:w="542" w:type="dxa"/>
            <w:vAlign w:val="center"/>
          </w:tcPr>
          <w:p>
            <w:pPr>
              <w:ind w:right="-29"/>
              <w:jc w:val="center"/>
              <w:rPr>
                <w:noProof/>
                <w:sz w:val="18"/>
              </w:rPr>
            </w:pPr>
          </w:p>
        </w:tc>
        <w:tc>
          <w:tcPr>
            <w:tcW w:w="1383" w:type="dxa"/>
            <w:gridSpan w:val="4"/>
            <w:tcBorders>
              <w:left w:val="nil"/>
            </w:tcBorders>
            <w:vAlign w:val="center"/>
          </w:tcPr>
          <w:p>
            <w:pPr>
              <w:ind w:right="-29"/>
              <w:jc w:val="center"/>
              <w:rPr>
                <w:noProof/>
                <w:sz w:val="18"/>
              </w:rPr>
            </w:pPr>
            <w:r>
              <w:rPr>
                <w:noProof/>
                <w:sz w:val="20"/>
              </w:rPr>
              <w:t>Rok</w:t>
            </w:r>
            <w:r>
              <w:rPr>
                <w:noProof/>
              </w:rPr>
              <w:t xml:space="preserve"> </w:t>
            </w:r>
            <w:r>
              <w:rPr>
                <w:noProof/>
              </w:rPr>
              <w:br/>
            </w:r>
            <w:r>
              <w:rPr>
                <w:b/>
                <w:noProof/>
                <w:sz w:val="20"/>
              </w:rPr>
              <w:t>2021</w:t>
            </w:r>
          </w:p>
        </w:tc>
        <w:tc>
          <w:tcPr>
            <w:tcW w:w="1260" w:type="dxa"/>
            <w:gridSpan w:val="4"/>
            <w:vAlign w:val="center"/>
          </w:tcPr>
          <w:p>
            <w:pPr>
              <w:ind w:right="-29"/>
              <w:jc w:val="center"/>
              <w:rPr>
                <w:noProof/>
                <w:sz w:val="18"/>
              </w:rPr>
            </w:pPr>
            <w:r>
              <w:rPr>
                <w:noProof/>
                <w:sz w:val="20"/>
              </w:rPr>
              <w:t>Rok</w:t>
            </w:r>
            <w:r>
              <w:rPr>
                <w:noProof/>
              </w:rPr>
              <w:t xml:space="preserve"> </w:t>
            </w:r>
            <w:r>
              <w:rPr>
                <w:noProof/>
              </w:rPr>
              <w:br/>
            </w:r>
            <w:r>
              <w:rPr>
                <w:b/>
                <w:noProof/>
                <w:sz w:val="20"/>
              </w:rPr>
              <w:t>2022</w:t>
            </w:r>
          </w:p>
        </w:tc>
        <w:tc>
          <w:tcPr>
            <w:tcW w:w="1440" w:type="dxa"/>
            <w:gridSpan w:val="4"/>
            <w:vAlign w:val="center"/>
          </w:tcPr>
          <w:p>
            <w:pPr>
              <w:ind w:right="-29"/>
              <w:jc w:val="center"/>
              <w:rPr>
                <w:noProof/>
                <w:sz w:val="18"/>
              </w:rPr>
            </w:pPr>
            <w:r>
              <w:rPr>
                <w:noProof/>
                <w:sz w:val="20"/>
              </w:rPr>
              <w:t>Rok</w:t>
            </w:r>
            <w:r>
              <w:rPr>
                <w:noProof/>
              </w:rPr>
              <w:t xml:space="preserve"> </w:t>
            </w:r>
            <w:r>
              <w:rPr>
                <w:noProof/>
              </w:rPr>
              <w:br/>
            </w:r>
            <w:r>
              <w:rPr>
                <w:b/>
                <w:noProof/>
                <w:sz w:val="20"/>
              </w:rPr>
              <w:t>2023</w:t>
            </w:r>
          </w:p>
        </w:tc>
        <w:tc>
          <w:tcPr>
            <w:tcW w:w="1620" w:type="dxa"/>
            <w:gridSpan w:val="5"/>
            <w:vAlign w:val="center"/>
          </w:tcPr>
          <w:p>
            <w:pPr>
              <w:ind w:right="-29"/>
              <w:jc w:val="center"/>
              <w:rPr>
                <w:noProof/>
                <w:sz w:val="18"/>
              </w:rPr>
            </w:pPr>
            <w:r>
              <w:rPr>
                <w:noProof/>
                <w:sz w:val="20"/>
              </w:rPr>
              <w:t>Rok</w:t>
            </w:r>
            <w:r>
              <w:rPr>
                <w:noProof/>
              </w:rPr>
              <w:t xml:space="preserve"> </w:t>
            </w:r>
            <w:r>
              <w:rPr>
                <w:noProof/>
              </w:rPr>
              <w:br/>
            </w:r>
            <w:r>
              <w:rPr>
                <w:b/>
                <w:noProof/>
                <w:sz w:val="20"/>
              </w:rPr>
              <w:t>2024</w:t>
            </w:r>
          </w:p>
        </w:tc>
        <w:tc>
          <w:tcPr>
            <w:tcW w:w="1203" w:type="dxa"/>
            <w:gridSpan w:val="5"/>
            <w:vAlign w:val="center"/>
          </w:tcPr>
          <w:p>
            <w:pPr>
              <w:jc w:val="center"/>
              <w:rPr>
                <w:noProof/>
                <w:sz w:val="18"/>
              </w:rPr>
            </w:pPr>
            <w:r>
              <w:rPr>
                <w:noProof/>
                <w:sz w:val="20"/>
              </w:rPr>
              <w:t>Rok</w:t>
            </w:r>
            <w:r>
              <w:rPr>
                <w:noProof/>
              </w:rPr>
              <w:t xml:space="preserve"> </w:t>
            </w:r>
            <w:r>
              <w:rPr>
                <w:noProof/>
              </w:rPr>
              <w:br/>
            </w:r>
            <w:r>
              <w:rPr>
                <w:b/>
                <w:noProof/>
                <w:sz w:val="20"/>
              </w:rPr>
              <w:t>2025</w:t>
            </w:r>
          </w:p>
        </w:tc>
        <w:tc>
          <w:tcPr>
            <w:tcW w:w="1200" w:type="dxa"/>
            <w:gridSpan w:val="5"/>
            <w:vAlign w:val="center"/>
          </w:tcPr>
          <w:p>
            <w:pPr>
              <w:jc w:val="center"/>
              <w:rPr>
                <w:noProof/>
                <w:sz w:val="18"/>
              </w:rPr>
            </w:pPr>
            <w:r>
              <w:rPr>
                <w:noProof/>
                <w:sz w:val="20"/>
              </w:rPr>
              <w:t>Rok</w:t>
            </w:r>
            <w:r>
              <w:rPr>
                <w:noProof/>
              </w:rPr>
              <w:t xml:space="preserve"> </w:t>
            </w:r>
            <w:r>
              <w:rPr>
                <w:noProof/>
              </w:rPr>
              <w:br/>
            </w:r>
            <w:r>
              <w:rPr>
                <w:b/>
                <w:noProof/>
                <w:sz w:val="20"/>
              </w:rPr>
              <w:t>2026</w:t>
            </w:r>
          </w:p>
        </w:tc>
        <w:tc>
          <w:tcPr>
            <w:tcW w:w="1200" w:type="dxa"/>
            <w:gridSpan w:val="3"/>
            <w:vAlign w:val="center"/>
          </w:tcPr>
          <w:p>
            <w:pPr>
              <w:jc w:val="center"/>
              <w:rPr>
                <w:b/>
                <w:noProof/>
                <w:sz w:val="18"/>
              </w:rPr>
            </w:pPr>
            <w:r>
              <w:rPr>
                <w:noProof/>
                <w:sz w:val="20"/>
              </w:rPr>
              <w:t>Rok</w:t>
            </w:r>
            <w:r>
              <w:rPr>
                <w:noProof/>
              </w:rPr>
              <w:t xml:space="preserve"> </w:t>
            </w:r>
            <w:r>
              <w:rPr>
                <w:noProof/>
              </w:rPr>
              <w:br/>
            </w:r>
            <w:r>
              <w:rPr>
                <w:b/>
                <w:noProof/>
                <w:sz w:val="20"/>
              </w:rPr>
              <w:t>2027</w:t>
            </w:r>
            <w:r>
              <w:rPr>
                <w:noProof/>
                <w:sz w:val="20"/>
              </w:rPr>
              <w:t xml:space="preserve"> a násl.</w:t>
            </w:r>
          </w:p>
        </w:tc>
        <w:tc>
          <w:tcPr>
            <w:tcW w:w="1620" w:type="dxa"/>
            <w:gridSpan w:val="4"/>
            <w:tcBorders>
              <w:left w:val="nil"/>
              <w:bottom w:val="nil"/>
            </w:tcBorders>
            <w:vAlign w:val="center"/>
          </w:tcPr>
          <w:p>
            <w:pPr>
              <w:ind w:right="-29"/>
              <w:jc w:val="center"/>
              <w:rPr>
                <w:noProof/>
                <w:sz w:val="18"/>
              </w:rPr>
            </w:pPr>
            <w:r>
              <w:rPr>
                <w:b/>
                <w:noProof/>
                <w:sz w:val="20"/>
              </w:rPr>
              <w:t>CELKEM</w:t>
            </w:r>
          </w:p>
        </w:tc>
      </w:tr>
      <w:tr>
        <w:trPr>
          <w:gridAfter w:val="1"/>
          <w:wAfter w:w="12" w:type="dxa"/>
          <w:jc w:val="center"/>
        </w:trPr>
        <w:tc>
          <w:tcPr>
            <w:tcW w:w="1696" w:type="dxa"/>
            <w:vMerge/>
            <w:vAlign w:val="center"/>
          </w:tcPr>
          <w:p>
            <w:pPr>
              <w:rPr>
                <w:noProof/>
                <w:sz w:val="18"/>
              </w:rPr>
            </w:pPr>
          </w:p>
        </w:tc>
        <w:tc>
          <w:tcPr>
            <w:tcW w:w="11915" w:type="dxa"/>
            <w:gridSpan w:val="36"/>
            <w:vAlign w:val="center"/>
          </w:tcPr>
          <w:p>
            <w:pPr>
              <w:spacing w:before="60" w:after="60"/>
              <w:ind w:right="-29"/>
              <w:jc w:val="center"/>
              <w:rPr>
                <w:noProof/>
                <w:sz w:val="18"/>
              </w:rPr>
            </w:pPr>
            <w:r>
              <w:rPr>
                <w:b/>
                <w:noProof/>
                <w:sz w:val="18"/>
              </w:rPr>
              <w:t>VÝSTUPY</w:t>
            </w:r>
          </w:p>
        </w:tc>
      </w:tr>
      <w:tr>
        <w:trPr>
          <w:gridAfter w:val="1"/>
          <w:wAfter w:w="12" w:type="dxa"/>
          <w:cantSplit/>
          <w:trHeight w:val="1134"/>
          <w:jc w:val="center"/>
        </w:trPr>
        <w:tc>
          <w:tcPr>
            <w:tcW w:w="1696" w:type="dxa"/>
            <w:vMerge/>
            <w:vAlign w:val="center"/>
          </w:tcPr>
          <w:p>
            <w:pPr>
              <w:rPr>
                <w:noProof/>
                <w:sz w:val="18"/>
              </w:rPr>
            </w:pPr>
          </w:p>
        </w:tc>
        <w:tc>
          <w:tcPr>
            <w:tcW w:w="447" w:type="dxa"/>
            <w:vAlign w:val="center"/>
          </w:tcPr>
          <w:p>
            <w:pPr>
              <w:jc w:val="center"/>
              <w:rPr>
                <w:noProof/>
                <w:sz w:val="18"/>
              </w:rPr>
            </w:pPr>
            <w:r>
              <w:rPr>
                <w:noProof/>
                <w:sz w:val="18"/>
              </w:rPr>
              <w:t>Druh</w:t>
            </w:r>
            <w:r>
              <w:rPr>
                <w:rStyle w:val="FootnoteReference"/>
                <w:noProof/>
                <w:sz w:val="18"/>
              </w:rPr>
              <w:footnoteReference w:id="19"/>
            </w:r>
          </w:p>
        </w:tc>
        <w:tc>
          <w:tcPr>
            <w:tcW w:w="542" w:type="dxa"/>
            <w:vAlign w:val="center"/>
          </w:tcPr>
          <w:p>
            <w:pPr>
              <w:jc w:val="center"/>
              <w:rPr>
                <w:noProof/>
              </w:rPr>
            </w:pPr>
            <w:r>
              <w:rPr>
                <w:noProof/>
                <w:sz w:val="18"/>
              </w:rPr>
              <w:t>Průměrné náklady</w:t>
            </w:r>
          </w:p>
        </w:tc>
        <w:tc>
          <w:tcPr>
            <w:tcW w:w="663" w:type="dxa"/>
            <w:gridSpan w:val="2"/>
            <w:tcBorders>
              <w:left w:val="nil"/>
              <w:right w:val="dashSmallGap" w:sz="4" w:space="0" w:color="auto"/>
            </w:tcBorders>
            <w:shd w:val="pct10" w:color="auto" w:fill="auto"/>
            <w:textDirection w:val="btLr"/>
            <w:vAlign w:val="center"/>
          </w:tcPr>
          <w:p>
            <w:pPr>
              <w:ind w:left="113" w:right="113"/>
              <w:jc w:val="center"/>
              <w:rPr>
                <w:noProof/>
              </w:rPr>
            </w:pPr>
            <w:r>
              <w:rPr>
                <w:noProof/>
                <w:sz w:val="18"/>
              </w:rPr>
              <w:t>Počet</w:t>
            </w:r>
          </w:p>
        </w:tc>
        <w:tc>
          <w:tcPr>
            <w:tcW w:w="720" w:type="dxa"/>
            <w:gridSpan w:val="2"/>
            <w:tcBorders>
              <w:left w:val="dashSmallGap" w:sz="4" w:space="0" w:color="auto"/>
            </w:tcBorders>
            <w:shd w:val="pct10" w:color="auto" w:fill="auto"/>
            <w:vAlign w:val="center"/>
          </w:tcPr>
          <w:p>
            <w:pPr>
              <w:jc w:val="center"/>
              <w:rPr>
                <w:noProof/>
                <w:sz w:val="18"/>
              </w:rPr>
            </w:pPr>
            <w:r>
              <w:rPr>
                <w:noProof/>
                <w:sz w:val="18"/>
              </w:rPr>
              <w:t>Náklady</w:t>
            </w:r>
          </w:p>
        </w:tc>
        <w:tc>
          <w:tcPr>
            <w:tcW w:w="540" w:type="dxa"/>
            <w:gridSpan w:val="2"/>
            <w:tcBorders>
              <w:right w:val="dashSmallGap" w:sz="4" w:space="0" w:color="auto"/>
            </w:tcBorders>
            <w:shd w:val="pct10" w:color="auto" w:fill="auto"/>
            <w:textDirection w:val="btLr"/>
            <w:vAlign w:val="center"/>
          </w:tcPr>
          <w:p>
            <w:pPr>
              <w:ind w:left="113" w:right="113"/>
              <w:jc w:val="center"/>
              <w:rPr>
                <w:noProof/>
              </w:rPr>
            </w:pPr>
            <w:r>
              <w:rPr>
                <w:noProof/>
                <w:sz w:val="18"/>
              </w:rPr>
              <w:t>Počet</w:t>
            </w:r>
          </w:p>
        </w:tc>
        <w:tc>
          <w:tcPr>
            <w:tcW w:w="720" w:type="dxa"/>
            <w:gridSpan w:val="2"/>
            <w:tcBorders>
              <w:left w:val="dashSmallGap" w:sz="4" w:space="0" w:color="auto"/>
            </w:tcBorders>
            <w:shd w:val="pct10" w:color="auto" w:fill="auto"/>
            <w:vAlign w:val="center"/>
          </w:tcPr>
          <w:p>
            <w:pPr>
              <w:jc w:val="center"/>
              <w:rPr>
                <w:noProof/>
                <w:sz w:val="18"/>
              </w:rPr>
            </w:pPr>
            <w:r>
              <w:rPr>
                <w:noProof/>
                <w:sz w:val="18"/>
              </w:rPr>
              <w:t>Náklady</w:t>
            </w:r>
          </w:p>
        </w:tc>
        <w:tc>
          <w:tcPr>
            <w:tcW w:w="720" w:type="dxa"/>
            <w:gridSpan w:val="2"/>
            <w:tcBorders>
              <w:right w:val="dashSmallGap" w:sz="4" w:space="0" w:color="auto"/>
            </w:tcBorders>
            <w:shd w:val="pct10" w:color="auto" w:fill="auto"/>
            <w:textDirection w:val="btLr"/>
            <w:vAlign w:val="center"/>
          </w:tcPr>
          <w:p>
            <w:pPr>
              <w:ind w:left="113" w:right="113"/>
              <w:jc w:val="center"/>
              <w:rPr>
                <w:noProof/>
              </w:rPr>
            </w:pPr>
            <w:r>
              <w:rPr>
                <w:noProof/>
                <w:sz w:val="18"/>
              </w:rPr>
              <w:t>Počet</w:t>
            </w:r>
          </w:p>
        </w:tc>
        <w:tc>
          <w:tcPr>
            <w:tcW w:w="720" w:type="dxa"/>
            <w:gridSpan w:val="2"/>
            <w:tcBorders>
              <w:left w:val="dashSmallGap" w:sz="4" w:space="0" w:color="auto"/>
            </w:tcBorders>
            <w:shd w:val="pct10" w:color="auto" w:fill="auto"/>
            <w:vAlign w:val="center"/>
          </w:tcPr>
          <w:p>
            <w:pPr>
              <w:jc w:val="center"/>
              <w:rPr>
                <w:noProof/>
                <w:sz w:val="18"/>
              </w:rPr>
            </w:pPr>
            <w:r>
              <w:rPr>
                <w:noProof/>
                <w:sz w:val="18"/>
              </w:rPr>
              <w:t>Náklady</w:t>
            </w:r>
          </w:p>
        </w:tc>
        <w:tc>
          <w:tcPr>
            <w:tcW w:w="900" w:type="dxa"/>
            <w:gridSpan w:val="2"/>
            <w:tcBorders>
              <w:right w:val="dashSmallGap" w:sz="4" w:space="0" w:color="auto"/>
            </w:tcBorders>
            <w:shd w:val="pct10" w:color="auto" w:fill="auto"/>
            <w:textDirection w:val="btLr"/>
            <w:vAlign w:val="center"/>
          </w:tcPr>
          <w:p>
            <w:pPr>
              <w:ind w:left="113" w:right="113"/>
              <w:jc w:val="center"/>
              <w:rPr>
                <w:noProof/>
              </w:rPr>
            </w:pPr>
            <w:r>
              <w:rPr>
                <w:noProof/>
                <w:sz w:val="18"/>
              </w:rPr>
              <w:t>Počet</w:t>
            </w:r>
          </w:p>
        </w:tc>
        <w:tc>
          <w:tcPr>
            <w:tcW w:w="720" w:type="dxa"/>
            <w:gridSpan w:val="3"/>
            <w:tcBorders>
              <w:left w:val="dashSmallGap" w:sz="4" w:space="0" w:color="auto"/>
            </w:tcBorders>
            <w:shd w:val="pct10" w:color="auto" w:fill="auto"/>
            <w:vAlign w:val="center"/>
          </w:tcPr>
          <w:p>
            <w:pPr>
              <w:jc w:val="center"/>
              <w:rPr>
                <w:noProof/>
                <w:sz w:val="18"/>
              </w:rPr>
            </w:pPr>
            <w:r>
              <w:rPr>
                <w:noProof/>
                <w:sz w:val="18"/>
              </w:rPr>
              <w:t>Náklady</w:t>
            </w:r>
          </w:p>
        </w:tc>
        <w:tc>
          <w:tcPr>
            <w:tcW w:w="540" w:type="dxa"/>
            <w:gridSpan w:val="2"/>
            <w:tcBorders>
              <w:right w:val="dashSmallGap" w:sz="4" w:space="0" w:color="auto"/>
            </w:tcBorders>
            <w:shd w:val="pct10" w:color="auto" w:fill="auto"/>
            <w:textDirection w:val="btLr"/>
            <w:vAlign w:val="center"/>
          </w:tcPr>
          <w:p>
            <w:pPr>
              <w:ind w:left="113" w:right="113"/>
              <w:jc w:val="center"/>
              <w:rPr>
                <w:noProof/>
              </w:rPr>
            </w:pPr>
            <w:r>
              <w:rPr>
                <w:noProof/>
                <w:sz w:val="18"/>
              </w:rPr>
              <w:t>Počet</w:t>
            </w:r>
          </w:p>
        </w:tc>
        <w:tc>
          <w:tcPr>
            <w:tcW w:w="648" w:type="dxa"/>
            <w:gridSpan w:val="2"/>
            <w:tcBorders>
              <w:left w:val="dashSmallGap" w:sz="4" w:space="0" w:color="auto"/>
            </w:tcBorders>
            <w:shd w:val="pct10" w:color="auto" w:fill="auto"/>
            <w:vAlign w:val="center"/>
          </w:tcPr>
          <w:p>
            <w:pPr>
              <w:jc w:val="center"/>
              <w:rPr>
                <w:noProof/>
                <w:sz w:val="18"/>
              </w:rPr>
            </w:pPr>
            <w:r>
              <w:rPr>
                <w:noProof/>
                <w:sz w:val="18"/>
              </w:rPr>
              <w:t>Náklady</w:t>
            </w:r>
          </w:p>
        </w:tc>
        <w:tc>
          <w:tcPr>
            <w:tcW w:w="432" w:type="dxa"/>
            <w:gridSpan w:val="2"/>
            <w:tcBorders>
              <w:right w:val="dashSmallGap" w:sz="4" w:space="0" w:color="auto"/>
            </w:tcBorders>
            <w:shd w:val="pct10" w:color="auto" w:fill="auto"/>
            <w:textDirection w:val="btLr"/>
            <w:vAlign w:val="center"/>
          </w:tcPr>
          <w:p>
            <w:pPr>
              <w:ind w:left="113" w:right="113"/>
              <w:jc w:val="center"/>
              <w:rPr>
                <w:noProof/>
              </w:rPr>
            </w:pPr>
            <w:r>
              <w:rPr>
                <w:noProof/>
                <w:sz w:val="18"/>
              </w:rPr>
              <w:t>Počet</w:t>
            </w:r>
          </w:p>
        </w:tc>
        <w:tc>
          <w:tcPr>
            <w:tcW w:w="720" w:type="dxa"/>
            <w:gridSpan w:val="2"/>
            <w:tcBorders>
              <w:left w:val="dashSmallGap" w:sz="4" w:space="0" w:color="auto"/>
            </w:tcBorders>
            <w:shd w:val="pct10" w:color="auto" w:fill="auto"/>
            <w:vAlign w:val="center"/>
          </w:tcPr>
          <w:p>
            <w:pPr>
              <w:jc w:val="center"/>
              <w:rPr>
                <w:noProof/>
                <w:sz w:val="18"/>
              </w:rPr>
            </w:pPr>
            <w:r>
              <w:rPr>
                <w:noProof/>
                <w:sz w:val="18"/>
              </w:rPr>
              <w:t>Náklady</w:t>
            </w:r>
          </w:p>
        </w:tc>
        <w:tc>
          <w:tcPr>
            <w:tcW w:w="540" w:type="dxa"/>
            <w:gridSpan w:val="3"/>
            <w:tcBorders>
              <w:right w:val="dashSmallGap" w:sz="4" w:space="0" w:color="auto"/>
            </w:tcBorders>
            <w:shd w:val="pct10" w:color="auto" w:fill="auto"/>
            <w:textDirection w:val="btLr"/>
            <w:vAlign w:val="center"/>
          </w:tcPr>
          <w:p>
            <w:pPr>
              <w:ind w:left="113" w:right="113"/>
              <w:jc w:val="center"/>
              <w:rPr>
                <w:noProof/>
              </w:rPr>
            </w:pPr>
            <w:r>
              <w:rPr>
                <w:noProof/>
                <w:sz w:val="18"/>
              </w:rPr>
              <w:t>Počet</w:t>
            </w:r>
          </w:p>
        </w:tc>
        <w:tc>
          <w:tcPr>
            <w:tcW w:w="723" w:type="dxa"/>
            <w:gridSpan w:val="2"/>
            <w:tcBorders>
              <w:left w:val="dashSmallGap" w:sz="4" w:space="0" w:color="auto"/>
            </w:tcBorders>
            <w:shd w:val="pct10" w:color="auto" w:fill="auto"/>
            <w:vAlign w:val="center"/>
          </w:tcPr>
          <w:p>
            <w:pPr>
              <w:jc w:val="center"/>
              <w:rPr>
                <w:noProof/>
                <w:sz w:val="18"/>
              </w:rPr>
            </w:pPr>
            <w:r>
              <w:rPr>
                <w:noProof/>
                <w:sz w:val="18"/>
              </w:rPr>
              <w:t>Náklady</w:t>
            </w:r>
          </w:p>
        </w:tc>
        <w:tc>
          <w:tcPr>
            <w:tcW w:w="720" w:type="dxa"/>
            <w:gridSpan w:val="2"/>
            <w:tcBorders>
              <w:right w:val="dashSmallGap" w:sz="4" w:space="0" w:color="auto"/>
            </w:tcBorders>
            <w:shd w:val="pct10" w:color="auto" w:fill="auto"/>
            <w:vAlign w:val="center"/>
          </w:tcPr>
          <w:p>
            <w:pPr>
              <w:jc w:val="center"/>
              <w:rPr>
                <w:noProof/>
                <w:sz w:val="18"/>
              </w:rPr>
            </w:pPr>
            <w:r>
              <w:rPr>
                <w:noProof/>
                <w:sz w:val="18"/>
              </w:rPr>
              <w:t>Celkový počet</w:t>
            </w:r>
          </w:p>
        </w:tc>
        <w:tc>
          <w:tcPr>
            <w:tcW w:w="900" w:type="dxa"/>
            <w:gridSpan w:val="2"/>
            <w:tcBorders>
              <w:left w:val="dashSmallGap" w:sz="4" w:space="0" w:color="auto"/>
            </w:tcBorders>
            <w:shd w:val="pct10" w:color="auto" w:fill="auto"/>
            <w:vAlign w:val="center"/>
          </w:tcPr>
          <w:p>
            <w:pPr>
              <w:jc w:val="center"/>
              <w:rPr>
                <w:noProof/>
              </w:rPr>
            </w:pPr>
            <w:r>
              <w:rPr>
                <w:noProof/>
                <w:sz w:val="18"/>
              </w:rPr>
              <w:t>Náklady celkem</w:t>
            </w:r>
          </w:p>
        </w:tc>
      </w:tr>
      <w:tr>
        <w:trPr>
          <w:gridAfter w:val="1"/>
          <w:wAfter w:w="12" w:type="dxa"/>
          <w:jc w:val="center"/>
        </w:trPr>
        <w:tc>
          <w:tcPr>
            <w:tcW w:w="13611" w:type="dxa"/>
            <w:gridSpan w:val="37"/>
            <w:vAlign w:val="center"/>
          </w:tcPr>
          <w:p>
            <w:pPr>
              <w:spacing w:before="60" w:after="60"/>
              <w:ind w:right="-29"/>
              <w:jc w:val="center"/>
              <w:rPr>
                <w:noProof/>
                <w:sz w:val="18"/>
              </w:rPr>
            </w:pPr>
            <w:r>
              <w:rPr>
                <w:noProof/>
                <w:sz w:val="18"/>
              </w:rPr>
              <w:t xml:space="preserve">SPECIFICKÝ CÍL č. 1 </w:t>
            </w:r>
            <w:r>
              <w:rPr>
                <w:noProof/>
              </w:rPr>
              <w:t>poskytovat včasné informace Komisi, členským státům, agenturám a mezinárodním organizacím EU činným v oblasti veřejného zdraví, včetně posouzení rizik</w:t>
            </w:r>
          </w:p>
        </w:tc>
      </w:tr>
      <w:tr>
        <w:trPr>
          <w:gridAfter w:val="1"/>
          <w:wAfter w:w="12" w:type="dxa"/>
          <w:trHeight w:hRule="exact" w:val="3884"/>
          <w:jc w:val="center"/>
        </w:trPr>
        <w:tc>
          <w:tcPr>
            <w:tcW w:w="1696" w:type="dxa"/>
          </w:tcPr>
          <w:p>
            <w:pPr>
              <w:ind w:right="-29"/>
              <w:jc w:val="center"/>
              <w:rPr>
                <w:noProof/>
                <w:sz w:val="18"/>
              </w:rPr>
            </w:pPr>
            <w:r>
              <w:rPr>
                <w:noProof/>
                <w:sz w:val="18"/>
              </w:rPr>
              <w:t>– Výstup: vytvoření nové platformy, kterou společně vedou agentury EMA a ECDC pro účely dozorových studií po uvedení na trh, sledování bezpečnosti, účinnosti a dopadu očkování, přičemž budoucí očkovací látky proti COVID-19 by měly být prvními očkovacími látkami, které budou sledovány v rámci tohoto mechanismu platformy</w:t>
            </w:r>
          </w:p>
        </w:tc>
        <w:tc>
          <w:tcPr>
            <w:tcW w:w="447" w:type="dxa"/>
          </w:tcPr>
          <w:p>
            <w:pPr>
              <w:ind w:right="-29"/>
              <w:jc w:val="center"/>
              <w:rPr>
                <w:noProof/>
                <w:sz w:val="18"/>
              </w:rPr>
            </w:pPr>
          </w:p>
        </w:tc>
        <w:tc>
          <w:tcPr>
            <w:tcW w:w="542" w:type="dxa"/>
          </w:tcPr>
          <w:p>
            <w:pPr>
              <w:ind w:right="-29"/>
              <w:jc w:val="center"/>
              <w:rPr>
                <w:noProof/>
                <w:sz w:val="18"/>
              </w:rPr>
            </w:pPr>
          </w:p>
        </w:tc>
        <w:tc>
          <w:tcPr>
            <w:tcW w:w="663" w:type="dxa"/>
            <w:gridSpan w:val="2"/>
            <w:tcBorders>
              <w:right w:val="dashSmallGap" w:sz="4" w:space="0" w:color="auto"/>
            </w:tcBorders>
          </w:tcPr>
          <w:p>
            <w:pPr>
              <w:ind w:right="-29"/>
              <w:jc w:val="center"/>
              <w:rPr>
                <w:noProof/>
                <w:sz w:val="18"/>
              </w:rPr>
            </w:pPr>
          </w:p>
        </w:tc>
        <w:tc>
          <w:tcPr>
            <w:tcW w:w="720" w:type="dxa"/>
            <w:gridSpan w:val="2"/>
            <w:tcBorders>
              <w:left w:val="dashSmallGap" w:sz="4" w:space="0" w:color="auto"/>
            </w:tcBorders>
          </w:tcPr>
          <w:p>
            <w:pPr>
              <w:ind w:right="-29"/>
              <w:jc w:val="center"/>
              <w:rPr>
                <w:noProof/>
                <w:sz w:val="18"/>
              </w:rPr>
            </w:pPr>
            <w:r>
              <w:rPr>
                <w:noProof/>
                <w:sz w:val="18"/>
              </w:rPr>
              <w:t>7,000</w:t>
            </w:r>
          </w:p>
        </w:tc>
        <w:tc>
          <w:tcPr>
            <w:tcW w:w="540" w:type="dxa"/>
            <w:gridSpan w:val="2"/>
            <w:tcBorders>
              <w:right w:val="dashSmallGap" w:sz="4" w:space="0" w:color="auto"/>
            </w:tcBorders>
          </w:tcPr>
          <w:p>
            <w:pPr>
              <w:ind w:right="-29"/>
              <w:jc w:val="center"/>
              <w:rPr>
                <w:noProof/>
                <w:sz w:val="18"/>
              </w:rPr>
            </w:pPr>
          </w:p>
        </w:tc>
        <w:tc>
          <w:tcPr>
            <w:tcW w:w="720" w:type="dxa"/>
            <w:gridSpan w:val="2"/>
            <w:tcBorders>
              <w:left w:val="dashSmallGap" w:sz="4" w:space="0" w:color="auto"/>
            </w:tcBorders>
          </w:tcPr>
          <w:p>
            <w:pPr>
              <w:ind w:right="-29"/>
              <w:jc w:val="center"/>
              <w:rPr>
                <w:noProof/>
                <w:sz w:val="18"/>
              </w:rPr>
            </w:pPr>
            <w:r>
              <w:rPr>
                <w:noProof/>
                <w:sz w:val="18"/>
              </w:rPr>
              <w:t>7,000</w:t>
            </w:r>
          </w:p>
        </w:tc>
        <w:tc>
          <w:tcPr>
            <w:tcW w:w="720" w:type="dxa"/>
            <w:gridSpan w:val="2"/>
            <w:tcBorders>
              <w:right w:val="dashSmallGap" w:sz="4" w:space="0" w:color="auto"/>
            </w:tcBorders>
          </w:tcPr>
          <w:p>
            <w:pPr>
              <w:ind w:right="-29"/>
              <w:jc w:val="center"/>
              <w:rPr>
                <w:noProof/>
                <w:sz w:val="18"/>
              </w:rPr>
            </w:pPr>
          </w:p>
        </w:tc>
        <w:tc>
          <w:tcPr>
            <w:tcW w:w="720" w:type="dxa"/>
            <w:gridSpan w:val="2"/>
            <w:tcBorders>
              <w:left w:val="dashSmallGap" w:sz="4" w:space="0" w:color="auto"/>
            </w:tcBorders>
          </w:tcPr>
          <w:p>
            <w:pPr>
              <w:ind w:right="-29"/>
              <w:jc w:val="center"/>
              <w:rPr>
                <w:noProof/>
                <w:sz w:val="18"/>
              </w:rPr>
            </w:pPr>
            <w:r>
              <w:rPr>
                <w:noProof/>
                <w:sz w:val="18"/>
              </w:rPr>
              <w:t>6,800</w:t>
            </w:r>
          </w:p>
        </w:tc>
        <w:tc>
          <w:tcPr>
            <w:tcW w:w="900" w:type="dxa"/>
            <w:gridSpan w:val="2"/>
            <w:tcBorders>
              <w:right w:val="dashSmallGap" w:sz="4" w:space="0" w:color="auto"/>
            </w:tcBorders>
          </w:tcPr>
          <w:p>
            <w:pPr>
              <w:ind w:right="-29"/>
              <w:jc w:val="center"/>
              <w:rPr>
                <w:noProof/>
                <w:sz w:val="18"/>
              </w:rPr>
            </w:pPr>
          </w:p>
        </w:tc>
        <w:tc>
          <w:tcPr>
            <w:tcW w:w="720" w:type="dxa"/>
            <w:gridSpan w:val="3"/>
            <w:tcBorders>
              <w:left w:val="dashSmallGap" w:sz="4" w:space="0" w:color="auto"/>
            </w:tcBorders>
          </w:tcPr>
          <w:p>
            <w:pPr>
              <w:ind w:right="-29"/>
              <w:jc w:val="center"/>
              <w:rPr>
                <w:noProof/>
                <w:sz w:val="18"/>
              </w:rPr>
            </w:pPr>
            <w:r>
              <w:rPr>
                <w:noProof/>
                <w:sz w:val="18"/>
              </w:rPr>
              <w:t>6,800</w:t>
            </w:r>
          </w:p>
        </w:tc>
        <w:tc>
          <w:tcPr>
            <w:tcW w:w="540" w:type="dxa"/>
            <w:gridSpan w:val="2"/>
            <w:tcBorders>
              <w:right w:val="dashSmallGap" w:sz="4" w:space="0" w:color="auto"/>
            </w:tcBorders>
          </w:tcPr>
          <w:p>
            <w:pPr>
              <w:ind w:right="-29"/>
              <w:jc w:val="center"/>
              <w:rPr>
                <w:noProof/>
                <w:sz w:val="18"/>
              </w:rPr>
            </w:pPr>
          </w:p>
        </w:tc>
        <w:tc>
          <w:tcPr>
            <w:tcW w:w="648" w:type="dxa"/>
            <w:gridSpan w:val="2"/>
            <w:tcBorders>
              <w:left w:val="dashSmallGap" w:sz="4" w:space="0" w:color="auto"/>
            </w:tcBorders>
          </w:tcPr>
          <w:p>
            <w:pPr>
              <w:ind w:right="-29"/>
              <w:jc w:val="center"/>
              <w:rPr>
                <w:noProof/>
                <w:sz w:val="18"/>
              </w:rPr>
            </w:pPr>
            <w:r>
              <w:rPr>
                <w:noProof/>
                <w:sz w:val="18"/>
              </w:rPr>
              <w:t>6,800</w:t>
            </w:r>
          </w:p>
        </w:tc>
        <w:tc>
          <w:tcPr>
            <w:tcW w:w="432" w:type="dxa"/>
            <w:gridSpan w:val="2"/>
            <w:tcBorders>
              <w:right w:val="dashSmallGap" w:sz="4" w:space="0" w:color="auto"/>
            </w:tcBorders>
          </w:tcPr>
          <w:p>
            <w:pPr>
              <w:ind w:right="-29"/>
              <w:jc w:val="center"/>
              <w:rPr>
                <w:noProof/>
                <w:sz w:val="18"/>
              </w:rPr>
            </w:pPr>
          </w:p>
        </w:tc>
        <w:tc>
          <w:tcPr>
            <w:tcW w:w="720" w:type="dxa"/>
            <w:gridSpan w:val="2"/>
            <w:tcBorders>
              <w:left w:val="dashSmallGap" w:sz="4" w:space="0" w:color="auto"/>
            </w:tcBorders>
          </w:tcPr>
          <w:p>
            <w:pPr>
              <w:ind w:right="-29"/>
              <w:jc w:val="center"/>
              <w:rPr>
                <w:noProof/>
                <w:sz w:val="18"/>
              </w:rPr>
            </w:pPr>
            <w:r>
              <w:rPr>
                <w:noProof/>
                <w:sz w:val="18"/>
              </w:rPr>
              <w:t>6,800</w:t>
            </w:r>
          </w:p>
        </w:tc>
        <w:tc>
          <w:tcPr>
            <w:tcW w:w="540" w:type="dxa"/>
            <w:gridSpan w:val="3"/>
            <w:tcBorders>
              <w:right w:val="dashSmallGap" w:sz="4" w:space="0" w:color="auto"/>
            </w:tcBorders>
          </w:tcPr>
          <w:p>
            <w:pPr>
              <w:ind w:right="-29"/>
              <w:jc w:val="center"/>
              <w:rPr>
                <w:noProof/>
                <w:sz w:val="18"/>
              </w:rPr>
            </w:pPr>
          </w:p>
        </w:tc>
        <w:tc>
          <w:tcPr>
            <w:tcW w:w="723" w:type="dxa"/>
            <w:gridSpan w:val="2"/>
            <w:tcBorders>
              <w:left w:val="dashSmallGap" w:sz="4" w:space="0" w:color="auto"/>
            </w:tcBorders>
          </w:tcPr>
          <w:p>
            <w:pPr>
              <w:ind w:right="-29"/>
              <w:jc w:val="center"/>
              <w:rPr>
                <w:noProof/>
                <w:sz w:val="18"/>
              </w:rPr>
            </w:pPr>
            <w:r>
              <w:rPr>
                <w:noProof/>
                <w:sz w:val="18"/>
              </w:rPr>
              <w:t>6,800</w:t>
            </w:r>
          </w:p>
        </w:tc>
        <w:tc>
          <w:tcPr>
            <w:tcW w:w="720" w:type="dxa"/>
            <w:gridSpan w:val="2"/>
          </w:tcPr>
          <w:p>
            <w:pPr>
              <w:ind w:right="-29"/>
              <w:jc w:val="center"/>
              <w:rPr>
                <w:noProof/>
                <w:sz w:val="18"/>
              </w:rPr>
            </w:pPr>
          </w:p>
        </w:tc>
        <w:tc>
          <w:tcPr>
            <w:tcW w:w="900" w:type="dxa"/>
            <w:gridSpan w:val="2"/>
          </w:tcPr>
          <w:p>
            <w:pPr>
              <w:ind w:right="-29"/>
              <w:jc w:val="center"/>
              <w:rPr>
                <w:noProof/>
                <w:sz w:val="18"/>
              </w:rPr>
            </w:pPr>
            <w:r>
              <w:rPr>
                <w:noProof/>
                <w:sz w:val="18"/>
              </w:rPr>
              <w:t>48,000</w:t>
            </w:r>
          </w:p>
        </w:tc>
      </w:tr>
      <w:tr>
        <w:trPr>
          <w:gridAfter w:val="1"/>
          <w:wAfter w:w="12" w:type="dxa"/>
          <w:trHeight w:hRule="exact" w:val="369"/>
          <w:jc w:val="center"/>
        </w:trPr>
        <w:tc>
          <w:tcPr>
            <w:tcW w:w="1696" w:type="dxa"/>
          </w:tcPr>
          <w:p>
            <w:pPr>
              <w:ind w:right="-29"/>
              <w:jc w:val="center"/>
              <w:rPr>
                <w:noProof/>
                <w:sz w:val="18"/>
              </w:rPr>
            </w:pPr>
            <w:r>
              <w:rPr>
                <w:noProof/>
                <w:sz w:val="18"/>
              </w:rPr>
              <w:t>– Výstup</w:t>
            </w:r>
          </w:p>
        </w:tc>
        <w:tc>
          <w:tcPr>
            <w:tcW w:w="447" w:type="dxa"/>
          </w:tcPr>
          <w:p>
            <w:pPr>
              <w:ind w:right="-29"/>
              <w:jc w:val="center"/>
              <w:rPr>
                <w:noProof/>
                <w:sz w:val="18"/>
              </w:rPr>
            </w:pPr>
          </w:p>
        </w:tc>
        <w:tc>
          <w:tcPr>
            <w:tcW w:w="542" w:type="dxa"/>
          </w:tcPr>
          <w:p>
            <w:pPr>
              <w:ind w:right="-29"/>
              <w:jc w:val="center"/>
              <w:rPr>
                <w:noProof/>
                <w:sz w:val="18"/>
              </w:rPr>
            </w:pPr>
          </w:p>
        </w:tc>
        <w:tc>
          <w:tcPr>
            <w:tcW w:w="663" w:type="dxa"/>
            <w:gridSpan w:val="2"/>
            <w:tcBorders>
              <w:right w:val="dashSmallGap" w:sz="4" w:space="0" w:color="auto"/>
            </w:tcBorders>
          </w:tcPr>
          <w:p>
            <w:pPr>
              <w:ind w:right="-29"/>
              <w:jc w:val="center"/>
              <w:rPr>
                <w:noProof/>
                <w:sz w:val="18"/>
              </w:rPr>
            </w:pPr>
          </w:p>
        </w:tc>
        <w:tc>
          <w:tcPr>
            <w:tcW w:w="720" w:type="dxa"/>
            <w:gridSpan w:val="2"/>
            <w:tcBorders>
              <w:left w:val="dashSmallGap" w:sz="4" w:space="0" w:color="auto"/>
            </w:tcBorders>
          </w:tcPr>
          <w:p>
            <w:pPr>
              <w:ind w:right="-29"/>
              <w:jc w:val="center"/>
              <w:rPr>
                <w:noProof/>
                <w:sz w:val="18"/>
              </w:rPr>
            </w:pPr>
          </w:p>
        </w:tc>
        <w:tc>
          <w:tcPr>
            <w:tcW w:w="540" w:type="dxa"/>
            <w:gridSpan w:val="2"/>
            <w:tcBorders>
              <w:right w:val="dashSmallGap" w:sz="4" w:space="0" w:color="auto"/>
            </w:tcBorders>
          </w:tcPr>
          <w:p>
            <w:pPr>
              <w:ind w:right="-29"/>
              <w:jc w:val="center"/>
              <w:rPr>
                <w:noProof/>
                <w:sz w:val="18"/>
              </w:rPr>
            </w:pPr>
          </w:p>
        </w:tc>
        <w:tc>
          <w:tcPr>
            <w:tcW w:w="720" w:type="dxa"/>
            <w:gridSpan w:val="2"/>
            <w:tcBorders>
              <w:left w:val="dashSmallGap" w:sz="4" w:space="0" w:color="auto"/>
            </w:tcBorders>
          </w:tcPr>
          <w:p>
            <w:pPr>
              <w:ind w:right="-29"/>
              <w:jc w:val="center"/>
              <w:rPr>
                <w:noProof/>
                <w:sz w:val="18"/>
              </w:rPr>
            </w:pPr>
          </w:p>
        </w:tc>
        <w:tc>
          <w:tcPr>
            <w:tcW w:w="720" w:type="dxa"/>
            <w:gridSpan w:val="2"/>
            <w:tcBorders>
              <w:right w:val="dashSmallGap" w:sz="4" w:space="0" w:color="auto"/>
            </w:tcBorders>
          </w:tcPr>
          <w:p>
            <w:pPr>
              <w:ind w:right="-29"/>
              <w:jc w:val="center"/>
              <w:rPr>
                <w:noProof/>
                <w:sz w:val="18"/>
              </w:rPr>
            </w:pPr>
          </w:p>
        </w:tc>
        <w:tc>
          <w:tcPr>
            <w:tcW w:w="720" w:type="dxa"/>
            <w:gridSpan w:val="2"/>
            <w:tcBorders>
              <w:left w:val="dashSmallGap" w:sz="4" w:space="0" w:color="auto"/>
            </w:tcBorders>
          </w:tcPr>
          <w:p>
            <w:pPr>
              <w:ind w:right="-29"/>
              <w:jc w:val="center"/>
              <w:rPr>
                <w:noProof/>
                <w:sz w:val="18"/>
              </w:rPr>
            </w:pPr>
          </w:p>
        </w:tc>
        <w:tc>
          <w:tcPr>
            <w:tcW w:w="900" w:type="dxa"/>
            <w:gridSpan w:val="2"/>
            <w:tcBorders>
              <w:right w:val="dashSmallGap" w:sz="4" w:space="0" w:color="auto"/>
            </w:tcBorders>
          </w:tcPr>
          <w:p>
            <w:pPr>
              <w:ind w:right="-29"/>
              <w:jc w:val="center"/>
              <w:rPr>
                <w:noProof/>
                <w:sz w:val="18"/>
              </w:rPr>
            </w:pPr>
          </w:p>
        </w:tc>
        <w:tc>
          <w:tcPr>
            <w:tcW w:w="720" w:type="dxa"/>
            <w:gridSpan w:val="3"/>
            <w:tcBorders>
              <w:left w:val="dashSmallGap" w:sz="4" w:space="0" w:color="auto"/>
            </w:tcBorders>
          </w:tcPr>
          <w:p>
            <w:pPr>
              <w:ind w:right="-29"/>
              <w:jc w:val="center"/>
              <w:rPr>
                <w:noProof/>
                <w:sz w:val="18"/>
              </w:rPr>
            </w:pPr>
          </w:p>
        </w:tc>
        <w:tc>
          <w:tcPr>
            <w:tcW w:w="540" w:type="dxa"/>
            <w:gridSpan w:val="2"/>
            <w:tcBorders>
              <w:right w:val="dashSmallGap" w:sz="4" w:space="0" w:color="auto"/>
            </w:tcBorders>
          </w:tcPr>
          <w:p>
            <w:pPr>
              <w:ind w:right="-29"/>
              <w:jc w:val="center"/>
              <w:rPr>
                <w:noProof/>
                <w:sz w:val="18"/>
              </w:rPr>
            </w:pPr>
          </w:p>
        </w:tc>
        <w:tc>
          <w:tcPr>
            <w:tcW w:w="648" w:type="dxa"/>
            <w:gridSpan w:val="2"/>
            <w:tcBorders>
              <w:left w:val="dashSmallGap" w:sz="4" w:space="0" w:color="auto"/>
            </w:tcBorders>
          </w:tcPr>
          <w:p>
            <w:pPr>
              <w:ind w:right="-29"/>
              <w:jc w:val="center"/>
              <w:rPr>
                <w:noProof/>
                <w:sz w:val="18"/>
              </w:rPr>
            </w:pPr>
          </w:p>
        </w:tc>
        <w:tc>
          <w:tcPr>
            <w:tcW w:w="432" w:type="dxa"/>
            <w:gridSpan w:val="2"/>
            <w:tcBorders>
              <w:right w:val="dashSmallGap" w:sz="4" w:space="0" w:color="auto"/>
            </w:tcBorders>
          </w:tcPr>
          <w:p>
            <w:pPr>
              <w:ind w:right="-29"/>
              <w:jc w:val="center"/>
              <w:rPr>
                <w:noProof/>
                <w:sz w:val="18"/>
              </w:rPr>
            </w:pPr>
          </w:p>
        </w:tc>
        <w:tc>
          <w:tcPr>
            <w:tcW w:w="720" w:type="dxa"/>
            <w:gridSpan w:val="2"/>
            <w:tcBorders>
              <w:left w:val="dashSmallGap" w:sz="4" w:space="0" w:color="auto"/>
            </w:tcBorders>
          </w:tcPr>
          <w:p>
            <w:pPr>
              <w:ind w:right="-29"/>
              <w:jc w:val="center"/>
              <w:rPr>
                <w:noProof/>
                <w:sz w:val="18"/>
              </w:rPr>
            </w:pPr>
          </w:p>
        </w:tc>
        <w:tc>
          <w:tcPr>
            <w:tcW w:w="540" w:type="dxa"/>
            <w:gridSpan w:val="3"/>
            <w:tcBorders>
              <w:right w:val="dashSmallGap" w:sz="4" w:space="0" w:color="auto"/>
            </w:tcBorders>
          </w:tcPr>
          <w:p>
            <w:pPr>
              <w:ind w:right="-29"/>
              <w:jc w:val="center"/>
              <w:rPr>
                <w:noProof/>
                <w:sz w:val="18"/>
              </w:rPr>
            </w:pPr>
          </w:p>
        </w:tc>
        <w:tc>
          <w:tcPr>
            <w:tcW w:w="723" w:type="dxa"/>
            <w:gridSpan w:val="2"/>
            <w:tcBorders>
              <w:left w:val="dashSmallGap" w:sz="4" w:space="0" w:color="auto"/>
            </w:tcBorders>
          </w:tcPr>
          <w:p>
            <w:pPr>
              <w:ind w:right="-29"/>
              <w:jc w:val="center"/>
              <w:rPr>
                <w:noProof/>
                <w:sz w:val="18"/>
              </w:rPr>
            </w:pPr>
          </w:p>
        </w:tc>
        <w:tc>
          <w:tcPr>
            <w:tcW w:w="720" w:type="dxa"/>
            <w:gridSpan w:val="2"/>
          </w:tcPr>
          <w:p>
            <w:pPr>
              <w:ind w:right="-29"/>
              <w:jc w:val="center"/>
              <w:rPr>
                <w:noProof/>
                <w:sz w:val="18"/>
              </w:rPr>
            </w:pPr>
          </w:p>
        </w:tc>
        <w:tc>
          <w:tcPr>
            <w:tcW w:w="900" w:type="dxa"/>
            <w:gridSpan w:val="2"/>
          </w:tcPr>
          <w:p>
            <w:pPr>
              <w:ind w:right="-29"/>
              <w:jc w:val="center"/>
              <w:rPr>
                <w:noProof/>
                <w:sz w:val="18"/>
              </w:rPr>
            </w:pPr>
          </w:p>
        </w:tc>
      </w:tr>
      <w:tr>
        <w:trPr>
          <w:gridAfter w:val="1"/>
          <w:wAfter w:w="12" w:type="dxa"/>
          <w:trHeight w:hRule="exact" w:val="369"/>
          <w:jc w:val="center"/>
        </w:trPr>
        <w:tc>
          <w:tcPr>
            <w:tcW w:w="1696" w:type="dxa"/>
          </w:tcPr>
          <w:p>
            <w:pPr>
              <w:ind w:right="-29"/>
              <w:jc w:val="center"/>
              <w:rPr>
                <w:noProof/>
                <w:sz w:val="18"/>
              </w:rPr>
            </w:pPr>
            <w:r>
              <w:rPr>
                <w:noProof/>
                <w:sz w:val="18"/>
              </w:rPr>
              <w:t>– Výstup</w:t>
            </w:r>
          </w:p>
        </w:tc>
        <w:tc>
          <w:tcPr>
            <w:tcW w:w="447" w:type="dxa"/>
          </w:tcPr>
          <w:p>
            <w:pPr>
              <w:ind w:right="-29"/>
              <w:jc w:val="center"/>
              <w:rPr>
                <w:noProof/>
                <w:sz w:val="18"/>
              </w:rPr>
            </w:pPr>
          </w:p>
        </w:tc>
        <w:tc>
          <w:tcPr>
            <w:tcW w:w="542" w:type="dxa"/>
          </w:tcPr>
          <w:p>
            <w:pPr>
              <w:ind w:right="-29"/>
              <w:jc w:val="center"/>
              <w:rPr>
                <w:noProof/>
                <w:sz w:val="18"/>
              </w:rPr>
            </w:pPr>
          </w:p>
        </w:tc>
        <w:tc>
          <w:tcPr>
            <w:tcW w:w="663" w:type="dxa"/>
            <w:gridSpan w:val="2"/>
          </w:tcPr>
          <w:p>
            <w:pPr>
              <w:ind w:right="-29"/>
              <w:jc w:val="center"/>
              <w:rPr>
                <w:noProof/>
                <w:sz w:val="18"/>
              </w:rPr>
            </w:pPr>
          </w:p>
        </w:tc>
        <w:tc>
          <w:tcPr>
            <w:tcW w:w="720" w:type="dxa"/>
            <w:gridSpan w:val="2"/>
          </w:tcPr>
          <w:p>
            <w:pPr>
              <w:ind w:right="-29"/>
              <w:jc w:val="center"/>
              <w:rPr>
                <w:noProof/>
                <w:sz w:val="18"/>
              </w:rPr>
            </w:pPr>
          </w:p>
        </w:tc>
        <w:tc>
          <w:tcPr>
            <w:tcW w:w="540" w:type="dxa"/>
            <w:gridSpan w:val="2"/>
          </w:tcPr>
          <w:p>
            <w:pPr>
              <w:ind w:right="-29"/>
              <w:jc w:val="center"/>
              <w:rPr>
                <w:noProof/>
                <w:sz w:val="18"/>
              </w:rPr>
            </w:pPr>
          </w:p>
        </w:tc>
        <w:tc>
          <w:tcPr>
            <w:tcW w:w="720" w:type="dxa"/>
            <w:gridSpan w:val="2"/>
          </w:tcPr>
          <w:p>
            <w:pPr>
              <w:ind w:right="-29"/>
              <w:jc w:val="center"/>
              <w:rPr>
                <w:noProof/>
                <w:sz w:val="18"/>
              </w:rPr>
            </w:pPr>
          </w:p>
        </w:tc>
        <w:tc>
          <w:tcPr>
            <w:tcW w:w="720" w:type="dxa"/>
            <w:gridSpan w:val="2"/>
          </w:tcPr>
          <w:p>
            <w:pPr>
              <w:ind w:right="-29"/>
              <w:jc w:val="center"/>
              <w:rPr>
                <w:noProof/>
                <w:sz w:val="18"/>
              </w:rPr>
            </w:pPr>
          </w:p>
        </w:tc>
        <w:tc>
          <w:tcPr>
            <w:tcW w:w="720" w:type="dxa"/>
            <w:gridSpan w:val="2"/>
          </w:tcPr>
          <w:p>
            <w:pPr>
              <w:ind w:right="-29"/>
              <w:jc w:val="center"/>
              <w:rPr>
                <w:noProof/>
                <w:sz w:val="18"/>
              </w:rPr>
            </w:pPr>
          </w:p>
        </w:tc>
        <w:tc>
          <w:tcPr>
            <w:tcW w:w="900" w:type="dxa"/>
            <w:gridSpan w:val="2"/>
          </w:tcPr>
          <w:p>
            <w:pPr>
              <w:ind w:right="-29"/>
              <w:jc w:val="center"/>
              <w:rPr>
                <w:noProof/>
                <w:sz w:val="18"/>
              </w:rPr>
            </w:pPr>
          </w:p>
        </w:tc>
        <w:tc>
          <w:tcPr>
            <w:tcW w:w="720" w:type="dxa"/>
            <w:gridSpan w:val="3"/>
          </w:tcPr>
          <w:p>
            <w:pPr>
              <w:ind w:right="-29"/>
              <w:jc w:val="center"/>
              <w:rPr>
                <w:noProof/>
                <w:sz w:val="18"/>
              </w:rPr>
            </w:pPr>
          </w:p>
        </w:tc>
        <w:tc>
          <w:tcPr>
            <w:tcW w:w="540" w:type="dxa"/>
            <w:gridSpan w:val="2"/>
          </w:tcPr>
          <w:p>
            <w:pPr>
              <w:ind w:right="-29"/>
              <w:jc w:val="center"/>
              <w:rPr>
                <w:noProof/>
                <w:sz w:val="18"/>
              </w:rPr>
            </w:pPr>
          </w:p>
        </w:tc>
        <w:tc>
          <w:tcPr>
            <w:tcW w:w="648" w:type="dxa"/>
            <w:gridSpan w:val="2"/>
          </w:tcPr>
          <w:p>
            <w:pPr>
              <w:ind w:right="-29"/>
              <w:jc w:val="center"/>
              <w:rPr>
                <w:noProof/>
                <w:sz w:val="18"/>
              </w:rPr>
            </w:pPr>
          </w:p>
        </w:tc>
        <w:tc>
          <w:tcPr>
            <w:tcW w:w="432" w:type="dxa"/>
            <w:gridSpan w:val="2"/>
          </w:tcPr>
          <w:p>
            <w:pPr>
              <w:ind w:right="-29"/>
              <w:jc w:val="center"/>
              <w:rPr>
                <w:noProof/>
                <w:sz w:val="18"/>
              </w:rPr>
            </w:pPr>
          </w:p>
        </w:tc>
        <w:tc>
          <w:tcPr>
            <w:tcW w:w="720" w:type="dxa"/>
            <w:gridSpan w:val="2"/>
          </w:tcPr>
          <w:p>
            <w:pPr>
              <w:ind w:right="-29"/>
              <w:jc w:val="center"/>
              <w:rPr>
                <w:noProof/>
                <w:sz w:val="18"/>
              </w:rPr>
            </w:pPr>
          </w:p>
        </w:tc>
        <w:tc>
          <w:tcPr>
            <w:tcW w:w="540" w:type="dxa"/>
            <w:gridSpan w:val="3"/>
          </w:tcPr>
          <w:p>
            <w:pPr>
              <w:ind w:right="-29"/>
              <w:jc w:val="center"/>
              <w:rPr>
                <w:noProof/>
                <w:sz w:val="18"/>
              </w:rPr>
            </w:pPr>
          </w:p>
        </w:tc>
        <w:tc>
          <w:tcPr>
            <w:tcW w:w="723" w:type="dxa"/>
            <w:gridSpan w:val="2"/>
          </w:tcPr>
          <w:p>
            <w:pPr>
              <w:ind w:right="-29"/>
              <w:jc w:val="center"/>
              <w:rPr>
                <w:noProof/>
                <w:sz w:val="18"/>
              </w:rPr>
            </w:pPr>
          </w:p>
        </w:tc>
        <w:tc>
          <w:tcPr>
            <w:tcW w:w="720" w:type="dxa"/>
            <w:gridSpan w:val="2"/>
          </w:tcPr>
          <w:p>
            <w:pPr>
              <w:ind w:right="-29"/>
              <w:jc w:val="center"/>
              <w:rPr>
                <w:noProof/>
                <w:sz w:val="18"/>
              </w:rPr>
            </w:pPr>
          </w:p>
        </w:tc>
        <w:tc>
          <w:tcPr>
            <w:tcW w:w="900" w:type="dxa"/>
            <w:gridSpan w:val="2"/>
          </w:tcPr>
          <w:p>
            <w:pPr>
              <w:ind w:right="-29"/>
              <w:jc w:val="center"/>
              <w:rPr>
                <w:noProof/>
                <w:sz w:val="18"/>
              </w:rPr>
            </w:pPr>
          </w:p>
        </w:tc>
      </w:tr>
      <w:tr>
        <w:trPr>
          <w:gridAfter w:val="1"/>
          <w:wAfter w:w="12" w:type="dxa"/>
          <w:jc w:val="center"/>
        </w:trPr>
        <w:tc>
          <w:tcPr>
            <w:tcW w:w="2685" w:type="dxa"/>
            <w:gridSpan w:val="3"/>
            <w:tcBorders>
              <w:bottom w:val="single" w:sz="12" w:space="0" w:color="auto"/>
            </w:tcBorders>
            <w:vAlign w:val="center"/>
          </w:tcPr>
          <w:p>
            <w:pPr>
              <w:ind w:right="-29"/>
              <w:jc w:val="center"/>
              <w:rPr>
                <w:noProof/>
                <w:sz w:val="18"/>
              </w:rPr>
            </w:pPr>
            <w:r>
              <w:rPr>
                <w:noProof/>
                <w:sz w:val="18"/>
              </w:rPr>
              <w:t>Mezisoučet za specifický cíl č. 1</w:t>
            </w:r>
          </w:p>
        </w:tc>
        <w:tc>
          <w:tcPr>
            <w:tcW w:w="663" w:type="dxa"/>
            <w:gridSpan w:val="2"/>
            <w:tcBorders>
              <w:bottom w:val="single" w:sz="12" w:space="0" w:color="auto"/>
            </w:tcBorders>
          </w:tcPr>
          <w:p>
            <w:pPr>
              <w:ind w:right="-29"/>
              <w:jc w:val="center"/>
              <w:rPr>
                <w:noProof/>
                <w:sz w:val="18"/>
              </w:rPr>
            </w:pPr>
          </w:p>
        </w:tc>
        <w:tc>
          <w:tcPr>
            <w:tcW w:w="720" w:type="dxa"/>
            <w:gridSpan w:val="2"/>
            <w:tcBorders>
              <w:bottom w:val="single" w:sz="12" w:space="0" w:color="auto"/>
            </w:tcBorders>
          </w:tcPr>
          <w:p>
            <w:pPr>
              <w:ind w:right="-29"/>
              <w:jc w:val="center"/>
              <w:rPr>
                <w:noProof/>
                <w:sz w:val="18"/>
              </w:rPr>
            </w:pPr>
            <w:r>
              <w:rPr>
                <w:noProof/>
                <w:sz w:val="18"/>
              </w:rPr>
              <w:t>7,000</w:t>
            </w:r>
          </w:p>
        </w:tc>
        <w:tc>
          <w:tcPr>
            <w:tcW w:w="540" w:type="dxa"/>
            <w:gridSpan w:val="2"/>
            <w:tcBorders>
              <w:bottom w:val="single" w:sz="12" w:space="0" w:color="auto"/>
            </w:tcBorders>
          </w:tcPr>
          <w:p>
            <w:pPr>
              <w:ind w:right="-29"/>
              <w:jc w:val="center"/>
              <w:rPr>
                <w:noProof/>
                <w:sz w:val="18"/>
              </w:rPr>
            </w:pPr>
          </w:p>
        </w:tc>
        <w:tc>
          <w:tcPr>
            <w:tcW w:w="720" w:type="dxa"/>
            <w:gridSpan w:val="2"/>
            <w:tcBorders>
              <w:bottom w:val="single" w:sz="12" w:space="0" w:color="auto"/>
            </w:tcBorders>
          </w:tcPr>
          <w:p>
            <w:pPr>
              <w:ind w:right="-29"/>
              <w:jc w:val="center"/>
              <w:rPr>
                <w:noProof/>
                <w:sz w:val="18"/>
              </w:rPr>
            </w:pPr>
            <w:r>
              <w:rPr>
                <w:noProof/>
                <w:sz w:val="18"/>
              </w:rPr>
              <w:t>7,000</w:t>
            </w:r>
          </w:p>
        </w:tc>
        <w:tc>
          <w:tcPr>
            <w:tcW w:w="720" w:type="dxa"/>
            <w:gridSpan w:val="2"/>
            <w:tcBorders>
              <w:bottom w:val="single" w:sz="12" w:space="0" w:color="auto"/>
            </w:tcBorders>
          </w:tcPr>
          <w:p>
            <w:pPr>
              <w:ind w:right="-29"/>
              <w:jc w:val="center"/>
              <w:rPr>
                <w:noProof/>
                <w:sz w:val="18"/>
              </w:rPr>
            </w:pPr>
          </w:p>
        </w:tc>
        <w:tc>
          <w:tcPr>
            <w:tcW w:w="720" w:type="dxa"/>
            <w:gridSpan w:val="2"/>
            <w:tcBorders>
              <w:bottom w:val="single" w:sz="12" w:space="0" w:color="auto"/>
            </w:tcBorders>
          </w:tcPr>
          <w:p>
            <w:pPr>
              <w:ind w:right="-29"/>
              <w:jc w:val="center"/>
              <w:rPr>
                <w:noProof/>
                <w:sz w:val="18"/>
              </w:rPr>
            </w:pPr>
            <w:r>
              <w:rPr>
                <w:noProof/>
                <w:sz w:val="18"/>
              </w:rPr>
              <w:t>6,800</w:t>
            </w:r>
          </w:p>
        </w:tc>
        <w:tc>
          <w:tcPr>
            <w:tcW w:w="900" w:type="dxa"/>
            <w:gridSpan w:val="2"/>
            <w:tcBorders>
              <w:bottom w:val="single" w:sz="12" w:space="0" w:color="auto"/>
            </w:tcBorders>
          </w:tcPr>
          <w:p>
            <w:pPr>
              <w:ind w:right="-29"/>
              <w:jc w:val="center"/>
              <w:rPr>
                <w:noProof/>
                <w:sz w:val="18"/>
              </w:rPr>
            </w:pPr>
          </w:p>
        </w:tc>
        <w:tc>
          <w:tcPr>
            <w:tcW w:w="720" w:type="dxa"/>
            <w:gridSpan w:val="3"/>
            <w:tcBorders>
              <w:bottom w:val="single" w:sz="12" w:space="0" w:color="auto"/>
            </w:tcBorders>
          </w:tcPr>
          <w:p>
            <w:pPr>
              <w:ind w:right="-29"/>
              <w:jc w:val="center"/>
              <w:rPr>
                <w:noProof/>
                <w:sz w:val="18"/>
              </w:rPr>
            </w:pPr>
            <w:r>
              <w:rPr>
                <w:noProof/>
                <w:sz w:val="18"/>
              </w:rPr>
              <w:t>6,800</w:t>
            </w:r>
          </w:p>
        </w:tc>
        <w:tc>
          <w:tcPr>
            <w:tcW w:w="540" w:type="dxa"/>
            <w:gridSpan w:val="2"/>
            <w:tcBorders>
              <w:bottom w:val="single" w:sz="12" w:space="0" w:color="auto"/>
            </w:tcBorders>
          </w:tcPr>
          <w:p>
            <w:pPr>
              <w:ind w:right="-29"/>
              <w:jc w:val="center"/>
              <w:rPr>
                <w:noProof/>
                <w:sz w:val="18"/>
              </w:rPr>
            </w:pPr>
          </w:p>
        </w:tc>
        <w:tc>
          <w:tcPr>
            <w:tcW w:w="648" w:type="dxa"/>
            <w:gridSpan w:val="2"/>
            <w:tcBorders>
              <w:bottom w:val="single" w:sz="12" w:space="0" w:color="auto"/>
            </w:tcBorders>
          </w:tcPr>
          <w:p>
            <w:pPr>
              <w:ind w:right="-29"/>
              <w:jc w:val="center"/>
              <w:rPr>
                <w:noProof/>
                <w:sz w:val="18"/>
              </w:rPr>
            </w:pPr>
            <w:r>
              <w:rPr>
                <w:noProof/>
                <w:sz w:val="18"/>
              </w:rPr>
              <w:t>6,800</w:t>
            </w:r>
          </w:p>
        </w:tc>
        <w:tc>
          <w:tcPr>
            <w:tcW w:w="432" w:type="dxa"/>
            <w:gridSpan w:val="2"/>
            <w:tcBorders>
              <w:bottom w:val="single" w:sz="12" w:space="0" w:color="auto"/>
            </w:tcBorders>
          </w:tcPr>
          <w:p>
            <w:pPr>
              <w:ind w:right="-29"/>
              <w:jc w:val="center"/>
              <w:rPr>
                <w:noProof/>
                <w:sz w:val="18"/>
              </w:rPr>
            </w:pPr>
          </w:p>
        </w:tc>
        <w:tc>
          <w:tcPr>
            <w:tcW w:w="720" w:type="dxa"/>
            <w:gridSpan w:val="2"/>
            <w:tcBorders>
              <w:bottom w:val="single" w:sz="12" w:space="0" w:color="auto"/>
            </w:tcBorders>
          </w:tcPr>
          <w:p>
            <w:pPr>
              <w:ind w:right="-29"/>
              <w:jc w:val="center"/>
              <w:rPr>
                <w:noProof/>
                <w:sz w:val="18"/>
              </w:rPr>
            </w:pPr>
            <w:r>
              <w:rPr>
                <w:noProof/>
                <w:sz w:val="18"/>
              </w:rPr>
              <w:t>6,800</w:t>
            </w:r>
          </w:p>
        </w:tc>
        <w:tc>
          <w:tcPr>
            <w:tcW w:w="540" w:type="dxa"/>
            <w:gridSpan w:val="3"/>
            <w:tcBorders>
              <w:bottom w:val="single" w:sz="12" w:space="0" w:color="auto"/>
            </w:tcBorders>
          </w:tcPr>
          <w:p>
            <w:pPr>
              <w:ind w:right="-29"/>
              <w:jc w:val="center"/>
              <w:rPr>
                <w:noProof/>
                <w:sz w:val="18"/>
              </w:rPr>
            </w:pPr>
          </w:p>
        </w:tc>
        <w:tc>
          <w:tcPr>
            <w:tcW w:w="723" w:type="dxa"/>
            <w:gridSpan w:val="2"/>
            <w:tcBorders>
              <w:bottom w:val="single" w:sz="12" w:space="0" w:color="auto"/>
            </w:tcBorders>
          </w:tcPr>
          <w:p>
            <w:pPr>
              <w:ind w:right="-29"/>
              <w:jc w:val="center"/>
              <w:rPr>
                <w:noProof/>
                <w:sz w:val="18"/>
              </w:rPr>
            </w:pPr>
            <w:r>
              <w:rPr>
                <w:noProof/>
                <w:sz w:val="18"/>
              </w:rPr>
              <w:t>6,800</w:t>
            </w:r>
          </w:p>
        </w:tc>
        <w:tc>
          <w:tcPr>
            <w:tcW w:w="720" w:type="dxa"/>
            <w:gridSpan w:val="2"/>
            <w:tcBorders>
              <w:bottom w:val="single" w:sz="12" w:space="0" w:color="auto"/>
            </w:tcBorders>
          </w:tcPr>
          <w:p>
            <w:pPr>
              <w:ind w:right="-29"/>
              <w:jc w:val="center"/>
              <w:rPr>
                <w:noProof/>
                <w:sz w:val="18"/>
              </w:rPr>
            </w:pPr>
          </w:p>
        </w:tc>
        <w:tc>
          <w:tcPr>
            <w:tcW w:w="900" w:type="dxa"/>
            <w:gridSpan w:val="2"/>
            <w:tcBorders>
              <w:bottom w:val="single" w:sz="12" w:space="0" w:color="auto"/>
            </w:tcBorders>
          </w:tcPr>
          <w:p>
            <w:pPr>
              <w:ind w:right="-29"/>
              <w:jc w:val="center"/>
              <w:rPr>
                <w:noProof/>
                <w:sz w:val="18"/>
              </w:rPr>
            </w:pPr>
            <w:r>
              <w:rPr>
                <w:noProof/>
                <w:sz w:val="18"/>
              </w:rPr>
              <w:t>48,000</w:t>
            </w:r>
          </w:p>
        </w:tc>
      </w:tr>
      <w:tr>
        <w:trPr>
          <w:gridAfter w:val="1"/>
          <w:wAfter w:w="12" w:type="dxa"/>
          <w:jc w:val="center"/>
        </w:trPr>
        <w:tc>
          <w:tcPr>
            <w:tcW w:w="13611" w:type="dxa"/>
            <w:gridSpan w:val="37"/>
            <w:tcBorders>
              <w:bottom w:val="single" w:sz="12" w:space="0" w:color="auto"/>
            </w:tcBorders>
            <w:vAlign w:val="center"/>
          </w:tcPr>
          <w:p>
            <w:pPr>
              <w:ind w:right="-29"/>
              <w:jc w:val="center"/>
              <w:rPr>
                <w:noProof/>
                <w:sz w:val="18"/>
              </w:rPr>
            </w:pPr>
            <w:r>
              <w:rPr>
                <w:noProof/>
                <w:sz w:val="18"/>
              </w:rPr>
              <w:t>SPECIFICKÝ CÍL č. 2 ECDC poskytne členským státům a Komisi odborné vědecké a technické posudky v oblasti plánování připravenosti a reakce, včetně vzdělávání</w:t>
            </w:r>
          </w:p>
          <w:p>
            <w:pPr>
              <w:ind w:right="-29"/>
              <w:jc w:val="center"/>
              <w:rPr>
                <w:noProof/>
                <w:sz w:val="18"/>
              </w:rPr>
            </w:pPr>
          </w:p>
        </w:tc>
      </w:tr>
      <w:tr>
        <w:trPr>
          <w:gridAfter w:val="1"/>
          <w:wAfter w:w="12" w:type="dxa"/>
          <w:jc w:val="center"/>
        </w:trPr>
        <w:tc>
          <w:tcPr>
            <w:tcW w:w="2685" w:type="dxa"/>
            <w:gridSpan w:val="3"/>
            <w:tcBorders>
              <w:bottom w:val="single" w:sz="12" w:space="0" w:color="auto"/>
            </w:tcBorders>
            <w:vAlign w:val="center"/>
          </w:tcPr>
          <w:p>
            <w:pPr>
              <w:ind w:right="-29"/>
              <w:jc w:val="center"/>
              <w:rPr>
                <w:noProof/>
                <w:sz w:val="18"/>
              </w:rPr>
            </w:pPr>
            <w:r>
              <w:rPr>
                <w:noProof/>
                <w:sz w:val="18"/>
              </w:rPr>
              <w:t>Výstup: vzdělávací programy pro odborníky, zejména v oblasti epidemiologického dozoru a vyšetřování v terénu, a schopnost určit zdravotní opatření pro kontrolu šíření nákazy.</w:t>
            </w:r>
          </w:p>
        </w:tc>
        <w:tc>
          <w:tcPr>
            <w:tcW w:w="663" w:type="dxa"/>
            <w:gridSpan w:val="2"/>
            <w:tcBorders>
              <w:bottom w:val="single" w:sz="12" w:space="0" w:color="auto"/>
            </w:tcBorders>
          </w:tcPr>
          <w:p>
            <w:pPr>
              <w:ind w:right="-29"/>
              <w:jc w:val="center"/>
              <w:rPr>
                <w:noProof/>
                <w:sz w:val="18"/>
              </w:rPr>
            </w:pPr>
          </w:p>
        </w:tc>
        <w:tc>
          <w:tcPr>
            <w:tcW w:w="720" w:type="dxa"/>
            <w:gridSpan w:val="2"/>
            <w:tcBorders>
              <w:bottom w:val="single" w:sz="12" w:space="0" w:color="auto"/>
            </w:tcBorders>
          </w:tcPr>
          <w:p>
            <w:pPr>
              <w:ind w:right="-29"/>
              <w:jc w:val="center"/>
              <w:rPr>
                <w:noProof/>
                <w:sz w:val="18"/>
              </w:rPr>
            </w:pPr>
            <w:r>
              <w:rPr>
                <w:noProof/>
                <w:sz w:val="18"/>
              </w:rPr>
              <w:t>0,100</w:t>
            </w:r>
          </w:p>
        </w:tc>
        <w:tc>
          <w:tcPr>
            <w:tcW w:w="540" w:type="dxa"/>
            <w:gridSpan w:val="2"/>
            <w:tcBorders>
              <w:bottom w:val="single" w:sz="12" w:space="0" w:color="auto"/>
            </w:tcBorders>
          </w:tcPr>
          <w:p>
            <w:pPr>
              <w:ind w:right="-29"/>
              <w:jc w:val="center"/>
              <w:rPr>
                <w:noProof/>
                <w:sz w:val="18"/>
              </w:rPr>
            </w:pPr>
          </w:p>
        </w:tc>
        <w:tc>
          <w:tcPr>
            <w:tcW w:w="720" w:type="dxa"/>
            <w:gridSpan w:val="2"/>
            <w:tcBorders>
              <w:bottom w:val="single" w:sz="12" w:space="0" w:color="auto"/>
            </w:tcBorders>
          </w:tcPr>
          <w:p>
            <w:pPr>
              <w:ind w:right="-29"/>
              <w:jc w:val="center"/>
              <w:rPr>
                <w:noProof/>
                <w:sz w:val="18"/>
              </w:rPr>
            </w:pPr>
            <w:r>
              <w:rPr>
                <w:noProof/>
                <w:sz w:val="18"/>
              </w:rPr>
              <w:t>0,100</w:t>
            </w:r>
          </w:p>
        </w:tc>
        <w:tc>
          <w:tcPr>
            <w:tcW w:w="720" w:type="dxa"/>
            <w:gridSpan w:val="2"/>
            <w:tcBorders>
              <w:bottom w:val="single" w:sz="12" w:space="0" w:color="auto"/>
            </w:tcBorders>
          </w:tcPr>
          <w:p>
            <w:pPr>
              <w:ind w:right="-29"/>
              <w:jc w:val="center"/>
              <w:rPr>
                <w:noProof/>
                <w:sz w:val="18"/>
              </w:rPr>
            </w:pPr>
          </w:p>
        </w:tc>
        <w:tc>
          <w:tcPr>
            <w:tcW w:w="720" w:type="dxa"/>
            <w:gridSpan w:val="2"/>
            <w:tcBorders>
              <w:bottom w:val="single" w:sz="12" w:space="0" w:color="auto"/>
            </w:tcBorders>
          </w:tcPr>
          <w:p>
            <w:pPr>
              <w:ind w:right="-29"/>
              <w:jc w:val="center"/>
              <w:rPr>
                <w:noProof/>
                <w:sz w:val="18"/>
              </w:rPr>
            </w:pPr>
            <w:r>
              <w:rPr>
                <w:noProof/>
                <w:sz w:val="18"/>
              </w:rPr>
              <w:t>0,100</w:t>
            </w:r>
          </w:p>
        </w:tc>
        <w:tc>
          <w:tcPr>
            <w:tcW w:w="900" w:type="dxa"/>
            <w:gridSpan w:val="2"/>
            <w:tcBorders>
              <w:bottom w:val="single" w:sz="12" w:space="0" w:color="auto"/>
            </w:tcBorders>
          </w:tcPr>
          <w:p>
            <w:pPr>
              <w:ind w:right="-29"/>
              <w:jc w:val="center"/>
              <w:rPr>
                <w:noProof/>
                <w:sz w:val="18"/>
              </w:rPr>
            </w:pPr>
          </w:p>
        </w:tc>
        <w:tc>
          <w:tcPr>
            <w:tcW w:w="720" w:type="dxa"/>
            <w:gridSpan w:val="3"/>
            <w:tcBorders>
              <w:bottom w:val="single" w:sz="12" w:space="0" w:color="auto"/>
            </w:tcBorders>
          </w:tcPr>
          <w:p>
            <w:pPr>
              <w:ind w:right="-29"/>
              <w:jc w:val="center"/>
              <w:rPr>
                <w:noProof/>
                <w:sz w:val="18"/>
              </w:rPr>
            </w:pPr>
            <w:r>
              <w:rPr>
                <w:noProof/>
                <w:sz w:val="18"/>
              </w:rPr>
              <w:t>0,100</w:t>
            </w:r>
          </w:p>
        </w:tc>
        <w:tc>
          <w:tcPr>
            <w:tcW w:w="540" w:type="dxa"/>
            <w:gridSpan w:val="2"/>
            <w:tcBorders>
              <w:bottom w:val="single" w:sz="12" w:space="0" w:color="auto"/>
            </w:tcBorders>
          </w:tcPr>
          <w:p>
            <w:pPr>
              <w:ind w:right="-29"/>
              <w:jc w:val="center"/>
              <w:rPr>
                <w:noProof/>
                <w:sz w:val="18"/>
              </w:rPr>
            </w:pPr>
          </w:p>
        </w:tc>
        <w:tc>
          <w:tcPr>
            <w:tcW w:w="648" w:type="dxa"/>
            <w:gridSpan w:val="2"/>
            <w:tcBorders>
              <w:bottom w:val="single" w:sz="12" w:space="0" w:color="auto"/>
            </w:tcBorders>
          </w:tcPr>
          <w:p>
            <w:pPr>
              <w:ind w:right="-29"/>
              <w:jc w:val="center"/>
              <w:rPr>
                <w:noProof/>
                <w:sz w:val="18"/>
              </w:rPr>
            </w:pPr>
            <w:r>
              <w:rPr>
                <w:noProof/>
                <w:sz w:val="18"/>
              </w:rPr>
              <w:t>0,100</w:t>
            </w:r>
          </w:p>
        </w:tc>
        <w:tc>
          <w:tcPr>
            <w:tcW w:w="432" w:type="dxa"/>
            <w:gridSpan w:val="2"/>
            <w:tcBorders>
              <w:bottom w:val="single" w:sz="12" w:space="0" w:color="auto"/>
            </w:tcBorders>
          </w:tcPr>
          <w:p>
            <w:pPr>
              <w:ind w:right="-29"/>
              <w:jc w:val="center"/>
              <w:rPr>
                <w:noProof/>
                <w:sz w:val="18"/>
              </w:rPr>
            </w:pPr>
          </w:p>
        </w:tc>
        <w:tc>
          <w:tcPr>
            <w:tcW w:w="720" w:type="dxa"/>
            <w:gridSpan w:val="2"/>
            <w:tcBorders>
              <w:bottom w:val="single" w:sz="12" w:space="0" w:color="auto"/>
            </w:tcBorders>
          </w:tcPr>
          <w:p>
            <w:pPr>
              <w:ind w:right="-29"/>
              <w:jc w:val="center"/>
              <w:rPr>
                <w:noProof/>
                <w:sz w:val="18"/>
              </w:rPr>
            </w:pPr>
            <w:r>
              <w:rPr>
                <w:noProof/>
                <w:sz w:val="18"/>
              </w:rPr>
              <w:t>0,100</w:t>
            </w:r>
          </w:p>
        </w:tc>
        <w:tc>
          <w:tcPr>
            <w:tcW w:w="540" w:type="dxa"/>
            <w:gridSpan w:val="3"/>
            <w:tcBorders>
              <w:bottom w:val="single" w:sz="12" w:space="0" w:color="auto"/>
            </w:tcBorders>
          </w:tcPr>
          <w:p>
            <w:pPr>
              <w:ind w:right="-29"/>
              <w:jc w:val="center"/>
              <w:rPr>
                <w:noProof/>
                <w:sz w:val="18"/>
              </w:rPr>
            </w:pPr>
          </w:p>
        </w:tc>
        <w:tc>
          <w:tcPr>
            <w:tcW w:w="723" w:type="dxa"/>
            <w:gridSpan w:val="2"/>
            <w:tcBorders>
              <w:bottom w:val="single" w:sz="12" w:space="0" w:color="auto"/>
            </w:tcBorders>
          </w:tcPr>
          <w:p>
            <w:pPr>
              <w:ind w:right="-29"/>
              <w:jc w:val="center"/>
              <w:rPr>
                <w:noProof/>
                <w:sz w:val="18"/>
              </w:rPr>
            </w:pPr>
            <w:r>
              <w:rPr>
                <w:noProof/>
                <w:sz w:val="18"/>
              </w:rPr>
              <w:t>0,100</w:t>
            </w:r>
          </w:p>
        </w:tc>
        <w:tc>
          <w:tcPr>
            <w:tcW w:w="720" w:type="dxa"/>
            <w:gridSpan w:val="2"/>
            <w:tcBorders>
              <w:bottom w:val="single" w:sz="12" w:space="0" w:color="auto"/>
            </w:tcBorders>
          </w:tcPr>
          <w:p>
            <w:pPr>
              <w:ind w:right="-29"/>
              <w:jc w:val="center"/>
              <w:rPr>
                <w:noProof/>
                <w:sz w:val="18"/>
              </w:rPr>
            </w:pPr>
          </w:p>
        </w:tc>
        <w:tc>
          <w:tcPr>
            <w:tcW w:w="900" w:type="dxa"/>
            <w:gridSpan w:val="2"/>
            <w:tcBorders>
              <w:bottom w:val="single" w:sz="12" w:space="0" w:color="auto"/>
            </w:tcBorders>
          </w:tcPr>
          <w:p>
            <w:pPr>
              <w:ind w:right="-29"/>
              <w:jc w:val="center"/>
              <w:rPr>
                <w:noProof/>
                <w:sz w:val="18"/>
              </w:rPr>
            </w:pPr>
            <w:r>
              <w:rPr>
                <w:noProof/>
                <w:sz w:val="18"/>
              </w:rPr>
              <w:t>0,700</w:t>
            </w:r>
          </w:p>
        </w:tc>
      </w:tr>
      <w:tr>
        <w:trPr>
          <w:gridAfter w:val="1"/>
          <w:wAfter w:w="12" w:type="dxa"/>
          <w:jc w:val="center"/>
        </w:trPr>
        <w:tc>
          <w:tcPr>
            <w:tcW w:w="2685" w:type="dxa"/>
            <w:gridSpan w:val="3"/>
            <w:tcBorders>
              <w:bottom w:val="single" w:sz="12" w:space="0" w:color="auto"/>
            </w:tcBorders>
            <w:vAlign w:val="center"/>
          </w:tcPr>
          <w:p>
            <w:pPr>
              <w:ind w:right="-29"/>
              <w:jc w:val="center"/>
              <w:rPr>
                <w:noProof/>
                <w:sz w:val="18"/>
              </w:rPr>
            </w:pPr>
            <w:r>
              <w:rPr>
                <w:noProof/>
                <w:sz w:val="18"/>
              </w:rPr>
              <w:t>Výstup: činnosti plánování připravenosti a reakce, včetně modelování, sledování a posuzování</w:t>
            </w:r>
          </w:p>
        </w:tc>
        <w:tc>
          <w:tcPr>
            <w:tcW w:w="663" w:type="dxa"/>
            <w:gridSpan w:val="2"/>
            <w:tcBorders>
              <w:bottom w:val="single" w:sz="12" w:space="0" w:color="auto"/>
            </w:tcBorders>
          </w:tcPr>
          <w:p>
            <w:pPr>
              <w:ind w:right="-29"/>
              <w:jc w:val="center"/>
              <w:rPr>
                <w:noProof/>
                <w:sz w:val="18"/>
              </w:rPr>
            </w:pPr>
          </w:p>
        </w:tc>
        <w:tc>
          <w:tcPr>
            <w:tcW w:w="720" w:type="dxa"/>
            <w:gridSpan w:val="2"/>
            <w:tcBorders>
              <w:bottom w:val="single" w:sz="12" w:space="0" w:color="auto"/>
            </w:tcBorders>
          </w:tcPr>
          <w:p>
            <w:pPr>
              <w:ind w:right="-29"/>
              <w:jc w:val="center"/>
              <w:rPr>
                <w:noProof/>
                <w:sz w:val="18"/>
              </w:rPr>
            </w:pPr>
            <w:r>
              <w:rPr>
                <w:noProof/>
                <w:sz w:val="18"/>
              </w:rPr>
              <w:t>1,000</w:t>
            </w:r>
          </w:p>
        </w:tc>
        <w:tc>
          <w:tcPr>
            <w:tcW w:w="540" w:type="dxa"/>
            <w:gridSpan w:val="2"/>
            <w:tcBorders>
              <w:bottom w:val="single" w:sz="12" w:space="0" w:color="auto"/>
            </w:tcBorders>
          </w:tcPr>
          <w:p>
            <w:pPr>
              <w:ind w:right="-29"/>
              <w:jc w:val="center"/>
              <w:rPr>
                <w:noProof/>
                <w:sz w:val="18"/>
              </w:rPr>
            </w:pPr>
          </w:p>
        </w:tc>
        <w:tc>
          <w:tcPr>
            <w:tcW w:w="720" w:type="dxa"/>
            <w:gridSpan w:val="2"/>
            <w:tcBorders>
              <w:bottom w:val="single" w:sz="12" w:space="0" w:color="auto"/>
            </w:tcBorders>
          </w:tcPr>
          <w:p>
            <w:pPr>
              <w:ind w:right="-29"/>
              <w:jc w:val="center"/>
              <w:rPr>
                <w:noProof/>
                <w:sz w:val="18"/>
              </w:rPr>
            </w:pPr>
            <w:r>
              <w:rPr>
                <w:noProof/>
                <w:sz w:val="18"/>
              </w:rPr>
              <w:t>1,000</w:t>
            </w:r>
          </w:p>
        </w:tc>
        <w:tc>
          <w:tcPr>
            <w:tcW w:w="720" w:type="dxa"/>
            <w:gridSpan w:val="2"/>
            <w:tcBorders>
              <w:bottom w:val="single" w:sz="12" w:space="0" w:color="auto"/>
            </w:tcBorders>
          </w:tcPr>
          <w:p>
            <w:pPr>
              <w:ind w:right="-29"/>
              <w:jc w:val="center"/>
              <w:rPr>
                <w:noProof/>
                <w:sz w:val="18"/>
              </w:rPr>
            </w:pPr>
          </w:p>
        </w:tc>
        <w:tc>
          <w:tcPr>
            <w:tcW w:w="720" w:type="dxa"/>
            <w:gridSpan w:val="2"/>
            <w:tcBorders>
              <w:bottom w:val="single" w:sz="12" w:space="0" w:color="auto"/>
            </w:tcBorders>
          </w:tcPr>
          <w:p>
            <w:pPr>
              <w:ind w:right="-29"/>
              <w:jc w:val="center"/>
              <w:rPr>
                <w:noProof/>
                <w:sz w:val="18"/>
              </w:rPr>
            </w:pPr>
            <w:r>
              <w:rPr>
                <w:noProof/>
                <w:sz w:val="18"/>
              </w:rPr>
              <w:t>1,000</w:t>
            </w:r>
          </w:p>
        </w:tc>
        <w:tc>
          <w:tcPr>
            <w:tcW w:w="900" w:type="dxa"/>
            <w:gridSpan w:val="2"/>
            <w:tcBorders>
              <w:bottom w:val="single" w:sz="12" w:space="0" w:color="auto"/>
            </w:tcBorders>
          </w:tcPr>
          <w:p>
            <w:pPr>
              <w:ind w:right="-29"/>
              <w:jc w:val="center"/>
              <w:rPr>
                <w:noProof/>
                <w:sz w:val="18"/>
              </w:rPr>
            </w:pPr>
          </w:p>
        </w:tc>
        <w:tc>
          <w:tcPr>
            <w:tcW w:w="720" w:type="dxa"/>
            <w:gridSpan w:val="3"/>
            <w:tcBorders>
              <w:bottom w:val="single" w:sz="12" w:space="0" w:color="auto"/>
            </w:tcBorders>
          </w:tcPr>
          <w:p>
            <w:pPr>
              <w:ind w:right="-29"/>
              <w:jc w:val="center"/>
              <w:rPr>
                <w:noProof/>
                <w:sz w:val="18"/>
              </w:rPr>
            </w:pPr>
            <w:r>
              <w:rPr>
                <w:noProof/>
                <w:sz w:val="18"/>
              </w:rPr>
              <w:t>1,000</w:t>
            </w:r>
          </w:p>
        </w:tc>
        <w:tc>
          <w:tcPr>
            <w:tcW w:w="540" w:type="dxa"/>
            <w:gridSpan w:val="2"/>
            <w:tcBorders>
              <w:bottom w:val="single" w:sz="12" w:space="0" w:color="auto"/>
            </w:tcBorders>
          </w:tcPr>
          <w:p>
            <w:pPr>
              <w:ind w:right="-29"/>
              <w:jc w:val="center"/>
              <w:rPr>
                <w:noProof/>
                <w:sz w:val="18"/>
              </w:rPr>
            </w:pPr>
          </w:p>
        </w:tc>
        <w:tc>
          <w:tcPr>
            <w:tcW w:w="648" w:type="dxa"/>
            <w:gridSpan w:val="2"/>
            <w:tcBorders>
              <w:bottom w:val="single" w:sz="12" w:space="0" w:color="auto"/>
            </w:tcBorders>
          </w:tcPr>
          <w:p>
            <w:pPr>
              <w:ind w:right="-29"/>
              <w:jc w:val="center"/>
              <w:rPr>
                <w:noProof/>
                <w:sz w:val="18"/>
              </w:rPr>
            </w:pPr>
            <w:r>
              <w:rPr>
                <w:noProof/>
                <w:sz w:val="18"/>
              </w:rPr>
              <w:t>1,000</w:t>
            </w:r>
          </w:p>
        </w:tc>
        <w:tc>
          <w:tcPr>
            <w:tcW w:w="432" w:type="dxa"/>
            <w:gridSpan w:val="2"/>
            <w:tcBorders>
              <w:bottom w:val="single" w:sz="12" w:space="0" w:color="auto"/>
            </w:tcBorders>
          </w:tcPr>
          <w:p>
            <w:pPr>
              <w:ind w:right="-29"/>
              <w:jc w:val="center"/>
              <w:rPr>
                <w:noProof/>
                <w:sz w:val="18"/>
              </w:rPr>
            </w:pPr>
          </w:p>
        </w:tc>
        <w:tc>
          <w:tcPr>
            <w:tcW w:w="720" w:type="dxa"/>
            <w:gridSpan w:val="2"/>
            <w:tcBorders>
              <w:bottom w:val="single" w:sz="12" w:space="0" w:color="auto"/>
            </w:tcBorders>
          </w:tcPr>
          <w:p>
            <w:pPr>
              <w:ind w:right="-29"/>
              <w:jc w:val="center"/>
              <w:rPr>
                <w:noProof/>
                <w:sz w:val="18"/>
              </w:rPr>
            </w:pPr>
            <w:r>
              <w:rPr>
                <w:noProof/>
                <w:sz w:val="18"/>
              </w:rPr>
              <w:t>1,000</w:t>
            </w:r>
          </w:p>
        </w:tc>
        <w:tc>
          <w:tcPr>
            <w:tcW w:w="540" w:type="dxa"/>
            <w:gridSpan w:val="3"/>
            <w:tcBorders>
              <w:bottom w:val="single" w:sz="12" w:space="0" w:color="auto"/>
            </w:tcBorders>
          </w:tcPr>
          <w:p>
            <w:pPr>
              <w:ind w:right="-29"/>
              <w:jc w:val="center"/>
              <w:rPr>
                <w:noProof/>
                <w:sz w:val="18"/>
              </w:rPr>
            </w:pPr>
          </w:p>
        </w:tc>
        <w:tc>
          <w:tcPr>
            <w:tcW w:w="723" w:type="dxa"/>
            <w:gridSpan w:val="2"/>
            <w:tcBorders>
              <w:bottom w:val="single" w:sz="12" w:space="0" w:color="auto"/>
            </w:tcBorders>
          </w:tcPr>
          <w:p>
            <w:pPr>
              <w:ind w:right="-29"/>
              <w:jc w:val="center"/>
              <w:rPr>
                <w:noProof/>
                <w:sz w:val="18"/>
              </w:rPr>
            </w:pPr>
            <w:r>
              <w:rPr>
                <w:noProof/>
                <w:sz w:val="18"/>
              </w:rPr>
              <w:t>1,000</w:t>
            </w:r>
          </w:p>
        </w:tc>
        <w:tc>
          <w:tcPr>
            <w:tcW w:w="720" w:type="dxa"/>
            <w:gridSpan w:val="2"/>
            <w:tcBorders>
              <w:bottom w:val="single" w:sz="12" w:space="0" w:color="auto"/>
            </w:tcBorders>
          </w:tcPr>
          <w:p>
            <w:pPr>
              <w:ind w:right="-29"/>
              <w:jc w:val="center"/>
              <w:rPr>
                <w:noProof/>
                <w:sz w:val="18"/>
              </w:rPr>
            </w:pPr>
          </w:p>
        </w:tc>
        <w:tc>
          <w:tcPr>
            <w:tcW w:w="900" w:type="dxa"/>
            <w:gridSpan w:val="2"/>
            <w:tcBorders>
              <w:bottom w:val="single" w:sz="12" w:space="0" w:color="auto"/>
            </w:tcBorders>
          </w:tcPr>
          <w:p>
            <w:pPr>
              <w:ind w:right="-29"/>
              <w:jc w:val="center"/>
              <w:rPr>
                <w:noProof/>
                <w:sz w:val="18"/>
              </w:rPr>
            </w:pPr>
            <w:r>
              <w:rPr>
                <w:noProof/>
                <w:sz w:val="18"/>
              </w:rPr>
              <w:t>7,000</w:t>
            </w:r>
          </w:p>
        </w:tc>
      </w:tr>
      <w:tr>
        <w:trPr>
          <w:gridAfter w:val="1"/>
          <w:wAfter w:w="12" w:type="dxa"/>
          <w:jc w:val="center"/>
        </w:trPr>
        <w:tc>
          <w:tcPr>
            <w:tcW w:w="2685" w:type="dxa"/>
            <w:gridSpan w:val="3"/>
            <w:tcBorders>
              <w:bottom w:val="single" w:sz="12" w:space="0" w:color="auto"/>
            </w:tcBorders>
            <w:vAlign w:val="center"/>
          </w:tcPr>
          <w:p>
            <w:pPr>
              <w:ind w:right="-29"/>
              <w:jc w:val="center"/>
              <w:rPr>
                <w:noProof/>
                <w:sz w:val="18"/>
              </w:rPr>
            </w:pPr>
            <w:r>
              <w:rPr>
                <w:noProof/>
                <w:sz w:val="18"/>
              </w:rPr>
              <w:t>Mezisoučet za specifický cíl č. 2</w:t>
            </w:r>
          </w:p>
        </w:tc>
        <w:tc>
          <w:tcPr>
            <w:tcW w:w="663" w:type="dxa"/>
            <w:gridSpan w:val="2"/>
            <w:tcBorders>
              <w:bottom w:val="single" w:sz="12" w:space="0" w:color="auto"/>
            </w:tcBorders>
          </w:tcPr>
          <w:p>
            <w:pPr>
              <w:ind w:right="-29"/>
              <w:jc w:val="center"/>
              <w:rPr>
                <w:noProof/>
                <w:sz w:val="18"/>
              </w:rPr>
            </w:pPr>
          </w:p>
        </w:tc>
        <w:tc>
          <w:tcPr>
            <w:tcW w:w="720" w:type="dxa"/>
            <w:gridSpan w:val="2"/>
            <w:tcBorders>
              <w:bottom w:val="single" w:sz="12" w:space="0" w:color="auto"/>
            </w:tcBorders>
          </w:tcPr>
          <w:p>
            <w:pPr>
              <w:ind w:right="-29"/>
              <w:jc w:val="center"/>
              <w:rPr>
                <w:noProof/>
                <w:sz w:val="18"/>
              </w:rPr>
            </w:pPr>
            <w:r>
              <w:rPr>
                <w:noProof/>
                <w:sz w:val="18"/>
              </w:rPr>
              <w:t>1,100</w:t>
            </w:r>
          </w:p>
        </w:tc>
        <w:tc>
          <w:tcPr>
            <w:tcW w:w="540" w:type="dxa"/>
            <w:gridSpan w:val="2"/>
            <w:tcBorders>
              <w:bottom w:val="single" w:sz="12" w:space="0" w:color="auto"/>
            </w:tcBorders>
          </w:tcPr>
          <w:p>
            <w:pPr>
              <w:ind w:right="-29"/>
              <w:jc w:val="center"/>
              <w:rPr>
                <w:noProof/>
                <w:sz w:val="18"/>
              </w:rPr>
            </w:pPr>
          </w:p>
        </w:tc>
        <w:tc>
          <w:tcPr>
            <w:tcW w:w="720" w:type="dxa"/>
            <w:gridSpan w:val="2"/>
            <w:tcBorders>
              <w:bottom w:val="single" w:sz="12" w:space="0" w:color="auto"/>
            </w:tcBorders>
          </w:tcPr>
          <w:p>
            <w:pPr>
              <w:ind w:right="-29"/>
              <w:jc w:val="center"/>
              <w:rPr>
                <w:noProof/>
                <w:sz w:val="18"/>
              </w:rPr>
            </w:pPr>
            <w:r>
              <w:rPr>
                <w:noProof/>
                <w:sz w:val="18"/>
              </w:rPr>
              <w:t>1,100</w:t>
            </w:r>
          </w:p>
        </w:tc>
        <w:tc>
          <w:tcPr>
            <w:tcW w:w="720" w:type="dxa"/>
            <w:gridSpan w:val="2"/>
            <w:tcBorders>
              <w:bottom w:val="single" w:sz="12" w:space="0" w:color="auto"/>
            </w:tcBorders>
          </w:tcPr>
          <w:p>
            <w:pPr>
              <w:ind w:right="-29"/>
              <w:jc w:val="center"/>
              <w:rPr>
                <w:noProof/>
                <w:sz w:val="18"/>
              </w:rPr>
            </w:pPr>
          </w:p>
        </w:tc>
        <w:tc>
          <w:tcPr>
            <w:tcW w:w="720" w:type="dxa"/>
            <w:gridSpan w:val="2"/>
            <w:tcBorders>
              <w:bottom w:val="single" w:sz="12" w:space="0" w:color="auto"/>
            </w:tcBorders>
          </w:tcPr>
          <w:p>
            <w:pPr>
              <w:ind w:right="-29"/>
              <w:jc w:val="center"/>
              <w:rPr>
                <w:noProof/>
                <w:sz w:val="18"/>
              </w:rPr>
            </w:pPr>
            <w:r>
              <w:rPr>
                <w:noProof/>
                <w:sz w:val="18"/>
              </w:rPr>
              <w:t>1,100</w:t>
            </w:r>
          </w:p>
        </w:tc>
        <w:tc>
          <w:tcPr>
            <w:tcW w:w="900" w:type="dxa"/>
            <w:gridSpan w:val="2"/>
            <w:tcBorders>
              <w:bottom w:val="single" w:sz="12" w:space="0" w:color="auto"/>
            </w:tcBorders>
          </w:tcPr>
          <w:p>
            <w:pPr>
              <w:ind w:right="-29"/>
              <w:jc w:val="center"/>
              <w:rPr>
                <w:noProof/>
                <w:sz w:val="18"/>
              </w:rPr>
            </w:pPr>
          </w:p>
        </w:tc>
        <w:tc>
          <w:tcPr>
            <w:tcW w:w="720" w:type="dxa"/>
            <w:gridSpan w:val="3"/>
            <w:tcBorders>
              <w:bottom w:val="single" w:sz="12" w:space="0" w:color="auto"/>
            </w:tcBorders>
          </w:tcPr>
          <w:p>
            <w:pPr>
              <w:ind w:right="-29"/>
              <w:jc w:val="center"/>
              <w:rPr>
                <w:noProof/>
                <w:sz w:val="18"/>
              </w:rPr>
            </w:pPr>
            <w:r>
              <w:rPr>
                <w:noProof/>
                <w:sz w:val="18"/>
              </w:rPr>
              <w:t>1,100</w:t>
            </w:r>
          </w:p>
        </w:tc>
        <w:tc>
          <w:tcPr>
            <w:tcW w:w="540" w:type="dxa"/>
            <w:gridSpan w:val="2"/>
            <w:tcBorders>
              <w:bottom w:val="single" w:sz="12" w:space="0" w:color="auto"/>
            </w:tcBorders>
          </w:tcPr>
          <w:p>
            <w:pPr>
              <w:ind w:right="-29"/>
              <w:jc w:val="center"/>
              <w:rPr>
                <w:noProof/>
                <w:sz w:val="18"/>
              </w:rPr>
            </w:pPr>
          </w:p>
        </w:tc>
        <w:tc>
          <w:tcPr>
            <w:tcW w:w="648" w:type="dxa"/>
            <w:gridSpan w:val="2"/>
            <w:tcBorders>
              <w:bottom w:val="single" w:sz="12" w:space="0" w:color="auto"/>
            </w:tcBorders>
          </w:tcPr>
          <w:p>
            <w:pPr>
              <w:ind w:right="-29"/>
              <w:jc w:val="center"/>
              <w:rPr>
                <w:noProof/>
                <w:sz w:val="18"/>
              </w:rPr>
            </w:pPr>
            <w:r>
              <w:rPr>
                <w:noProof/>
                <w:sz w:val="18"/>
              </w:rPr>
              <w:t>1,100</w:t>
            </w:r>
          </w:p>
        </w:tc>
        <w:tc>
          <w:tcPr>
            <w:tcW w:w="432" w:type="dxa"/>
            <w:gridSpan w:val="2"/>
            <w:tcBorders>
              <w:bottom w:val="single" w:sz="12" w:space="0" w:color="auto"/>
            </w:tcBorders>
          </w:tcPr>
          <w:p>
            <w:pPr>
              <w:ind w:right="-29"/>
              <w:jc w:val="center"/>
              <w:rPr>
                <w:noProof/>
                <w:sz w:val="18"/>
              </w:rPr>
            </w:pPr>
          </w:p>
        </w:tc>
        <w:tc>
          <w:tcPr>
            <w:tcW w:w="720" w:type="dxa"/>
            <w:gridSpan w:val="2"/>
            <w:tcBorders>
              <w:bottom w:val="single" w:sz="12" w:space="0" w:color="auto"/>
            </w:tcBorders>
          </w:tcPr>
          <w:p>
            <w:pPr>
              <w:ind w:right="-29"/>
              <w:jc w:val="center"/>
              <w:rPr>
                <w:noProof/>
                <w:sz w:val="18"/>
              </w:rPr>
            </w:pPr>
            <w:r>
              <w:rPr>
                <w:noProof/>
                <w:sz w:val="18"/>
              </w:rPr>
              <w:t>1,100</w:t>
            </w:r>
          </w:p>
        </w:tc>
        <w:tc>
          <w:tcPr>
            <w:tcW w:w="540" w:type="dxa"/>
            <w:gridSpan w:val="3"/>
            <w:tcBorders>
              <w:bottom w:val="single" w:sz="12" w:space="0" w:color="auto"/>
            </w:tcBorders>
          </w:tcPr>
          <w:p>
            <w:pPr>
              <w:ind w:right="-29"/>
              <w:jc w:val="center"/>
              <w:rPr>
                <w:noProof/>
                <w:sz w:val="18"/>
              </w:rPr>
            </w:pPr>
          </w:p>
        </w:tc>
        <w:tc>
          <w:tcPr>
            <w:tcW w:w="723" w:type="dxa"/>
            <w:gridSpan w:val="2"/>
            <w:tcBorders>
              <w:bottom w:val="single" w:sz="12" w:space="0" w:color="auto"/>
            </w:tcBorders>
          </w:tcPr>
          <w:p>
            <w:pPr>
              <w:ind w:right="-29"/>
              <w:jc w:val="center"/>
              <w:rPr>
                <w:noProof/>
                <w:sz w:val="18"/>
              </w:rPr>
            </w:pPr>
            <w:r>
              <w:rPr>
                <w:noProof/>
                <w:sz w:val="18"/>
              </w:rPr>
              <w:t>1,100</w:t>
            </w:r>
          </w:p>
        </w:tc>
        <w:tc>
          <w:tcPr>
            <w:tcW w:w="720" w:type="dxa"/>
            <w:gridSpan w:val="2"/>
            <w:tcBorders>
              <w:bottom w:val="single" w:sz="12" w:space="0" w:color="auto"/>
            </w:tcBorders>
          </w:tcPr>
          <w:p>
            <w:pPr>
              <w:ind w:right="-29"/>
              <w:jc w:val="center"/>
              <w:rPr>
                <w:noProof/>
                <w:sz w:val="18"/>
              </w:rPr>
            </w:pPr>
          </w:p>
        </w:tc>
        <w:tc>
          <w:tcPr>
            <w:tcW w:w="900" w:type="dxa"/>
            <w:gridSpan w:val="2"/>
            <w:tcBorders>
              <w:bottom w:val="single" w:sz="12" w:space="0" w:color="auto"/>
            </w:tcBorders>
          </w:tcPr>
          <w:p>
            <w:pPr>
              <w:ind w:right="-29"/>
              <w:jc w:val="center"/>
              <w:rPr>
                <w:noProof/>
                <w:sz w:val="18"/>
              </w:rPr>
            </w:pPr>
            <w:r>
              <w:rPr>
                <w:noProof/>
                <w:sz w:val="18"/>
              </w:rPr>
              <w:t>7,700</w:t>
            </w:r>
          </w:p>
        </w:tc>
      </w:tr>
      <w:tr>
        <w:trPr>
          <w:gridAfter w:val="1"/>
          <w:wAfter w:w="12" w:type="dxa"/>
          <w:jc w:val="center"/>
        </w:trPr>
        <w:tc>
          <w:tcPr>
            <w:tcW w:w="2685" w:type="dxa"/>
            <w:gridSpan w:val="3"/>
            <w:tcBorders>
              <w:bottom w:val="single" w:sz="12" w:space="0" w:color="auto"/>
            </w:tcBorders>
            <w:vAlign w:val="center"/>
          </w:tcPr>
          <w:p>
            <w:pPr>
              <w:ind w:right="-29"/>
              <w:jc w:val="center"/>
              <w:rPr>
                <w:noProof/>
                <w:sz w:val="18"/>
              </w:rPr>
            </w:pPr>
          </w:p>
        </w:tc>
        <w:tc>
          <w:tcPr>
            <w:tcW w:w="663" w:type="dxa"/>
            <w:gridSpan w:val="2"/>
            <w:tcBorders>
              <w:bottom w:val="single" w:sz="12" w:space="0" w:color="auto"/>
            </w:tcBorders>
          </w:tcPr>
          <w:p>
            <w:pPr>
              <w:ind w:right="-29"/>
              <w:jc w:val="center"/>
              <w:rPr>
                <w:noProof/>
                <w:sz w:val="18"/>
              </w:rPr>
            </w:pPr>
          </w:p>
        </w:tc>
        <w:tc>
          <w:tcPr>
            <w:tcW w:w="720" w:type="dxa"/>
            <w:gridSpan w:val="2"/>
            <w:tcBorders>
              <w:bottom w:val="single" w:sz="12" w:space="0" w:color="auto"/>
            </w:tcBorders>
          </w:tcPr>
          <w:p>
            <w:pPr>
              <w:ind w:right="-29"/>
              <w:jc w:val="center"/>
              <w:rPr>
                <w:noProof/>
                <w:sz w:val="18"/>
              </w:rPr>
            </w:pPr>
          </w:p>
        </w:tc>
        <w:tc>
          <w:tcPr>
            <w:tcW w:w="540" w:type="dxa"/>
            <w:gridSpan w:val="2"/>
            <w:tcBorders>
              <w:bottom w:val="single" w:sz="12" w:space="0" w:color="auto"/>
            </w:tcBorders>
          </w:tcPr>
          <w:p>
            <w:pPr>
              <w:ind w:right="-29"/>
              <w:jc w:val="center"/>
              <w:rPr>
                <w:noProof/>
                <w:sz w:val="18"/>
              </w:rPr>
            </w:pPr>
          </w:p>
        </w:tc>
        <w:tc>
          <w:tcPr>
            <w:tcW w:w="720" w:type="dxa"/>
            <w:gridSpan w:val="2"/>
            <w:tcBorders>
              <w:bottom w:val="single" w:sz="12" w:space="0" w:color="auto"/>
            </w:tcBorders>
          </w:tcPr>
          <w:p>
            <w:pPr>
              <w:ind w:right="-29"/>
              <w:jc w:val="center"/>
              <w:rPr>
                <w:noProof/>
                <w:sz w:val="18"/>
              </w:rPr>
            </w:pPr>
          </w:p>
        </w:tc>
        <w:tc>
          <w:tcPr>
            <w:tcW w:w="720" w:type="dxa"/>
            <w:gridSpan w:val="2"/>
            <w:tcBorders>
              <w:bottom w:val="single" w:sz="12" w:space="0" w:color="auto"/>
            </w:tcBorders>
          </w:tcPr>
          <w:p>
            <w:pPr>
              <w:ind w:right="-29"/>
              <w:jc w:val="center"/>
              <w:rPr>
                <w:noProof/>
                <w:sz w:val="18"/>
              </w:rPr>
            </w:pPr>
          </w:p>
        </w:tc>
        <w:tc>
          <w:tcPr>
            <w:tcW w:w="720" w:type="dxa"/>
            <w:gridSpan w:val="2"/>
            <w:tcBorders>
              <w:bottom w:val="single" w:sz="12" w:space="0" w:color="auto"/>
            </w:tcBorders>
          </w:tcPr>
          <w:p>
            <w:pPr>
              <w:ind w:right="-29"/>
              <w:jc w:val="center"/>
              <w:rPr>
                <w:noProof/>
                <w:sz w:val="18"/>
              </w:rPr>
            </w:pPr>
          </w:p>
        </w:tc>
        <w:tc>
          <w:tcPr>
            <w:tcW w:w="900" w:type="dxa"/>
            <w:gridSpan w:val="2"/>
            <w:tcBorders>
              <w:bottom w:val="single" w:sz="12" w:space="0" w:color="auto"/>
            </w:tcBorders>
          </w:tcPr>
          <w:p>
            <w:pPr>
              <w:ind w:right="-29"/>
              <w:jc w:val="center"/>
              <w:rPr>
                <w:noProof/>
                <w:sz w:val="18"/>
              </w:rPr>
            </w:pPr>
          </w:p>
        </w:tc>
        <w:tc>
          <w:tcPr>
            <w:tcW w:w="720" w:type="dxa"/>
            <w:gridSpan w:val="3"/>
            <w:tcBorders>
              <w:bottom w:val="single" w:sz="12" w:space="0" w:color="auto"/>
            </w:tcBorders>
          </w:tcPr>
          <w:p>
            <w:pPr>
              <w:ind w:right="-29"/>
              <w:jc w:val="center"/>
              <w:rPr>
                <w:noProof/>
                <w:sz w:val="18"/>
              </w:rPr>
            </w:pPr>
          </w:p>
        </w:tc>
        <w:tc>
          <w:tcPr>
            <w:tcW w:w="540" w:type="dxa"/>
            <w:gridSpan w:val="2"/>
            <w:tcBorders>
              <w:bottom w:val="single" w:sz="12" w:space="0" w:color="auto"/>
            </w:tcBorders>
          </w:tcPr>
          <w:p>
            <w:pPr>
              <w:ind w:right="-29"/>
              <w:jc w:val="center"/>
              <w:rPr>
                <w:noProof/>
                <w:sz w:val="18"/>
              </w:rPr>
            </w:pPr>
          </w:p>
        </w:tc>
        <w:tc>
          <w:tcPr>
            <w:tcW w:w="648" w:type="dxa"/>
            <w:gridSpan w:val="2"/>
            <w:tcBorders>
              <w:bottom w:val="single" w:sz="12" w:space="0" w:color="auto"/>
            </w:tcBorders>
          </w:tcPr>
          <w:p>
            <w:pPr>
              <w:ind w:right="-29"/>
              <w:jc w:val="center"/>
              <w:rPr>
                <w:noProof/>
                <w:sz w:val="18"/>
              </w:rPr>
            </w:pPr>
          </w:p>
        </w:tc>
        <w:tc>
          <w:tcPr>
            <w:tcW w:w="432" w:type="dxa"/>
            <w:gridSpan w:val="2"/>
            <w:tcBorders>
              <w:bottom w:val="single" w:sz="12" w:space="0" w:color="auto"/>
            </w:tcBorders>
          </w:tcPr>
          <w:p>
            <w:pPr>
              <w:ind w:right="-29"/>
              <w:jc w:val="center"/>
              <w:rPr>
                <w:noProof/>
                <w:sz w:val="18"/>
              </w:rPr>
            </w:pPr>
          </w:p>
        </w:tc>
        <w:tc>
          <w:tcPr>
            <w:tcW w:w="720" w:type="dxa"/>
            <w:gridSpan w:val="2"/>
            <w:tcBorders>
              <w:bottom w:val="single" w:sz="12" w:space="0" w:color="auto"/>
            </w:tcBorders>
          </w:tcPr>
          <w:p>
            <w:pPr>
              <w:ind w:right="-29"/>
              <w:jc w:val="center"/>
              <w:rPr>
                <w:noProof/>
                <w:sz w:val="18"/>
              </w:rPr>
            </w:pPr>
          </w:p>
        </w:tc>
        <w:tc>
          <w:tcPr>
            <w:tcW w:w="540" w:type="dxa"/>
            <w:gridSpan w:val="3"/>
            <w:tcBorders>
              <w:bottom w:val="single" w:sz="12" w:space="0" w:color="auto"/>
            </w:tcBorders>
          </w:tcPr>
          <w:p>
            <w:pPr>
              <w:ind w:right="-29"/>
              <w:jc w:val="center"/>
              <w:rPr>
                <w:noProof/>
                <w:sz w:val="18"/>
              </w:rPr>
            </w:pPr>
          </w:p>
        </w:tc>
        <w:tc>
          <w:tcPr>
            <w:tcW w:w="723" w:type="dxa"/>
            <w:gridSpan w:val="2"/>
            <w:tcBorders>
              <w:bottom w:val="single" w:sz="12" w:space="0" w:color="auto"/>
            </w:tcBorders>
          </w:tcPr>
          <w:p>
            <w:pPr>
              <w:ind w:right="-29"/>
              <w:jc w:val="center"/>
              <w:rPr>
                <w:noProof/>
                <w:sz w:val="18"/>
              </w:rPr>
            </w:pPr>
          </w:p>
        </w:tc>
        <w:tc>
          <w:tcPr>
            <w:tcW w:w="720" w:type="dxa"/>
            <w:gridSpan w:val="2"/>
            <w:tcBorders>
              <w:bottom w:val="single" w:sz="12" w:space="0" w:color="auto"/>
            </w:tcBorders>
          </w:tcPr>
          <w:p>
            <w:pPr>
              <w:ind w:right="-29"/>
              <w:jc w:val="center"/>
              <w:rPr>
                <w:noProof/>
                <w:sz w:val="18"/>
              </w:rPr>
            </w:pPr>
          </w:p>
        </w:tc>
        <w:tc>
          <w:tcPr>
            <w:tcW w:w="900" w:type="dxa"/>
            <w:gridSpan w:val="2"/>
            <w:tcBorders>
              <w:bottom w:val="single" w:sz="12" w:space="0" w:color="auto"/>
            </w:tcBorders>
          </w:tcPr>
          <w:p>
            <w:pPr>
              <w:ind w:right="-29"/>
              <w:jc w:val="center"/>
              <w:rPr>
                <w:noProof/>
                <w:sz w:val="18"/>
              </w:rPr>
            </w:pPr>
          </w:p>
        </w:tc>
      </w:tr>
      <w:tr>
        <w:trPr>
          <w:gridAfter w:val="1"/>
          <w:wAfter w:w="12" w:type="dxa"/>
          <w:jc w:val="center"/>
        </w:trPr>
        <w:tc>
          <w:tcPr>
            <w:tcW w:w="13611" w:type="dxa"/>
            <w:gridSpan w:val="37"/>
            <w:vAlign w:val="center"/>
          </w:tcPr>
          <w:p>
            <w:pPr>
              <w:spacing w:before="60" w:after="60"/>
              <w:ind w:right="-29"/>
              <w:jc w:val="center"/>
              <w:rPr>
                <w:noProof/>
                <w:sz w:val="18"/>
              </w:rPr>
            </w:pPr>
            <w:r>
              <w:rPr>
                <w:noProof/>
                <w:sz w:val="18"/>
              </w:rPr>
              <w:t>SPECIFICKÝ CÍL č. 3 provozovat specializované sítě v oblasti přenosných nemocí a látek lidského původu</w:t>
            </w:r>
          </w:p>
        </w:tc>
      </w:tr>
      <w:tr>
        <w:trPr>
          <w:gridAfter w:val="1"/>
          <w:wAfter w:w="12" w:type="dxa"/>
          <w:trHeight w:hRule="exact" w:val="1697"/>
          <w:jc w:val="center"/>
        </w:trPr>
        <w:tc>
          <w:tcPr>
            <w:tcW w:w="1696" w:type="dxa"/>
          </w:tcPr>
          <w:p>
            <w:pPr>
              <w:ind w:right="-29"/>
              <w:jc w:val="center"/>
              <w:rPr>
                <w:noProof/>
                <w:sz w:val="18"/>
              </w:rPr>
            </w:pPr>
            <w:r>
              <w:rPr>
                <w:noProof/>
                <w:sz w:val="18"/>
              </w:rPr>
              <w:t>– Výstup: nová síť pro transfuzi, transplantaci a lékařsky asistovanou reprodukci</w:t>
            </w:r>
          </w:p>
        </w:tc>
        <w:tc>
          <w:tcPr>
            <w:tcW w:w="447" w:type="dxa"/>
          </w:tcPr>
          <w:p>
            <w:pPr>
              <w:ind w:right="-29"/>
              <w:jc w:val="center"/>
              <w:rPr>
                <w:noProof/>
                <w:sz w:val="18"/>
              </w:rPr>
            </w:pPr>
          </w:p>
        </w:tc>
        <w:tc>
          <w:tcPr>
            <w:tcW w:w="542" w:type="dxa"/>
          </w:tcPr>
          <w:p>
            <w:pPr>
              <w:ind w:right="-29"/>
              <w:jc w:val="center"/>
              <w:rPr>
                <w:noProof/>
                <w:sz w:val="18"/>
              </w:rPr>
            </w:pPr>
          </w:p>
        </w:tc>
        <w:tc>
          <w:tcPr>
            <w:tcW w:w="663" w:type="dxa"/>
            <w:gridSpan w:val="2"/>
          </w:tcPr>
          <w:p>
            <w:pPr>
              <w:ind w:right="-29"/>
              <w:jc w:val="center"/>
              <w:rPr>
                <w:noProof/>
                <w:sz w:val="18"/>
              </w:rPr>
            </w:pPr>
          </w:p>
        </w:tc>
        <w:tc>
          <w:tcPr>
            <w:tcW w:w="720" w:type="dxa"/>
            <w:gridSpan w:val="2"/>
          </w:tcPr>
          <w:p>
            <w:pPr>
              <w:ind w:right="-29"/>
              <w:jc w:val="center"/>
              <w:rPr>
                <w:noProof/>
                <w:sz w:val="18"/>
              </w:rPr>
            </w:pPr>
            <w:r>
              <w:rPr>
                <w:noProof/>
                <w:sz w:val="18"/>
              </w:rPr>
              <w:t>0,300</w:t>
            </w:r>
          </w:p>
        </w:tc>
        <w:tc>
          <w:tcPr>
            <w:tcW w:w="540" w:type="dxa"/>
            <w:gridSpan w:val="2"/>
          </w:tcPr>
          <w:p>
            <w:pPr>
              <w:ind w:right="-29"/>
              <w:jc w:val="center"/>
              <w:rPr>
                <w:noProof/>
                <w:sz w:val="18"/>
              </w:rPr>
            </w:pPr>
          </w:p>
        </w:tc>
        <w:tc>
          <w:tcPr>
            <w:tcW w:w="720" w:type="dxa"/>
            <w:gridSpan w:val="2"/>
          </w:tcPr>
          <w:p>
            <w:pPr>
              <w:ind w:right="-29"/>
              <w:jc w:val="center"/>
              <w:rPr>
                <w:noProof/>
                <w:sz w:val="18"/>
              </w:rPr>
            </w:pPr>
            <w:r>
              <w:rPr>
                <w:noProof/>
                <w:sz w:val="18"/>
              </w:rPr>
              <w:t>0,300</w:t>
            </w:r>
          </w:p>
        </w:tc>
        <w:tc>
          <w:tcPr>
            <w:tcW w:w="720" w:type="dxa"/>
            <w:gridSpan w:val="2"/>
          </w:tcPr>
          <w:p>
            <w:pPr>
              <w:ind w:right="-29"/>
              <w:jc w:val="center"/>
              <w:rPr>
                <w:noProof/>
                <w:sz w:val="18"/>
              </w:rPr>
            </w:pPr>
          </w:p>
        </w:tc>
        <w:tc>
          <w:tcPr>
            <w:tcW w:w="720" w:type="dxa"/>
            <w:gridSpan w:val="2"/>
          </w:tcPr>
          <w:p>
            <w:pPr>
              <w:ind w:right="-29"/>
              <w:jc w:val="center"/>
              <w:rPr>
                <w:noProof/>
                <w:sz w:val="18"/>
              </w:rPr>
            </w:pPr>
            <w:r>
              <w:rPr>
                <w:noProof/>
                <w:sz w:val="18"/>
              </w:rPr>
              <w:t>0,300</w:t>
            </w:r>
          </w:p>
        </w:tc>
        <w:tc>
          <w:tcPr>
            <w:tcW w:w="900" w:type="dxa"/>
            <w:gridSpan w:val="2"/>
          </w:tcPr>
          <w:p>
            <w:pPr>
              <w:ind w:right="-29"/>
              <w:jc w:val="center"/>
              <w:rPr>
                <w:noProof/>
                <w:sz w:val="18"/>
              </w:rPr>
            </w:pPr>
          </w:p>
        </w:tc>
        <w:tc>
          <w:tcPr>
            <w:tcW w:w="720" w:type="dxa"/>
            <w:gridSpan w:val="3"/>
          </w:tcPr>
          <w:p>
            <w:pPr>
              <w:ind w:right="-29"/>
              <w:jc w:val="center"/>
              <w:rPr>
                <w:noProof/>
                <w:sz w:val="18"/>
              </w:rPr>
            </w:pPr>
            <w:r>
              <w:rPr>
                <w:noProof/>
                <w:sz w:val="18"/>
              </w:rPr>
              <w:t>0,300</w:t>
            </w:r>
          </w:p>
        </w:tc>
        <w:tc>
          <w:tcPr>
            <w:tcW w:w="540" w:type="dxa"/>
            <w:gridSpan w:val="2"/>
          </w:tcPr>
          <w:p>
            <w:pPr>
              <w:ind w:right="-29"/>
              <w:jc w:val="center"/>
              <w:rPr>
                <w:noProof/>
                <w:sz w:val="18"/>
              </w:rPr>
            </w:pPr>
          </w:p>
        </w:tc>
        <w:tc>
          <w:tcPr>
            <w:tcW w:w="648" w:type="dxa"/>
            <w:gridSpan w:val="2"/>
          </w:tcPr>
          <w:p>
            <w:pPr>
              <w:ind w:right="-29"/>
              <w:jc w:val="center"/>
              <w:rPr>
                <w:noProof/>
                <w:sz w:val="18"/>
              </w:rPr>
            </w:pPr>
            <w:r>
              <w:rPr>
                <w:noProof/>
                <w:sz w:val="18"/>
              </w:rPr>
              <w:t>0,300</w:t>
            </w:r>
          </w:p>
        </w:tc>
        <w:tc>
          <w:tcPr>
            <w:tcW w:w="432" w:type="dxa"/>
            <w:gridSpan w:val="2"/>
          </w:tcPr>
          <w:p>
            <w:pPr>
              <w:ind w:right="-29"/>
              <w:jc w:val="center"/>
              <w:rPr>
                <w:noProof/>
                <w:sz w:val="18"/>
              </w:rPr>
            </w:pPr>
          </w:p>
        </w:tc>
        <w:tc>
          <w:tcPr>
            <w:tcW w:w="720" w:type="dxa"/>
            <w:gridSpan w:val="2"/>
          </w:tcPr>
          <w:p>
            <w:pPr>
              <w:ind w:right="-29"/>
              <w:jc w:val="center"/>
              <w:rPr>
                <w:noProof/>
                <w:sz w:val="18"/>
              </w:rPr>
            </w:pPr>
            <w:r>
              <w:rPr>
                <w:noProof/>
                <w:sz w:val="18"/>
              </w:rPr>
              <w:t>0,300</w:t>
            </w:r>
          </w:p>
        </w:tc>
        <w:tc>
          <w:tcPr>
            <w:tcW w:w="540" w:type="dxa"/>
            <w:gridSpan w:val="3"/>
          </w:tcPr>
          <w:p>
            <w:pPr>
              <w:ind w:right="-29"/>
              <w:jc w:val="center"/>
              <w:rPr>
                <w:noProof/>
                <w:sz w:val="18"/>
              </w:rPr>
            </w:pPr>
          </w:p>
        </w:tc>
        <w:tc>
          <w:tcPr>
            <w:tcW w:w="723" w:type="dxa"/>
            <w:gridSpan w:val="2"/>
          </w:tcPr>
          <w:p>
            <w:pPr>
              <w:ind w:right="-29"/>
              <w:jc w:val="center"/>
              <w:rPr>
                <w:noProof/>
                <w:sz w:val="18"/>
              </w:rPr>
            </w:pPr>
            <w:r>
              <w:rPr>
                <w:noProof/>
                <w:sz w:val="18"/>
              </w:rPr>
              <w:t>0,300</w:t>
            </w:r>
          </w:p>
        </w:tc>
        <w:tc>
          <w:tcPr>
            <w:tcW w:w="720" w:type="dxa"/>
            <w:gridSpan w:val="2"/>
          </w:tcPr>
          <w:p>
            <w:pPr>
              <w:ind w:right="-29"/>
              <w:jc w:val="center"/>
              <w:rPr>
                <w:noProof/>
                <w:sz w:val="18"/>
              </w:rPr>
            </w:pPr>
          </w:p>
        </w:tc>
        <w:tc>
          <w:tcPr>
            <w:tcW w:w="900" w:type="dxa"/>
            <w:gridSpan w:val="2"/>
          </w:tcPr>
          <w:p>
            <w:pPr>
              <w:ind w:right="-29"/>
              <w:jc w:val="center"/>
              <w:rPr>
                <w:noProof/>
                <w:sz w:val="18"/>
              </w:rPr>
            </w:pPr>
            <w:r>
              <w:rPr>
                <w:noProof/>
                <w:sz w:val="18"/>
              </w:rPr>
              <w:t>2,100</w:t>
            </w:r>
          </w:p>
        </w:tc>
      </w:tr>
      <w:tr>
        <w:trPr>
          <w:gridAfter w:val="1"/>
          <w:wAfter w:w="12" w:type="dxa"/>
          <w:trHeight w:hRule="exact" w:val="1967"/>
          <w:jc w:val="center"/>
        </w:trPr>
        <w:tc>
          <w:tcPr>
            <w:tcW w:w="1696" w:type="dxa"/>
          </w:tcPr>
          <w:p>
            <w:pPr>
              <w:ind w:right="-29"/>
              <w:jc w:val="center"/>
              <w:rPr>
                <w:noProof/>
                <w:sz w:val="18"/>
              </w:rPr>
            </w:pPr>
            <w:r>
              <w:rPr>
                <w:noProof/>
                <w:sz w:val="18"/>
              </w:rPr>
              <w:t xml:space="preserve">– Výstup: posílit síť laboratoří v souladu se sdělením EK C(2020) 2391 „Pokyny k diagnostickým testům </w:t>
            </w:r>
            <w:r>
              <w:rPr>
                <w:i/>
                <w:iCs/>
                <w:noProof/>
                <w:sz w:val="18"/>
              </w:rPr>
              <w:t>in vitro</w:t>
            </w:r>
            <w:r>
              <w:rPr>
                <w:noProof/>
                <w:sz w:val="18"/>
              </w:rPr>
              <w:t xml:space="preserve"> na COVID-19 a jejich funkční způsobilosti“</w:t>
            </w:r>
          </w:p>
        </w:tc>
        <w:tc>
          <w:tcPr>
            <w:tcW w:w="447" w:type="dxa"/>
          </w:tcPr>
          <w:p>
            <w:pPr>
              <w:ind w:right="-29"/>
              <w:jc w:val="center"/>
              <w:rPr>
                <w:noProof/>
                <w:sz w:val="18"/>
              </w:rPr>
            </w:pPr>
          </w:p>
        </w:tc>
        <w:tc>
          <w:tcPr>
            <w:tcW w:w="542" w:type="dxa"/>
          </w:tcPr>
          <w:p>
            <w:pPr>
              <w:ind w:right="-29"/>
              <w:jc w:val="center"/>
              <w:rPr>
                <w:noProof/>
                <w:sz w:val="18"/>
              </w:rPr>
            </w:pPr>
          </w:p>
        </w:tc>
        <w:tc>
          <w:tcPr>
            <w:tcW w:w="663" w:type="dxa"/>
            <w:gridSpan w:val="2"/>
          </w:tcPr>
          <w:p>
            <w:pPr>
              <w:ind w:right="-29"/>
              <w:jc w:val="center"/>
              <w:rPr>
                <w:noProof/>
                <w:sz w:val="18"/>
              </w:rPr>
            </w:pPr>
          </w:p>
        </w:tc>
        <w:tc>
          <w:tcPr>
            <w:tcW w:w="720" w:type="dxa"/>
            <w:gridSpan w:val="2"/>
          </w:tcPr>
          <w:p>
            <w:pPr>
              <w:ind w:right="-29"/>
              <w:jc w:val="center"/>
              <w:rPr>
                <w:noProof/>
                <w:sz w:val="18"/>
              </w:rPr>
            </w:pPr>
            <w:r>
              <w:rPr>
                <w:noProof/>
                <w:sz w:val="18"/>
              </w:rPr>
              <w:t>0,200</w:t>
            </w:r>
          </w:p>
        </w:tc>
        <w:tc>
          <w:tcPr>
            <w:tcW w:w="540" w:type="dxa"/>
            <w:gridSpan w:val="2"/>
          </w:tcPr>
          <w:p>
            <w:pPr>
              <w:ind w:right="-29"/>
              <w:jc w:val="center"/>
              <w:rPr>
                <w:noProof/>
                <w:sz w:val="18"/>
              </w:rPr>
            </w:pPr>
          </w:p>
        </w:tc>
        <w:tc>
          <w:tcPr>
            <w:tcW w:w="720" w:type="dxa"/>
            <w:gridSpan w:val="2"/>
          </w:tcPr>
          <w:p>
            <w:pPr>
              <w:ind w:right="-29"/>
              <w:jc w:val="center"/>
              <w:rPr>
                <w:noProof/>
                <w:sz w:val="18"/>
              </w:rPr>
            </w:pPr>
            <w:r>
              <w:rPr>
                <w:noProof/>
                <w:sz w:val="18"/>
              </w:rPr>
              <w:t>0,200</w:t>
            </w:r>
          </w:p>
        </w:tc>
        <w:tc>
          <w:tcPr>
            <w:tcW w:w="720" w:type="dxa"/>
            <w:gridSpan w:val="2"/>
          </w:tcPr>
          <w:p>
            <w:pPr>
              <w:ind w:right="-29"/>
              <w:jc w:val="center"/>
              <w:rPr>
                <w:noProof/>
                <w:sz w:val="18"/>
              </w:rPr>
            </w:pPr>
          </w:p>
        </w:tc>
        <w:tc>
          <w:tcPr>
            <w:tcW w:w="720" w:type="dxa"/>
            <w:gridSpan w:val="2"/>
          </w:tcPr>
          <w:p>
            <w:pPr>
              <w:ind w:right="-29"/>
              <w:jc w:val="center"/>
              <w:rPr>
                <w:noProof/>
                <w:sz w:val="18"/>
              </w:rPr>
            </w:pPr>
            <w:r>
              <w:rPr>
                <w:noProof/>
                <w:sz w:val="18"/>
              </w:rPr>
              <w:t>0,200</w:t>
            </w:r>
          </w:p>
        </w:tc>
        <w:tc>
          <w:tcPr>
            <w:tcW w:w="900" w:type="dxa"/>
            <w:gridSpan w:val="2"/>
          </w:tcPr>
          <w:p>
            <w:pPr>
              <w:ind w:right="-29"/>
              <w:jc w:val="center"/>
              <w:rPr>
                <w:noProof/>
                <w:sz w:val="18"/>
              </w:rPr>
            </w:pPr>
          </w:p>
        </w:tc>
        <w:tc>
          <w:tcPr>
            <w:tcW w:w="720" w:type="dxa"/>
            <w:gridSpan w:val="3"/>
          </w:tcPr>
          <w:p>
            <w:pPr>
              <w:ind w:right="-29"/>
              <w:jc w:val="center"/>
              <w:rPr>
                <w:noProof/>
                <w:sz w:val="18"/>
              </w:rPr>
            </w:pPr>
            <w:r>
              <w:rPr>
                <w:noProof/>
                <w:sz w:val="18"/>
              </w:rPr>
              <w:t>0,200</w:t>
            </w:r>
          </w:p>
        </w:tc>
        <w:tc>
          <w:tcPr>
            <w:tcW w:w="540" w:type="dxa"/>
            <w:gridSpan w:val="2"/>
          </w:tcPr>
          <w:p>
            <w:pPr>
              <w:ind w:right="-29"/>
              <w:jc w:val="center"/>
              <w:rPr>
                <w:noProof/>
                <w:sz w:val="18"/>
              </w:rPr>
            </w:pPr>
          </w:p>
        </w:tc>
        <w:tc>
          <w:tcPr>
            <w:tcW w:w="648" w:type="dxa"/>
            <w:gridSpan w:val="2"/>
          </w:tcPr>
          <w:p>
            <w:pPr>
              <w:ind w:right="-29"/>
              <w:jc w:val="center"/>
              <w:rPr>
                <w:noProof/>
                <w:sz w:val="18"/>
              </w:rPr>
            </w:pPr>
            <w:r>
              <w:rPr>
                <w:noProof/>
                <w:sz w:val="18"/>
              </w:rPr>
              <w:t>0,200</w:t>
            </w:r>
          </w:p>
        </w:tc>
        <w:tc>
          <w:tcPr>
            <w:tcW w:w="432" w:type="dxa"/>
            <w:gridSpan w:val="2"/>
          </w:tcPr>
          <w:p>
            <w:pPr>
              <w:ind w:right="-29"/>
              <w:jc w:val="center"/>
              <w:rPr>
                <w:noProof/>
                <w:sz w:val="18"/>
              </w:rPr>
            </w:pPr>
          </w:p>
        </w:tc>
        <w:tc>
          <w:tcPr>
            <w:tcW w:w="720" w:type="dxa"/>
            <w:gridSpan w:val="2"/>
          </w:tcPr>
          <w:p>
            <w:pPr>
              <w:ind w:right="-29"/>
              <w:jc w:val="center"/>
              <w:rPr>
                <w:noProof/>
                <w:sz w:val="18"/>
              </w:rPr>
            </w:pPr>
            <w:r>
              <w:rPr>
                <w:noProof/>
                <w:sz w:val="18"/>
              </w:rPr>
              <w:t>0,200</w:t>
            </w:r>
          </w:p>
        </w:tc>
        <w:tc>
          <w:tcPr>
            <w:tcW w:w="540" w:type="dxa"/>
            <w:gridSpan w:val="3"/>
          </w:tcPr>
          <w:p>
            <w:pPr>
              <w:ind w:right="-29"/>
              <w:jc w:val="center"/>
              <w:rPr>
                <w:noProof/>
                <w:sz w:val="18"/>
              </w:rPr>
            </w:pPr>
          </w:p>
        </w:tc>
        <w:tc>
          <w:tcPr>
            <w:tcW w:w="723" w:type="dxa"/>
            <w:gridSpan w:val="2"/>
          </w:tcPr>
          <w:p>
            <w:pPr>
              <w:ind w:right="-29"/>
              <w:jc w:val="center"/>
              <w:rPr>
                <w:noProof/>
                <w:sz w:val="18"/>
              </w:rPr>
            </w:pPr>
            <w:r>
              <w:rPr>
                <w:noProof/>
                <w:sz w:val="18"/>
              </w:rPr>
              <w:t>0,200</w:t>
            </w:r>
          </w:p>
        </w:tc>
        <w:tc>
          <w:tcPr>
            <w:tcW w:w="720" w:type="dxa"/>
            <w:gridSpan w:val="2"/>
          </w:tcPr>
          <w:p>
            <w:pPr>
              <w:ind w:right="-29"/>
              <w:jc w:val="center"/>
              <w:rPr>
                <w:noProof/>
                <w:sz w:val="18"/>
              </w:rPr>
            </w:pPr>
          </w:p>
        </w:tc>
        <w:tc>
          <w:tcPr>
            <w:tcW w:w="900" w:type="dxa"/>
            <w:gridSpan w:val="2"/>
          </w:tcPr>
          <w:p>
            <w:pPr>
              <w:ind w:right="-29"/>
              <w:jc w:val="center"/>
              <w:rPr>
                <w:noProof/>
                <w:sz w:val="18"/>
              </w:rPr>
            </w:pPr>
            <w:r>
              <w:rPr>
                <w:noProof/>
                <w:sz w:val="18"/>
              </w:rPr>
              <w:t>1,400</w:t>
            </w:r>
          </w:p>
        </w:tc>
      </w:tr>
      <w:tr>
        <w:trPr>
          <w:gridAfter w:val="1"/>
          <w:wAfter w:w="12" w:type="dxa"/>
          <w:jc w:val="center"/>
        </w:trPr>
        <w:tc>
          <w:tcPr>
            <w:tcW w:w="2685" w:type="dxa"/>
            <w:gridSpan w:val="3"/>
            <w:tcBorders>
              <w:bottom w:val="single" w:sz="12" w:space="0" w:color="auto"/>
            </w:tcBorders>
            <w:vAlign w:val="center"/>
          </w:tcPr>
          <w:p>
            <w:pPr>
              <w:jc w:val="center"/>
              <w:rPr>
                <w:noProof/>
                <w:sz w:val="18"/>
              </w:rPr>
            </w:pPr>
            <w:r>
              <w:rPr>
                <w:noProof/>
                <w:sz w:val="18"/>
              </w:rPr>
              <w:t>Mezisoučet za specifický cíl č. 3</w:t>
            </w:r>
          </w:p>
        </w:tc>
        <w:tc>
          <w:tcPr>
            <w:tcW w:w="663" w:type="dxa"/>
            <w:gridSpan w:val="2"/>
            <w:tcBorders>
              <w:bottom w:val="single" w:sz="12" w:space="0" w:color="auto"/>
            </w:tcBorders>
          </w:tcPr>
          <w:p>
            <w:pPr>
              <w:ind w:right="-29"/>
              <w:jc w:val="center"/>
              <w:rPr>
                <w:noProof/>
                <w:sz w:val="18"/>
              </w:rPr>
            </w:pPr>
          </w:p>
        </w:tc>
        <w:tc>
          <w:tcPr>
            <w:tcW w:w="720" w:type="dxa"/>
            <w:gridSpan w:val="2"/>
            <w:tcBorders>
              <w:bottom w:val="single" w:sz="12" w:space="0" w:color="auto"/>
            </w:tcBorders>
          </w:tcPr>
          <w:p>
            <w:pPr>
              <w:ind w:right="-29"/>
              <w:jc w:val="center"/>
              <w:rPr>
                <w:noProof/>
                <w:sz w:val="18"/>
              </w:rPr>
            </w:pPr>
            <w:r>
              <w:rPr>
                <w:noProof/>
                <w:sz w:val="18"/>
              </w:rPr>
              <w:t>0,500</w:t>
            </w:r>
          </w:p>
        </w:tc>
        <w:tc>
          <w:tcPr>
            <w:tcW w:w="540" w:type="dxa"/>
            <w:gridSpan w:val="2"/>
            <w:tcBorders>
              <w:bottom w:val="single" w:sz="12" w:space="0" w:color="auto"/>
            </w:tcBorders>
          </w:tcPr>
          <w:p>
            <w:pPr>
              <w:ind w:right="-29"/>
              <w:jc w:val="center"/>
              <w:rPr>
                <w:noProof/>
                <w:sz w:val="18"/>
              </w:rPr>
            </w:pPr>
          </w:p>
        </w:tc>
        <w:tc>
          <w:tcPr>
            <w:tcW w:w="720" w:type="dxa"/>
            <w:gridSpan w:val="2"/>
            <w:tcBorders>
              <w:bottom w:val="single" w:sz="12" w:space="0" w:color="auto"/>
            </w:tcBorders>
          </w:tcPr>
          <w:p>
            <w:pPr>
              <w:ind w:right="-29"/>
              <w:jc w:val="center"/>
              <w:rPr>
                <w:noProof/>
                <w:sz w:val="18"/>
              </w:rPr>
            </w:pPr>
            <w:r>
              <w:rPr>
                <w:noProof/>
                <w:sz w:val="18"/>
              </w:rPr>
              <w:t>0,500</w:t>
            </w:r>
          </w:p>
        </w:tc>
        <w:tc>
          <w:tcPr>
            <w:tcW w:w="720" w:type="dxa"/>
            <w:gridSpan w:val="2"/>
            <w:tcBorders>
              <w:bottom w:val="single" w:sz="12" w:space="0" w:color="auto"/>
            </w:tcBorders>
          </w:tcPr>
          <w:p>
            <w:pPr>
              <w:ind w:right="-29"/>
              <w:jc w:val="center"/>
              <w:rPr>
                <w:noProof/>
                <w:sz w:val="18"/>
              </w:rPr>
            </w:pPr>
          </w:p>
        </w:tc>
        <w:tc>
          <w:tcPr>
            <w:tcW w:w="720" w:type="dxa"/>
            <w:gridSpan w:val="2"/>
            <w:tcBorders>
              <w:bottom w:val="single" w:sz="12" w:space="0" w:color="auto"/>
            </w:tcBorders>
          </w:tcPr>
          <w:p>
            <w:pPr>
              <w:ind w:right="-29"/>
              <w:jc w:val="center"/>
              <w:rPr>
                <w:noProof/>
                <w:sz w:val="18"/>
              </w:rPr>
            </w:pPr>
            <w:r>
              <w:rPr>
                <w:noProof/>
                <w:sz w:val="18"/>
              </w:rPr>
              <w:t>0,500</w:t>
            </w:r>
          </w:p>
        </w:tc>
        <w:tc>
          <w:tcPr>
            <w:tcW w:w="951" w:type="dxa"/>
            <w:gridSpan w:val="3"/>
            <w:tcBorders>
              <w:bottom w:val="single" w:sz="12" w:space="0" w:color="auto"/>
            </w:tcBorders>
          </w:tcPr>
          <w:p>
            <w:pPr>
              <w:ind w:right="-29"/>
              <w:jc w:val="center"/>
              <w:rPr>
                <w:noProof/>
                <w:sz w:val="18"/>
              </w:rPr>
            </w:pPr>
          </w:p>
        </w:tc>
        <w:tc>
          <w:tcPr>
            <w:tcW w:w="669" w:type="dxa"/>
            <w:gridSpan w:val="2"/>
            <w:tcBorders>
              <w:bottom w:val="single" w:sz="12" w:space="0" w:color="auto"/>
            </w:tcBorders>
          </w:tcPr>
          <w:p>
            <w:pPr>
              <w:ind w:right="-29"/>
              <w:jc w:val="center"/>
              <w:rPr>
                <w:noProof/>
                <w:sz w:val="18"/>
              </w:rPr>
            </w:pPr>
            <w:r>
              <w:rPr>
                <w:noProof/>
                <w:sz w:val="18"/>
              </w:rPr>
              <w:t>0,500</w:t>
            </w:r>
          </w:p>
        </w:tc>
        <w:tc>
          <w:tcPr>
            <w:tcW w:w="540" w:type="dxa"/>
            <w:gridSpan w:val="2"/>
            <w:tcBorders>
              <w:bottom w:val="single" w:sz="12" w:space="0" w:color="auto"/>
            </w:tcBorders>
          </w:tcPr>
          <w:p>
            <w:pPr>
              <w:ind w:right="-29"/>
              <w:jc w:val="center"/>
              <w:rPr>
                <w:noProof/>
                <w:sz w:val="18"/>
              </w:rPr>
            </w:pPr>
          </w:p>
        </w:tc>
        <w:tc>
          <w:tcPr>
            <w:tcW w:w="648" w:type="dxa"/>
            <w:gridSpan w:val="2"/>
            <w:tcBorders>
              <w:bottom w:val="single" w:sz="12" w:space="0" w:color="auto"/>
            </w:tcBorders>
          </w:tcPr>
          <w:p>
            <w:pPr>
              <w:ind w:right="-29"/>
              <w:jc w:val="center"/>
              <w:rPr>
                <w:noProof/>
                <w:sz w:val="18"/>
              </w:rPr>
            </w:pPr>
            <w:r>
              <w:rPr>
                <w:noProof/>
                <w:sz w:val="18"/>
              </w:rPr>
              <w:t>0,500</w:t>
            </w:r>
          </w:p>
        </w:tc>
        <w:tc>
          <w:tcPr>
            <w:tcW w:w="432" w:type="dxa"/>
            <w:gridSpan w:val="2"/>
            <w:tcBorders>
              <w:bottom w:val="single" w:sz="12" w:space="0" w:color="auto"/>
            </w:tcBorders>
          </w:tcPr>
          <w:p>
            <w:pPr>
              <w:ind w:right="-29"/>
              <w:jc w:val="center"/>
              <w:rPr>
                <w:noProof/>
                <w:sz w:val="18"/>
              </w:rPr>
            </w:pPr>
          </w:p>
        </w:tc>
        <w:tc>
          <w:tcPr>
            <w:tcW w:w="720" w:type="dxa"/>
            <w:gridSpan w:val="2"/>
            <w:tcBorders>
              <w:bottom w:val="single" w:sz="12" w:space="0" w:color="auto"/>
            </w:tcBorders>
          </w:tcPr>
          <w:p>
            <w:pPr>
              <w:ind w:right="-29"/>
              <w:jc w:val="center"/>
              <w:rPr>
                <w:noProof/>
                <w:sz w:val="18"/>
              </w:rPr>
            </w:pPr>
            <w:r>
              <w:rPr>
                <w:noProof/>
                <w:sz w:val="18"/>
              </w:rPr>
              <w:t>0,500</w:t>
            </w:r>
          </w:p>
        </w:tc>
        <w:tc>
          <w:tcPr>
            <w:tcW w:w="540" w:type="dxa"/>
            <w:gridSpan w:val="3"/>
            <w:tcBorders>
              <w:bottom w:val="single" w:sz="12" w:space="0" w:color="auto"/>
            </w:tcBorders>
          </w:tcPr>
          <w:p>
            <w:pPr>
              <w:ind w:right="-29"/>
              <w:jc w:val="center"/>
              <w:rPr>
                <w:noProof/>
                <w:sz w:val="18"/>
              </w:rPr>
            </w:pPr>
          </w:p>
        </w:tc>
        <w:tc>
          <w:tcPr>
            <w:tcW w:w="723" w:type="dxa"/>
            <w:gridSpan w:val="2"/>
            <w:tcBorders>
              <w:bottom w:val="single" w:sz="12" w:space="0" w:color="auto"/>
            </w:tcBorders>
          </w:tcPr>
          <w:p>
            <w:pPr>
              <w:ind w:right="-29"/>
              <w:jc w:val="center"/>
              <w:rPr>
                <w:noProof/>
                <w:sz w:val="18"/>
              </w:rPr>
            </w:pPr>
            <w:r>
              <w:rPr>
                <w:noProof/>
                <w:sz w:val="18"/>
              </w:rPr>
              <w:t>0,500</w:t>
            </w:r>
          </w:p>
        </w:tc>
        <w:tc>
          <w:tcPr>
            <w:tcW w:w="720" w:type="dxa"/>
            <w:gridSpan w:val="2"/>
            <w:tcBorders>
              <w:bottom w:val="single" w:sz="12" w:space="0" w:color="auto"/>
            </w:tcBorders>
          </w:tcPr>
          <w:p>
            <w:pPr>
              <w:ind w:right="-29"/>
              <w:jc w:val="center"/>
              <w:rPr>
                <w:noProof/>
                <w:sz w:val="18"/>
              </w:rPr>
            </w:pPr>
          </w:p>
        </w:tc>
        <w:tc>
          <w:tcPr>
            <w:tcW w:w="900" w:type="dxa"/>
            <w:gridSpan w:val="2"/>
            <w:tcBorders>
              <w:bottom w:val="single" w:sz="12" w:space="0" w:color="auto"/>
            </w:tcBorders>
          </w:tcPr>
          <w:p>
            <w:pPr>
              <w:ind w:right="-29"/>
              <w:jc w:val="center"/>
              <w:rPr>
                <w:noProof/>
                <w:sz w:val="18"/>
              </w:rPr>
            </w:pPr>
            <w:r>
              <w:rPr>
                <w:noProof/>
                <w:sz w:val="18"/>
              </w:rPr>
              <w:t>3,500</w:t>
            </w:r>
          </w:p>
        </w:tc>
      </w:tr>
      <w:tr>
        <w:trPr>
          <w:jc w:val="center"/>
        </w:trPr>
        <w:tc>
          <w:tcPr>
            <w:tcW w:w="13623" w:type="dxa"/>
            <w:gridSpan w:val="38"/>
            <w:tcBorders>
              <w:top w:val="single" w:sz="12" w:space="0" w:color="auto"/>
              <w:left w:val="single" w:sz="12" w:space="0" w:color="auto"/>
              <w:bottom w:val="single" w:sz="12" w:space="0" w:color="auto"/>
              <w:right w:val="single" w:sz="12" w:space="0" w:color="auto"/>
            </w:tcBorders>
            <w:vAlign w:val="center"/>
          </w:tcPr>
          <w:p>
            <w:pPr>
              <w:ind w:right="-29"/>
              <w:jc w:val="center"/>
              <w:rPr>
                <w:noProof/>
                <w:sz w:val="18"/>
              </w:rPr>
            </w:pPr>
            <w:r>
              <w:rPr>
                <w:noProof/>
                <w:sz w:val="18"/>
              </w:rPr>
              <w:t>SPECIFICKÝ CÍL č. 4 ECDC bude koordinovat sběr, ověřování, analýzu a šíření údajů na úrovni EU, a vytvoří tak odolný evropský systém dozoru nad přenosnými nemocemi v rámci evropského prostoru pro data z oblasti veřejného zdraví</w:t>
            </w:r>
          </w:p>
          <w:p>
            <w:pPr>
              <w:spacing w:before="180" w:after="180"/>
              <w:ind w:right="-29"/>
              <w:jc w:val="center"/>
              <w:rPr>
                <w:noProof/>
                <w:sz w:val="18"/>
              </w:rPr>
            </w:pPr>
          </w:p>
        </w:tc>
      </w:tr>
      <w:tr>
        <w:trPr>
          <w:jc w:val="center"/>
        </w:trPr>
        <w:tc>
          <w:tcPr>
            <w:tcW w:w="2685" w:type="dxa"/>
            <w:gridSpan w:val="3"/>
            <w:tcBorders>
              <w:top w:val="single" w:sz="12" w:space="0" w:color="auto"/>
              <w:left w:val="single" w:sz="12" w:space="0" w:color="auto"/>
              <w:bottom w:val="single" w:sz="12" w:space="0" w:color="auto"/>
            </w:tcBorders>
            <w:vAlign w:val="center"/>
          </w:tcPr>
          <w:p>
            <w:pPr>
              <w:ind w:right="-29"/>
              <w:jc w:val="center"/>
              <w:rPr>
                <w:b/>
                <w:noProof/>
                <w:sz w:val="18"/>
              </w:rPr>
            </w:pPr>
            <w:r>
              <w:rPr>
                <w:noProof/>
                <w:sz w:val="18"/>
              </w:rPr>
              <w:t>Výstup: nový uzel střediska ECDC pro předávání informací z vnitrostátní úrovně středisku ECDC rozšířením Tessy (větší kapacita).</w:t>
            </w:r>
          </w:p>
        </w:tc>
        <w:tc>
          <w:tcPr>
            <w:tcW w:w="672" w:type="dxa"/>
            <w:gridSpan w:val="3"/>
            <w:tcBorders>
              <w:top w:val="single" w:sz="12" w:space="0" w:color="auto"/>
              <w:bottom w:val="single" w:sz="12" w:space="0" w:color="auto"/>
            </w:tcBorders>
          </w:tcPr>
          <w:p>
            <w:pPr>
              <w:spacing w:before="180" w:after="180"/>
              <w:ind w:right="-29"/>
              <w:jc w:val="center"/>
              <w:rPr>
                <w:noProof/>
                <w:sz w:val="18"/>
              </w:rPr>
            </w:pPr>
          </w:p>
        </w:tc>
        <w:tc>
          <w:tcPr>
            <w:tcW w:w="720" w:type="dxa"/>
            <w:gridSpan w:val="2"/>
            <w:tcBorders>
              <w:top w:val="single" w:sz="12" w:space="0" w:color="auto"/>
              <w:bottom w:val="single" w:sz="12" w:space="0" w:color="auto"/>
            </w:tcBorders>
          </w:tcPr>
          <w:p>
            <w:pPr>
              <w:spacing w:before="180" w:after="180"/>
              <w:ind w:right="-29"/>
              <w:jc w:val="center"/>
              <w:rPr>
                <w:noProof/>
                <w:sz w:val="18"/>
              </w:rPr>
            </w:pPr>
            <w:r>
              <w:rPr>
                <w:noProof/>
                <w:sz w:val="18"/>
              </w:rPr>
              <w:t>2,000</w:t>
            </w:r>
          </w:p>
        </w:tc>
        <w:tc>
          <w:tcPr>
            <w:tcW w:w="540" w:type="dxa"/>
            <w:gridSpan w:val="2"/>
            <w:tcBorders>
              <w:top w:val="single" w:sz="12" w:space="0" w:color="auto"/>
              <w:bottom w:val="single" w:sz="12" w:space="0" w:color="auto"/>
            </w:tcBorders>
          </w:tcPr>
          <w:p>
            <w:pPr>
              <w:spacing w:before="180" w:after="180"/>
              <w:ind w:right="-29"/>
              <w:jc w:val="center"/>
              <w:rPr>
                <w:noProof/>
                <w:sz w:val="18"/>
              </w:rPr>
            </w:pPr>
          </w:p>
        </w:tc>
        <w:tc>
          <w:tcPr>
            <w:tcW w:w="720" w:type="dxa"/>
            <w:gridSpan w:val="2"/>
            <w:tcBorders>
              <w:top w:val="single" w:sz="12" w:space="0" w:color="auto"/>
              <w:bottom w:val="single" w:sz="12" w:space="0" w:color="auto"/>
            </w:tcBorders>
          </w:tcPr>
          <w:p>
            <w:pPr>
              <w:spacing w:before="180" w:after="180"/>
              <w:ind w:right="-29"/>
              <w:jc w:val="center"/>
              <w:rPr>
                <w:noProof/>
                <w:sz w:val="18"/>
              </w:rPr>
            </w:pPr>
            <w:r>
              <w:rPr>
                <w:noProof/>
                <w:sz w:val="18"/>
              </w:rPr>
              <w:t>5,000</w:t>
            </w:r>
          </w:p>
        </w:tc>
        <w:tc>
          <w:tcPr>
            <w:tcW w:w="720" w:type="dxa"/>
            <w:gridSpan w:val="2"/>
            <w:tcBorders>
              <w:top w:val="single" w:sz="12" w:space="0" w:color="auto"/>
              <w:bottom w:val="single" w:sz="12" w:space="0" w:color="auto"/>
            </w:tcBorders>
          </w:tcPr>
          <w:p>
            <w:pPr>
              <w:spacing w:before="180" w:after="180"/>
              <w:ind w:right="-29"/>
              <w:jc w:val="center"/>
              <w:rPr>
                <w:noProof/>
                <w:sz w:val="18"/>
              </w:rPr>
            </w:pPr>
          </w:p>
        </w:tc>
        <w:tc>
          <w:tcPr>
            <w:tcW w:w="720" w:type="dxa"/>
            <w:gridSpan w:val="2"/>
            <w:tcBorders>
              <w:top w:val="single" w:sz="12" w:space="0" w:color="auto"/>
              <w:bottom w:val="single" w:sz="12" w:space="0" w:color="auto"/>
            </w:tcBorders>
          </w:tcPr>
          <w:p>
            <w:pPr>
              <w:spacing w:before="180" w:after="180"/>
              <w:ind w:right="-29"/>
              <w:jc w:val="center"/>
              <w:rPr>
                <w:noProof/>
                <w:sz w:val="18"/>
              </w:rPr>
            </w:pPr>
            <w:r>
              <w:rPr>
                <w:noProof/>
                <w:sz w:val="18"/>
              </w:rPr>
              <w:t>5,000</w:t>
            </w:r>
          </w:p>
        </w:tc>
        <w:tc>
          <w:tcPr>
            <w:tcW w:w="951" w:type="dxa"/>
            <w:gridSpan w:val="3"/>
            <w:tcBorders>
              <w:top w:val="single" w:sz="12" w:space="0" w:color="auto"/>
              <w:bottom w:val="single" w:sz="12" w:space="0" w:color="auto"/>
            </w:tcBorders>
          </w:tcPr>
          <w:p>
            <w:pPr>
              <w:spacing w:before="180" w:after="180"/>
              <w:ind w:right="-29"/>
              <w:jc w:val="center"/>
              <w:rPr>
                <w:noProof/>
                <w:sz w:val="18"/>
              </w:rPr>
            </w:pPr>
          </w:p>
        </w:tc>
        <w:tc>
          <w:tcPr>
            <w:tcW w:w="672" w:type="dxa"/>
            <w:gridSpan w:val="2"/>
            <w:tcBorders>
              <w:top w:val="single" w:sz="12" w:space="0" w:color="auto"/>
              <w:bottom w:val="single" w:sz="12" w:space="0" w:color="auto"/>
            </w:tcBorders>
          </w:tcPr>
          <w:p>
            <w:pPr>
              <w:spacing w:before="180" w:after="180"/>
              <w:ind w:right="-29"/>
              <w:jc w:val="center"/>
              <w:rPr>
                <w:noProof/>
                <w:sz w:val="18"/>
              </w:rPr>
            </w:pPr>
            <w:r>
              <w:rPr>
                <w:noProof/>
                <w:sz w:val="18"/>
              </w:rPr>
              <w:t>5,000</w:t>
            </w:r>
          </w:p>
        </w:tc>
        <w:tc>
          <w:tcPr>
            <w:tcW w:w="540" w:type="dxa"/>
            <w:gridSpan w:val="2"/>
            <w:tcBorders>
              <w:top w:val="single" w:sz="12" w:space="0" w:color="auto"/>
              <w:bottom w:val="single" w:sz="12" w:space="0" w:color="auto"/>
            </w:tcBorders>
          </w:tcPr>
          <w:p>
            <w:pPr>
              <w:spacing w:before="180" w:after="180"/>
              <w:ind w:right="-29"/>
              <w:jc w:val="center"/>
              <w:rPr>
                <w:noProof/>
                <w:sz w:val="18"/>
              </w:rPr>
            </w:pPr>
          </w:p>
        </w:tc>
        <w:tc>
          <w:tcPr>
            <w:tcW w:w="651" w:type="dxa"/>
            <w:gridSpan w:val="2"/>
            <w:tcBorders>
              <w:top w:val="single" w:sz="12" w:space="0" w:color="auto"/>
              <w:bottom w:val="single" w:sz="12" w:space="0" w:color="auto"/>
            </w:tcBorders>
          </w:tcPr>
          <w:p>
            <w:pPr>
              <w:spacing w:before="180" w:after="180"/>
              <w:ind w:right="-29"/>
              <w:jc w:val="center"/>
              <w:rPr>
                <w:noProof/>
                <w:sz w:val="18"/>
              </w:rPr>
            </w:pPr>
            <w:r>
              <w:rPr>
                <w:noProof/>
                <w:sz w:val="18"/>
              </w:rPr>
              <w:t>3,000</w:t>
            </w:r>
          </w:p>
        </w:tc>
        <w:tc>
          <w:tcPr>
            <w:tcW w:w="432" w:type="dxa"/>
            <w:gridSpan w:val="2"/>
            <w:tcBorders>
              <w:top w:val="single" w:sz="12" w:space="0" w:color="auto"/>
              <w:bottom w:val="single" w:sz="12" w:space="0" w:color="auto"/>
            </w:tcBorders>
          </w:tcPr>
          <w:p>
            <w:pPr>
              <w:spacing w:before="180" w:after="180"/>
              <w:ind w:right="-29"/>
              <w:jc w:val="center"/>
              <w:rPr>
                <w:noProof/>
                <w:sz w:val="18"/>
              </w:rPr>
            </w:pPr>
          </w:p>
        </w:tc>
        <w:tc>
          <w:tcPr>
            <w:tcW w:w="720" w:type="dxa"/>
            <w:gridSpan w:val="2"/>
            <w:tcBorders>
              <w:top w:val="single" w:sz="12" w:space="0" w:color="auto"/>
              <w:bottom w:val="single" w:sz="12" w:space="0" w:color="auto"/>
            </w:tcBorders>
          </w:tcPr>
          <w:p>
            <w:pPr>
              <w:spacing w:before="180" w:after="180"/>
              <w:ind w:right="-29"/>
              <w:jc w:val="center"/>
              <w:rPr>
                <w:noProof/>
                <w:sz w:val="18"/>
              </w:rPr>
            </w:pPr>
            <w:r>
              <w:rPr>
                <w:noProof/>
                <w:sz w:val="18"/>
              </w:rPr>
              <w:t>2,000</w:t>
            </w:r>
          </w:p>
        </w:tc>
        <w:tc>
          <w:tcPr>
            <w:tcW w:w="540" w:type="dxa"/>
            <w:gridSpan w:val="3"/>
            <w:tcBorders>
              <w:top w:val="single" w:sz="12" w:space="0" w:color="auto"/>
              <w:bottom w:val="single" w:sz="12" w:space="0" w:color="auto"/>
            </w:tcBorders>
          </w:tcPr>
          <w:p>
            <w:pPr>
              <w:spacing w:before="180" w:after="180"/>
              <w:ind w:right="-29"/>
              <w:jc w:val="center"/>
              <w:rPr>
                <w:noProof/>
                <w:sz w:val="18"/>
              </w:rPr>
            </w:pPr>
          </w:p>
        </w:tc>
        <w:tc>
          <w:tcPr>
            <w:tcW w:w="720" w:type="dxa"/>
            <w:gridSpan w:val="2"/>
            <w:tcBorders>
              <w:top w:val="single" w:sz="12" w:space="0" w:color="auto"/>
              <w:bottom w:val="single" w:sz="12" w:space="0" w:color="auto"/>
            </w:tcBorders>
          </w:tcPr>
          <w:p>
            <w:pPr>
              <w:spacing w:before="180" w:after="180"/>
              <w:ind w:right="-29"/>
              <w:jc w:val="center"/>
              <w:rPr>
                <w:noProof/>
                <w:sz w:val="18"/>
              </w:rPr>
            </w:pPr>
            <w:r>
              <w:rPr>
                <w:noProof/>
                <w:sz w:val="18"/>
              </w:rPr>
              <w:t>2,000</w:t>
            </w:r>
          </w:p>
        </w:tc>
        <w:tc>
          <w:tcPr>
            <w:tcW w:w="720" w:type="dxa"/>
            <w:gridSpan w:val="2"/>
            <w:tcBorders>
              <w:top w:val="single" w:sz="12" w:space="0" w:color="auto"/>
              <w:bottom w:val="single" w:sz="12" w:space="0" w:color="auto"/>
            </w:tcBorders>
          </w:tcPr>
          <w:p>
            <w:pPr>
              <w:spacing w:before="180" w:after="180"/>
              <w:ind w:right="-29"/>
              <w:jc w:val="center"/>
              <w:rPr>
                <w:noProof/>
                <w:sz w:val="18"/>
              </w:rPr>
            </w:pPr>
          </w:p>
        </w:tc>
        <w:tc>
          <w:tcPr>
            <w:tcW w:w="900" w:type="dxa"/>
            <w:gridSpan w:val="2"/>
            <w:tcBorders>
              <w:top w:val="single" w:sz="12" w:space="0" w:color="auto"/>
              <w:bottom w:val="single" w:sz="12" w:space="0" w:color="auto"/>
              <w:right w:val="single" w:sz="12" w:space="0" w:color="auto"/>
            </w:tcBorders>
          </w:tcPr>
          <w:p>
            <w:pPr>
              <w:spacing w:before="180" w:after="180"/>
              <w:ind w:right="-29"/>
              <w:jc w:val="center"/>
              <w:rPr>
                <w:noProof/>
                <w:sz w:val="18"/>
              </w:rPr>
            </w:pPr>
            <w:r>
              <w:rPr>
                <w:noProof/>
                <w:sz w:val="18"/>
              </w:rPr>
              <w:t>24,000</w:t>
            </w:r>
          </w:p>
        </w:tc>
      </w:tr>
      <w:tr>
        <w:trPr>
          <w:gridAfter w:val="1"/>
          <w:wAfter w:w="12" w:type="dxa"/>
          <w:jc w:val="center"/>
        </w:trPr>
        <w:tc>
          <w:tcPr>
            <w:tcW w:w="2685" w:type="dxa"/>
            <w:gridSpan w:val="3"/>
            <w:tcBorders>
              <w:top w:val="single" w:sz="12" w:space="0" w:color="auto"/>
              <w:left w:val="single" w:sz="12" w:space="0" w:color="auto"/>
              <w:bottom w:val="single" w:sz="12" w:space="0" w:color="auto"/>
            </w:tcBorders>
            <w:vAlign w:val="center"/>
          </w:tcPr>
          <w:p>
            <w:pPr>
              <w:ind w:right="-29"/>
              <w:jc w:val="center"/>
              <w:rPr>
                <w:noProof/>
                <w:sz w:val="18"/>
              </w:rPr>
            </w:pPr>
            <w:r>
              <w:rPr>
                <w:noProof/>
                <w:sz w:val="18"/>
              </w:rPr>
              <w:t>Výstup: posílený EWRS, díky němuž bude systém více škálovatelný, aniž by se změnil účel systému spočívající v podpoře rychlé výměny informací s epidemiologickými institucemi a veřejnými výzkumnými institucemi během pandemie na vnitrostátní úrovni i na úrovni EU.</w:t>
            </w:r>
          </w:p>
        </w:tc>
        <w:tc>
          <w:tcPr>
            <w:tcW w:w="631" w:type="dxa"/>
            <w:tcBorders>
              <w:top w:val="single" w:sz="12" w:space="0" w:color="auto"/>
              <w:bottom w:val="single" w:sz="12" w:space="0" w:color="auto"/>
            </w:tcBorders>
          </w:tcPr>
          <w:p>
            <w:pPr>
              <w:spacing w:before="180" w:after="180"/>
              <w:ind w:right="-29"/>
              <w:jc w:val="center"/>
              <w:rPr>
                <w:noProof/>
                <w:sz w:val="18"/>
              </w:rPr>
            </w:pPr>
          </w:p>
        </w:tc>
        <w:tc>
          <w:tcPr>
            <w:tcW w:w="752" w:type="dxa"/>
            <w:gridSpan w:val="3"/>
            <w:tcBorders>
              <w:top w:val="single" w:sz="12" w:space="0" w:color="auto"/>
              <w:bottom w:val="single" w:sz="12" w:space="0" w:color="auto"/>
            </w:tcBorders>
          </w:tcPr>
          <w:p>
            <w:pPr>
              <w:spacing w:before="180" w:after="180"/>
              <w:ind w:right="-29"/>
              <w:jc w:val="center"/>
              <w:rPr>
                <w:noProof/>
                <w:sz w:val="18"/>
              </w:rPr>
            </w:pPr>
            <w:r>
              <w:rPr>
                <w:noProof/>
                <w:sz w:val="18"/>
              </w:rPr>
              <w:t>1,000</w:t>
            </w:r>
          </w:p>
        </w:tc>
        <w:tc>
          <w:tcPr>
            <w:tcW w:w="540" w:type="dxa"/>
            <w:gridSpan w:val="2"/>
            <w:tcBorders>
              <w:top w:val="single" w:sz="12" w:space="0" w:color="auto"/>
              <w:bottom w:val="single" w:sz="12" w:space="0" w:color="auto"/>
            </w:tcBorders>
          </w:tcPr>
          <w:p>
            <w:pPr>
              <w:spacing w:before="180" w:after="180"/>
              <w:ind w:right="-29"/>
              <w:jc w:val="center"/>
              <w:rPr>
                <w:noProof/>
                <w:sz w:val="18"/>
              </w:rPr>
            </w:pPr>
          </w:p>
        </w:tc>
        <w:tc>
          <w:tcPr>
            <w:tcW w:w="720" w:type="dxa"/>
            <w:gridSpan w:val="2"/>
            <w:tcBorders>
              <w:top w:val="single" w:sz="12" w:space="0" w:color="auto"/>
              <w:bottom w:val="single" w:sz="12" w:space="0" w:color="auto"/>
            </w:tcBorders>
          </w:tcPr>
          <w:p>
            <w:pPr>
              <w:spacing w:before="180" w:after="180"/>
              <w:ind w:right="-29"/>
              <w:jc w:val="center"/>
              <w:rPr>
                <w:noProof/>
                <w:sz w:val="18"/>
              </w:rPr>
            </w:pPr>
            <w:r>
              <w:rPr>
                <w:noProof/>
                <w:sz w:val="18"/>
              </w:rPr>
              <w:t>2,000</w:t>
            </w:r>
          </w:p>
        </w:tc>
        <w:tc>
          <w:tcPr>
            <w:tcW w:w="720" w:type="dxa"/>
            <w:gridSpan w:val="2"/>
            <w:tcBorders>
              <w:top w:val="single" w:sz="12" w:space="0" w:color="auto"/>
              <w:bottom w:val="single" w:sz="12" w:space="0" w:color="auto"/>
            </w:tcBorders>
          </w:tcPr>
          <w:p>
            <w:pPr>
              <w:spacing w:before="180" w:after="180"/>
              <w:ind w:right="-29"/>
              <w:jc w:val="center"/>
              <w:rPr>
                <w:noProof/>
                <w:sz w:val="18"/>
              </w:rPr>
            </w:pPr>
          </w:p>
        </w:tc>
        <w:tc>
          <w:tcPr>
            <w:tcW w:w="720" w:type="dxa"/>
            <w:gridSpan w:val="2"/>
            <w:tcBorders>
              <w:top w:val="single" w:sz="12" w:space="0" w:color="auto"/>
              <w:bottom w:val="single" w:sz="12" w:space="0" w:color="auto"/>
            </w:tcBorders>
          </w:tcPr>
          <w:p>
            <w:pPr>
              <w:spacing w:before="180" w:after="180"/>
              <w:ind w:right="-29"/>
              <w:jc w:val="center"/>
              <w:rPr>
                <w:noProof/>
                <w:sz w:val="18"/>
              </w:rPr>
            </w:pPr>
            <w:r>
              <w:rPr>
                <w:noProof/>
                <w:sz w:val="18"/>
              </w:rPr>
              <w:t>2,000</w:t>
            </w:r>
          </w:p>
        </w:tc>
        <w:tc>
          <w:tcPr>
            <w:tcW w:w="900" w:type="dxa"/>
            <w:gridSpan w:val="2"/>
            <w:tcBorders>
              <w:top w:val="single" w:sz="12" w:space="0" w:color="auto"/>
              <w:bottom w:val="single" w:sz="12" w:space="0" w:color="auto"/>
            </w:tcBorders>
          </w:tcPr>
          <w:p>
            <w:pPr>
              <w:spacing w:before="180" w:after="180"/>
              <w:ind w:right="-29"/>
              <w:jc w:val="center"/>
              <w:rPr>
                <w:noProof/>
                <w:sz w:val="18"/>
              </w:rPr>
            </w:pPr>
          </w:p>
        </w:tc>
        <w:tc>
          <w:tcPr>
            <w:tcW w:w="720" w:type="dxa"/>
            <w:gridSpan w:val="3"/>
            <w:tcBorders>
              <w:top w:val="single" w:sz="12" w:space="0" w:color="auto"/>
              <w:bottom w:val="single" w:sz="12" w:space="0" w:color="auto"/>
            </w:tcBorders>
          </w:tcPr>
          <w:p>
            <w:pPr>
              <w:spacing w:before="180" w:after="180"/>
              <w:ind w:right="-29"/>
              <w:jc w:val="center"/>
              <w:rPr>
                <w:noProof/>
                <w:sz w:val="18"/>
              </w:rPr>
            </w:pPr>
            <w:r>
              <w:rPr>
                <w:noProof/>
                <w:sz w:val="18"/>
              </w:rPr>
              <w:t>2,000</w:t>
            </w:r>
          </w:p>
        </w:tc>
        <w:tc>
          <w:tcPr>
            <w:tcW w:w="540" w:type="dxa"/>
            <w:gridSpan w:val="2"/>
            <w:tcBorders>
              <w:top w:val="single" w:sz="12" w:space="0" w:color="auto"/>
              <w:bottom w:val="single" w:sz="12" w:space="0" w:color="auto"/>
            </w:tcBorders>
          </w:tcPr>
          <w:p>
            <w:pPr>
              <w:spacing w:before="180" w:after="180"/>
              <w:ind w:right="-29"/>
              <w:jc w:val="center"/>
              <w:rPr>
                <w:noProof/>
                <w:sz w:val="18"/>
              </w:rPr>
            </w:pPr>
          </w:p>
        </w:tc>
        <w:tc>
          <w:tcPr>
            <w:tcW w:w="648" w:type="dxa"/>
            <w:gridSpan w:val="2"/>
            <w:tcBorders>
              <w:top w:val="single" w:sz="12" w:space="0" w:color="auto"/>
              <w:bottom w:val="single" w:sz="12" w:space="0" w:color="auto"/>
            </w:tcBorders>
          </w:tcPr>
          <w:p>
            <w:pPr>
              <w:spacing w:before="180" w:after="180"/>
              <w:ind w:right="-29"/>
              <w:jc w:val="center"/>
              <w:rPr>
                <w:noProof/>
                <w:sz w:val="18"/>
              </w:rPr>
            </w:pPr>
            <w:r>
              <w:rPr>
                <w:noProof/>
                <w:sz w:val="18"/>
              </w:rPr>
              <w:t>1,000</w:t>
            </w:r>
          </w:p>
        </w:tc>
        <w:tc>
          <w:tcPr>
            <w:tcW w:w="432" w:type="dxa"/>
            <w:gridSpan w:val="2"/>
            <w:tcBorders>
              <w:top w:val="single" w:sz="12" w:space="0" w:color="auto"/>
              <w:bottom w:val="single" w:sz="12" w:space="0" w:color="auto"/>
            </w:tcBorders>
          </w:tcPr>
          <w:p>
            <w:pPr>
              <w:spacing w:before="180" w:after="180"/>
              <w:ind w:right="-29"/>
              <w:jc w:val="center"/>
              <w:rPr>
                <w:noProof/>
                <w:sz w:val="18"/>
              </w:rPr>
            </w:pPr>
          </w:p>
        </w:tc>
        <w:tc>
          <w:tcPr>
            <w:tcW w:w="720" w:type="dxa"/>
            <w:gridSpan w:val="2"/>
            <w:tcBorders>
              <w:top w:val="single" w:sz="12" w:space="0" w:color="auto"/>
              <w:bottom w:val="single" w:sz="12" w:space="0" w:color="auto"/>
            </w:tcBorders>
          </w:tcPr>
          <w:p>
            <w:pPr>
              <w:spacing w:before="180" w:after="180"/>
              <w:ind w:right="-29"/>
              <w:jc w:val="center"/>
              <w:rPr>
                <w:noProof/>
                <w:sz w:val="18"/>
              </w:rPr>
            </w:pPr>
            <w:r>
              <w:rPr>
                <w:noProof/>
                <w:sz w:val="18"/>
              </w:rPr>
              <w:t>1,000</w:t>
            </w:r>
          </w:p>
        </w:tc>
        <w:tc>
          <w:tcPr>
            <w:tcW w:w="540" w:type="dxa"/>
            <w:gridSpan w:val="3"/>
            <w:tcBorders>
              <w:top w:val="single" w:sz="12" w:space="0" w:color="auto"/>
              <w:bottom w:val="single" w:sz="12" w:space="0" w:color="auto"/>
            </w:tcBorders>
          </w:tcPr>
          <w:p>
            <w:pPr>
              <w:spacing w:before="180" w:after="180"/>
              <w:ind w:right="-29"/>
              <w:jc w:val="center"/>
              <w:rPr>
                <w:noProof/>
                <w:sz w:val="18"/>
              </w:rPr>
            </w:pPr>
          </w:p>
        </w:tc>
        <w:tc>
          <w:tcPr>
            <w:tcW w:w="723" w:type="dxa"/>
            <w:gridSpan w:val="2"/>
            <w:tcBorders>
              <w:top w:val="single" w:sz="12" w:space="0" w:color="auto"/>
              <w:bottom w:val="single" w:sz="12" w:space="0" w:color="auto"/>
            </w:tcBorders>
          </w:tcPr>
          <w:p>
            <w:pPr>
              <w:spacing w:before="180" w:after="180"/>
              <w:ind w:right="-29"/>
              <w:jc w:val="center"/>
              <w:rPr>
                <w:noProof/>
                <w:sz w:val="18"/>
              </w:rPr>
            </w:pPr>
            <w:r>
              <w:rPr>
                <w:noProof/>
                <w:sz w:val="18"/>
              </w:rPr>
              <w:t>1,000</w:t>
            </w:r>
          </w:p>
        </w:tc>
        <w:tc>
          <w:tcPr>
            <w:tcW w:w="720" w:type="dxa"/>
            <w:gridSpan w:val="2"/>
            <w:tcBorders>
              <w:top w:val="single" w:sz="12" w:space="0" w:color="auto"/>
              <w:bottom w:val="single" w:sz="12" w:space="0" w:color="auto"/>
            </w:tcBorders>
          </w:tcPr>
          <w:p>
            <w:pPr>
              <w:spacing w:before="180" w:after="180"/>
              <w:ind w:right="-29"/>
              <w:jc w:val="center"/>
              <w:rPr>
                <w:noProof/>
                <w:sz w:val="18"/>
              </w:rPr>
            </w:pPr>
          </w:p>
        </w:tc>
        <w:tc>
          <w:tcPr>
            <w:tcW w:w="900" w:type="dxa"/>
            <w:gridSpan w:val="2"/>
            <w:tcBorders>
              <w:top w:val="single" w:sz="12" w:space="0" w:color="auto"/>
              <w:bottom w:val="single" w:sz="12" w:space="0" w:color="auto"/>
              <w:right w:val="single" w:sz="12" w:space="0" w:color="auto"/>
            </w:tcBorders>
          </w:tcPr>
          <w:p>
            <w:pPr>
              <w:spacing w:before="180" w:after="180"/>
              <w:ind w:right="-29"/>
              <w:jc w:val="center"/>
              <w:rPr>
                <w:noProof/>
                <w:sz w:val="18"/>
              </w:rPr>
            </w:pPr>
            <w:r>
              <w:rPr>
                <w:noProof/>
                <w:sz w:val="18"/>
              </w:rPr>
              <w:t>10,000</w:t>
            </w:r>
          </w:p>
        </w:tc>
      </w:tr>
      <w:tr>
        <w:trPr>
          <w:gridAfter w:val="1"/>
          <w:wAfter w:w="12" w:type="dxa"/>
          <w:jc w:val="center"/>
        </w:trPr>
        <w:tc>
          <w:tcPr>
            <w:tcW w:w="2685" w:type="dxa"/>
            <w:gridSpan w:val="3"/>
            <w:tcBorders>
              <w:top w:val="single" w:sz="12" w:space="0" w:color="auto"/>
              <w:left w:val="single" w:sz="12" w:space="0" w:color="auto"/>
              <w:bottom w:val="single" w:sz="12" w:space="0" w:color="auto"/>
            </w:tcBorders>
            <w:vAlign w:val="center"/>
          </w:tcPr>
          <w:p>
            <w:pPr>
              <w:ind w:right="-29"/>
              <w:jc w:val="center"/>
              <w:rPr>
                <w:b/>
                <w:noProof/>
                <w:sz w:val="18"/>
              </w:rPr>
            </w:pPr>
            <w:r>
              <w:rPr>
                <w:noProof/>
                <w:sz w:val="18"/>
              </w:rPr>
              <w:t>Mezisoučet za specifický cíl č. 4</w:t>
            </w:r>
          </w:p>
        </w:tc>
        <w:tc>
          <w:tcPr>
            <w:tcW w:w="663" w:type="dxa"/>
            <w:gridSpan w:val="2"/>
            <w:tcBorders>
              <w:top w:val="single" w:sz="12" w:space="0" w:color="auto"/>
              <w:bottom w:val="single" w:sz="12" w:space="0" w:color="auto"/>
            </w:tcBorders>
          </w:tcPr>
          <w:p>
            <w:pPr>
              <w:spacing w:before="180" w:after="180"/>
              <w:ind w:right="-29"/>
              <w:jc w:val="center"/>
              <w:rPr>
                <w:noProof/>
                <w:sz w:val="18"/>
              </w:rPr>
            </w:pPr>
          </w:p>
        </w:tc>
        <w:tc>
          <w:tcPr>
            <w:tcW w:w="720" w:type="dxa"/>
            <w:gridSpan w:val="2"/>
            <w:tcBorders>
              <w:top w:val="single" w:sz="12" w:space="0" w:color="auto"/>
              <w:bottom w:val="single" w:sz="12" w:space="0" w:color="auto"/>
            </w:tcBorders>
          </w:tcPr>
          <w:p>
            <w:pPr>
              <w:spacing w:before="180" w:after="180"/>
              <w:ind w:right="-29"/>
              <w:jc w:val="center"/>
              <w:rPr>
                <w:noProof/>
                <w:sz w:val="18"/>
              </w:rPr>
            </w:pPr>
            <w:r>
              <w:rPr>
                <w:noProof/>
                <w:sz w:val="18"/>
              </w:rPr>
              <w:t>3,000</w:t>
            </w:r>
          </w:p>
        </w:tc>
        <w:tc>
          <w:tcPr>
            <w:tcW w:w="540" w:type="dxa"/>
            <w:gridSpan w:val="2"/>
            <w:tcBorders>
              <w:top w:val="single" w:sz="12" w:space="0" w:color="auto"/>
              <w:bottom w:val="single" w:sz="12" w:space="0" w:color="auto"/>
            </w:tcBorders>
          </w:tcPr>
          <w:p>
            <w:pPr>
              <w:spacing w:before="180" w:after="180"/>
              <w:ind w:right="-29"/>
              <w:jc w:val="center"/>
              <w:rPr>
                <w:noProof/>
                <w:sz w:val="18"/>
              </w:rPr>
            </w:pPr>
          </w:p>
        </w:tc>
        <w:tc>
          <w:tcPr>
            <w:tcW w:w="720" w:type="dxa"/>
            <w:gridSpan w:val="2"/>
            <w:tcBorders>
              <w:top w:val="single" w:sz="12" w:space="0" w:color="auto"/>
              <w:bottom w:val="single" w:sz="12" w:space="0" w:color="auto"/>
            </w:tcBorders>
          </w:tcPr>
          <w:p>
            <w:pPr>
              <w:spacing w:before="180" w:after="180"/>
              <w:ind w:right="-29"/>
              <w:jc w:val="center"/>
              <w:rPr>
                <w:noProof/>
                <w:sz w:val="18"/>
              </w:rPr>
            </w:pPr>
            <w:r>
              <w:rPr>
                <w:noProof/>
                <w:sz w:val="18"/>
              </w:rPr>
              <w:t>7,000</w:t>
            </w:r>
          </w:p>
        </w:tc>
        <w:tc>
          <w:tcPr>
            <w:tcW w:w="720" w:type="dxa"/>
            <w:gridSpan w:val="2"/>
            <w:tcBorders>
              <w:top w:val="single" w:sz="12" w:space="0" w:color="auto"/>
              <w:bottom w:val="single" w:sz="12" w:space="0" w:color="auto"/>
            </w:tcBorders>
          </w:tcPr>
          <w:p>
            <w:pPr>
              <w:spacing w:before="180" w:after="180"/>
              <w:ind w:right="-29"/>
              <w:jc w:val="center"/>
              <w:rPr>
                <w:noProof/>
                <w:sz w:val="18"/>
              </w:rPr>
            </w:pPr>
          </w:p>
        </w:tc>
        <w:tc>
          <w:tcPr>
            <w:tcW w:w="720" w:type="dxa"/>
            <w:gridSpan w:val="2"/>
            <w:tcBorders>
              <w:top w:val="single" w:sz="12" w:space="0" w:color="auto"/>
              <w:bottom w:val="single" w:sz="12" w:space="0" w:color="auto"/>
            </w:tcBorders>
          </w:tcPr>
          <w:p>
            <w:pPr>
              <w:spacing w:before="180" w:after="180"/>
              <w:ind w:right="-29"/>
              <w:jc w:val="center"/>
              <w:rPr>
                <w:noProof/>
                <w:sz w:val="18"/>
              </w:rPr>
            </w:pPr>
            <w:r>
              <w:rPr>
                <w:noProof/>
                <w:sz w:val="18"/>
              </w:rPr>
              <w:t>7,000</w:t>
            </w:r>
          </w:p>
        </w:tc>
        <w:tc>
          <w:tcPr>
            <w:tcW w:w="900" w:type="dxa"/>
            <w:gridSpan w:val="2"/>
            <w:tcBorders>
              <w:top w:val="single" w:sz="12" w:space="0" w:color="auto"/>
              <w:bottom w:val="single" w:sz="12" w:space="0" w:color="auto"/>
            </w:tcBorders>
          </w:tcPr>
          <w:p>
            <w:pPr>
              <w:spacing w:before="180" w:after="180"/>
              <w:ind w:right="-29"/>
              <w:jc w:val="center"/>
              <w:rPr>
                <w:noProof/>
                <w:sz w:val="18"/>
              </w:rPr>
            </w:pPr>
          </w:p>
        </w:tc>
        <w:tc>
          <w:tcPr>
            <w:tcW w:w="720" w:type="dxa"/>
            <w:gridSpan w:val="3"/>
            <w:tcBorders>
              <w:top w:val="single" w:sz="12" w:space="0" w:color="auto"/>
              <w:bottom w:val="single" w:sz="12" w:space="0" w:color="auto"/>
            </w:tcBorders>
          </w:tcPr>
          <w:p>
            <w:pPr>
              <w:spacing w:before="180" w:after="180"/>
              <w:ind w:right="-29"/>
              <w:jc w:val="center"/>
              <w:rPr>
                <w:noProof/>
                <w:sz w:val="18"/>
              </w:rPr>
            </w:pPr>
            <w:r>
              <w:rPr>
                <w:noProof/>
                <w:sz w:val="18"/>
              </w:rPr>
              <w:t>7,000</w:t>
            </w:r>
          </w:p>
        </w:tc>
        <w:tc>
          <w:tcPr>
            <w:tcW w:w="540" w:type="dxa"/>
            <w:gridSpan w:val="2"/>
            <w:tcBorders>
              <w:top w:val="single" w:sz="12" w:space="0" w:color="auto"/>
              <w:bottom w:val="single" w:sz="12" w:space="0" w:color="auto"/>
            </w:tcBorders>
          </w:tcPr>
          <w:p>
            <w:pPr>
              <w:spacing w:before="180" w:after="180"/>
              <w:ind w:right="-29"/>
              <w:jc w:val="center"/>
              <w:rPr>
                <w:noProof/>
                <w:sz w:val="18"/>
              </w:rPr>
            </w:pPr>
          </w:p>
        </w:tc>
        <w:tc>
          <w:tcPr>
            <w:tcW w:w="648" w:type="dxa"/>
            <w:gridSpan w:val="2"/>
            <w:tcBorders>
              <w:top w:val="single" w:sz="12" w:space="0" w:color="auto"/>
              <w:bottom w:val="single" w:sz="12" w:space="0" w:color="auto"/>
            </w:tcBorders>
          </w:tcPr>
          <w:p>
            <w:pPr>
              <w:spacing w:before="180" w:after="180"/>
              <w:ind w:right="-29"/>
              <w:jc w:val="center"/>
              <w:rPr>
                <w:noProof/>
                <w:sz w:val="18"/>
              </w:rPr>
            </w:pPr>
            <w:r>
              <w:rPr>
                <w:noProof/>
                <w:sz w:val="18"/>
              </w:rPr>
              <w:t>4,000</w:t>
            </w:r>
          </w:p>
        </w:tc>
        <w:tc>
          <w:tcPr>
            <w:tcW w:w="432" w:type="dxa"/>
            <w:gridSpan w:val="2"/>
            <w:tcBorders>
              <w:top w:val="single" w:sz="12" w:space="0" w:color="auto"/>
              <w:bottom w:val="single" w:sz="12" w:space="0" w:color="auto"/>
            </w:tcBorders>
          </w:tcPr>
          <w:p>
            <w:pPr>
              <w:spacing w:before="180" w:after="180"/>
              <w:ind w:right="-29"/>
              <w:jc w:val="center"/>
              <w:rPr>
                <w:noProof/>
                <w:sz w:val="18"/>
              </w:rPr>
            </w:pPr>
          </w:p>
        </w:tc>
        <w:tc>
          <w:tcPr>
            <w:tcW w:w="720" w:type="dxa"/>
            <w:gridSpan w:val="2"/>
            <w:tcBorders>
              <w:top w:val="single" w:sz="12" w:space="0" w:color="auto"/>
              <w:bottom w:val="single" w:sz="12" w:space="0" w:color="auto"/>
            </w:tcBorders>
          </w:tcPr>
          <w:p>
            <w:pPr>
              <w:spacing w:before="180" w:after="180"/>
              <w:ind w:right="-29"/>
              <w:jc w:val="center"/>
              <w:rPr>
                <w:noProof/>
                <w:sz w:val="18"/>
              </w:rPr>
            </w:pPr>
            <w:r>
              <w:rPr>
                <w:noProof/>
                <w:sz w:val="18"/>
              </w:rPr>
              <w:t>3,000</w:t>
            </w:r>
          </w:p>
        </w:tc>
        <w:tc>
          <w:tcPr>
            <w:tcW w:w="540" w:type="dxa"/>
            <w:gridSpan w:val="3"/>
            <w:tcBorders>
              <w:top w:val="single" w:sz="12" w:space="0" w:color="auto"/>
              <w:bottom w:val="single" w:sz="12" w:space="0" w:color="auto"/>
            </w:tcBorders>
          </w:tcPr>
          <w:p>
            <w:pPr>
              <w:spacing w:before="180" w:after="180"/>
              <w:ind w:right="-29"/>
              <w:jc w:val="center"/>
              <w:rPr>
                <w:noProof/>
                <w:sz w:val="18"/>
              </w:rPr>
            </w:pPr>
          </w:p>
        </w:tc>
        <w:tc>
          <w:tcPr>
            <w:tcW w:w="723" w:type="dxa"/>
            <w:gridSpan w:val="2"/>
            <w:tcBorders>
              <w:top w:val="single" w:sz="12" w:space="0" w:color="auto"/>
              <w:bottom w:val="single" w:sz="12" w:space="0" w:color="auto"/>
            </w:tcBorders>
          </w:tcPr>
          <w:p>
            <w:pPr>
              <w:spacing w:before="180" w:after="180"/>
              <w:ind w:right="-29"/>
              <w:jc w:val="center"/>
              <w:rPr>
                <w:noProof/>
                <w:sz w:val="18"/>
              </w:rPr>
            </w:pPr>
            <w:r>
              <w:rPr>
                <w:noProof/>
                <w:sz w:val="18"/>
              </w:rPr>
              <w:t>3,000</w:t>
            </w:r>
          </w:p>
        </w:tc>
        <w:tc>
          <w:tcPr>
            <w:tcW w:w="720" w:type="dxa"/>
            <w:gridSpan w:val="2"/>
            <w:tcBorders>
              <w:top w:val="single" w:sz="12" w:space="0" w:color="auto"/>
              <w:bottom w:val="single" w:sz="12" w:space="0" w:color="auto"/>
            </w:tcBorders>
          </w:tcPr>
          <w:p>
            <w:pPr>
              <w:spacing w:before="180" w:after="180"/>
              <w:ind w:right="-29"/>
              <w:jc w:val="center"/>
              <w:rPr>
                <w:noProof/>
                <w:sz w:val="18"/>
              </w:rPr>
            </w:pPr>
          </w:p>
        </w:tc>
        <w:tc>
          <w:tcPr>
            <w:tcW w:w="900" w:type="dxa"/>
            <w:gridSpan w:val="2"/>
            <w:tcBorders>
              <w:top w:val="single" w:sz="12" w:space="0" w:color="auto"/>
              <w:bottom w:val="single" w:sz="12" w:space="0" w:color="auto"/>
              <w:right w:val="single" w:sz="12" w:space="0" w:color="auto"/>
            </w:tcBorders>
          </w:tcPr>
          <w:p>
            <w:pPr>
              <w:spacing w:before="180" w:after="180"/>
              <w:ind w:right="-29"/>
              <w:jc w:val="center"/>
              <w:rPr>
                <w:noProof/>
                <w:sz w:val="18"/>
              </w:rPr>
            </w:pPr>
            <w:r>
              <w:rPr>
                <w:noProof/>
                <w:sz w:val="18"/>
              </w:rPr>
              <w:t>34,000</w:t>
            </w:r>
          </w:p>
        </w:tc>
      </w:tr>
      <w:tr>
        <w:trPr>
          <w:gridAfter w:val="1"/>
          <w:wAfter w:w="12" w:type="dxa"/>
          <w:jc w:val="center"/>
        </w:trPr>
        <w:tc>
          <w:tcPr>
            <w:tcW w:w="13611" w:type="dxa"/>
            <w:gridSpan w:val="37"/>
            <w:tcBorders>
              <w:top w:val="single" w:sz="12" w:space="0" w:color="auto"/>
              <w:left w:val="single" w:sz="12" w:space="0" w:color="auto"/>
              <w:bottom w:val="single" w:sz="12" w:space="0" w:color="auto"/>
              <w:right w:val="single" w:sz="12" w:space="0" w:color="auto"/>
            </w:tcBorders>
            <w:vAlign w:val="center"/>
          </w:tcPr>
          <w:p>
            <w:pPr>
              <w:spacing w:before="180" w:after="180"/>
              <w:ind w:right="-29"/>
              <w:jc w:val="center"/>
              <w:rPr>
                <w:noProof/>
                <w:sz w:val="18"/>
              </w:rPr>
            </w:pPr>
            <w:r>
              <w:rPr>
                <w:noProof/>
                <w:sz w:val="18"/>
              </w:rPr>
              <w:t>SPECIFICKÝ CÍL č. 5 ECDC bude hostitelskou strukturou týmu pro pomoc v případě rozšíření nákazy („pracovní skupina EU pro oblast zdraví“), který bude zemím neustále poskytovat podporu, aby byly v případě zdravotní krize lépe připraveny a mohly rychle zasáhnout.</w:t>
            </w:r>
          </w:p>
        </w:tc>
      </w:tr>
      <w:tr>
        <w:trPr>
          <w:gridAfter w:val="1"/>
          <w:wAfter w:w="12" w:type="dxa"/>
          <w:jc w:val="center"/>
        </w:trPr>
        <w:tc>
          <w:tcPr>
            <w:tcW w:w="2685" w:type="dxa"/>
            <w:gridSpan w:val="3"/>
            <w:tcBorders>
              <w:top w:val="single" w:sz="12" w:space="0" w:color="auto"/>
              <w:left w:val="single" w:sz="12" w:space="0" w:color="auto"/>
              <w:bottom w:val="single" w:sz="12" w:space="0" w:color="auto"/>
            </w:tcBorders>
            <w:vAlign w:val="center"/>
          </w:tcPr>
          <w:p>
            <w:pPr>
              <w:ind w:right="-29"/>
              <w:jc w:val="center"/>
              <w:rPr>
                <w:noProof/>
                <w:sz w:val="18"/>
              </w:rPr>
            </w:pPr>
            <w:r>
              <w:rPr>
                <w:noProof/>
                <w:sz w:val="18"/>
              </w:rPr>
              <w:t>Výstup: proaktivní, praktická podpora pro země EU/EHP založená na poptávce</w:t>
            </w:r>
          </w:p>
        </w:tc>
        <w:tc>
          <w:tcPr>
            <w:tcW w:w="663" w:type="dxa"/>
            <w:gridSpan w:val="2"/>
            <w:tcBorders>
              <w:top w:val="single" w:sz="12" w:space="0" w:color="auto"/>
              <w:bottom w:val="single" w:sz="12" w:space="0" w:color="auto"/>
            </w:tcBorders>
          </w:tcPr>
          <w:p>
            <w:pPr>
              <w:spacing w:before="180" w:after="180"/>
              <w:ind w:right="-29"/>
              <w:jc w:val="center"/>
              <w:rPr>
                <w:noProof/>
                <w:sz w:val="18"/>
              </w:rPr>
            </w:pPr>
          </w:p>
        </w:tc>
        <w:tc>
          <w:tcPr>
            <w:tcW w:w="720" w:type="dxa"/>
            <w:gridSpan w:val="2"/>
            <w:tcBorders>
              <w:top w:val="single" w:sz="12" w:space="0" w:color="auto"/>
              <w:bottom w:val="single" w:sz="12" w:space="0" w:color="auto"/>
            </w:tcBorders>
          </w:tcPr>
          <w:p>
            <w:pPr>
              <w:spacing w:before="180" w:after="180"/>
              <w:ind w:right="-29"/>
              <w:jc w:val="center"/>
              <w:rPr>
                <w:noProof/>
                <w:sz w:val="18"/>
              </w:rPr>
            </w:pPr>
            <w:r>
              <w:rPr>
                <w:noProof/>
                <w:sz w:val="18"/>
              </w:rPr>
              <w:t>0,500</w:t>
            </w:r>
          </w:p>
        </w:tc>
        <w:tc>
          <w:tcPr>
            <w:tcW w:w="540" w:type="dxa"/>
            <w:gridSpan w:val="2"/>
            <w:tcBorders>
              <w:top w:val="single" w:sz="12" w:space="0" w:color="auto"/>
              <w:bottom w:val="single" w:sz="12" w:space="0" w:color="auto"/>
            </w:tcBorders>
          </w:tcPr>
          <w:p>
            <w:pPr>
              <w:spacing w:before="180" w:after="180"/>
              <w:ind w:right="-29"/>
              <w:jc w:val="center"/>
              <w:rPr>
                <w:noProof/>
                <w:sz w:val="18"/>
              </w:rPr>
            </w:pPr>
          </w:p>
        </w:tc>
        <w:tc>
          <w:tcPr>
            <w:tcW w:w="720" w:type="dxa"/>
            <w:gridSpan w:val="2"/>
            <w:tcBorders>
              <w:top w:val="single" w:sz="12" w:space="0" w:color="auto"/>
              <w:bottom w:val="single" w:sz="12" w:space="0" w:color="auto"/>
            </w:tcBorders>
          </w:tcPr>
          <w:p>
            <w:pPr>
              <w:spacing w:before="180" w:after="180"/>
              <w:ind w:right="-29"/>
              <w:jc w:val="center"/>
              <w:rPr>
                <w:noProof/>
                <w:sz w:val="18"/>
              </w:rPr>
            </w:pPr>
            <w:r>
              <w:rPr>
                <w:noProof/>
                <w:sz w:val="18"/>
              </w:rPr>
              <w:t>0,500</w:t>
            </w:r>
          </w:p>
        </w:tc>
        <w:tc>
          <w:tcPr>
            <w:tcW w:w="720" w:type="dxa"/>
            <w:gridSpan w:val="2"/>
            <w:tcBorders>
              <w:top w:val="single" w:sz="12" w:space="0" w:color="auto"/>
              <w:bottom w:val="single" w:sz="12" w:space="0" w:color="auto"/>
            </w:tcBorders>
          </w:tcPr>
          <w:p>
            <w:pPr>
              <w:spacing w:before="180" w:after="180"/>
              <w:ind w:right="-29"/>
              <w:jc w:val="center"/>
              <w:rPr>
                <w:noProof/>
                <w:sz w:val="18"/>
              </w:rPr>
            </w:pPr>
          </w:p>
        </w:tc>
        <w:tc>
          <w:tcPr>
            <w:tcW w:w="720" w:type="dxa"/>
            <w:gridSpan w:val="2"/>
            <w:tcBorders>
              <w:top w:val="single" w:sz="12" w:space="0" w:color="auto"/>
              <w:bottom w:val="single" w:sz="12" w:space="0" w:color="auto"/>
            </w:tcBorders>
          </w:tcPr>
          <w:p>
            <w:pPr>
              <w:spacing w:before="180" w:after="180"/>
              <w:ind w:right="-29"/>
              <w:jc w:val="center"/>
              <w:rPr>
                <w:noProof/>
                <w:sz w:val="18"/>
              </w:rPr>
            </w:pPr>
            <w:r>
              <w:rPr>
                <w:noProof/>
                <w:sz w:val="18"/>
              </w:rPr>
              <w:t>0,500</w:t>
            </w:r>
          </w:p>
        </w:tc>
        <w:tc>
          <w:tcPr>
            <w:tcW w:w="900" w:type="dxa"/>
            <w:gridSpan w:val="2"/>
            <w:tcBorders>
              <w:top w:val="single" w:sz="12" w:space="0" w:color="auto"/>
              <w:bottom w:val="single" w:sz="12" w:space="0" w:color="auto"/>
            </w:tcBorders>
          </w:tcPr>
          <w:p>
            <w:pPr>
              <w:spacing w:before="180" w:after="180"/>
              <w:ind w:right="-29"/>
              <w:jc w:val="center"/>
              <w:rPr>
                <w:noProof/>
                <w:sz w:val="18"/>
              </w:rPr>
            </w:pPr>
          </w:p>
        </w:tc>
        <w:tc>
          <w:tcPr>
            <w:tcW w:w="720" w:type="dxa"/>
            <w:gridSpan w:val="3"/>
            <w:tcBorders>
              <w:top w:val="single" w:sz="12" w:space="0" w:color="auto"/>
              <w:bottom w:val="single" w:sz="12" w:space="0" w:color="auto"/>
            </w:tcBorders>
          </w:tcPr>
          <w:p>
            <w:pPr>
              <w:spacing w:before="180" w:after="180"/>
              <w:ind w:right="-29"/>
              <w:jc w:val="center"/>
              <w:rPr>
                <w:noProof/>
                <w:sz w:val="18"/>
              </w:rPr>
            </w:pPr>
            <w:r>
              <w:rPr>
                <w:noProof/>
                <w:sz w:val="18"/>
              </w:rPr>
              <w:t>0,500</w:t>
            </w:r>
          </w:p>
        </w:tc>
        <w:tc>
          <w:tcPr>
            <w:tcW w:w="540" w:type="dxa"/>
            <w:gridSpan w:val="2"/>
            <w:tcBorders>
              <w:top w:val="single" w:sz="12" w:space="0" w:color="auto"/>
              <w:bottom w:val="single" w:sz="12" w:space="0" w:color="auto"/>
            </w:tcBorders>
          </w:tcPr>
          <w:p>
            <w:pPr>
              <w:spacing w:before="180" w:after="180"/>
              <w:ind w:right="-29"/>
              <w:jc w:val="center"/>
              <w:rPr>
                <w:noProof/>
                <w:sz w:val="18"/>
              </w:rPr>
            </w:pPr>
          </w:p>
        </w:tc>
        <w:tc>
          <w:tcPr>
            <w:tcW w:w="648" w:type="dxa"/>
            <w:gridSpan w:val="2"/>
            <w:tcBorders>
              <w:top w:val="single" w:sz="12" w:space="0" w:color="auto"/>
              <w:bottom w:val="single" w:sz="12" w:space="0" w:color="auto"/>
            </w:tcBorders>
          </w:tcPr>
          <w:p>
            <w:pPr>
              <w:spacing w:before="180" w:after="180"/>
              <w:ind w:right="-29"/>
              <w:jc w:val="center"/>
              <w:rPr>
                <w:noProof/>
                <w:sz w:val="18"/>
              </w:rPr>
            </w:pPr>
            <w:r>
              <w:rPr>
                <w:noProof/>
                <w:sz w:val="18"/>
              </w:rPr>
              <w:t>0,500</w:t>
            </w:r>
          </w:p>
        </w:tc>
        <w:tc>
          <w:tcPr>
            <w:tcW w:w="432" w:type="dxa"/>
            <w:gridSpan w:val="2"/>
            <w:tcBorders>
              <w:top w:val="single" w:sz="12" w:space="0" w:color="auto"/>
              <w:bottom w:val="single" w:sz="12" w:space="0" w:color="auto"/>
            </w:tcBorders>
          </w:tcPr>
          <w:p>
            <w:pPr>
              <w:spacing w:before="180" w:after="180"/>
              <w:ind w:right="-29"/>
              <w:jc w:val="center"/>
              <w:rPr>
                <w:noProof/>
                <w:sz w:val="18"/>
              </w:rPr>
            </w:pPr>
          </w:p>
        </w:tc>
        <w:tc>
          <w:tcPr>
            <w:tcW w:w="720" w:type="dxa"/>
            <w:gridSpan w:val="2"/>
            <w:tcBorders>
              <w:top w:val="single" w:sz="12" w:space="0" w:color="auto"/>
              <w:bottom w:val="single" w:sz="12" w:space="0" w:color="auto"/>
            </w:tcBorders>
          </w:tcPr>
          <w:p>
            <w:pPr>
              <w:spacing w:before="180" w:after="180"/>
              <w:ind w:right="-29"/>
              <w:jc w:val="center"/>
              <w:rPr>
                <w:noProof/>
                <w:sz w:val="18"/>
              </w:rPr>
            </w:pPr>
            <w:r>
              <w:rPr>
                <w:noProof/>
                <w:sz w:val="18"/>
              </w:rPr>
              <w:t>0,500</w:t>
            </w:r>
          </w:p>
        </w:tc>
        <w:tc>
          <w:tcPr>
            <w:tcW w:w="540" w:type="dxa"/>
            <w:gridSpan w:val="3"/>
            <w:tcBorders>
              <w:top w:val="single" w:sz="12" w:space="0" w:color="auto"/>
              <w:bottom w:val="single" w:sz="12" w:space="0" w:color="auto"/>
            </w:tcBorders>
          </w:tcPr>
          <w:p>
            <w:pPr>
              <w:spacing w:before="180" w:after="180"/>
              <w:ind w:right="-29"/>
              <w:jc w:val="center"/>
              <w:rPr>
                <w:noProof/>
                <w:sz w:val="18"/>
              </w:rPr>
            </w:pPr>
          </w:p>
        </w:tc>
        <w:tc>
          <w:tcPr>
            <w:tcW w:w="723" w:type="dxa"/>
            <w:gridSpan w:val="2"/>
            <w:tcBorders>
              <w:top w:val="single" w:sz="12" w:space="0" w:color="auto"/>
              <w:bottom w:val="single" w:sz="12" w:space="0" w:color="auto"/>
            </w:tcBorders>
          </w:tcPr>
          <w:p>
            <w:pPr>
              <w:spacing w:before="180" w:after="180"/>
              <w:ind w:right="-29"/>
              <w:jc w:val="center"/>
              <w:rPr>
                <w:noProof/>
                <w:sz w:val="18"/>
              </w:rPr>
            </w:pPr>
            <w:r>
              <w:rPr>
                <w:noProof/>
                <w:sz w:val="18"/>
              </w:rPr>
              <w:t>0,500</w:t>
            </w:r>
          </w:p>
        </w:tc>
        <w:tc>
          <w:tcPr>
            <w:tcW w:w="720" w:type="dxa"/>
            <w:gridSpan w:val="2"/>
            <w:tcBorders>
              <w:top w:val="single" w:sz="12" w:space="0" w:color="auto"/>
              <w:bottom w:val="single" w:sz="12" w:space="0" w:color="auto"/>
            </w:tcBorders>
          </w:tcPr>
          <w:p>
            <w:pPr>
              <w:spacing w:before="180" w:after="180"/>
              <w:ind w:right="-29"/>
              <w:jc w:val="center"/>
              <w:rPr>
                <w:noProof/>
                <w:sz w:val="18"/>
              </w:rPr>
            </w:pPr>
          </w:p>
        </w:tc>
        <w:tc>
          <w:tcPr>
            <w:tcW w:w="900" w:type="dxa"/>
            <w:gridSpan w:val="2"/>
            <w:tcBorders>
              <w:top w:val="single" w:sz="12" w:space="0" w:color="auto"/>
              <w:bottom w:val="single" w:sz="12" w:space="0" w:color="auto"/>
              <w:right w:val="single" w:sz="12" w:space="0" w:color="auto"/>
            </w:tcBorders>
          </w:tcPr>
          <w:p>
            <w:pPr>
              <w:spacing w:before="180" w:after="180"/>
              <w:ind w:right="-29"/>
              <w:jc w:val="center"/>
              <w:rPr>
                <w:noProof/>
                <w:sz w:val="18"/>
              </w:rPr>
            </w:pPr>
            <w:r>
              <w:rPr>
                <w:noProof/>
                <w:sz w:val="18"/>
              </w:rPr>
              <w:t>3,500</w:t>
            </w:r>
          </w:p>
        </w:tc>
      </w:tr>
      <w:tr>
        <w:trPr>
          <w:gridAfter w:val="1"/>
          <w:wAfter w:w="12" w:type="dxa"/>
          <w:jc w:val="center"/>
        </w:trPr>
        <w:tc>
          <w:tcPr>
            <w:tcW w:w="2685" w:type="dxa"/>
            <w:gridSpan w:val="3"/>
            <w:tcBorders>
              <w:top w:val="single" w:sz="12" w:space="0" w:color="auto"/>
              <w:left w:val="single" w:sz="12" w:space="0" w:color="auto"/>
              <w:bottom w:val="single" w:sz="12" w:space="0" w:color="auto"/>
            </w:tcBorders>
            <w:vAlign w:val="center"/>
          </w:tcPr>
          <w:p>
            <w:pPr>
              <w:ind w:right="-29"/>
              <w:jc w:val="center"/>
              <w:rPr>
                <w:noProof/>
                <w:sz w:val="18"/>
              </w:rPr>
            </w:pPr>
            <w:r>
              <w:rPr>
                <w:noProof/>
                <w:sz w:val="18"/>
              </w:rPr>
              <w:t>Výstup: místní intervence v krizových oblastech EU – na žádost, koordinace s národními odborníky, kteří tým podporují</w:t>
            </w:r>
          </w:p>
        </w:tc>
        <w:tc>
          <w:tcPr>
            <w:tcW w:w="663" w:type="dxa"/>
            <w:gridSpan w:val="2"/>
            <w:tcBorders>
              <w:top w:val="single" w:sz="12" w:space="0" w:color="auto"/>
              <w:bottom w:val="single" w:sz="12" w:space="0" w:color="auto"/>
            </w:tcBorders>
          </w:tcPr>
          <w:p>
            <w:pPr>
              <w:spacing w:before="180" w:after="180"/>
              <w:ind w:right="-29"/>
              <w:jc w:val="center"/>
              <w:rPr>
                <w:noProof/>
                <w:sz w:val="18"/>
              </w:rPr>
            </w:pPr>
          </w:p>
        </w:tc>
        <w:tc>
          <w:tcPr>
            <w:tcW w:w="720" w:type="dxa"/>
            <w:gridSpan w:val="2"/>
            <w:tcBorders>
              <w:top w:val="single" w:sz="12" w:space="0" w:color="auto"/>
              <w:bottom w:val="single" w:sz="12" w:space="0" w:color="auto"/>
            </w:tcBorders>
          </w:tcPr>
          <w:p>
            <w:pPr>
              <w:spacing w:before="180" w:after="180"/>
              <w:ind w:right="-29"/>
              <w:jc w:val="center"/>
              <w:rPr>
                <w:noProof/>
                <w:sz w:val="18"/>
              </w:rPr>
            </w:pPr>
            <w:r>
              <w:rPr>
                <w:noProof/>
                <w:sz w:val="18"/>
              </w:rPr>
              <w:t>0,100</w:t>
            </w:r>
          </w:p>
        </w:tc>
        <w:tc>
          <w:tcPr>
            <w:tcW w:w="540" w:type="dxa"/>
            <w:gridSpan w:val="2"/>
            <w:tcBorders>
              <w:top w:val="single" w:sz="12" w:space="0" w:color="auto"/>
              <w:bottom w:val="single" w:sz="12" w:space="0" w:color="auto"/>
            </w:tcBorders>
          </w:tcPr>
          <w:p>
            <w:pPr>
              <w:spacing w:before="180" w:after="180"/>
              <w:ind w:right="-29"/>
              <w:jc w:val="center"/>
              <w:rPr>
                <w:noProof/>
                <w:sz w:val="18"/>
              </w:rPr>
            </w:pPr>
          </w:p>
        </w:tc>
        <w:tc>
          <w:tcPr>
            <w:tcW w:w="720" w:type="dxa"/>
            <w:gridSpan w:val="2"/>
            <w:tcBorders>
              <w:top w:val="single" w:sz="12" w:space="0" w:color="auto"/>
              <w:bottom w:val="single" w:sz="12" w:space="0" w:color="auto"/>
            </w:tcBorders>
          </w:tcPr>
          <w:p>
            <w:pPr>
              <w:spacing w:before="180" w:after="180"/>
              <w:ind w:right="-29"/>
              <w:jc w:val="center"/>
              <w:rPr>
                <w:noProof/>
                <w:sz w:val="18"/>
              </w:rPr>
            </w:pPr>
            <w:r>
              <w:rPr>
                <w:noProof/>
                <w:sz w:val="18"/>
              </w:rPr>
              <w:t>0,100</w:t>
            </w:r>
          </w:p>
        </w:tc>
        <w:tc>
          <w:tcPr>
            <w:tcW w:w="720" w:type="dxa"/>
            <w:gridSpan w:val="2"/>
            <w:tcBorders>
              <w:top w:val="single" w:sz="12" w:space="0" w:color="auto"/>
              <w:bottom w:val="single" w:sz="12" w:space="0" w:color="auto"/>
            </w:tcBorders>
          </w:tcPr>
          <w:p>
            <w:pPr>
              <w:spacing w:before="180" w:after="180"/>
              <w:ind w:right="-29"/>
              <w:jc w:val="center"/>
              <w:rPr>
                <w:noProof/>
                <w:sz w:val="18"/>
              </w:rPr>
            </w:pPr>
          </w:p>
        </w:tc>
        <w:tc>
          <w:tcPr>
            <w:tcW w:w="720" w:type="dxa"/>
            <w:gridSpan w:val="2"/>
            <w:tcBorders>
              <w:top w:val="single" w:sz="12" w:space="0" w:color="auto"/>
              <w:bottom w:val="single" w:sz="12" w:space="0" w:color="auto"/>
            </w:tcBorders>
          </w:tcPr>
          <w:p>
            <w:pPr>
              <w:spacing w:before="180" w:after="180"/>
              <w:ind w:right="-29"/>
              <w:jc w:val="center"/>
              <w:rPr>
                <w:noProof/>
                <w:sz w:val="18"/>
              </w:rPr>
            </w:pPr>
            <w:r>
              <w:rPr>
                <w:noProof/>
                <w:sz w:val="18"/>
              </w:rPr>
              <w:t>0,100</w:t>
            </w:r>
          </w:p>
        </w:tc>
        <w:tc>
          <w:tcPr>
            <w:tcW w:w="900" w:type="dxa"/>
            <w:gridSpan w:val="2"/>
            <w:tcBorders>
              <w:top w:val="single" w:sz="12" w:space="0" w:color="auto"/>
              <w:bottom w:val="single" w:sz="12" w:space="0" w:color="auto"/>
            </w:tcBorders>
          </w:tcPr>
          <w:p>
            <w:pPr>
              <w:spacing w:before="180" w:after="180"/>
              <w:ind w:right="-29"/>
              <w:jc w:val="center"/>
              <w:rPr>
                <w:noProof/>
                <w:sz w:val="18"/>
              </w:rPr>
            </w:pPr>
          </w:p>
        </w:tc>
        <w:tc>
          <w:tcPr>
            <w:tcW w:w="720" w:type="dxa"/>
            <w:gridSpan w:val="3"/>
            <w:tcBorders>
              <w:top w:val="single" w:sz="12" w:space="0" w:color="auto"/>
              <w:bottom w:val="single" w:sz="12" w:space="0" w:color="auto"/>
            </w:tcBorders>
          </w:tcPr>
          <w:p>
            <w:pPr>
              <w:spacing w:before="180" w:after="180"/>
              <w:ind w:right="-29"/>
              <w:jc w:val="center"/>
              <w:rPr>
                <w:noProof/>
                <w:sz w:val="18"/>
              </w:rPr>
            </w:pPr>
            <w:r>
              <w:rPr>
                <w:noProof/>
                <w:sz w:val="18"/>
              </w:rPr>
              <w:t>0,100</w:t>
            </w:r>
          </w:p>
        </w:tc>
        <w:tc>
          <w:tcPr>
            <w:tcW w:w="540" w:type="dxa"/>
            <w:gridSpan w:val="2"/>
            <w:tcBorders>
              <w:top w:val="single" w:sz="12" w:space="0" w:color="auto"/>
              <w:bottom w:val="single" w:sz="12" w:space="0" w:color="auto"/>
            </w:tcBorders>
          </w:tcPr>
          <w:p>
            <w:pPr>
              <w:spacing w:before="180" w:after="180"/>
              <w:ind w:right="-29"/>
              <w:jc w:val="center"/>
              <w:rPr>
                <w:noProof/>
                <w:sz w:val="18"/>
              </w:rPr>
            </w:pPr>
          </w:p>
        </w:tc>
        <w:tc>
          <w:tcPr>
            <w:tcW w:w="648" w:type="dxa"/>
            <w:gridSpan w:val="2"/>
            <w:tcBorders>
              <w:top w:val="single" w:sz="12" w:space="0" w:color="auto"/>
              <w:bottom w:val="single" w:sz="12" w:space="0" w:color="auto"/>
            </w:tcBorders>
          </w:tcPr>
          <w:p>
            <w:pPr>
              <w:spacing w:before="180" w:after="180"/>
              <w:ind w:right="-29"/>
              <w:jc w:val="center"/>
              <w:rPr>
                <w:noProof/>
                <w:sz w:val="18"/>
              </w:rPr>
            </w:pPr>
            <w:r>
              <w:rPr>
                <w:noProof/>
                <w:sz w:val="18"/>
              </w:rPr>
              <w:t>0,100</w:t>
            </w:r>
          </w:p>
        </w:tc>
        <w:tc>
          <w:tcPr>
            <w:tcW w:w="432" w:type="dxa"/>
            <w:gridSpan w:val="2"/>
            <w:tcBorders>
              <w:top w:val="single" w:sz="12" w:space="0" w:color="auto"/>
              <w:bottom w:val="single" w:sz="12" w:space="0" w:color="auto"/>
            </w:tcBorders>
          </w:tcPr>
          <w:p>
            <w:pPr>
              <w:spacing w:before="180" w:after="180"/>
              <w:ind w:right="-29"/>
              <w:jc w:val="center"/>
              <w:rPr>
                <w:noProof/>
                <w:sz w:val="18"/>
              </w:rPr>
            </w:pPr>
          </w:p>
        </w:tc>
        <w:tc>
          <w:tcPr>
            <w:tcW w:w="720" w:type="dxa"/>
            <w:gridSpan w:val="2"/>
            <w:tcBorders>
              <w:top w:val="single" w:sz="12" w:space="0" w:color="auto"/>
              <w:bottom w:val="single" w:sz="12" w:space="0" w:color="auto"/>
            </w:tcBorders>
          </w:tcPr>
          <w:p>
            <w:pPr>
              <w:spacing w:before="180" w:after="180"/>
              <w:ind w:right="-29"/>
              <w:jc w:val="center"/>
              <w:rPr>
                <w:noProof/>
                <w:sz w:val="18"/>
              </w:rPr>
            </w:pPr>
            <w:r>
              <w:rPr>
                <w:noProof/>
                <w:sz w:val="18"/>
              </w:rPr>
              <w:t>0,100</w:t>
            </w:r>
          </w:p>
        </w:tc>
        <w:tc>
          <w:tcPr>
            <w:tcW w:w="540" w:type="dxa"/>
            <w:gridSpan w:val="3"/>
            <w:tcBorders>
              <w:top w:val="single" w:sz="12" w:space="0" w:color="auto"/>
              <w:bottom w:val="single" w:sz="12" w:space="0" w:color="auto"/>
            </w:tcBorders>
          </w:tcPr>
          <w:p>
            <w:pPr>
              <w:spacing w:before="180" w:after="180"/>
              <w:ind w:right="-29"/>
              <w:jc w:val="center"/>
              <w:rPr>
                <w:noProof/>
                <w:sz w:val="18"/>
              </w:rPr>
            </w:pPr>
          </w:p>
        </w:tc>
        <w:tc>
          <w:tcPr>
            <w:tcW w:w="723" w:type="dxa"/>
            <w:gridSpan w:val="2"/>
            <w:tcBorders>
              <w:top w:val="single" w:sz="12" w:space="0" w:color="auto"/>
              <w:bottom w:val="single" w:sz="12" w:space="0" w:color="auto"/>
            </w:tcBorders>
          </w:tcPr>
          <w:p>
            <w:pPr>
              <w:spacing w:before="180" w:after="180"/>
              <w:ind w:right="-29"/>
              <w:jc w:val="center"/>
              <w:rPr>
                <w:noProof/>
                <w:sz w:val="18"/>
              </w:rPr>
            </w:pPr>
            <w:r>
              <w:rPr>
                <w:noProof/>
                <w:sz w:val="18"/>
              </w:rPr>
              <w:t>0,100</w:t>
            </w:r>
          </w:p>
        </w:tc>
        <w:tc>
          <w:tcPr>
            <w:tcW w:w="720" w:type="dxa"/>
            <w:gridSpan w:val="2"/>
            <w:tcBorders>
              <w:top w:val="single" w:sz="12" w:space="0" w:color="auto"/>
              <w:bottom w:val="single" w:sz="12" w:space="0" w:color="auto"/>
            </w:tcBorders>
          </w:tcPr>
          <w:p>
            <w:pPr>
              <w:spacing w:before="180" w:after="180"/>
              <w:ind w:right="-29"/>
              <w:jc w:val="center"/>
              <w:rPr>
                <w:noProof/>
                <w:sz w:val="18"/>
              </w:rPr>
            </w:pPr>
          </w:p>
        </w:tc>
        <w:tc>
          <w:tcPr>
            <w:tcW w:w="900" w:type="dxa"/>
            <w:gridSpan w:val="2"/>
            <w:tcBorders>
              <w:top w:val="single" w:sz="12" w:space="0" w:color="auto"/>
              <w:bottom w:val="single" w:sz="12" w:space="0" w:color="auto"/>
              <w:right w:val="single" w:sz="12" w:space="0" w:color="auto"/>
            </w:tcBorders>
          </w:tcPr>
          <w:p>
            <w:pPr>
              <w:spacing w:before="180" w:after="180"/>
              <w:ind w:right="-29"/>
              <w:jc w:val="center"/>
              <w:rPr>
                <w:noProof/>
                <w:sz w:val="18"/>
              </w:rPr>
            </w:pPr>
            <w:r>
              <w:rPr>
                <w:noProof/>
                <w:sz w:val="18"/>
              </w:rPr>
              <w:t>0,700</w:t>
            </w:r>
          </w:p>
        </w:tc>
      </w:tr>
      <w:tr>
        <w:trPr>
          <w:gridAfter w:val="1"/>
          <w:wAfter w:w="12" w:type="dxa"/>
          <w:jc w:val="center"/>
        </w:trPr>
        <w:tc>
          <w:tcPr>
            <w:tcW w:w="2685" w:type="dxa"/>
            <w:gridSpan w:val="3"/>
            <w:tcBorders>
              <w:top w:val="single" w:sz="12" w:space="0" w:color="auto"/>
              <w:left w:val="single" w:sz="12" w:space="0" w:color="auto"/>
              <w:bottom w:val="single" w:sz="12" w:space="0" w:color="auto"/>
            </w:tcBorders>
            <w:vAlign w:val="center"/>
          </w:tcPr>
          <w:p>
            <w:pPr>
              <w:ind w:right="-29"/>
              <w:jc w:val="center"/>
              <w:rPr>
                <w:noProof/>
                <w:sz w:val="18"/>
              </w:rPr>
            </w:pPr>
            <w:r>
              <w:rPr>
                <w:noProof/>
                <w:sz w:val="18"/>
              </w:rPr>
              <w:t>Mezisoučet za specifický cíl č. 5</w:t>
            </w:r>
          </w:p>
        </w:tc>
        <w:tc>
          <w:tcPr>
            <w:tcW w:w="663" w:type="dxa"/>
            <w:gridSpan w:val="2"/>
            <w:tcBorders>
              <w:top w:val="single" w:sz="12" w:space="0" w:color="auto"/>
              <w:bottom w:val="single" w:sz="12" w:space="0" w:color="auto"/>
            </w:tcBorders>
          </w:tcPr>
          <w:p>
            <w:pPr>
              <w:spacing w:before="180" w:after="180"/>
              <w:ind w:right="-29"/>
              <w:jc w:val="center"/>
              <w:rPr>
                <w:noProof/>
                <w:sz w:val="18"/>
              </w:rPr>
            </w:pPr>
          </w:p>
        </w:tc>
        <w:tc>
          <w:tcPr>
            <w:tcW w:w="720" w:type="dxa"/>
            <w:gridSpan w:val="2"/>
            <w:tcBorders>
              <w:top w:val="single" w:sz="12" w:space="0" w:color="auto"/>
              <w:bottom w:val="single" w:sz="12" w:space="0" w:color="auto"/>
            </w:tcBorders>
          </w:tcPr>
          <w:p>
            <w:pPr>
              <w:spacing w:before="180" w:after="180"/>
              <w:ind w:right="-29"/>
              <w:jc w:val="center"/>
              <w:rPr>
                <w:noProof/>
                <w:sz w:val="18"/>
              </w:rPr>
            </w:pPr>
            <w:r>
              <w:rPr>
                <w:noProof/>
                <w:sz w:val="18"/>
              </w:rPr>
              <w:t>0,600</w:t>
            </w:r>
          </w:p>
        </w:tc>
        <w:tc>
          <w:tcPr>
            <w:tcW w:w="540" w:type="dxa"/>
            <w:gridSpan w:val="2"/>
            <w:tcBorders>
              <w:top w:val="single" w:sz="12" w:space="0" w:color="auto"/>
              <w:bottom w:val="single" w:sz="12" w:space="0" w:color="auto"/>
            </w:tcBorders>
          </w:tcPr>
          <w:p>
            <w:pPr>
              <w:spacing w:before="180" w:after="180"/>
              <w:ind w:right="-29"/>
              <w:jc w:val="center"/>
              <w:rPr>
                <w:noProof/>
                <w:sz w:val="18"/>
              </w:rPr>
            </w:pPr>
          </w:p>
        </w:tc>
        <w:tc>
          <w:tcPr>
            <w:tcW w:w="720" w:type="dxa"/>
            <w:gridSpan w:val="2"/>
            <w:tcBorders>
              <w:top w:val="single" w:sz="12" w:space="0" w:color="auto"/>
              <w:bottom w:val="single" w:sz="12" w:space="0" w:color="auto"/>
            </w:tcBorders>
          </w:tcPr>
          <w:p>
            <w:pPr>
              <w:spacing w:before="180" w:after="180"/>
              <w:ind w:right="-29"/>
              <w:jc w:val="center"/>
              <w:rPr>
                <w:noProof/>
                <w:sz w:val="18"/>
              </w:rPr>
            </w:pPr>
            <w:r>
              <w:rPr>
                <w:noProof/>
                <w:sz w:val="18"/>
              </w:rPr>
              <w:t>0,600</w:t>
            </w:r>
          </w:p>
        </w:tc>
        <w:tc>
          <w:tcPr>
            <w:tcW w:w="720" w:type="dxa"/>
            <w:gridSpan w:val="2"/>
            <w:tcBorders>
              <w:top w:val="single" w:sz="12" w:space="0" w:color="auto"/>
              <w:bottom w:val="single" w:sz="12" w:space="0" w:color="auto"/>
            </w:tcBorders>
          </w:tcPr>
          <w:p>
            <w:pPr>
              <w:spacing w:before="180" w:after="180"/>
              <w:ind w:right="-29"/>
              <w:jc w:val="center"/>
              <w:rPr>
                <w:noProof/>
                <w:sz w:val="18"/>
              </w:rPr>
            </w:pPr>
          </w:p>
        </w:tc>
        <w:tc>
          <w:tcPr>
            <w:tcW w:w="720" w:type="dxa"/>
            <w:gridSpan w:val="2"/>
            <w:tcBorders>
              <w:top w:val="single" w:sz="12" w:space="0" w:color="auto"/>
              <w:bottom w:val="single" w:sz="12" w:space="0" w:color="auto"/>
            </w:tcBorders>
          </w:tcPr>
          <w:p>
            <w:pPr>
              <w:spacing w:before="180" w:after="180"/>
              <w:ind w:right="-29"/>
              <w:jc w:val="center"/>
              <w:rPr>
                <w:noProof/>
                <w:sz w:val="18"/>
              </w:rPr>
            </w:pPr>
            <w:r>
              <w:rPr>
                <w:noProof/>
                <w:sz w:val="18"/>
              </w:rPr>
              <w:t>0,600</w:t>
            </w:r>
          </w:p>
        </w:tc>
        <w:tc>
          <w:tcPr>
            <w:tcW w:w="900" w:type="dxa"/>
            <w:gridSpan w:val="2"/>
            <w:tcBorders>
              <w:top w:val="single" w:sz="12" w:space="0" w:color="auto"/>
              <w:bottom w:val="single" w:sz="12" w:space="0" w:color="auto"/>
            </w:tcBorders>
          </w:tcPr>
          <w:p>
            <w:pPr>
              <w:spacing w:before="180" w:after="180"/>
              <w:ind w:right="-29"/>
              <w:jc w:val="center"/>
              <w:rPr>
                <w:noProof/>
                <w:sz w:val="18"/>
              </w:rPr>
            </w:pPr>
          </w:p>
        </w:tc>
        <w:tc>
          <w:tcPr>
            <w:tcW w:w="720" w:type="dxa"/>
            <w:gridSpan w:val="3"/>
            <w:tcBorders>
              <w:top w:val="single" w:sz="12" w:space="0" w:color="auto"/>
              <w:bottom w:val="single" w:sz="12" w:space="0" w:color="auto"/>
            </w:tcBorders>
          </w:tcPr>
          <w:p>
            <w:pPr>
              <w:spacing w:before="180" w:after="180"/>
              <w:ind w:right="-29"/>
              <w:jc w:val="center"/>
              <w:rPr>
                <w:noProof/>
                <w:sz w:val="18"/>
              </w:rPr>
            </w:pPr>
            <w:r>
              <w:rPr>
                <w:noProof/>
                <w:sz w:val="18"/>
              </w:rPr>
              <w:t>0,600</w:t>
            </w:r>
          </w:p>
        </w:tc>
        <w:tc>
          <w:tcPr>
            <w:tcW w:w="540" w:type="dxa"/>
            <w:gridSpan w:val="2"/>
            <w:tcBorders>
              <w:top w:val="single" w:sz="12" w:space="0" w:color="auto"/>
              <w:bottom w:val="single" w:sz="12" w:space="0" w:color="auto"/>
            </w:tcBorders>
          </w:tcPr>
          <w:p>
            <w:pPr>
              <w:spacing w:before="180" w:after="180"/>
              <w:ind w:right="-29"/>
              <w:jc w:val="center"/>
              <w:rPr>
                <w:noProof/>
                <w:sz w:val="18"/>
              </w:rPr>
            </w:pPr>
          </w:p>
        </w:tc>
        <w:tc>
          <w:tcPr>
            <w:tcW w:w="648" w:type="dxa"/>
            <w:gridSpan w:val="2"/>
            <w:tcBorders>
              <w:top w:val="single" w:sz="12" w:space="0" w:color="auto"/>
              <w:bottom w:val="single" w:sz="12" w:space="0" w:color="auto"/>
            </w:tcBorders>
          </w:tcPr>
          <w:p>
            <w:pPr>
              <w:spacing w:before="180" w:after="180"/>
              <w:ind w:right="-29"/>
              <w:jc w:val="center"/>
              <w:rPr>
                <w:noProof/>
                <w:sz w:val="18"/>
              </w:rPr>
            </w:pPr>
            <w:r>
              <w:rPr>
                <w:noProof/>
                <w:sz w:val="18"/>
              </w:rPr>
              <w:t>0,600</w:t>
            </w:r>
          </w:p>
        </w:tc>
        <w:tc>
          <w:tcPr>
            <w:tcW w:w="432" w:type="dxa"/>
            <w:gridSpan w:val="2"/>
            <w:tcBorders>
              <w:top w:val="single" w:sz="12" w:space="0" w:color="auto"/>
              <w:bottom w:val="single" w:sz="12" w:space="0" w:color="auto"/>
            </w:tcBorders>
          </w:tcPr>
          <w:p>
            <w:pPr>
              <w:spacing w:before="180" w:after="180"/>
              <w:ind w:right="-29"/>
              <w:jc w:val="center"/>
              <w:rPr>
                <w:noProof/>
                <w:sz w:val="18"/>
              </w:rPr>
            </w:pPr>
          </w:p>
        </w:tc>
        <w:tc>
          <w:tcPr>
            <w:tcW w:w="720" w:type="dxa"/>
            <w:gridSpan w:val="2"/>
            <w:tcBorders>
              <w:top w:val="single" w:sz="12" w:space="0" w:color="auto"/>
              <w:bottom w:val="single" w:sz="12" w:space="0" w:color="auto"/>
            </w:tcBorders>
          </w:tcPr>
          <w:p>
            <w:pPr>
              <w:spacing w:before="180" w:after="180"/>
              <w:ind w:right="-29"/>
              <w:jc w:val="center"/>
              <w:rPr>
                <w:noProof/>
                <w:sz w:val="18"/>
              </w:rPr>
            </w:pPr>
            <w:r>
              <w:rPr>
                <w:noProof/>
                <w:sz w:val="18"/>
              </w:rPr>
              <w:t>0,600</w:t>
            </w:r>
          </w:p>
        </w:tc>
        <w:tc>
          <w:tcPr>
            <w:tcW w:w="540" w:type="dxa"/>
            <w:gridSpan w:val="3"/>
            <w:tcBorders>
              <w:top w:val="single" w:sz="12" w:space="0" w:color="auto"/>
              <w:bottom w:val="single" w:sz="12" w:space="0" w:color="auto"/>
            </w:tcBorders>
          </w:tcPr>
          <w:p>
            <w:pPr>
              <w:spacing w:before="180" w:after="180"/>
              <w:ind w:right="-29"/>
              <w:jc w:val="center"/>
              <w:rPr>
                <w:noProof/>
                <w:sz w:val="18"/>
              </w:rPr>
            </w:pPr>
          </w:p>
        </w:tc>
        <w:tc>
          <w:tcPr>
            <w:tcW w:w="723" w:type="dxa"/>
            <w:gridSpan w:val="2"/>
            <w:tcBorders>
              <w:top w:val="single" w:sz="12" w:space="0" w:color="auto"/>
              <w:bottom w:val="single" w:sz="12" w:space="0" w:color="auto"/>
            </w:tcBorders>
          </w:tcPr>
          <w:p>
            <w:pPr>
              <w:spacing w:before="180" w:after="180"/>
              <w:ind w:right="-29"/>
              <w:jc w:val="center"/>
              <w:rPr>
                <w:noProof/>
                <w:sz w:val="18"/>
              </w:rPr>
            </w:pPr>
            <w:r>
              <w:rPr>
                <w:noProof/>
                <w:sz w:val="18"/>
              </w:rPr>
              <w:t>0,600</w:t>
            </w:r>
          </w:p>
        </w:tc>
        <w:tc>
          <w:tcPr>
            <w:tcW w:w="720" w:type="dxa"/>
            <w:gridSpan w:val="2"/>
            <w:tcBorders>
              <w:top w:val="single" w:sz="12" w:space="0" w:color="auto"/>
              <w:bottom w:val="single" w:sz="12" w:space="0" w:color="auto"/>
            </w:tcBorders>
          </w:tcPr>
          <w:p>
            <w:pPr>
              <w:spacing w:before="180" w:after="180"/>
              <w:ind w:right="-29"/>
              <w:jc w:val="center"/>
              <w:rPr>
                <w:noProof/>
                <w:sz w:val="18"/>
              </w:rPr>
            </w:pPr>
          </w:p>
        </w:tc>
        <w:tc>
          <w:tcPr>
            <w:tcW w:w="900" w:type="dxa"/>
            <w:gridSpan w:val="2"/>
            <w:tcBorders>
              <w:top w:val="single" w:sz="12" w:space="0" w:color="auto"/>
              <w:bottom w:val="single" w:sz="12" w:space="0" w:color="auto"/>
              <w:right w:val="single" w:sz="12" w:space="0" w:color="auto"/>
            </w:tcBorders>
          </w:tcPr>
          <w:p>
            <w:pPr>
              <w:spacing w:before="180" w:after="180"/>
              <w:ind w:right="-29"/>
              <w:jc w:val="center"/>
              <w:rPr>
                <w:noProof/>
                <w:sz w:val="18"/>
              </w:rPr>
            </w:pPr>
            <w:r>
              <w:rPr>
                <w:noProof/>
                <w:sz w:val="18"/>
              </w:rPr>
              <w:t>4,200</w:t>
            </w:r>
          </w:p>
        </w:tc>
      </w:tr>
      <w:tr>
        <w:trPr>
          <w:gridAfter w:val="1"/>
          <w:wAfter w:w="12" w:type="dxa"/>
          <w:jc w:val="center"/>
        </w:trPr>
        <w:tc>
          <w:tcPr>
            <w:tcW w:w="13611" w:type="dxa"/>
            <w:gridSpan w:val="37"/>
            <w:tcBorders>
              <w:top w:val="single" w:sz="12" w:space="0" w:color="auto"/>
              <w:left w:val="single" w:sz="12" w:space="0" w:color="auto"/>
              <w:bottom w:val="single" w:sz="12" w:space="0" w:color="auto"/>
              <w:right w:val="single" w:sz="12" w:space="0" w:color="auto"/>
            </w:tcBorders>
            <w:vAlign w:val="center"/>
          </w:tcPr>
          <w:p>
            <w:pPr>
              <w:spacing w:before="180" w:after="180"/>
              <w:ind w:right="-29"/>
              <w:jc w:val="center"/>
              <w:rPr>
                <w:noProof/>
                <w:sz w:val="18"/>
              </w:rPr>
            </w:pPr>
            <w:r>
              <w:rPr>
                <w:noProof/>
                <w:sz w:val="18"/>
              </w:rPr>
              <w:t>SPECIFICKÝ CÍL č. 6 zlepšit mezinárodní spolupráci a shromažďovat regionální/vnitrostátní informace</w:t>
            </w:r>
          </w:p>
        </w:tc>
      </w:tr>
      <w:tr>
        <w:trPr>
          <w:gridAfter w:val="1"/>
          <w:wAfter w:w="12" w:type="dxa"/>
          <w:jc w:val="center"/>
        </w:trPr>
        <w:tc>
          <w:tcPr>
            <w:tcW w:w="2685" w:type="dxa"/>
            <w:gridSpan w:val="3"/>
            <w:tcBorders>
              <w:top w:val="single" w:sz="12" w:space="0" w:color="auto"/>
              <w:left w:val="single" w:sz="12" w:space="0" w:color="auto"/>
              <w:bottom w:val="single" w:sz="12" w:space="0" w:color="auto"/>
            </w:tcBorders>
            <w:vAlign w:val="center"/>
          </w:tcPr>
          <w:p>
            <w:pPr>
              <w:ind w:right="-29"/>
              <w:jc w:val="center"/>
              <w:rPr>
                <w:noProof/>
                <w:sz w:val="18"/>
              </w:rPr>
            </w:pPr>
            <w:r>
              <w:rPr>
                <w:noProof/>
                <w:sz w:val="18"/>
              </w:rPr>
              <w:t>Výstup: koordinace na místě s mezinárodními orgány a dalšími středisky CDC</w:t>
            </w:r>
          </w:p>
        </w:tc>
        <w:tc>
          <w:tcPr>
            <w:tcW w:w="663" w:type="dxa"/>
            <w:gridSpan w:val="2"/>
            <w:tcBorders>
              <w:top w:val="single" w:sz="12" w:space="0" w:color="auto"/>
              <w:bottom w:val="single" w:sz="12" w:space="0" w:color="auto"/>
            </w:tcBorders>
          </w:tcPr>
          <w:p>
            <w:pPr>
              <w:spacing w:before="180" w:after="180"/>
              <w:ind w:right="-29"/>
              <w:jc w:val="center"/>
              <w:rPr>
                <w:noProof/>
                <w:sz w:val="18"/>
              </w:rPr>
            </w:pPr>
          </w:p>
        </w:tc>
        <w:tc>
          <w:tcPr>
            <w:tcW w:w="720" w:type="dxa"/>
            <w:gridSpan w:val="2"/>
            <w:tcBorders>
              <w:top w:val="single" w:sz="12" w:space="0" w:color="auto"/>
              <w:bottom w:val="single" w:sz="12" w:space="0" w:color="auto"/>
            </w:tcBorders>
          </w:tcPr>
          <w:p>
            <w:pPr>
              <w:spacing w:before="180" w:after="180"/>
              <w:ind w:right="-29"/>
              <w:jc w:val="center"/>
              <w:rPr>
                <w:noProof/>
                <w:sz w:val="18"/>
              </w:rPr>
            </w:pPr>
            <w:r>
              <w:rPr>
                <w:noProof/>
                <w:sz w:val="18"/>
              </w:rPr>
              <w:t>0,050</w:t>
            </w:r>
          </w:p>
        </w:tc>
        <w:tc>
          <w:tcPr>
            <w:tcW w:w="540" w:type="dxa"/>
            <w:gridSpan w:val="2"/>
            <w:tcBorders>
              <w:top w:val="single" w:sz="12" w:space="0" w:color="auto"/>
              <w:bottom w:val="single" w:sz="12" w:space="0" w:color="auto"/>
            </w:tcBorders>
          </w:tcPr>
          <w:p>
            <w:pPr>
              <w:spacing w:before="180" w:after="180"/>
              <w:ind w:right="-29"/>
              <w:jc w:val="center"/>
              <w:rPr>
                <w:noProof/>
                <w:sz w:val="18"/>
              </w:rPr>
            </w:pPr>
          </w:p>
        </w:tc>
        <w:tc>
          <w:tcPr>
            <w:tcW w:w="720" w:type="dxa"/>
            <w:gridSpan w:val="2"/>
            <w:tcBorders>
              <w:top w:val="single" w:sz="12" w:space="0" w:color="auto"/>
              <w:bottom w:val="single" w:sz="12" w:space="0" w:color="auto"/>
            </w:tcBorders>
          </w:tcPr>
          <w:p>
            <w:pPr>
              <w:spacing w:before="180" w:after="180"/>
              <w:ind w:right="-29"/>
              <w:jc w:val="center"/>
              <w:rPr>
                <w:noProof/>
                <w:sz w:val="18"/>
              </w:rPr>
            </w:pPr>
            <w:r>
              <w:rPr>
                <w:noProof/>
                <w:sz w:val="18"/>
              </w:rPr>
              <w:t>0,150</w:t>
            </w:r>
          </w:p>
        </w:tc>
        <w:tc>
          <w:tcPr>
            <w:tcW w:w="720" w:type="dxa"/>
            <w:gridSpan w:val="2"/>
            <w:tcBorders>
              <w:top w:val="single" w:sz="12" w:space="0" w:color="auto"/>
              <w:bottom w:val="single" w:sz="12" w:space="0" w:color="auto"/>
            </w:tcBorders>
          </w:tcPr>
          <w:p>
            <w:pPr>
              <w:spacing w:before="180" w:after="180"/>
              <w:ind w:right="-29"/>
              <w:jc w:val="center"/>
              <w:rPr>
                <w:noProof/>
                <w:sz w:val="18"/>
              </w:rPr>
            </w:pPr>
          </w:p>
        </w:tc>
        <w:tc>
          <w:tcPr>
            <w:tcW w:w="720" w:type="dxa"/>
            <w:gridSpan w:val="2"/>
            <w:tcBorders>
              <w:top w:val="single" w:sz="12" w:space="0" w:color="auto"/>
              <w:bottom w:val="single" w:sz="12" w:space="0" w:color="auto"/>
            </w:tcBorders>
          </w:tcPr>
          <w:p>
            <w:pPr>
              <w:spacing w:before="180" w:after="180"/>
              <w:ind w:right="-29"/>
              <w:jc w:val="center"/>
              <w:rPr>
                <w:noProof/>
                <w:sz w:val="18"/>
              </w:rPr>
            </w:pPr>
            <w:r>
              <w:rPr>
                <w:noProof/>
                <w:sz w:val="18"/>
              </w:rPr>
              <w:t>0,350</w:t>
            </w:r>
          </w:p>
        </w:tc>
        <w:tc>
          <w:tcPr>
            <w:tcW w:w="900" w:type="dxa"/>
            <w:gridSpan w:val="2"/>
            <w:tcBorders>
              <w:top w:val="single" w:sz="12" w:space="0" w:color="auto"/>
              <w:bottom w:val="single" w:sz="12" w:space="0" w:color="auto"/>
            </w:tcBorders>
          </w:tcPr>
          <w:p>
            <w:pPr>
              <w:spacing w:before="180" w:after="180"/>
              <w:ind w:right="-29"/>
              <w:jc w:val="center"/>
              <w:rPr>
                <w:noProof/>
                <w:sz w:val="18"/>
              </w:rPr>
            </w:pPr>
          </w:p>
        </w:tc>
        <w:tc>
          <w:tcPr>
            <w:tcW w:w="720" w:type="dxa"/>
            <w:gridSpan w:val="3"/>
            <w:tcBorders>
              <w:top w:val="single" w:sz="12" w:space="0" w:color="auto"/>
              <w:bottom w:val="single" w:sz="12" w:space="0" w:color="auto"/>
            </w:tcBorders>
          </w:tcPr>
          <w:p>
            <w:pPr>
              <w:spacing w:before="180" w:after="180"/>
              <w:ind w:right="-29"/>
              <w:jc w:val="center"/>
              <w:rPr>
                <w:noProof/>
                <w:sz w:val="18"/>
              </w:rPr>
            </w:pPr>
            <w:r>
              <w:rPr>
                <w:noProof/>
                <w:sz w:val="18"/>
              </w:rPr>
              <w:t>0,500</w:t>
            </w:r>
          </w:p>
        </w:tc>
        <w:tc>
          <w:tcPr>
            <w:tcW w:w="540" w:type="dxa"/>
            <w:gridSpan w:val="2"/>
            <w:tcBorders>
              <w:top w:val="single" w:sz="12" w:space="0" w:color="auto"/>
              <w:bottom w:val="single" w:sz="12" w:space="0" w:color="auto"/>
            </w:tcBorders>
          </w:tcPr>
          <w:p>
            <w:pPr>
              <w:spacing w:before="180" w:after="180"/>
              <w:ind w:right="-29"/>
              <w:jc w:val="center"/>
              <w:rPr>
                <w:noProof/>
                <w:sz w:val="18"/>
              </w:rPr>
            </w:pPr>
          </w:p>
        </w:tc>
        <w:tc>
          <w:tcPr>
            <w:tcW w:w="648" w:type="dxa"/>
            <w:gridSpan w:val="2"/>
            <w:tcBorders>
              <w:top w:val="single" w:sz="12" w:space="0" w:color="auto"/>
              <w:bottom w:val="single" w:sz="12" w:space="0" w:color="auto"/>
            </w:tcBorders>
          </w:tcPr>
          <w:p>
            <w:pPr>
              <w:spacing w:before="180" w:after="180"/>
              <w:ind w:right="-29"/>
              <w:jc w:val="center"/>
              <w:rPr>
                <w:noProof/>
                <w:sz w:val="18"/>
              </w:rPr>
            </w:pPr>
            <w:r>
              <w:rPr>
                <w:noProof/>
                <w:sz w:val="18"/>
              </w:rPr>
              <w:t>0,500</w:t>
            </w:r>
          </w:p>
        </w:tc>
        <w:tc>
          <w:tcPr>
            <w:tcW w:w="432" w:type="dxa"/>
            <w:gridSpan w:val="2"/>
            <w:tcBorders>
              <w:top w:val="single" w:sz="12" w:space="0" w:color="auto"/>
              <w:bottom w:val="single" w:sz="12" w:space="0" w:color="auto"/>
            </w:tcBorders>
          </w:tcPr>
          <w:p>
            <w:pPr>
              <w:spacing w:before="180" w:after="180"/>
              <w:ind w:right="-29"/>
              <w:rPr>
                <w:noProof/>
                <w:sz w:val="18"/>
              </w:rPr>
            </w:pPr>
          </w:p>
        </w:tc>
        <w:tc>
          <w:tcPr>
            <w:tcW w:w="720" w:type="dxa"/>
            <w:gridSpan w:val="2"/>
            <w:tcBorders>
              <w:top w:val="single" w:sz="12" w:space="0" w:color="auto"/>
              <w:bottom w:val="single" w:sz="12" w:space="0" w:color="auto"/>
            </w:tcBorders>
          </w:tcPr>
          <w:p>
            <w:pPr>
              <w:spacing w:before="180" w:after="180"/>
              <w:ind w:right="-29"/>
              <w:jc w:val="center"/>
              <w:rPr>
                <w:noProof/>
                <w:sz w:val="18"/>
              </w:rPr>
            </w:pPr>
            <w:r>
              <w:rPr>
                <w:noProof/>
                <w:sz w:val="18"/>
              </w:rPr>
              <w:t>0,500</w:t>
            </w:r>
          </w:p>
        </w:tc>
        <w:tc>
          <w:tcPr>
            <w:tcW w:w="540" w:type="dxa"/>
            <w:gridSpan w:val="3"/>
            <w:tcBorders>
              <w:top w:val="single" w:sz="12" w:space="0" w:color="auto"/>
              <w:bottom w:val="single" w:sz="12" w:space="0" w:color="auto"/>
            </w:tcBorders>
          </w:tcPr>
          <w:p>
            <w:pPr>
              <w:spacing w:before="180" w:after="180"/>
              <w:ind w:right="-29"/>
              <w:jc w:val="center"/>
              <w:rPr>
                <w:noProof/>
                <w:sz w:val="18"/>
              </w:rPr>
            </w:pPr>
          </w:p>
        </w:tc>
        <w:tc>
          <w:tcPr>
            <w:tcW w:w="723" w:type="dxa"/>
            <w:gridSpan w:val="2"/>
            <w:tcBorders>
              <w:top w:val="single" w:sz="12" w:space="0" w:color="auto"/>
              <w:bottom w:val="single" w:sz="12" w:space="0" w:color="auto"/>
            </w:tcBorders>
          </w:tcPr>
          <w:p>
            <w:pPr>
              <w:spacing w:before="180" w:after="180"/>
              <w:ind w:right="-29"/>
              <w:jc w:val="center"/>
              <w:rPr>
                <w:noProof/>
                <w:sz w:val="18"/>
              </w:rPr>
            </w:pPr>
            <w:r>
              <w:rPr>
                <w:noProof/>
                <w:sz w:val="18"/>
              </w:rPr>
              <w:t>0,500</w:t>
            </w:r>
          </w:p>
        </w:tc>
        <w:tc>
          <w:tcPr>
            <w:tcW w:w="720" w:type="dxa"/>
            <w:gridSpan w:val="2"/>
            <w:tcBorders>
              <w:top w:val="single" w:sz="12" w:space="0" w:color="auto"/>
              <w:bottom w:val="single" w:sz="12" w:space="0" w:color="auto"/>
            </w:tcBorders>
          </w:tcPr>
          <w:p>
            <w:pPr>
              <w:spacing w:before="180" w:after="180"/>
              <w:ind w:right="-29"/>
              <w:jc w:val="center"/>
              <w:rPr>
                <w:noProof/>
                <w:sz w:val="18"/>
              </w:rPr>
            </w:pPr>
          </w:p>
        </w:tc>
        <w:tc>
          <w:tcPr>
            <w:tcW w:w="900" w:type="dxa"/>
            <w:gridSpan w:val="2"/>
            <w:tcBorders>
              <w:top w:val="single" w:sz="12" w:space="0" w:color="auto"/>
              <w:bottom w:val="single" w:sz="12" w:space="0" w:color="auto"/>
              <w:right w:val="single" w:sz="12" w:space="0" w:color="auto"/>
            </w:tcBorders>
          </w:tcPr>
          <w:p>
            <w:pPr>
              <w:spacing w:before="180" w:after="180"/>
              <w:ind w:right="-29"/>
              <w:jc w:val="center"/>
              <w:rPr>
                <w:noProof/>
                <w:sz w:val="18"/>
              </w:rPr>
            </w:pPr>
            <w:r>
              <w:rPr>
                <w:noProof/>
                <w:sz w:val="18"/>
              </w:rPr>
              <w:t>2,550</w:t>
            </w:r>
          </w:p>
        </w:tc>
      </w:tr>
      <w:tr>
        <w:trPr>
          <w:gridAfter w:val="1"/>
          <w:wAfter w:w="12" w:type="dxa"/>
          <w:jc w:val="center"/>
        </w:trPr>
        <w:tc>
          <w:tcPr>
            <w:tcW w:w="2685" w:type="dxa"/>
            <w:gridSpan w:val="3"/>
            <w:tcBorders>
              <w:top w:val="single" w:sz="12" w:space="0" w:color="auto"/>
              <w:left w:val="single" w:sz="12" w:space="0" w:color="auto"/>
              <w:bottom w:val="single" w:sz="12" w:space="0" w:color="auto"/>
            </w:tcBorders>
            <w:vAlign w:val="center"/>
          </w:tcPr>
          <w:p>
            <w:pPr>
              <w:ind w:right="-29"/>
              <w:jc w:val="center"/>
              <w:rPr>
                <w:noProof/>
                <w:sz w:val="18"/>
              </w:rPr>
            </w:pPr>
            <w:r>
              <w:rPr>
                <w:noProof/>
                <w:sz w:val="18"/>
              </w:rPr>
              <w:t>Výstup: shromažďování místních informací a poskytování odborné podpory</w:t>
            </w:r>
          </w:p>
        </w:tc>
        <w:tc>
          <w:tcPr>
            <w:tcW w:w="663" w:type="dxa"/>
            <w:gridSpan w:val="2"/>
            <w:tcBorders>
              <w:top w:val="single" w:sz="12" w:space="0" w:color="auto"/>
              <w:bottom w:val="single" w:sz="12" w:space="0" w:color="auto"/>
            </w:tcBorders>
          </w:tcPr>
          <w:p>
            <w:pPr>
              <w:spacing w:before="180" w:after="180"/>
              <w:ind w:right="-29"/>
              <w:jc w:val="center"/>
              <w:rPr>
                <w:noProof/>
                <w:sz w:val="18"/>
              </w:rPr>
            </w:pPr>
          </w:p>
        </w:tc>
        <w:tc>
          <w:tcPr>
            <w:tcW w:w="720" w:type="dxa"/>
            <w:gridSpan w:val="2"/>
            <w:tcBorders>
              <w:top w:val="single" w:sz="12" w:space="0" w:color="auto"/>
              <w:bottom w:val="single" w:sz="12" w:space="0" w:color="auto"/>
            </w:tcBorders>
          </w:tcPr>
          <w:p>
            <w:pPr>
              <w:spacing w:before="180" w:after="180"/>
              <w:ind w:right="-29"/>
              <w:jc w:val="center"/>
              <w:rPr>
                <w:noProof/>
                <w:sz w:val="18"/>
              </w:rPr>
            </w:pPr>
            <w:r>
              <w:rPr>
                <w:noProof/>
                <w:sz w:val="18"/>
              </w:rPr>
              <w:t>0,050</w:t>
            </w:r>
          </w:p>
        </w:tc>
        <w:tc>
          <w:tcPr>
            <w:tcW w:w="540" w:type="dxa"/>
            <w:gridSpan w:val="2"/>
            <w:tcBorders>
              <w:top w:val="single" w:sz="12" w:space="0" w:color="auto"/>
              <w:bottom w:val="single" w:sz="12" w:space="0" w:color="auto"/>
            </w:tcBorders>
          </w:tcPr>
          <w:p>
            <w:pPr>
              <w:spacing w:before="180" w:after="180"/>
              <w:ind w:right="-29"/>
              <w:jc w:val="center"/>
              <w:rPr>
                <w:noProof/>
                <w:sz w:val="18"/>
              </w:rPr>
            </w:pPr>
          </w:p>
        </w:tc>
        <w:tc>
          <w:tcPr>
            <w:tcW w:w="720" w:type="dxa"/>
            <w:gridSpan w:val="2"/>
            <w:tcBorders>
              <w:top w:val="single" w:sz="12" w:space="0" w:color="auto"/>
              <w:bottom w:val="single" w:sz="12" w:space="0" w:color="auto"/>
            </w:tcBorders>
          </w:tcPr>
          <w:p>
            <w:pPr>
              <w:spacing w:before="180" w:after="180"/>
              <w:ind w:right="-29"/>
              <w:jc w:val="center"/>
              <w:rPr>
                <w:noProof/>
                <w:sz w:val="18"/>
              </w:rPr>
            </w:pPr>
            <w:r>
              <w:rPr>
                <w:noProof/>
                <w:sz w:val="18"/>
              </w:rPr>
              <w:t>0,150</w:t>
            </w:r>
          </w:p>
        </w:tc>
        <w:tc>
          <w:tcPr>
            <w:tcW w:w="720" w:type="dxa"/>
            <w:gridSpan w:val="2"/>
            <w:tcBorders>
              <w:top w:val="single" w:sz="12" w:space="0" w:color="auto"/>
              <w:bottom w:val="single" w:sz="12" w:space="0" w:color="auto"/>
            </w:tcBorders>
          </w:tcPr>
          <w:p>
            <w:pPr>
              <w:spacing w:before="180" w:after="180"/>
              <w:ind w:right="-29"/>
              <w:jc w:val="center"/>
              <w:rPr>
                <w:noProof/>
                <w:sz w:val="18"/>
              </w:rPr>
            </w:pPr>
          </w:p>
        </w:tc>
        <w:tc>
          <w:tcPr>
            <w:tcW w:w="720" w:type="dxa"/>
            <w:gridSpan w:val="2"/>
            <w:tcBorders>
              <w:top w:val="single" w:sz="12" w:space="0" w:color="auto"/>
              <w:bottom w:val="single" w:sz="12" w:space="0" w:color="auto"/>
            </w:tcBorders>
          </w:tcPr>
          <w:p>
            <w:pPr>
              <w:spacing w:before="180" w:after="180"/>
              <w:ind w:right="-29"/>
              <w:jc w:val="center"/>
              <w:rPr>
                <w:noProof/>
                <w:sz w:val="18"/>
              </w:rPr>
            </w:pPr>
            <w:r>
              <w:rPr>
                <w:noProof/>
                <w:sz w:val="18"/>
              </w:rPr>
              <w:t>0,350</w:t>
            </w:r>
          </w:p>
        </w:tc>
        <w:tc>
          <w:tcPr>
            <w:tcW w:w="900" w:type="dxa"/>
            <w:gridSpan w:val="2"/>
            <w:tcBorders>
              <w:top w:val="single" w:sz="12" w:space="0" w:color="auto"/>
              <w:bottom w:val="single" w:sz="12" w:space="0" w:color="auto"/>
            </w:tcBorders>
          </w:tcPr>
          <w:p>
            <w:pPr>
              <w:spacing w:before="180" w:after="180"/>
              <w:ind w:right="-29"/>
              <w:jc w:val="center"/>
              <w:rPr>
                <w:noProof/>
                <w:sz w:val="18"/>
              </w:rPr>
            </w:pPr>
          </w:p>
        </w:tc>
        <w:tc>
          <w:tcPr>
            <w:tcW w:w="720" w:type="dxa"/>
            <w:gridSpan w:val="3"/>
            <w:tcBorders>
              <w:top w:val="single" w:sz="12" w:space="0" w:color="auto"/>
              <w:bottom w:val="single" w:sz="12" w:space="0" w:color="auto"/>
            </w:tcBorders>
          </w:tcPr>
          <w:p>
            <w:pPr>
              <w:spacing w:before="180" w:after="180"/>
              <w:ind w:right="-29"/>
              <w:jc w:val="center"/>
              <w:rPr>
                <w:noProof/>
                <w:sz w:val="18"/>
              </w:rPr>
            </w:pPr>
            <w:r>
              <w:rPr>
                <w:noProof/>
                <w:sz w:val="18"/>
              </w:rPr>
              <w:t>0,500</w:t>
            </w:r>
          </w:p>
        </w:tc>
        <w:tc>
          <w:tcPr>
            <w:tcW w:w="540" w:type="dxa"/>
            <w:gridSpan w:val="2"/>
            <w:tcBorders>
              <w:top w:val="single" w:sz="12" w:space="0" w:color="auto"/>
              <w:bottom w:val="single" w:sz="12" w:space="0" w:color="auto"/>
            </w:tcBorders>
          </w:tcPr>
          <w:p>
            <w:pPr>
              <w:spacing w:before="180" w:after="180"/>
              <w:ind w:right="-29"/>
              <w:jc w:val="center"/>
              <w:rPr>
                <w:noProof/>
                <w:sz w:val="18"/>
              </w:rPr>
            </w:pPr>
          </w:p>
        </w:tc>
        <w:tc>
          <w:tcPr>
            <w:tcW w:w="648" w:type="dxa"/>
            <w:gridSpan w:val="2"/>
            <w:tcBorders>
              <w:top w:val="single" w:sz="12" w:space="0" w:color="auto"/>
              <w:bottom w:val="single" w:sz="12" w:space="0" w:color="auto"/>
            </w:tcBorders>
          </w:tcPr>
          <w:p>
            <w:pPr>
              <w:spacing w:before="180" w:after="180"/>
              <w:ind w:right="-29"/>
              <w:jc w:val="center"/>
              <w:rPr>
                <w:noProof/>
                <w:sz w:val="18"/>
              </w:rPr>
            </w:pPr>
            <w:r>
              <w:rPr>
                <w:noProof/>
                <w:sz w:val="18"/>
              </w:rPr>
              <w:t>0,500</w:t>
            </w:r>
          </w:p>
        </w:tc>
        <w:tc>
          <w:tcPr>
            <w:tcW w:w="432" w:type="dxa"/>
            <w:gridSpan w:val="2"/>
            <w:tcBorders>
              <w:top w:val="single" w:sz="12" w:space="0" w:color="auto"/>
              <w:bottom w:val="single" w:sz="12" w:space="0" w:color="auto"/>
            </w:tcBorders>
          </w:tcPr>
          <w:p>
            <w:pPr>
              <w:spacing w:before="180" w:after="180"/>
              <w:ind w:right="-29"/>
              <w:jc w:val="center"/>
              <w:rPr>
                <w:noProof/>
                <w:sz w:val="18"/>
              </w:rPr>
            </w:pPr>
          </w:p>
        </w:tc>
        <w:tc>
          <w:tcPr>
            <w:tcW w:w="720" w:type="dxa"/>
            <w:gridSpan w:val="2"/>
            <w:tcBorders>
              <w:top w:val="single" w:sz="12" w:space="0" w:color="auto"/>
              <w:bottom w:val="single" w:sz="12" w:space="0" w:color="auto"/>
            </w:tcBorders>
          </w:tcPr>
          <w:p>
            <w:pPr>
              <w:spacing w:before="180" w:after="180"/>
              <w:ind w:right="-29"/>
              <w:jc w:val="center"/>
              <w:rPr>
                <w:noProof/>
                <w:sz w:val="18"/>
              </w:rPr>
            </w:pPr>
            <w:r>
              <w:rPr>
                <w:noProof/>
                <w:sz w:val="18"/>
              </w:rPr>
              <w:t>0,500</w:t>
            </w:r>
          </w:p>
        </w:tc>
        <w:tc>
          <w:tcPr>
            <w:tcW w:w="540" w:type="dxa"/>
            <w:gridSpan w:val="3"/>
            <w:tcBorders>
              <w:top w:val="single" w:sz="12" w:space="0" w:color="auto"/>
              <w:bottom w:val="single" w:sz="12" w:space="0" w:color="auto"/>
            </w:tcBorders>
          </w:tcPr>
          <w:p>
            <w:pPr>
              <w:spacing w:before="180" w:after="180"/>
              <w:ind w:right="-29"/>
              <w:jc w:val="center"/>
              <w:rPr>
                <w:noProof/>
                <w:sz w:val="18"/>
              </w:rPr>
            </w:pPr>
          </w:p>
        </w:tc>
        <w:tc>
          <w:tcPr>
            <w:tcW w:w="723" w:type="dxa"/>
            <w:gridSpan w:val="2"/>
            <w:tcBorders>
              <w:top w:val="single" w:sz="12" w:space="0" w:color="auto"/>
              <w:bottom w:val="single" w:sz="12" w:space="0" w:color="auto"/>
            </w:tcBorders>
          </w:tcPr>
          <w:p>
            <w:pPr>
              <w:spacing w:before="180" w:after="180"/>
              <w:ind w:right="-29"/>
              <w:jc w:val="center"/>
              <w:rPr>
                <w:noProof/>
                <w:sz w:val="18"/>
              </w:rPr>
            </w:pPr>
            <w:r>
              <w:rPr>
                <w:noProof/>
                <w:sz w:val="18"/>
              </w:rPr>
              <w:t>0,500</w:t>
            </w:r>
          </w:p>
        </w:tc>
        <w:tc>
          <w:tcPr>
            <w:tcW w:w="720" w:type="dxa"/>
            <w:gridSpan w:val="2"/>
            <w:tcBorders>
              <w:top w:val="single" w:sz="12" w:space="0" w:color="auto"/>
              <w:bottom w:val="single" w:sz="12" w:space="0" w:color="auto"/>
            </w:tcBorders>
          </w:tcPr>
          <w:p>
            <w:pPr>
              <w:spacing w:before="180" w:after="180"/>
              <w:ind w:right="-29"/>
              <w:jc w:val="center"/>
              <w:rPr>
                <w:noProof/>
                <w:sz w:val="18"/>
              </w:rPr>
            </w:pPr>
          </w:p>
        </w:tc>
        <w:tc>
          <w:tcPr>
            <w:tcW w:w="900" w:type="dxa"/>
            <w:gridSpan w:val="2"/>
            <w:tcBorders>
              <w:top w:val="single" w:sz="12" w:space="0" w:color="auto"/>
              <w:bottom w:val="single" w:sz="12" w:space="0" w:color="auto"/>
              <w:right w:val="single" w:sz="12" w:space="0" w:color="auto"/>
            </w:tcBorders>
          </w:tcPr>
          <w:p>
            <w:pPr>
              <w:spacing w:before="180" w:after="180"/>
              <w:ind w:right="-29"/>
              <w:jc w:val="center"/>
              <w:rPr>
                <w:noProof/>
                <w:sz w:val="18"/>
              </w:rPr>
            </w:pPr>
            <w:r>
              <w:rPr>
                <w:noProof/>
                <w:sz w:val="18"/>
              </w:rPr>
              <w:t>2,550</w:t>
            </w:r>
          </w:p>
        </w:tc>
      </w:tr>
      <w:tr>
        <w:trPr>
          <w:gridAfter w:val="1"/>
          <w:wAfter w:w="12" w:type="dxa"/>
          <w:jc w:val="center"/>
        </w:trPr>
        <w:tc>
          <w:tcPr>
            <w:tcW w:w="2685" w:type="dxa"/>
            <w:gridSpan w:val="3"/>
            <w:tcBorders>
              <w:top w:val="single" w:sz="12" w:space="0" w:color="auto"/>
              <w:left w:val="single" w:sz="12" w:space="0" w:color="auto"/>
              <w:bottom w:val="single" w:sz="12" w:space="0" w:color="auto"/>
            </w:tcBorders>
            <w:vAlign w:val="center"/>
          </w:tcPr>
          <w:p>
            <w:pPr>
              <w:ind w:right="-29"/>
              <w:jc w:val="center"/>
              <w:rPr>
                <w:noProof/>
                <w:sz w:val="18"/>
              </w:rPr>
            </w:pPr>
            <w:r>
              <w:rPr>
                <w:noProof/>
                <w:sz w:val="18"/>
              </w:rPr>
              <w:t>Mezisoučet za specifický cíl č. 6</w:t>
            </w:r>
          </w:p>
        </w:tc>
        <w:tc>
          <w:tcPr>
            <w:tcW w:w="663" w:type="dxa"/>
            <w:gridSpan w:val="2"/>
            <w:tcBorders>
              <w:top w:val="single" w:sz="12" w:space="0" w:color="auto"/>
              <w:bottom w:val="single" w:sz="12" w:space="0" w:color="auto"/>
            </w:tcBorders>
          </w:tcPr>
          <w:p>
            <w:pPr>
              <w:spacing w:before="180" w:after="180"/>
              <w:ind w:right="-29"/>
              <w:jc w:val="center"/>
              <w:rPr>
                <w:noProof/>
                <w:sz w:val="18"/>
              </w:rPr>
            </w:pPr>
          </w:p>
        </w:tc>
        <w:tc>
          <w:tcPr>
            <w:tcW w:w="720" w:type="dxa"/>
            <w:gridSpan w:val="2"/>
            <w:tcBorders>
              <w:top w:val="single" w:sz="12" w:space="0" w:color="auto"/>
              <w:bottom w:val="single" w:sz="12" w:space="0" w:color="auto"/>
            </w:tcBorders>
          </w:tcPr>
          <w:p>
            <w:pPr>
              <w:spacing w:before="180" w:after="180"/>
              <w:ind w:right="-29"/>
              <w:jc w:val="center"/>
              <w:rPr>
                <w:noProof/>
                <w:sz w:val="18"/>
              </w:rPr>
            </w:pPr>
            <w:r>
              <w:rPr>
                <w:noProof/>
                <w:sz w:val="18"/>
              </w:rPr>
              <w:t>0,100</w:t>
            </w:r>
          </w:p>
        </w:tc>
        <w:tc>
          <w:tcPr>
            <w:tcW w:w="540" w:type="dxa"/>
            <w:gridSpan w:val="2"/>
            <w:tcBorders>
              <w:top w:val="single" w:sz="12" w:space="0" w:color="auto"/>
              <w:bottom w:val="single" w:sz="12" w:space="0" w:color="auto"/>
            </w:tcBorders>
          </w:tcPr>
          <w:p>
            <w:pPr>
              <w:spacing w:before="180" w:after="180"/>
              <w:ind w:right="-29"/>
              <w:jc w:val="center"/>
              <w:rPr>
                <w:noProof/>
                <w:sz w:val="18"/>
              </w:rPr>
            </w:pPr>
          </w:p>
        </w:tc>
        <w:tc>
          <w:tcPr>
            <w:tcW w:w="720" w:type="dxa"/>
            <w:gridSpan w:val="2"/>
            <w:tcBorders>
              <w:top w:val="single" w:sz="12" w:space="0" w:color="auto"/>
              <w:bottom w:val="single" w:sz="12" w:space="0" w:color="auto"/>
            </w:tcBorders>
          </w:tcPr>
          <w:p>
            <w:pPr>
              <w:spacing w:before="180" w:after="180"/>
              <w:ind w:right="-29"/>
              <w:jc w:val="center"/>
              <w:rPr>
                <w:noProof/>
                <w:sz w:val="18"/>
              </w:rPr>
            </w:pPr>
            <w:r>
              <w:rPr>
                <w:noProof/>
                <w:sz w:val="18"/>
              </w:rPr>
              <w:t>0,300</w:t>
            </w:r>
          </w:p>
        </w:tc>
        <w:tc>
          <w:tcPr>
            <w:tcW w:w="720" w:type="dxa"/>
            <w:gridSpan w:val="2"/>
            <w:tcBorders>
              <w:top w:val="single" w:sz="12" w:space="0" w:color="auto"/>
              <w:bottom w:val="single" w:sz="12" w:space="0" w:color="auto"/>
            </w:tcBorders>
          </w:tcPr>
          <w:p>
            <w:pPr>
              <w:spacing w:before="180" w:after="180"/>
              <w:ind w:right="-29"/>
              <w:jc w:val="center"/>
              <w:rPr>
                <w:noProof/>
                <w:sz w:val="18"/>
              </w:rPr>
            </w:pPr>
          </w:p>
        </w:tc>
        <w:tc>
          <w:tcPr>
            <w:tcW w:w="720" w:type="dxa"/>
            <w:gridSpan w:val="2"/>
            <w:tcBorders>
              <w:top w:val="single" w:sz="12" w:space="0" w:color="auto"/>
              <w:bottom w:val="single" w:sz="12" w:space="0" w:color="auto"/>
            </w:tcBorders>
          </w:tcPr>
          <w:p>
            <w:pPr>
              <w:spacing w:before="180" w:after="180"/>
              <w:ind w:right="-29"/>
              <w:jc w:val="center"/>
              <w:rPr>
                <w:noProof/>
                <w:sz w:val="18"/>
              </w:rPr>
            </w:pPr>
            <w:r>
              <w:rPr>
                <w:noProof/>
                <w:sz w:val="18"/>
              </w:rPr>
              <w:t>0,700</w:t>
            </w:r>
          </w:p>
        </w:tc>
        <w:tc>
          <w:tcPr>
            <w:tcW w:w="900" w:type="dxa"/>
            <w:gridSpan w:val="2"/>
            <w:tcBorders>
              <w:top w:val="single" w:sz="12" w:space="0" w:color="auto"/>
              <w:bottom w:val="single" w:sz="12" w:space="0" w:color="auto"/>
            </w:tcBorders>
          </w:tcPr>
          <w:p>
            <w:pPr>
              <w:spacing w:before="180" w:after="180"/>
              <w:ind w:right="-29"/>
              <w:jc w:val="center"/>
              <w:rPr>
                <w:noProof/>
                <w:sz w:val="18"/>
              </w:rPr>
            </w:pPr>
          </w:p>
        </w:tc>
        <w:tc>
          <w:tcPr>
            <w:tcW w:w="720" w:type="dxa"/>
            <w:gridSpan w:val="3"/>
            <w:tcBorders>
              <w:top w:val="single" w:sz="12" w:space="0" w:color="auto"/>
              <w:bottom w:val="single" w:sz="12" w:space="0" w:color="auto"/>
            </w:tcBorders>
          </w:tcPr>
          <w:p>
            <w:pPr>
              <w:spacing w:before="180" w:after="180"/>
              <w:ind w:right="-29"/>
              <w:jc w:val="center"/>
              <w:rPr>
                <w:noProof/>
                <w:sz w:val="18"/>
              </w:rPr>
            </w:pPr>
            <w:r>
              <w:rPr>
                <w:noProof/>
                <w:sz w:val="18"/>
              </w:rPr>
              <w:t>1,000</w:t>
            </w:r>
          </w:p>
        </w:tc>
        <w:tc>
          <w:tcPr>
            <w:tcW w:w="540" w:type="dxa"/>
            <w:gridSpan w:val="2"/>
            <w:tcBorders>
              <w:top w:val="single" w:sz="12" w:space="0" w:color="auto"/>
              <w:bottom w:val="single" w:sz="12" w:space="0" w:color="auto"/>
            </w:tcBorders>
          </w:tcPr>
          <w:p>
            <w:pPr>
              <w:spacing w:before="180" w:after="180"/>
              <w:ind w:right="-29"/>
              <w:jc w:val="center"/>
              <w:rPr>
                <w:noProof/>
                <w:sz w:val="18"/>
              </w:rPr>
            </w:pPr>
          </w:p>
        </w:tc>
        <w:tc>
          <w:tcPr>
            <w:tcW w:w="648" w:type="dxa"/>
            <w:gridSpan w:val="2"/>
            <w:tcBorders>
              <w:top w:val="single" w:sz="12" w:space="0" w:color="auto"/>
              <w:bottom w:val="single" w:sz="12" w:space="0" w:color="auto"/>
            </w:tcBorders>
          </w:tcPr>
          <w:p>
            <w:pPr>
              <w:spacing w:before="180" w:after="180"/>
              <w:ind w:right="-29"/>
              <w:jc w:val="center"/>
              <w:rPr>
                <w:noProof/>
                <w:sz w:val="18"/>
              </w:rPr>
            </w:pPr>
            <w:r>
              <w:rPr>
                <w:noProof/>
                <w:sz w:val="18"/>
              </w:rPr>
              <w:t>1,000</w:t>
            </w:r>
          </w:p>
        </w:tc>
        <w:tc>
          <w:tcPr>
            <w:tcW w:w="432" w:type="dxa"/>
            <w:gridSpan w:val="2"/>
            <w:tcBorders>
              <w:top w:val="single" w:sz="12" w:space="0" w:color="auto"/>
              <w:bottom w:val="single" w:sz="12" w:space="0" w:color="auto"/>
            </w:tcBorders>
          </w:tcPr>
          <w:p>
            <w:pPr>
              <w:spacing w:before="180" w:after="180"/>
              <w:ind w:right="-29"/>
              <w:jc w:val="center"/>
              <w:rPr>
                <w:noProof/>
                <w:sz w:val="18"/>
              </w:rPr>
            </w:pPr>
          </w:p>
        </w:tc>
        <w:tc>
          <w:tcPr>
            <w:tcW w:w="720" w:type="dxa"/>
            <w:gridSpan w:val="2"/>
            <w:tcBorders>
              <w:top w:val="single" w:sz="12" w:space="0" w:color="auto"/>
              <w:bottom w:val="single" w:sz="12" w:space="0" w:color="auto"/>
            </w:tcBorders>
          </w:tcPr>
          <w:p>
            <w:pPr>
              <w:spacing w:before="180" w:after="180"/>
              <w:ind w:right="-29"/>
              <w:jc w:val="center"/>
              <w:rPr>
                <w:noProof/>
                <w:sz w:val="18"/>
              </w:rPr>
            </w:pPr>
            <w:r>
              <w:rPr>
                <w:noProof/>
                <w:sz w:val="18"/>
              </w:rPr>
              <w:t>1,000</w:t>
            </w:r>
          </w:p>
        </w:tc>
        <w:tc>
          <w:tcPr>
            <w:tcW w:w="540" w:type="dxa"/>
            <w:gridSpan w:val="3"/>
            <w:tcBorders>
              <w:top w:val="single" w:sz="12" w:space="0" w:color="auto"/>
              <w:bottom w:val="single" w:sz="12" w:space="0" w:color="auto"/>
            </w:tcBorders>
          </w:tcPr>
          <w:p>
            <w:pPr>
              <w:spacing w:before="180" w:after="180"/>
              <w:ind w:right="-29"/>
              <w:jc w:val="center"/>
              <w:rPr>
                <w:noProof/>
                <w:sz w:val="18"/>
              </w:rPr>
            </w:pPr>
          </w:p>
        </w:tc>
        <w:tc>
          <w:tcPr>
            <w:tcW w:w="723" w:type="dxa"/>
            <w:gridSpan w:val="2"/>
            <w:tcBorders>
              <w:top w:val="single" w:sz="12" w:space="0" w:color="auto"/>
              <w:bottom w:val="single" w:sz="12" w:space="0" w:color="auto"/>
            </w:tcBorders>
          </w:tcPr>
          <w:p>
            <w:pPr>
              <w:spacing w:before="180" w:after="180"/>
              <w:ind w:right="-29"/>
              <w:jc w:val="center"/>
              <w:rPr>
                <w:noProof/>
                <w:sz w:val="18"/>
              </w:rPr>
            </w:pPr>
            <w:r>
              <w:rPr>
                <w:noProof/>
                <w:sz w:val="18"/>
              </w:rPr>
              <w:t>1,000</w:t>
            </w:r>
          </w:p>
        </w:tc>
        <w:tc>
          <w:tcPr>
            <w:tcW w:w="720" w:type="dxa"/>
            <w:gridSpan w:val="2"/>
            <w:tcBorders>
              <w:top w:val="single" w:sz="12" w:space="0" w:color="auto"/>
              <w:bottom w:val="single" w:sz="12" w:space="0" w:color="auto"/>
            </w:tcBorders>
          </w:tcPr>
          <w:p>
            <w:pPr>
              <w:spacing w:before="180" w:after="180"/>
              <w:ind w:right="-29"/>
              <w:jc w:val="center"/>
              <w:rPr>
                <w:noProof/>
                <w:sz w:val="18"/>
              </w:rPr>
            </w:pPr>
          </w:p>
        </w:tc>
        <w:tc>
          <w:tcPr>
            <w:tcW w:w="900" w:type="dxa"/>
            <w:gridSpan w:val="2"/>
            <w:tcBorders>
              <w:top w:val="single" w:sz="12" w:space="0" w:color="auto"/>
              <w:bottom w:val="single" w:sz="12" w:space="0" w:color="auto"/>
              <w:right w:val="single" w:sz="12" w:space="0" w:color="auto"/>
            </w:tcBorders>
          </w:tcPr>
          <w:p>
            <w:pPr>
              <w:spacing w:before="180" w:after="180"/>
              <w:ind w:right="-29"/>
              <w:jc w:val="center"/>
              <w:rPr>
                <w:noProof/>
                <w:sz w:val="18"/>
              </w:rPr>
            </w:pPr>
            <w:r>
              <w:rPr>
                <w:noProof/>
                <w:sz w:val="18"/>
              </w:rPr>
              <w:t>5,100</w:t>
            </w:r>
          </w:p>
        </w:tc>
      </w:tr>
      <w:tr>
        <w:trPr>
          <w:gridAfter w:val="1"/>
          <w:wAfter w:w="12" w:type="dxa"/>
          <w:jc w:val="center"/>
        </w:trPr>
        <w:tc>
          <w:tcPr>
            <w:tcW w:w="2685" w:type="dxa"/>
            <w:gridSpan w:val="3"/>
            <w:tcBorders>
              <w:top w:val="single" w:sz="12" w:space="0" w:color="auto"/>
              <w:left w:val="single" w:sz="12" w:space="0" w:color="auto"/>
              <w:bottom w:val="single" w:sz="12" w:space="0" w:color="auto"/>
            </w:tcBorders>
            <w:vAlign w:val="center"/>
          </w:tcPr>
          <w:p>
            <w:pPr>
              <w:ind w:right="-29"/>
              <w:jc w:val="center"/>
              <w:rPr>
                <w:b/>
                <w:noProof/>
                <w:sz w:val="18"/>
              </w:rPr>
            </w:pPr>
            <w:r>
              <w:rPr>
                <w:b/>
                <w:noProof/>
                <w:sz w:val="18"/>
              </w:rPr>
              <w:t>NÁKLADY CELKEM</w:t>
            </w:r>
          </w:p>
        </w:tc>
        <w:tc>
          <w:tcPr>
            <w:tcW w:w="663" w:type="dxa"/>
            <w:gridSpan w:val="2"/>
            <w:tcBorders>
              <w:top w:val="single" w:sz="12" w:space="0" w:color="auto"/>
              <w:bottom w:val="single" w:sz="12" w:space="0" w:color="auto"/>
            </w:tcBorders>
          </w:tcPr>
          <w:p>
            <w:pPr>
              <w:spacing w:before="180" w:after="180"/>
              <w:ind w:right="-29"/>
              <w:jc w:val="center"/>
              <w:rPr>
                <w:b/>
                <w:noProof/>
                <w:sz w:val="18"/>
              </w:rPr>
            </w:pPr>
          </w:p>
        </w:tc>
        <w:tc>
          <w:tcPr>
            <w:tcW w:w="720" w:type="dxa"/>
            <w:gridSpan w:val="2"/>
            <w:tcBorders>
              <w:top w:val="single" w:sz="12" w:space="0" w:color="auto"/>
              <w:bottom w:val="single" w:sz="12" w:space="0" w:color="auto"/>
            </w:tcBorders>
          </w:tcPr>
          <w:p>
            <w:pPr>
              <w:spacing w:before="180" w:after="180"/>
              <w:ind w:right="-29"/>
              <w:jc w:val="center"/>
              <w:rPr>
                <w:b/>
                <w:noProof/>
                <w:sz w:val="18"/>
              </w:rPr>
            </w:pPr>
            <w:r>
              <w:rPr>
                <w:b/>
                <w:noProof/>
                <w:sz w:val="18"/>
              </w:rPr>
              <w:t>12,300</w:t>
            </w:r>
          </w:p>
        </w:tc>
        <w:tc>
          <w:tcPr>
            <w:tcW w:w="540" w:type="dxa"/>
            <w:gridSpan w:val="2"/>
            <w:tcBorders>
              <w:top w:val="single" w:sz="12" w:space="0" w:color="auto"/>
              <w:bottom w:val="single" w:sz="12" w:space="0" w:color="auto"/>
            </w:tcBorders>
          </w:tcPr>
          <w:p>
            <w:pPr>
              <w:spacing w:before="180" w:after="180"/>
              <w:ind w:right="-29"/>
              <w:jc w:val="center"/>
              <w:rPr>
                <w:b/>
                <w:noProof/>
                <w:sz w:val="18"/>
              </w:rPr>
            </w:pPr>
          </w:p>
        </w:tc>
        <w:tc>
          <w:tcPr>
            <w:tcW w:w="720" w:type="dxa"/>
            <w:gridSpan w:val="2"/>
            <w:tcBorders>
              <w:top w:val="single" w:sz="12" w:space="0" w:color="auto"/>
              <w:bottom w:val="single" w:sz="12" w:space="0" w:color="auto"/>
            </w:tcBorders>
          </w:tcPr>
          <w:p>
            <w:pPr>
              <w:spacing w:before="180" w:after="180"/>
              <w:ind w:right="-29"/>
              <w:jc w:val="center"/>
              <w:rPr>
                <w:b/>
                <w:noProof/>
                <w:sz w:val="18"/>
              </w:rPr>
            </w:pPr>
            <w:r>
              <w:rPr>
                <w:b/>
                <w:noProof/>
                <w:sz w:val="18"/>
              </w:rPr>
              <w:t>16,500</w:t>
            </w:r>
          </w:p>
        </w:tc>
        <w:tc>
          <w:tcPr>
            <w:tcW w:w="720" w:type="dxa"/>
            <w:gridSpan w:val="2"/>
            <w:tcBorders>
              <w:top w:val="single" w:sz="12" w:space="0" w:color="auto"/>
              <w:bottom w:val="single" w:sz="12" w:space="0" w:color="auto"/>
            </w:tcBorders>
          </w:tcPr>
          <w:p>
            <w:pPr>
              <w:spacing w:before="180" w:after="180"/>
              <w:ind w:right="-29"/>
              <w:jc w:val="center"/>
              <w:rPr>
                <w:b/>
                <w:noProof/>
                <w:sz w:val="18"/>
              </w:rPr>
            </w:pPr>
          </w:p>
        </w:tc>
        <w:tc>
          <w:tcPr>
            <w:tcW w:w="720" w:type="dxa"/>
            <w:gridSpan w:val="2"/>
            <w:tcBorders>
              <w:top w:val="single" w:sz="12" w:space="0" w:color="auto"/>
              <w:bottom w:val="single" w:sz="12" w:space="0" w:color="auto"/>
            </w:tcBorders>
          </w:tcPr>
          <w:p>
            <w:pPr>
              <w:spacing w:before="180" w:after="180"/>
              <w:ind w:right="-29"/>
              <w:jc w:val="center"/>
              <w:rPr>
                <w:b/>
                <w:noProof/>
                <w:sz w:val="18"/>
              </w:rPr>
            </w:pPr>
            <w:r>
              <w:rPr>
                <w:b/>
                <w:noProof/>
                <w:sz w:val="18"/>
              </w:rPr>
              <w:t>16,700</w:t>
            </w:r>
          </w:p>
        </w:tc>
        <w:tc>
          <w:tcPr>
            <w:tcW w:w="900" w:type="dxa"/>
            <w:gridSpan w:val="2"/>
            <w:tcBorders>
              <w:top w:val="single" w:sz="12" w:space="0" w:color="auto"/>
              <w:bottom w:val="single" w:sz="12" w:space="0" w:color="auto"/>
            </w:tcBorders>
          </w:tcPr>
          <w:p>
            <w:pPr>
              <w:spacing w:before="180" w:after="180"/>
              <w:ind w:right="-29"/>
              <w:jc w:val="center"/>
              <w:rPr>
                <w:b/>
                <w:noProof/>
                <w:sz w:val="18"/>
              </w:rPr>
            </w:pPr>
          </w:p>
        </w:tc>
        <w:tc>
          <w:tcPr>
            <w:tcW w:w="720" w:type="dxa"/>
            <w:gridSpan w:val="3"/>
            <w:tcBorders>
              <w:top w:val="single" w:sz="12" w:space="0" w:color="auto"/>
              <w:bottom w:val="single" w:sz="12" w:space="0" w:color="auto"/>
            </w:tcBorders>
          </w:tcPr>
          <w:p>
            <w:pPr>
              <w:spacing w:before="180" w:after="180"/>
              <w:ind w:right="-29"/>
              <w:jc w:val="center"/>
              <w:rPr>
                <w:b/>
                <w:noProof/>
                <w:sz w:val="18"/>
              </w:rPr>
            </w:pPr>
            <w:r>
              <w:rPr>
                <w:b/>
                <w:noProof/>
                <w:sz w:val="18"/>
              </w:rPr>
              <w:t>17,000</w:t>
            </w:r>
          </w:p>
        </w:tc>
        <w:tc>
          <w:tcPr>
            <w:tcW w:w="540" w:type="dxa"/>
            <w:gridSpan w:val="2"/>
            <w:tcBorders>
              <w:top w:val="single" w:sz="12" w:space="0" w:color="auto"/>
              <w:bottom w:val="single" w:sz="12" w:space="0" w:color="auto"/>
            </w:tcBorders>
          </w:tcPr>
          <w:p>
            <w:pPr>
              <w:spacing w:before="180" w:after="180"/>
              <w:ind w:right="-29"/>
              <w:jc w:val="center"/>
              <w:rPr>
                <w:b/>
                <w:noProof/>
                <w:sz w:val="18"/>
              </w:rPr>
            </w:pPr>
          </w:p>
        </w:tc>
        <w:tc>
          <w:tcPr>
            <w:tcW w:w="648" w:type="dxa"/>
            <w:gridSpan w:val="2"/>
            <w:tcBorders>
              <w:top w:val="single" w:sz="12" w:space="0" w:color="auto"/>
              <w:bottom w:val="single" w:sz="12" w:space="0" w:color="auto"/>
            </w:tcBorders>
          </w:tcPr>
          <w:p>
            <w:pPr>
              <w:spacing w:before="180" w:after="180"/>
              <w:ind w:right="-29"/>
              <w:jc w:val="center"/>
              <w:rPr>
                <w:b/>
                <w:noProof/>
                <w:sz w:val="18"/>
              </w:rPr>
            </w:pPr>
            <w:r>
              <w:rPr>
                <w:b/>
                <w:noProof/>
                <w:sz w:val="16"/>
              </w:rPr>
              <w:t>14,000</w:t>
            </w:r>
          </w:p>
        </w:tc>
        <w:tc>
          <w:tcPr>
            <w:tcW w:w="432" w:type="dxa"/>
            <w:gridSpan w:val="2"/>
            <w:tcBorders>
              <w:top w:val="single" w:sz="12" w:space="0" w:color="auto"/>
              <w:bottom w:val="single" w:sz="12" w:space="0" w:color="auto"/>
            </w:tcBorders>
          </w:tcPr>
          <w:p>
            <w:pPr>
              <w:spacing w:before="180" w:after="180"/>
              <w:ind w:right="-29"/>
              <w:jc w:val="center"/>
              <w:rPr>
                <w:b/>
                <w:noProof/>
                <w:sz w:val="18"/>
              </w:rPr>
            </w:pPr>
          </w:p>
        </w:tc>
        <w:tc>
          <w:tcPr>
            <w:tcW w:w="720" w:type="dxa"/>
            <w:gridSpan w:val="2"/>
            <w:tcBorders>
              <w:top w:val="single" w:sz="12" w:space="0" w:color="auto"/>
              <w:bottom w:val="single" w:sz="12" w:space="0" w:color="auto"/>
            </w:tcBorders>
          </w:tcPr>
          <w:p>
            <w:pPr>
              <w:spacing w:before="180" w:after="180"/>
              <w:ind w:right="-29"/>
              <w:jc w:val="center"/>
              <w:rPr>
                <w:b/>
                <w:noProof/>
                <w:sz w:val="18"/>
              </w:rPr>
            </w:pPr>
            <w:r>
              <w:rPr>
                <w:b/>
                <w:noProof/>
                <w:sz w:val="18"/>
              </w:rPr>
              <w:t>13,000</w:t>
            </w:r>
          </w:p>
        </w:tc>
        <w:tc>
          <w:tcPr>
            <w:tcW w:w="540" w:type="dxa"/>
            <w:gridSpan w:val="3"/>
            <w:tcBorders>
              <w:top w:val="single" w:sz="12" w:space="0" w:color="auto"/>
              <w:bottom w:val="single" w:sz="12" w:space="0" w:color="auto"/>
            </w:tcBorders>
          </w:tcPr>
          <w:p>
            <w:pPr>
              <w:spacing w:before="180" w:after="180"/>
              <w:ind w:right="-29"/>
              <w:jc w:val="center"/>
              <w:rPr>
                <w:b/>
                <w:noProof/>
                <w:sz w:val="18"/>
              </w:rPr>
            </w:pPr>
          </w:p>
        </w:tc>
        <w:tc>
          <w:tcPr>
            <w:tcW w:w="723" w:type="dxa"/>
            <w:gridSpan w:val="2"/>
            <w:tcBorders>
              <w:top w:val="single" w:sz="12" w:space="0" w:color="auto"/>
              <w:bottom w:val="single" w:sz="12" w:space="0" w:color="auto"/>
            </w:tcBorders>
          </w:tcPr>
          <w:p>
            <w:pPr>
              <w:spacing w:before="180" w:after="180"/>
              <w:ind w:right="-29"/>
              <w:jc w:val="center"/>
              <w:rPr>
                <w:b/>
                <w:noProof/>
                <w:sz w:val="18"/>
              </w:rPr>
            </w:pPr>
            <w:r>
              <w:rPr>
                <w:b/>
                <w:noProof/>
                <w:sz w:val="18"/>
              </w:rPr>
              <w:t>13,000</w:t>
            </w:r>
          </w:p>
        </w:tc>
        <w:tc>
          <w:tcPr>
            <w:tcW w:w="720" w:type="dxa"/>
            <w:gridSpan w:val="2"/>
            <w:tcBorders>
              <w:top w:val="single" w:sz="12" w:space="0" w:color="auto"/>
              <w:bottom w:val="single" w:sz="12" w:space="0" w:color="auto"/>
            </w:tcBorders>
          </w:tcPr>
          <w:p>
            <w:pPr>
              <w:spacing w:before="180" w:after="180"/>
              <w:ind w:right="-29"/>
              <w:jc w:val="center"/>
              <w:rPr>
                <w:b/>
                <w:noProof/>
                <w:sz w:val="18"/>
              </w:rPr>
            </w:pPr>
          </w:p>
        </w:tc>
        <w:tc>
          <w:tcPr>
            <w:tcW w:w="900" w:type="dxa"/>
            <w:gridSpan w:val="2"/>
            <w:tcBorders>
              <w:top w:val="single" w:sz="12" w:space="0" w:color="auto"/>
              <w:bottom w:val="single" w:sz="12" w:space="0" w:color="auto"/>
              <w:right w:val="single" w:sz="12" w:space="0" w:color="auto"/>
            </w:tcBorders>
          </w:tcPr>
          <w:p>
            <w:pPr>
              <w:spacing w:before="180" w:after="180"/>
              <w:ind w:right="-29"/>
              <w:jc w:val="center"/>
              <w:rPr>
                <w:b/>
                <w:noProof/>
                <w:sz w:val="18"/>
              </w:rPr>
            </w:pPr>
            <w:r>
              <w:rPr>
                <w:b/>
                <w:noProof/>
                <w:sz w:val="18"/>
              </w:rPr>
              <w:t>102,500</w:t>
            </w:r>
          </w:p>
        </w:tc>
      </w:tr>
    </w:tbl>
    <w:p>
      <w:pPr>
        <w:rPr>
          <w:noProof/>
        </w:rPr>
        <w:sectPr>
          <w:headerReference w:type="default" r:id="rId16"/>
          <w:footerReference w:type="default" r:id="rId17"/>
          <w:headerReference w:type="first" r:id="rId18"/>
          <w:footerReference w:type="first" r:id="rId19"/>
          <w:pgSz w:w="15840" w:h="12240" w:orient="landscape"/>
          <w:pgMar w:top="1418" w:right="902" w:bottom="902" w:left="567" w:header="709" w:footer="709" w:gutter="0"/>
          <w:cols w:space="720"/>
          <w:docGrid w:linePitch="326"/>
        </w:sectPr>
      </w:pPr>
    </w:p>
    <w:p>
      <w:pPr>
        <w:pStyle w:val="ManualHeading3"/>
        <w:rPr>
          <w:bCs/>
          <w:noProof/>
          <w:szCs w:val="24"/>
        </w:rPr>
      </w:pPr>
      <w:bookmarkStart w:id="74" w:name="_Toc514938688"/>
      <w:bookmarkStart w:id="75" w:name="_Toc58225975"/>
      <w:r>
        <w:t>3.2.3.</w:t>
      </w:r>
      <w:r>
        <w:tab/>
      </w:r>
      <w:r>
        <w:rPr>
          <w:noProof/>
        </w:rPr>
        <w:t>Odhadovaný dopad na lidské zdroje [subjektu]</w:t>
      </w:r>
      <w:bookmarkEnd w:id="74"/>
      <w:bookmarkEnd w:id="75"/>
      <w:r>
        <w:rPr>
          <w:noProof/>
        </w:rPr>
        <w:t xml:space="preserve"> </w:t>
      </w:r>
    </w:p>
    <w:p>
      <w:pPr>
        <w:pStyle w:val="ManualHeading4"/>
        <w:rPr>
          <w:bCs/>
          <w:noProof/>
          <w:szCs w:val="24"/>
        </w:rPr>
      </w:pPr>
      <w:r>
        <w:t>3.2.3.1.</w:t>
      </w:r>
      <w:r>
        <w:tab/>
      </w:r>
      <w:r>
        <w:rPr>
          <w:noProof/>
        </w:rPr>
        <w:t xml:space="preserve">Shrnutí </w:t>
      </w:r>
    </w:p>
    <w:p>
      <w:pPr>
        <w:pStyle w:val="ListDash1"/>
        <w:rPr>
          <w:noProof/>
        </w:rPr>
      </w:pPr>
      <w:r>
        <w:rPr>
          <w:noProof/>
        </w:rPr>
        <w:sym w:font="Wingdings" w:char="F0A8"/>
      </w:r>
      <w:r>
        <w:rPr>
          <w:noProof/>
        </w:rPr>
        <w:tab/>
        <w:t xml:space="preserve">Návrh/podnět nevyžaduje využití prostředků správní povahy. </w:t>
      </w:r>
    </w:p>
    <w:p>
      <w:pPr>
        <w:pStyle w:val="ListDash1"/>
        <w:rPr>
          <w:noProof/>
        </w:rPr>
      </w:pPr>
      <w:r>
        <w:rPr>
          <w:noProof/>
        </w:rPr>
        <w:sym w:font="Webdings" w:char="F061"/>
      </w:r>
      <w:r>
        <w:rPr>
          <w:noProof/>
        </w:rPr>
        <w:tab/>
        <w:t>Návrh/podnět vyžaduje využití prostředků správní povahy, jak je vysvětleno dále:</w:t>
      </w:r>
    </w:p>
    <w:p>
      <w:pPr>
        <w:rPr>
          <w:noProof/>
          <w:sz w:val="20"/>
        </w:rPr>
      </w:pPr>
      <w:r>
        <w:rPr>
          <w:noProof/>
          <w:sz w:val="20"/>
        </w:rPr>
        <w:t>v milionech EUR (zaokrouhleno na tři desetinná místa)</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Pr>
          <w:p>
            <w:pPr>
              <w:spacing w:before="60" w:after="60"/>
              <w:rPr>
                <w:noProof/>
                <w:sz w:val="20"/>
              </w:rPr>
            </w:pPr>
          </w:p>
        </w:tc>
        <w:tc>
          <w:tcPr>
            <w:tcW w:w="1080" w:type="dxa"/>
            <w:vAlign w:val="center"/>
          </w:tcPr>
          <w:p>
            <w:pPr>
              <w:spacing w:before="60" w:after="60"/>
              <w:jc w:val="center"/>
              <w:rPr>
                <w:noProof/>
                <w:sz w:val="20"/>
              </w:rPr>
            </w:pPr>
            <w:r>
              <w:rPr>
                <w:noProof/>
                <w:sz w:val="20"/>
              </w:rPr>
              <w:t>Rok</w:t>
            </w:r>
            <w:r>
              <w:rPr>
                <w:noProof/>
              </w:rPr>
              <w:t xml:space="preserve"> </w:t>
            </w:r>
            <w:r>
              <w:rPr>
                <w:noProof/>
              </w:rPr>
              <w:br/>
            </w:r>
            <w:r>
              <w:rPr>
                <w:b/>
                <w:noProof/>
                <w:sz w:val="20"/>
              </w:rPr>
              <w:t>2021</w:t>
            </w:r>
          </w:p>
        </w:tc>
        <w:tc>
          <w:tcPr>
            <w:tcW w:w="1080" w:type="dxa"/>
            <w:vAlign w:val="center"/>
          </w:tcPr>
          <w:p>
            <w:pPr>
              <w:spacing w:before="60" w:after="60"/>
              <w:jc w:val="center"/>
              <w:rPr>
                <w:noProof/>
                <w:sz w:val="20"/>
              </w:rPr>
            </w:pPr>
            <w:r>
              <w:rPr>
                <w:noProof/>
                <w:sz w:val="20"/>
              </w:rPr>
              <w:t>Rok</w:t>
            </w:r>
            <w:r>
              <w:rPr>
                <w:noProof/>
              </w:rPr>
              <w:t xml:space="preserve"> </w:t>
            </w:r>
            <w:r>
              <w:rPr>
                <w:noProof/>
              </w:rPr>
              <w:br/>
            </w:r>
            <w:r>
              <w:rPr>
                <w:b/>
                <w:noProof/>
                <w:sz w:val="20"/>
              </w:rPr>
              <w:t>2022</w:t>
            </w:r>
          </w:p>
        </w:tc>
        <w:tc>
          <w:tcPr>
            <w:tcW w:w="1080" w:type="dxa"/>
            <w:vAlign w:val="center"/>
          </w:tcPr>
          <w:p>
            <w:pPr>
              <w:spacing w:before="60" w:after="60"/>
              <w:jc w:val="center"/>
              <w:rPr>
                <w:noProof/>
                <w:sz w:val="20"/>
              </w:rPr>
            </w:pPr>
            <w:r>
              <w:rPr>
                <w:noProof/>
                <w:sz w:val="20"/>
              </w:rPr>
              <w:t>Rok</w:t>
            </w:r>
            <w:r>
              <w:rPr>
                <w:noProof/>
              </w:rPr>
              <w:t xml:space="preserve"> </w:t>
            </w:r>
            <w:r>
              <w:rPr>
                <w:noProof/>
              </w:rPr>
              <w:br/>
            </w:r>
            <w:r>
              <w:rPr>
                <w:b/>
                <w:noProof/>
                <w:sz w:val="20"/>
              </w:rPr>
              <w:t>2023</w:t>
            </w:r>
          </w:p>
        </w:tc>
        <w:tc>
          <w:tcPr>
            <w:tcW w:w="1080" w:type="dxa"/>
            <w:vAlign w:val="center"/>
          </w:tcPr>
          <w:p>
            <w:pPr>
              <w:spacing w:before="60" w:after="60"/>
              <w:jc w:val="center"/>
              <w:rPr>
                <w:noProof/>
                <w:sz w:val="20"/>
              </w:rPr>
            </w:pPr>
            <w:r>
              <w:rPr>
                <w:noProof/>
                <w:sz w:val="20"/>
              </w:rPr>
              <w:t>Rok</w:t>
            </w:r>
            <w:r>
              <w:rPr>
                <w:noProof/>
              </w:rPr>
              <w:t xml:space="preserve"> </w:t>
            </w:r>
            <w:r>
              <w:rPr>
                <w:noProof/>
              </w:rPr>
              <w:br/>
            </w:r>
            <w:r>
              <w:rPr>
                <w:b/>
                <w:noProof/>
                <w:sz w:val="20"/>
              </w:rPr>
              <w:t>2024</w:t>
            </w:r>
          </w:p>
        </w:tc>
        <w:tc>
          <w:tcPr>
            <w:tcW w:w="1080" w:type="dxa"/>
            <w:vAlign w:val="center"/>
          </w:tcPr>
          <w:p>
            <w:pPr>
              <w:jc w:val="center"/>
              <w:rPr>
                <w:b/>
                <w:noProof/>
                <w:sz w:val="20"/>
              </w:rPr>
            </w:pPr>
            <w:r>
              <w:rPr>
                <w:noProof/>
                <w:sz w:val="20"/>
              </w:rPr>
              <w:t>Rok</w:t>
            </w:r>
            <w:r>
              <w:rPr>
                <w:noProof/>
              </w:rPr>
              <w:t xml:space="preserve"> </w:t>
            </w:r>
            <w:r>
              <w:rPr>
                <w:noProof/>
              </w:rPr>
              <w:br/>
            </w:r>
            <w:r>
              <w:rPr>
                <w:b/>
                <w:noProof/>
                <w:sz w:val="20"/>
              </w:rPr>
              <w:t>2025</w:t>
            </w:r>
          </w:p>
        </w:tc>
        <w:tc>
          <w:tcPr>
            <w:tcW w:w="1080" w:type="dxa"/>
            <w:vAlign w:val="center"/>
          </w:tcPr>
          <w:p>
            <w:pPr>
              <w:jc w:val="center"/>
              <w:rPr>
                <w:b/>
                <w:noProof/>
                <w:sz w:val="20"/>
              </w:rPr>
            </w:pPr>
            <w:r>
              <w:rPr>
                <w:noProof/>
                <w:sz w:val="20"/>
              </w:rPr>
              <w:t>Rok</w:t>
            </w:r>
            <w:r>
              <w:rPr>
                <w:noProof/>
              </w:rPr>
              <w:t xml:space="preserve"> </w:t>
            </w:r>
            <w:r>
              <w:rPr>
                <w:noProof/>
              </w:rPr>
              <w:br/>
            </w:r>
            <w:r>
              <w:rPr>
                <w:b/>
                <w:noProof/>
                <w:sz w:val="20"/>
              </w:rPr>
              <w:t>2026</w:t>
            </w:r>
          </w:p>
        </w:tc>
        <w:tc>
          <w:tcPr>
            <w:tcW w:w="1080" w:type="dxa"/>
            <w:vAlign w:val="center"/>
          </w:tcPr>
          <w:p>
            <w:pPr>
              <w:jc w:val="center"/>
              <w:rPr>
                <w:b/>
                <w:noProof/>
                <w:sz w:val="20"/>
              </w:rPr>
            </w:pPr>
            <w:r>
              <w:rPr>
                <w:noProof/>
                <w:sz w:val="20"/>
              </w:rPr>
              <w:t>Rok</w:t>
            </w:r>
            <w:r>
              <w:rPr>
                <w:noProof/>
              </w:rPr>
              <w:t xml:space="preserve"> </w:t>
            </w:r>
            <w:r>
              <w:rPr>
                <w:noProof/>
              </w:rPr>
              <w:br/>
            </w:r>
            <w:r>
              <w:rPr>
                <w:b/>
                <w:noProof/>
                <w:sz w:val="20"/>
              </w:rPr>
              <w:t>2027</w:t>
            </w:r>
            <w:r>
              <w:rPr>
                <w:noProof/>
                <w:sz w:val="20"/>
              </w:rPr>
              <w:t xml:space="preserve"> a násl.</w:t>
            </w:r>
          </w:p>
        </w:tc>
        <w:tc>
          <w:tcPr>
            <w:tcW w:w="1080" w:type="dxa"/>
            <w:vAlign w:val="center"/>
          </w:tcPr>
          <w:p>
            <w:pPr>
              <w:spacing w:before="60" w:after="60"/>
              <w:jc w:val="center"/>
              <w:rPr>
                <w:b/>
                <w:noProof/>
                <w:sz w:val="20"/>
              </w:rPr>
            </w:pPr>
            <w:r>
              <w:rPr>
                <w:b/>
                <w:noProof/>
                <w:sz w:val="20"/>
              </w:rPr>
              <w:t>CELKEM</w:t>
            </w:r>
          </w:p>
        </w:tc>
      </w:tr>
    </w:tbl>
    <w:p>
      <w:pPr>
        <w:rPr>
          <w:noProof/>
          <w:sz w:val="20"/>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D9D9D9" w:themeFill="background1" w:themeFillShade="D9"/>
            <w:vAlign w:val="center"/>
          </w:tcPr>
          <w:p>
            <w:pPr>
              <w:spacing w:before="60" w:after="60"/>
              <w:jc w:val="center"/>
              <w:rPr>
                <w:noProof/>
              </w:rPr>
            </w:pPr>
            <w:r>
              <w:rPr>
                <w:noProof/>
                <w:sz w:val="18"/>
              </w:rPr>
              <w:t>Dočasní zaměstnanci (třídy AD)</w:t>
            </w:r>
          </w:p>
        </w:tc>
        <w:tc>
          <w:tcPr>
            <w:tcW w:w="1080" w:type="dxa"/>
            <w:vAlign w:val="bottom"/>
          </w:tcPr>
          <w:p>
            <w:pPr>
              <w:spacing w:before="60" w:after="60"/>
              <w:jc w:val="right"/>
              <w:rPr>
                <w:noProof/>
                <w:sz w:val="20"/>
              </w:rPr>
            </w:pPr>
            <w:r>
              <w:rPr>
                <w:noProof/>
                <w:color w:val="000000"/>
                <w:sz w:val="22"/>
              </w:rPr>
              <w:t>1,650</w:t>
            </w:r>
          </w:p>
        </w:tc>
        <w:tc>
          <w:tcPr>
            <w:tcW w:w="1080" w:type="dxa"/>
            <w:vAlign w:val="bottom"/>
          </w:tcPr>
          <w:p>
            <w:pPr>
              <w:spacing w:before="60" w:after="60"/>
              <w:jc w:val="right"/>
              <w:rPr>
                <w:noProof/>
                <w:sz w:val="20"/>
              </w:rPr>
            </w:pPr>
            <w:r>
              <w:rPr>
                <w:noProof/>
                <w:color w:val="000000"/>
                <w:sz w:val="22"/>
              </w:rPr>
              <w:t>3,300</w:t>
            </w:r>
          </w:p>
        </w:tc>
        <w:tc>
          <w:tcPr>
            <w:tcW w:w="1080" w:type="dxa"/>
            <w:vAlign w:val="bottom"/>
          </w:tcPr>
          <w:p>
            <w:pPr>
              <w:spacing w:before="60" w:after="60"/>
              <w:jc w:val="right"/>
              <w:rPr>
                <w:noProof/>
                <w:sz w:val="20"/>
              </w:rPr>
            </w:pPr>
            <w:r>
              <w:rPr>
                <w:noProof/>
                <w:color w:val="000000"/>
                <w:sz w:val="22"/>
              </w:rPr>
              <w:t>4,350</w:t>
            </w:r>
          </w:p>
        </w:tc>
        <w:tc>
          <w:tcPr>
            <w:tcW w:w="1080" w:type="dxa"/>
            <w:vAlign w:val="bottom"/>
          </w:tcPr>
          <w:p>
            <w:pPr>
              <w:spacing w:before="60" w:after="60"/>
              <w:jc w:val="right"/>
              <w:rPr>
                <w:noProof/>
                <w:sz w:val="20"/>
              </w:rPr>
            </w:pPr>
            <w:r>
              <w:rPr>
                <w:noProof/>
                <w:color w:val="000000"/>
                <w:sz w:val="22"/>
              </w:rPr>
              <w:t>4,800</w:t>
            </w:r>
          </w:p>
        </w:tc>
        <w:tc>
          <w:tcPr>
            <w:tcW w:w="1080" w:type="dxa"/>
            <w:vAlign w:val="bottom"/>
          </w:tcPr>
          <w:p>
            <w:pPr>
              <w:spacing w:before="60" w:after="60"/>
              <w:jc w:val="right"/>
              <w:rPr>
                <w:noProof/>
                <w:sz w:val="20"/>
              </w:rPr>
            </w:pPr>
            <w:r>
              <w:rPr>
                <w:noProof/>
                <w:color w:val="000000"/>
                <w:sz w:val="22"/>
              </w:rPr>
              <w:t>4,800</w:t>
            </w:r>
          </w:p>
        </w:tc>
        <w:tc>
          <w:tcPr>
            <w:tcW w:w="1080" w:type="dxa"/>
            <w:vAlign w:val="bottom"/>
          </w:tcPr>
          <w:p>
            <w:pPr>
              <w:spacing w:before="60" w:after="60"/>
              <w:jc w:val="right"/>
              <w:rPr>
                <w:noProof/>
                <w:sz w:val="20"/>
              </w:rPr>
            </w:pPr>
            <w:r>
              <w:rPr>
                <w:noProof/>
                <w:color w:val="000000"/>
                <w:sz w:val="22"/>
              </w:rPr>
              <w:t>4,800</w:t>
            </w:r>
          </w:p>
        </w:tc>
        <w:tc>
          <w:tcPr>
            <w:tcW w:w="1080" w:type="dxa"/>
            <w:vAlign w:val="bottom"/>
          </w:tcPr>
          <w:p>
            <w:pPr>
              <w:spacing w:before="60" w:after="60"/>
              <w:jc w:val="right"/>
              <w:rPr>
                <w:b/>
                <w:noProof/>
                <w:sz w:val="20"/>
              </w:rPr>
            </w:pPr>
            <w:r>
              <w:rPr>
                <w:noProof/>
                <w:color w:val="000000"/>
                <w:sz w:val="22"/>
              </w:rPr>
              <w:t>4,800</w:t>
            </w:r>
          </w:p>
        </w:tc>
        <w:tc>
          <w:tcPr>
            <w:tcW w:w="1080" w:type="dxa"/>
            <w:vAlign w:val="bottom"/>
          </w:tcPr>
          <w:p>
            <w:pPr>
              <w:spacing w:before="60" w:after="60"/>
              <w:jc w:val="right"/>
              <w:rPr>
                <w:b/>
                <w:noProof/>
                <w:sz w:val="20"/>
              </w:rPr>
            </w:pPr>
            <w:r>
              <w:rPr>
                <w:b/>
                <w:bCs/>
                <w:noProof/>
                <w:color w:val="000000"/>
                <w:sz w:val="22"/>
              </w:rPr>
              <w:t>28,500</w:t>
            </w:r>
          </w:p>
        </w:tc>
      </w:tr>
      <w:tr>
        <w:trPr>
          <w:trHeight w:val="585"/>
        </w:trPr>
        <w:tc>
          <w:tcPr>
            <w:tcW w:w="1980" w:type="dxa"/>
            <w:shd w:val="clear" w:color="auto" w:fill="BFBFBF" w:themeFill="background1" w:themeFillShade="BF"/>
            <w:vAlign w:val="center"/>
          </w:tcPr>
          <w:p>
            <w:pPr>
              <w:spacing w:before="60" w:after="60"/>
              <w:ind w:left="72"/>
              <w:rPr>
                <w:noProof/>
              </w:rPr>
            </w:pPr>
            <w:r>
              <w:rPr>
                <w:noProof/>
                <w:sz w:val="20"/>
              </w:rPr>
              <w:t>Dočasní zaměstnanci (třídy AST)</w:t>
            </w:r>
          </w:p>
        </w:tc>
        <w:tc>
          <w:tcPr>
            <w:tcW w:w="1080" w:type="dxa"/>
            <w:vAlign w:val="bottom"/>
          </w:tcPr>
          <w:p>
            <w:pPr>
              <w:spacing w:before="60" w:after="60"/>
              <w:jc w:val="right"/>
              <w:rPr>
                <w:noProof/>
                <w:sz w:val="20"/>
              </w:rPr>
            </w:pPr>
            <w:r>
              <w:rPr>
                <w:noProof/>
                <w:color w:val="000000"/>
                <w:sz w:val="22"/>
              </w:rPr>
              <w:t>1,050</w:t>
            </w:r>
          </w:p>
        </w:tc>
        <w:tc>
          <w:tcPr>
            <w:tcW w:w="1080" w:type="dxa"/>
            <w:vAlign w:val="bottom"/>
          </w:tcPr>
          <w:p>
            <w:pPr>
              <w:spacing w:before="60" w:after="60"/>
              <w:jc w:val="right"/>
              <w:rPr>
                <w:noProof/>
                <w:sz w:val="20"/>
              </w:rPr>
            </w:pPr>
            <w:r>
              <w:rPr>
                <w:noProof/>
                <w:color w:val="000000"/>
                <w:sz w:val="22"/>
              </w:rPr>
              <w:t>1,950</w:t>
            </w:r>
          </w:p>
        </w:tc>
        <w:tc>
          <w:tcPr>
            <w:tcW w:w="1080" w:type="dxa"/>
            <w:vAlign w:val="bottom"/>
          </w:tcPr>
          <w:p>
            <w:pPr>
              <w:spacing w:before="60" w:after="60"/>
              <w:jc w:val="right"/>
              <w:rPr>
                <w:noProof/>
                <w:sz w:val="20"/>
              </w:rPr>
            </w:pPr>
            <w:r>
              <w:rPr>
                <w:noProof/>
                <w:color w:val="000000"/>
                <w:sz w:val="22"/>
              </w:rPr>
              <w:t>1,950</w:t>
            </w:r>
          </w:p>
        </w:tc>
        <w:tc>
          <w:tcPr>
            <w:tcW w:w="1080" w:type="dxa"/>
            <w:vAlign w:val="bottom"/>
          </w:tcPr>
          <w:p>
            <w:pPr>
              <w:spacing w:before="60" w:after="60"/>
              <w:jc w:val="right"/>
              <w:rPr>
                <w:noProof/>
                <w:sz w:val="20"/>
              </w:rPr>
            </w:pPr>
            <w:r>
              <w:rPr>
                <w:noProof/>
                <w:color w:val="000000"/>
                <w:sz w:val="22"/>
              </w:rPr>
              <w:t>1,950</w:t>
            </w:r>
          </w:p>
        </w:tc>
        <w:tc>
          <w:tcPr>
            <w:tcW w:w="1080" w:type="dxa"/>
            <w:vAlign w:val="bottom"/>
          </w:tcPr>
          <w:p>
            <w:pPr>
              <w:spacing w:before="60" w:after="60"/>
              <w:jc w:val="right"/>
              <w:rPr>
                <w:noProof/>
                <w:sz w:val="20"/>
              </w:rPr>
            </w:pPr>
            <w:r>
              <w:rPr>
                <w:noProof/>
                <w:color w:val="000000"/>
                <w:sz w:val="22"/>
              </w:rPr>
              <w:t>1,950</w:t>
            </w:r>
          </w:p>
        </w:tc>
        <w:tc>
          <w:tcPr>
            <w:tcW w:w="1080" w:type="dxa"/>
            <w:vAlign w:val="bottom"/>
          </w:tcPr>
          <w:p>
            <w:pPr>
              <w:spacing w:before="60" w:after="60"/>
              <w:jc w:val="right"/>
              <w:rPr>
                <w:noProof/>
                <w:sz w:val="20"/>
              </w:rPr>
            </w:pPr>
            <w:r>
              <w:rPr>
                <w:noProof/>
                <w:color w:val="000000"/>
                <w:sz w:val="22"/>
              </w:rPr>
              <w:t>1,950</w:t>
            </w:r>
          </w:p>
        </w:tc>
        <w:tc>
          <w:tcPr>
            <w:tcW w:w="1080" w:type="dxa"/>
            <w:vAlign w:val="bottom"/>
          </w:tcPr>
          <w:p>
            <w:pPr>
              <w:spacing w:before="60" w:after="60"/>
              <w:jc w:val="right"/>
              <w:rPr>
                <w:b/>
                <w:noProof/>
                <w:sz w:val="20"/>
              </w:rPr>
            </w:pPr>
            <w:r>
              <w:rPr>
                <w:noProof/>
                <w:color w:val="000000"/>
                <w:sz w:val="22"/>
              </w:rPr>
              <w:t>1,950</w:t>
            </w:r>
          </w:p>
        </w:tc>
        <w:tc>
          <w:tcPr>
            <w:tcW w:w="1080" w:type="dxa"/>
            <w:vAlign w:val="bottom"/>
          </w:tcPr>
          <w:p>
            <w:pPr>
              <w:spacing w:before="60" w:after="60"/>
              <w:jc w:val="right"/>
              <w:rPr>
                <w:b/>
                <w:noProof/>
                <w:sz w:val="20"/>
              </w:rPr>
            </w:pPr>
            <w:r>
              <w:rPr>
                <w:b/>
                <w:bCs/>
                <w:noProof/>
                <w:color w:val="000000"/>
                <w:sz w:val="22"/>
              </w:rPr>
              <w:t>12,750</w:t>
            </w:r>
          </w:p>
        </w:tc>
      </w:tr>
      <w:tr>
        <w:trPr>
          <w:trHeight w:val="585"/>
        </w:trPr>
        <w:tc>
          <w:tcPr>
            <w:tcW w:w="1980" w:type="dxa"/>
            <w:shd w:val="clear" w:color="auto" w:fill="BFBFBF" w:themeFill="background1" w:themeFillShade="BF"/>
            <w:vAlign w:val="center"/>
          </w:tcPr>
          <w:p>
            <w:pPr>
              <w:spacing w:before="60" w:after="60"/>
              <w:ind w:left="72"/>
              <w:rPr>
                <w:noProof/>
              </w:rPr>
            </w:pPr>
            <w:r>
              <w:rPr>
                <w:noProof/>
                <w:sz w:val="20"/>
              </w:rPr>
              <w:t>Smluvní zaměstnanci</w:t>
            </w:r>
          </w:p>
        </w:tc>
        <w:tc>
          <w:tcPr>
            <w:tcW w:w="1080" w:type="dxa"/>
            <w:shd w:val="clear" w:color="auto" w:fill="BFBFBF" w:themeFill="background1" w:themeFillShade="BF"/>
            <w:vAlign w:val="bottom"/>
          </w:tcPr>
          <w:p>
            <w:pPr>
              <w:spacing w:before="60" w:after="60"/>
              <w:jc w:val="right"/>
              <w:rPr>
                <w:noProof/>
                <w:color w:val="000000"/>
                <w:sz w:val="20"/>
                <w:szCs w:val="20"/>
              </w:rPr>
            </w:pPr>
            <w:r>
              <w:rPr>
                <w:noProof/>
                <w:color w:val="000000"/>
                <w:sz w:val="22"/>
              </w:rPr>
              <w:t>1,040</w:t>
            </w:r>
          </w:p>
        </w:tc>
        <w:tc>
          <w:tcPr>
            <w:tcW w:w="1080" w:type="dxa"/>
            <w:shd w:val="clear" w:color="auto" w:fill="BFBFBF" w:themeFill="background1" w:themeFillShade="BF"/>
            <w:vAlign w:val="bottom"/>
          </w:tcPr>
          <w:p>
            <w:pPr>
              <w:spacing w:before="60" w:after="60"/>
              <w:jc w:val="right"/>
              <w:rPr>
                <w:noProof/>
                <w:sz w:val="20"/>
              </w:rPr>
            </w:pPr>
            <w:r>
              <w:rPr>
                <w:noProof/>
                <w:color w:val="000000"/>
                <w:sz w:val="22"/>
              </w:rPr>
              <w:t>1,600</w:t>
            </w:r>
          </w:p>
        </w:tc>
        <w:tc>
          <w:tcPr>
            <w:tcW w:w="1080" w:type="dxa"/>
            <w:shd w:val="clear" w:color="auto" w:fill="BFBFBF" w:themeFill="background1" w:themeFillShade="BF"/>
            <w:vAlign w:val="bottom"/>
          </w:tcPr>
          <w:p>
            <w:pPr>
              <w:spacing w:before="60" w:after="60"/>
              <w:jc w:val="right"/>
              <w:rPr>
                <w:noProof/>
                <w:sz w:val="20"/>
              </w:rPr>
            </w:pPr>
            <w:r>
              <w:rPr>
                <w:noProof/>
                <w:color w:val="000000"/>
                <w:sz w:val="22"/>
              </w:rPr>
              <w:t>2,080</w:t>
            </w:r>
          </w:p>
        </w:tc>
        <w:tc>
          <w:tcPr>
            <w:tcW w:w="1080" w:type="dxa"/>
            <w:shd w:val="clear" w:color="auto" w:fill="BFBFBF" w:themeFill="background1" w:themeFillShade="BF"/>
            <w:vAlign w:val="bottom"/>
          </w:tcPr>
          <w:p>
            <w:pPr>
              <w:spacing w:before="60" w:after="60"/>
              <w:jc w:val="right"/>
              <w:rPr>
                <w:noProof/>
                <w:sz w:val="20"/>
              </w:rPr>
            </w:pPr>
            <w:r>
              <w:rPr>
                <w:noProof/>
                <w:color w:val="000000"/>
                <w:sz w:val="22"/>
              </w:rPr>
              <w:t>2,240</w:t>
            </w:r>
          </w:p>
        </w:tc>
        <w:tc>
          <w:tcPr>
            <w:tcW w:w="1080" w:type="dxa"/>
            <w:shd w:val="clear" w:color="auto" w:fill="BFBFBF" w:themeFill="background1" w:themeFillShade="BF"/>
            <w:vAlign w:val="bottom"/>
          </w:tcPr>
          <w:p>
            <w:pPr>
              <w:spacing w:before="60" w:after="60"/>
              <w:jc w:val="right"/>
              <w:rPr>
                <w:noProof/>
                <w:sz w:val="20"/>
              </w:rPr>
            </w:pPr>
            <w:r>
              <w:rPr>
                <w:noProof/>
                <w:color w:val="000000"/>
                <w:sz w:val="22"/>
              </w:rPr>
              <w:t>2,240</w:t>
            </w:r>
          </w:p>
        </w:tc>
        <w:tc>
          <w:tcPr>
            <w:tcW w:w="1080" w:type="dxa"/>
            <w:shd w:val="clear" w:color="auto" w:fill="BFBFBF" w:themeFill="background1" w:themeFillShade="BF"/>
            <w:vAlign w:val="bottom"/>
          </w:tcPr>
          <w:p>
            <w:pPr>
              <w:spacing w:before="60" w:after="60"/>
              <w:jc w:val="right"/>
              <w:rPr>
                <w:noProof/>
                <w:sz w:val="20"/>
              </w:rPr>
            </w:pPr>
            <w:r>
              <w:rPr>
                <w:noProof/>
                <w:color w:val="000000"/>
                <w:sz w:val="22"/>
              </w:rPr>
              <w:t>2,240</w:t>
            </w:r>
          </w:p>
        </w:tc>
        <w:tc>
          <w:tcPr>
            <w:tcW w:w="1080" w:type="dxa"/>
            <w:shd w:val="clear" w:color="auto" w:fill="BFBFBF" w:themeFill="background1" w:themeFillShade="BF"/>
            <w:vAlign w:val="bottom"/>
          </w:tcPr>
          <w:p>
            <w:pPr>
              <w:spacing w:before="60" w:after="60"/>
              <w:jc w:val="right"/>
              <w:rPr>
                <w:b/>
                <w:noProof/>
                <w:sz w:val="20"/>
              </w:rPr>
            </w:pPr>
            <w:r>
              <w:rPr>
                <w:noProof/>
                <w:color w:val="000000"/>
                <w:sz w:val="22"/>
              </w:rPr>
              <w:t>2,240</w:t>
            </w:r>
          </w:p>
        </w:tc>
        <w:tc>
          <w:tcPr>
            <w:tcW w:w="1080" w:type="dxa"/>
            <w:shd w:val="clear" w:color="auto" w:fill="BFBFBF" w:themeFill="background1" w:themeFillShade="BF"/>
            <w:vAlign w:val="bottom"/>
          </w:tcPr>
          <w:p>
            <w:pPr>
              <w:spacing w:before="60" w:after="60"/>
              <w:jc w:val="right"/>
              <w:rPr>
                <w:b/>
                <w:noProof/>
                <w:sz w:val="20"/>
              </w:rPr>
            </w:pPr>
            <w:r>
              <w:rPr>
                <w:b/>
                <w:bCs/>
                <w:noProof/>
                <w:color w:val="000000"/>
                <w:sz w:val="22"/>
              </w:rPr>
              <w:t>13,680</w:t>
            </w:r>
          </w:p>
        </w:tc>
      </w:tr>
      <w:tr>
        <w:trPr>
          <w:trHeight w:val="585"/>
        </w:trPr>
        <w:tc>
          <w:tcPr>
            <w:tcW w:w="1980" w:type="dxa"/>
            <w:shd w:val="clear" w:color="auto" w:fill="CCCCCC"/>
            <w:vAlign w:val="center"/>
          </w:tcPr>
          <w:p>
            <w:pPr>
              <w:spacing w:before="60" w:after="60"/>
              <w:jc w:val="center"/>
              <w:rPr>
                <w:noProof/>
              </w:rPr>
            </w:pPr>
            <w:r>
              <w:rPr>
                <w:noProof/>
                <w:sz w:val="18"/>
              </w:rPr>
              <w:t>Vyslaní národní odborníci</w:t>
            </w:r>
          </w:p>
        </w:tc>
        <w:tc>
          <w:tcPr>
            <w:tcW w:w="1080" w:type="dxa"/>
            <w:vAlign w:val="center"/>
          </w:tcPr>
          <w:p>
            <w:pPr>
              <w:spacing w:before="60" w:after="60"/>
              <w:jc w:val="right"/>
              <w:rPr>
                <w:noProof/>
                <w:sz w:val="20"/>
              </w:rPr>
            </w:pPr>
            <w:r>
              <w:rPr>
                <w:noProof/>
                <w:color w:val="000000"/>
                <w:sz w:val="20"/>
              </w:rPr>
              <w:t>0</w:t>
            </w:r>
          </w:p>
        </w:tc>
        <w:tc>
          <w:tcPr>
            <w:tcW w:w="1080" w:type="dxa"/>
            <w:vAlign w:val="center"/>
          </w:tcPr>
          <w:p>
            <w:pPr>
              <w:spacing w:before="60" w:after="60"/>
              <w:jc w:val="right"/>
              <w:rPr>
                <w:noProof/>
                <w:sz w:val="20"/>
              </w:rPr>
            </w:pPr>
            <w:r>
              <w:rPr>
                <w:noProof/>
                <w:color w:val="000000"/>
                <w:sz w:val="20"/>
              </w:rPr>
              <w:t>0</w:t>
            </w:r>
          </w:p>
        </w:tc>
        <w:tc>
          <w:tcPr>
            <w:tcW w:w="1080" w:type="dxa"/>
            <w:vAlign w:val="center"/>
          </w:tcPr>
          <w:p>
            <w:pPr>
              <w:spacing w:before="60" w:after="60"/>
              <w:jc w:val="right"/>
              <w:rPr>
                <w:noProof/>
                <w:sz w:val="20"/>
              </w:rPr>
            </w:pPr>
            <w:r>
              <w:rPr>
                <w:noProof/>
                <w:color w:val="000000"/>
                <w:sz w:val="20"/>
              </w:rPr>
              <w:t>0</w:t>
            </w:r>
          </w:p>
        </w:tc>
        <w:tc>
          <w:tcPr>
            <w:tcW w:w="1080" w:type="dxa"/>
            <w:vAlign w:val="center"/>
          </w:tcPr>
          <w:p>
            <w:pPr>
              <w:spacing w:before="60" w:after="60"/>
              <w:jc w:val="right"/>
              <w:rPr>
                <w:noProof/>
                <w:sz w:val="20"/>
              </w:rPr>
            </w:pPr>
            <w:r>
              <w:rPr>
                <w:noProof/>
                <w:color w:val="000000"/>
                <w:sz w:val="20"/>
              </w:rPr>
              <w:t>0</w:t>
            </w:r>
          </w:p>
        </w:tc>
        <w:tc>
          <w:tcPr>
            <w:tcW w:w="1080" w:type="dxa"/>
            <w:vAlign w:val="center"/>
          </w:tcPr>
          <w:p>
            <w:pPr>
              <w:spacing w:before="60" w:after="60"/>
              <w:jc w:val="right"/>
              <w:rPr>
                <w:noProof/>
                <w:sz w:val="20"/>
              </w:rPr>
            </w:pPr>
            <w:r>
              <w:rPr>
                <w:noProof/>
                <w:color w:val="000000"/>
                <w:sz w:val="20"/>
              </w:rPr>
              <w:t>0</w:t>
            </w:r>
          </w:p>
        </w:tc>
        <w:tc>
          <w:tcPr>
            <w:tcW w:w="1080" w:type="dxa"/>
            <w:vAlign w:val="center"/>
          </w:tcPr>
          <w:p>
            <w:pPr>
              <w:spacing w:before="60" w:after="60"/>
              <w:jc w:val="right"/>
              <w:rPr>
                <w:noProof/>
                <w:sz w:val="20"/>
              </w:rPr>
            </w:pPr>
            <w:r>
              <w:rPr>
                <w:noProof/>
                <w:color w:val="000000"/>
                <w:sz w:val="20"/>
              </w:rPr>
              <w:t>0</w:t>
            </w:r>
          </w:p>
        </w:tc>
        <w:tc>
          <w:tcPr>
            <w:tcW w:w="1080" w:type="dxa"/>
            <w:vAlign w:val="center"/>
          </w:tcPr>
          <w:p>
            <w:pPr>
              <w:spacing w:before="60" w:after="60"/>
              <w:jc w:val="right"/>
              <w:rPr>
                <w:b/>
                <w:noProof/>
                <w:sz w:val="20"/>
              </w:rPr>
            </w:pPr>
            <w:r>
              <w:rPr>
                <w:b/>
                <w:noProof/>
                <w:sz w:val="20"/>
              </w:rPr>
              <w:t>0</w:t>
            </w:r>
          </w:p>
        </w:tc>
        <w:tc>
          <w:tcPr>
            <w:tcW w:w="1080" w:type="dxa"/>
            <w:vAlign w:val="center"/>
          </w:tcPr>
          <w:p>
            <w:pPr>
              <w:spacing w:before="60" w:after="60"/>
              <w:jc w:val="right"/>
              <w:rPr>
                <w:b/>
                <w:noProof/>
                <w:sz w:val="20"/>
              </w:rPr>
            </w:pPr>
            <w:r>
              <w:rPr>
                <w:noProof/>
                <w:color w:val="000000"/>
                <w:sz w:val="20"/>
                <w:szCs w:val="20"/>
              </w:rPr>
              <w:t>0</w:t>
            </w:r>
          </w:p>
        </w:tc>
      </w:tr>
    </w:tbl>
    <w:p>
      <w:pPr>
        <w:rPr>
          <w:noProof/>
          <w:sz w:val="20"/>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CELKEM</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bCs/>
                <w:noProof/>
                <w:color w:val="000000"/>
                <w:sz w:val="20"/>
              </w:rPr>
              <w:t>3,740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bCs/>
                <w:noProof/>
                <w:color w:val="000000"/>
                <w:sz w:val="20"/>
              </w:rPr>
              <w:t>6,850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bCs/>
                <w:noProof/>
                <w:color w:val="000000"/>
                <w:sz w:val="20"/>
              </w:rPr>
              <w:t>8,380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bCs/>
                <w:noProof/>
                <w:color w:val="000000"/>
                <w:sz w:val="20"/>
              </w:rPr>
              <w:t>8,990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bCs/>
                <w:noProof/>
                <w:color w:val="000000"/>
                <w:sz w:val="20"/>
              </w:rPr>
              <w:t>8,990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bCs/>
                <w:noProof/>
                <w:color w:val="000000"/>
                <w:sz w:val="20"/>
              </w:rPr>
              <w:t>8,990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8,990</w:t>
            </w: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0" w:after="0"/>
              <w:jc w:val="right"/>
              <w:rPr>
                <w:b/>
                <w:bCs/>
                <w:noProof/>
                <w:color w:val="000000"/>
                <w:sz w:val="20"/>
              </w:rPr>
            </w:pPr>
            <w:r>
              <w:rPr>
                <w:b/>
                <w:bCs/>
                <w:noProof/>
                <w:color w:val="000000"/>
                <w:sz w:val="20"/>
              </w:rPr>
              <w:t>54,930</w:t>
            </w:r>
          </w:p>
        </w:tc>
      </w:tr>
    </w:tbl>
    <w:p>
      <w:pPr>
        <w:rPr>
          <w:noProof/>
          <w:u w:val="single"/>
        </w:rPr>
      </w:pPr>
    </w:p>
    <w:p>
      <w:pPr>
        <w:rPr>
          <w:noProof/>
          <w:sz w:val="20"/>
        </w:rPr>
      </w:pPr>
      <w:r>
        <w:rPr>
          <w:noProof/>
          <w:sz w:val="20"/>
        </w:rPr>
        <w:t>Požadavky na zaměstnance (FTE):</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Pr>
          <w:p>
            <w:pPr>
              <w:spacing w:before="60" w:after="60"/>
              <w:rPr>
                <w:noProof/>
                <w:sz w:val="20"/>
              </w:rPr>
            </w:pPr>
          </w:p>
        </w:tc>
        <w:tc>
          <w:tcPr>
            <w:tcW w:w="1080" w:type="dxa"/>
            <w:vAlign w:val="center"/>
          </w:tcPr>
          <w:p>
            <w:pPr>
              <w:spacing w:before="60" w:after="60"/>
              <w:jc w:val="center"/>
              <w:rPr>
                <w:noProof/>
                <w:sz w:val="20"/>
              </w:rPr>
            </w:pPr>
            <w:r>
              <w:rPr>
                <w:noProof/>
                <w:sz w:val="20"/>
              </w:rPr>
              <w:t>Rok</w:t>
            </w:r>
            <w:r>
              <w:rPr>
                <w:noProof/>
              </w:rPr>
              <w:t xml:space="preserve"> </w:t>
            </w:r>
            <w:r>
              <w:rPr>
                <w:noProof/>
              </w:rPr>
              <w:br/>
            </w:r>
            <w:r>
              <w:rPr>
                <w:b/>
                <w:noProof/>
                <w:sz w:val="20"/>
              </w:rPr>
              <w:t>2021</w:t>
            </w:r>
          </w:p>
        </w:tc>
        <w:tc>
          <w:tcPr>
            <w:tcW w:w="1080" w:type="dxa"/>
            <w:vAlign w:val="center"/>
          </w:tcPr>
          <w:p>
            <w:pPr>
              <w:spacing w:before="60" w:after="60"/>
              <w:jc w:val="center"/>
              <w:rPr>
                <w:noProof/>
                <w:sz w:val="20"/>
              </w:rPr>
            </w:pPr>
            <w:r>
              <w:rPr>
                <w:noProof/>
                <w:sz w:val="20"/>
              </w:rPr>
              <w:t>Rok</w:t>
            </w:r>
            <w:r>
              <w:rPr>
                <w:noProof/>
              </w:rPr>
              <w:t xml:space="preserve"> </w:t>
            </w:r>
            <w:r>
              <w:rPr>
                <w:noProof/>
              </w:rPr>
              <w:br/>
            </w:r>
            <w:r>
              <w:rPr>
                <w:b/>
                <w:noProof/>
                <w:sz w:val="20"/>
              </w:rPr>
              <w:t>2022</w:t>
            </w:r>
          </w:p>
        </w:tc>
        <w:tc>
          <w:tcPr>
            <w:tcW w:w="1080" w:type="dxa"/>
            <w:vAlign w:val="center"/>
          </w:tcPr>
          <w:p>
            <w:pPr>
              <w:spacing w:before="60" w:after="60"/>
              <w:jc w:val="center"/>
              <w:rPr>
                <w:noProof/>
                <w:sz w:val="20"/>
              </w:rPr>
            </w:pPr>
            <w:r>
              <w:rPr>
                <w:noProof/>
                <w:sz w:val="20"/>
              </w:rPr>
              <w:t>Rok</w:t>
            </w:r>
            <w:r>
              <w:rPr>
                <w:noProof/>
              </w:rPr>
              <w:t xml:space="preserve"> </w:t>
            </w:r>
            <w:r>
              <w:rPr>
                <w:noProof/>
              </w:rPr>
              <w:br/>
            </w:r>
            <w:r>
              <w:rPr>
                <w:b/>
                <w:noProof/>
                <w:sz w:val="20"/>
              </w:rPr>
              <w:t>2023</w:t>
            </w:r>
          </w:p>
        </w:tc>
        <w:tc>
          <w:tcPr>
            <w:tcW w:w="1080" w:type="dxa"/>
            <w:vAlign w:val="center"/>
          </w:tcPr>
          <w:p>
            <w:pPr>
              <w:spacing w:before="60" w:after="60"/>
              <w:jc w:val="center"/>
              <w:rPr>
                <w:noProof/>
                <w:sz w:val="20"/>
              </w:rPr>
            </w:pPr>
            <w:r>
              <w:rPr>
                <w:noProof/>
                <w:sz w:val="20"/>
              </w:rPr>
              <w:t>Rok</w:t>
            </w:r>
            <w:r>
              <w:rPr>
                <w:noProof/>
              </w:rPr>
              <w:t xml:space="preserve"> </w:t>
            </w:r>
            <w:r>
              <w:rPr>
                <w:noProof/>
              </w:rPr>
              <w:br/>
            </w:r>
            <w:r>
              <w:rPr>
                <w:b/>
                <w:noProof/>
                <w:sz w:val="20"/>
              </w:rPr>
              <w:t>2024</w:t>
            </w:r>
          </w:p>
        </w:tc>
        <w:tc>
          <w:tcPr>
            <w:tcW w:w="1080" w:type="dxa"/>
            <w:vAlign w:val="center"/>
          </w:tcPr>
          <w:p>
            <w:pPr>
              <w:jc w:val="center"/>
              <w:rPr>
                <w:b/>
                <w:noProof/>
                <w:sz w:val="20"/>
              </w:rPr>
            </w:pPr>
            <w:r>
              <w:rPr>
                <w:noProof/>
                <w:sz w:val="20"/>
              </w:rPr>
              <w:t>Rok</w:t>
            </w:r>
            <w:r>
              <w:rPr>
                <w:noProof/>
              </w:rPr>
              <w:t xml:space="preserve"> </w:t>
            </w:r>
            <w:r>
              <w:rPr>
                <w:noProof/>
              </w:rPr>
              <w:br/>
            </w:r>
            <w:r>
              <w:rPr>
                <w:b/>
                <w:noProof/>
                <w:sz w:val="20"/>
              </w:rPr>
              <w:t>2025</w:t>
            </w:r>
          </w:p>
        </w:tc>
        <w:tc>
          <w:tcPr>
            <w:tcW w:w="1080" w:type="dxa"/>
            <w:vAlign w:val="center"/>
          </w:tcPr>
          <w:p>
            <w:pPr>
              <w:jc w:val="center"/>
              <w:rPr>
                <w:b/>
                <w:noProof/>
                <w:sz w:val="20"/>
              </w:rPr>
            </w:pPr>
            <w:r>
              <w:rPr>
                <w:noProof/>
                <w:sz w:val="20"/>
              </w:rPr>
              <w:t>Rok</w:t>
            </w:r>
            <w:r>
              <w:rPr>
                <w:noProof/>
              </w:rPr>
              <w:t xml:space="preserve"> </w:t>
            </w:r>
            <w:r>
              <w:rPr>
                <w:noProof/>
              </w:rPr>
              <w:br/>
            </w:r>
            <w:r>
              <w:rPr>
                <w:b/>
                <w:noProof/>
                <w:sz w:val="20"/>
              </w:rPr>
              <w:t>2026</w:t>
            </w:r>
          </w:p>
        </w:tc>
        <w:tc>
          <w:tcPr>
            <w:tcW w:w="1080" w:type="dxa"/>
            <w:vAlign w:val="center"/>
          </w:tcPr>
          <w:p>
            <w:pPr>
              <w:jc w:val="center"/>
              <w:rPr>
                <w:b/>
                <w:noProof/>
                <w:sz w:val="20"/>
              </w:rPr>
            </w:pPr>
            <w:r>
              <w:rPr>
                <w:noProof/>
                <w:sz w:val="20"/>
              </w:rPr>
              <w:t>Rok</w:t>
            </w:r>
            <w:r>
              <w:rPr>
                <w:noProof/>
              </w:rPr>
              <w:t xml:space="preserve"> </w:t>
            </w:r>
            <w:r>
              <w:rPr>
                <w:noProof/>
              </w:rPr>
              <w:br/>
            </w:r>
            <w:r>
              <w:rPr>
                <w:b/>
                <w:noProof/>
                <w:sz w:val="20"/>
              </w:rPr>
              <w:t>2027</w:t>
            </w:r>
            <w:r>
              <w:rPr>
                <w:noProof/>
                <w:sz w:val="20"/>
              </w:rPr>
              <w:t xml:space="preserve"> a násl.</w:t>
            </w:r>
          </w:p>
        </w:tc>
        <w:tc>
          <w:tcPr>
            <w:tcW w:w="1080" w:type="dxa"/>
            <w:vAlign w:val="center"/>
          </w:tcPr>
          <w:p>
            <w:pPr>
              <w:spacing w:before="60" w:after="60"/>
              <w:jc w:val="center"/>
              <w:rPr>
                <w:b/>
                <w:noProof/>
                <w:sz w:val="20"/>
              </w:rPr>
            </w:pPr>
            <w:r>
              <w:rPr>
                <w:b/>
                <w:noProof/>
                <w:sz w:val="20"/>
              </w:rPr>
              <w:t>CELKEM</w:t>
            </w:r>
          </w:p>
        </w:tc>
      </w:tr>
    </w:tbl>
    <w:p>
      <w:pPr>
        <w:rPr>
          <w:noProof/>
          <w:sz w:val="20"/>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D9D9D9" w:themeFill="background1" w:themeFillShade="D9"/>
            <w:vAlign w:val="center"/>
          </w:tcPr>
          <w:p>
            <w:pPr>
              <w:spacing w:before="60" w:after="60"/>
              <w:jc w:val="center"/>
              <w:rPr>
                <w:noProof/>
              </w:rPr>
            </w:pPr>
            <w:r>
              <w:rPr>
                <w:noProof/>
                <w:sz w:val="18"/>
              </w:rPr>
              <w:t>Dočasní zaměstnanci (třídy AD)</w:t>
            </w:r>
          </w:p>
        </w:tc>
        <w:tc>
          <w:tcPr>
            <w:tcW w:w="1080" w:type="dxa"/>
            <w:vAlign w:val="bottom"/>
          </w:tcPr>
          <w:p>
            <w:pPr>
              <w:spacing w:before="60" w:after="60"/>
              <w:jc w:val="right"/>
              <w:rPr>
                <w:noProof/>
                <w:color w:val="000000"/>
                <w:sz w:val="20"/>
              </w:rPr>
            </w:pPr>
            <w:r>
              <w:rPr>
                <w:noProof/>
                <w:color w:val="000000"/>
                <w:sz w:val="20"/>
              </w:rPr>
              <w:t>11</w:t>
            </w:r>
          </w:p>
        </w:tc>
        <w:tc>
          <w:tcPr>
            <w:tcW w:w="1080" w:type="dxa"/>
            <w:vAlign w:val="bottom"/>
          </w:tcPr>
          <w:p>
            <w:pPr>
              <w:spacing w:before="60" w:after="60"/>
              <w:jc w:val="right"/>
              <w:rPr>
                <w:noProof/>
                <w:sz w:val="20"/>
              </w:rPr>
            </w:pPr>
            <w:r>
              <w:rPr>
                <w:noProof/>
                <w:color w:val="000000"/>
                <w:sz w:val="20"/>
              </w:rPr>
              <w:t>22</w:t>
            </w:r>
          </w:p>
        </w:tc>
        <w:tc>
          <w:tcPr>
            <w:tcW w:w="1080" w:type="dxa"/>
            <w:vAlign w:val="bottom"/>
          </w:tcPr>
          <w:p>
            <w:pPr>
              <w:spacing w:before="60" w:after="60"/>
              <w:jc w:val="right"/>
              <w:rPr>
                <w:noProof/>
                <w:sz w:val="20"/>
              </w:rPr>
            </w:pPr>
            <w:r>
              <w:rPr>
                <w:noProof/>
                <w:color w:val="000000"/>
                <w:sz w:val="20"/>
              </w:rPr>
              <w:t>29</w:t>
            </w:r>
          </w:p>
        </w:tc>
        <w:tc>
          <w:tcPr>
            <w:tcW w:w="1080" w:type="dxa"/>
            <w:vAlign w:val="bottom"/>
          </w:tcPr>
          <w:p>
            <w:pPr>
              <w:spacing w:before="60" w:after="60"/>
              <w:jc w:val="right"/>
              <w:rPr>
                <w:noProof/>
                <w:sz w:val="20"/>
              </w:rPr>
            </w:pPr>
            <w:r>
              <w:rPr>
                <w:noProof/>
                <w:color w:val="000000"/>
                <w:sz w:val="20"/>
              </w:rPr>
              <w:t>32</w:t>
            </w:r>
          </w:p>
        </w:tc>
        <w:tc>
          <w:tcPr>
            <w:tcW w:w="1080" w:type="dxa"/>
            <w:vAlign w:val="bottom"/>
          </w:tcPr>
          <w:p>
            <w:pPr>
              <w:spacing w:before="60" w:after="60"/>
              <w:jc w:val="right"/>
              <w:rPr>
                <w:noProof/>
                <w:sz w:val="20"/>
              </w:rPr>
            </w:pPr>
            <w:r>
              <w:rPr>
                <w:noProof/>
                <w:color w:val="000000"/>
                <w:sz w:val="20"/>
              </w:rPr>
              <w:t>32</w:t>
            </w:r>
          </w:p>
        </w:tc>
        <w:tc>
          <w:tcPr>
            <w:tcW w:w="1080" w:type="dxa"/>
            <w:vAlign w:val="bottom"/>
          </w:tcPr>
          <w:p>
            <w:pPr>
              <w:spacing w:before="60" w:after="60"/>
              <w:jc w:val="right"/>
              <w:rPr>
                <w:noProof/>
                <w:sz w:val="20"/>
              </w:rPr>
            </w:pPr>
            <w:r>
              <w:rPr>
                <w:noProof/>
                <w:color w:val="000000"/>
                <w:sz w:val="20"/>
              </w:rPr>
              <w:t>32</w:t>
            </w:r>
          </w:p>
        </w:tc>
        <w:tc>
          <w:tcPr>
            <w:tcW w:w="1080" w:type="dxa"/>
            <w:vAlign w:val="bottom"/>
          </w:tcPr>
          <w:p>
            <w:pPr>
              <w:spacing w:before="60" w:after="60"/>
              <w:jc w:val="right"/>
              <w:rPr>
                <w:b/>
                <w:noProof/>
                <w:sz w:val="20"/>
              </w:rPr>
            </w:pPr>
            <w:r>
              <w:rPr>
                <w:noProof/>
                <w:color w:val="000000"/>
                <w:sz w:val="20"/>
              </w:rPr>
              <w:t>32</w:t>
            </w:r>
          </w:p>
        </w:tc>
        <w:tc>
          <w:tcPr>
            <w:tcW w:w="1080" w:type="dxa"/>
            <w:vAlign w:val="center"/>
          </w:tcPr>
          <w:p>
            <w:pPr>
              <w:spacing w:before="60" w:after="60"/>
              <w:jc w:val="right"/>
              <w:rPr>
                <w:b/>
                <w:noProof/>
                <w:sz w:val="20"/>
              </w:rPr>
            </w:pPr>
            <w:r>
              <w:rPr>
                <w:noProof/>
                <w:color w:val="000000"/>
                <w:sz w:val="20"/>
              </w:rPr>
              <w:t>32</w:t>
            </w:r>
          </w:p>
        </w:tc>
      </w:tr>
      <w:tr>
        <w:trPr>
          <w:trHeight w:val="585"/>
        </w:trPr>
        <w:tc>
          <w:tcPr>
            <w:tcW w:w="1980" w:type="dxa"/>
            <w:shd w:val="clear" w:color="auto" w:fill="BFBFBF" w:themeFill="background1" w:themeFillShade="BF"/>
            <w:vAlign w:val="center"/>
          </w:tcPr>
          <w:p>
            <w:pPr>
              <w:spacing w:before="60" w:after="60"/>
              <w:ind w:left="72"/>
              <w:rPr>
                <w:noProof/>
              </w:rPr>
            </w:pPr>
            <w:r>
              <w:rPr>
                <w:noProof/>
                <w:sz w:val="20"/>
              </w:rPr>
              <w:t>Dočasní zaměstnanci (třídy AST)</w:t>
            </w:r>
          </w:p>
        </w:tc>
        <w:tc>
          <w:tcPr>
            <w:tcW w:w="1080" w:type="dxa"/>
            <w:vAlign w:val="bottom"/>
          </w:tcPr>
          <w:p>
            <w:pPr>
              <w:spacing w:before="60" w:after="60"/>
              <w:jc w:val="right"/>
              <w:rPr>
                <w:noProof/>
                <w:sz w:val="20"/>
              </w:rPr>
            </w:pPr>
            <w:r>
              <w:rPr>
                <w:noProof/>
                <w:color w:val="000000"/>
                <w:sz w:val="20"/>
              </w:rPr>
              <w:t>7</w:t>
            </w:r>
          </w:p>
        </w:tc>
        <w:tc>
          <w:tcPr>
            <w:tcW w:w="1080" w:type="dxa"/>
            <w:vAlign w:val="bottom"/>
          </w:tcPr>
          <w:p>
            <w:pPr>
              <w:spacing w:before="60" w:after="60"/>
              <w:jc w:val="right"/>
              <w:rPr>
                <w:noProof/>
                <w:sz w:val="20"/>
              </w:rPr>
            </w:pPr>
            <w:r>
              <w:rPr>
                <w:noProof/>
                <w:color w:val="000000"/>
                <w:sz w:val="20"/>
              </w:rPr>
              <w:t>13</w:t>
            </w:r>
          </w:p>
        </w:tc>
        <w:tc>
          <w:tcPr>
            <w:tcW w:w="1080" w:type="dxa"/>
            <w:vAlign w:val="bottom"/>
          </w:tcPr>
          <w:p>
            <w:pPr>
              <w:spacing w:before="60" w:after="60"/>
              <w:jc w:val="right"/>
              <w:rPr>
                <w:noProof/>
                <w:sz w:val="20"/>
              </w:rPr>
            </w:pPr>
            <w:r>
              <w:rPr>
                <w:noProof/>
                <w:color w:val="000000"/>
                <w:sz w:val="20"/>
              </w:rPr>
              <w:t>13</w:t>
            </w:r>
          </w:p>
        </w:tc>
        <w:tc>
          <w:tcPr>
            <w:tcW w:w="1080" w:type="dxa"/>
            <w:vAlign w:val="bottom"/>
          </w:tcPr>
          <w:p>
            <w:pPr>
              <w:spacing w:before="60" w:after="60"/>
              <w:jc w:val="right"/>
              <w:rPr>
                <w:noProof/>
                <w:sz w:val="20"/>
              </w:rPr>
            </w:pPr>
            <w:r>
              <w:rPr>
                <w:noProof/>
                <w:color w:val="000000"/>
                <w:sz w:val="20"/>
              </w:rPr>
              <w:t>13</w:t>
            </w:r>
          </w:p>
        </w:tc>
        <w:tc>
          <w:tcPr>
            <w:tcW w:w="1080" w:type="dxa"/>
            <w:vAlign w:val="bottom"/>
          </w:tcPr>
          <w:p>
            <w:pPr>
              <w:spacing w:before="60" w:after="60"/>
              <w:jc w:val="right"/>
              <w:rPr>
                <w:noProof/>
                <w:sz w:val="20"/>
              </w:rPr>
            </w:pPr>
            <w:r>
              <w:rPr>
                <w:noProof/>
                <w:color w:val="000000"/>
                <w:sz w:val="20"/>
              </w:rPr>
              <w:t>13</w:t>
            </w:r>
          </w:p>
        </w:tc>
        <w:tc>
          <w:tcPr>
            <w:tcW w:w="1080" w:type="dxa"/>
            <w:vAlign w:val="bottom"/>
          </w:tcPr>
          <w:p>
            <w:pPr>
              <w:spacing w:before="60" w:after="60"/>
              <w:jc w:val="right"/>
              <w:rPr>
                <w:noProof/>
                <w:sz w:val="20"/>
              </w:rPr>
            </w:pPr>
            <w:r>
              <w:rPr>
                <w:noProof/>
                <w:color w:val="000000"/>
                <w:sz w:val="20"/>
              </w:rPr>
              <w:t>13</w:t>
            </w:r>
          </w:p>
        </w:tc>
        <w:tc>
          <w:tcPr>
            <w:tcW w:w="1080" w:type="dxa"/>
            <w:vAlign w:val="bottom"/>
          </w:tcPr>
          <w:p>
            <w:pPr>
              <w:spacing w:before="60" w:after="60"/>
              <w:jc w:val="right"/>
              <w:rPr>
                <w:b/>
                <w:noProof/>
                <w:sz w:val="20"/>
              </w:rPr>
            </w:pPr>
            <w:r>
              <w:rPr>
                <w:noProof/>
                <w:color w:val="000000"/>
                <w:sz w:val="20"/>
              </w:rPr>
              <w:t>13</w:t>
            </w:r>
          </w:p>
        </w:tc>
        <w:tc>
          <w:tcPr>
            <w:tcW w:w="1080" w:type="dxa"/>
            <w:vAlign w:val="center"/>
          </w:tcPr>
          <w:p>
            <w:pPr>
              <w:spacing w:before="60" w:after="60"/>
              <w:jc w:val="right"/>
              <w:rPr>
                <w:b/>
                <w:noProof/>
                <w:sz w:val="20"/>
              </w:rPr>
            </w:pPr>
            <w:r>
              <w:rPr>
                <w:noProof/>
                <w:color w:val="000000"/>
                <w:sz w:val="20"/>
              </w:rPr>
              <w:t>13</w:t>
            </w:r>
          </w:p>
        </w:tc>
      </w:tr>
      <w:tr>
        <w:trPr>
          <w:trHeight w:val="585"/>
        </w:trPr>
        <w:tc>
          <w:tcPr>
            <w:tcW w:w="1980" w:type="dxa"/>
            <w:shd w:val="clear" w:color="auto" w:fill="BFBFBF" w:themeFill="background1" w:themeFillShade="BF"/>
            <w:vAlign w:val="center"/>
          </w:tcPr>
          <w:p>
            <w:pPr>
              <w:spacing w:before="60" w:after="60"/>
              <w:ind w:left="72"/>
              <w:rPr>
                <w:noProof/>
              </w:rPr>
            </w:pPr>
            <w:r>
              <w:rPr>
                <w:noProof/>
                <w:sz w:val="20"/>
              </w:rPr>
              <w:t>Smluvní zaměstnanci</w:t>
            </w:r>
          </w:p>
        </w:tc>
        <w:tc>
          <w:tcPr>
            <w:tcW w:w="1080" w:type="dxa"/>
            <w:shd w:val="clear" w:color="auto" w:fill="BFBFBF" w:themeFill="background1" w:themeFillShade="BF"/>
            <w:vAlign w:val="bottom"/>
          </w:tcPr>
          <w:p>
            <w:pPr>
              <w:spacing w:before="60" w:after="60"/>
              <w:jc w:val="right"/>
              <w:rPr>
                <w:noProof/>
                <w:sz w:val="20"/>
              </w:rPr>
            </w:pPr>
            <w:r>
              <w:rPr>
                <w:noProof/>
                <w:color w:val="000000"/>
                <w:sz w:val="20"/>
              </w:rPr>
              <w:t>13</w:t>
            </w:r>
          </w:p>
        </w:tc>
        <w:tc>
          <w:tcPr>
            <w:tcW w:w="1080" w:type="dxa"/>
            <w:shd w:val="clear" w:color="auto" w:fill="BFBFBF" w:themeFill="background1" w:themeFillShade="BF"/>
            <w:vAlign w:val="bottom"/>
          </w:tcPr>
          <w:p>
            <w:pPr>
              <w:spacing w:before="60" w:after="60"/>
              <w:jc w:val="right"/>
              <w:rPr>
                <w:noProof/>
                <w:sz w:val="20"/>
              </w:rPr>
            </w:pPr>
            <w:r>
              <w:rPr>
                <w:noProof/>
                <w:color w:val="000000"/>
                <w:sz w:val="20"/>
              </w:rPr>
              <w:t>20</w:t>
            </w:r>
          </w:p>
        </w:tc>
        <w:tc>
          <w:tcPr>
            <w:tcW w:w="1080" w:type="dxa"/>
            <w:shd w:val="clear" w:color="auto" w:fill="BFBFBF" w:themeFill="background1" w:themeFillShade="BF"/>
            <w:vAlign w:val="bottom"/>
          </w:tcPr>
          <w:p>
            <w:pPr>
              <w:spacing w:before="60" w:after="60"/>
              <w:jc w:val="right"/>
              <w:rPr>
                <w:noProof/>
                <w:sz w:val="20"/>
              </w:rPr>
            </w:pPr>
            <w:r>
              <w:rPr>
                <w:noProof/>
                <w:color w:val="000000"/>
                <w:sz w:val="20"/>
              </w:rPr>
              <w:t>26</w:t>
            </w:r>
          </w:p>
        </w:tc>
        <w:tc>
          <w:tcPr>
            <w:tcW w:w="1080" w:type="dxa"/>
            <w:shd w:val="clear" w:color="auto" w:fill="BFBFBF" w:themeFill="background1" w:themeFillShade="BF"/>
            <w:vAlign w:val="bottom"/>
          </w:tcPr>
          <w:p>
            <w:pPr>
              <w:spacing w:before="60" w:after="60"/>
              <w:jc w:val="right"/>
              <w:rPr>
                <w:noProof/>
                <w:sz w:val="20"/>
              </w:rPr>
            </w:pPr>
            <w:r>
              <w:rPr>
                <w:noProof/>
                <w:color w:val="000000"/>
                <w:sz w:val="20"/>
              </w:rPr>
              <w:t>28</w:t>
            </w:r>
          </w:p>
        </w:tc>
        <w:tc>
          <w:tcPr>
            <w:tcW w:w="1080" w:type="dxa"/>
            <w:shd w:val="clear" w:color="auto" w:fill="BFBFBF" w:themeFill="background1" w:themeFillShade="BF"/>
            <w:vAlign w:val="bottom"/>
          </w:tcPr>
          <w:p>
            <w:pPr>
              <w:spacing w:before="60" w:after="60"/>
              <w:jc w:val="right"/>
              <w:rPr>
                <w:noProof/>
                <w:sz w:val="20"/>
              </w:rPr>
            </w:pPr>
            <w:r>
              <w:rPr>
                <w:noProof/>
                <w:color w:val="000000"/>
                <w:sz w:val="20"/>
              </w:rPr>
              <w:t>28</w:t>
            </w:r>
          </w:p>
        </w:tc>
        <w:tc>
          <w:tcPr>
            <w:tcW w:w="1080" w:type="dxa"/>
            <w:shd w:val="clear" w:color="auto" w:fill="BFBFBF" w:themeFill="background1" w:themeFillShade="BF"/>
            <w:vAlign w:val="bottom"/>
          </w:tcPr>
          <w:p>
            <w:pPr>
              <w:spacing w:before="60" w:after="60"/>
              <w:jc w:val="right"/>
              <w:rPr>
                <w:noProof/>
                <w:sz w:val="20"/>
              </w:rPr>
            </w:pPr>
            <w:r>
              <w:rPr>
                <w:noProof/>
                <w:color w:val="000000"/>
                <w:sz w:val="20"/>
              </w:rPr>
              <w:t>28</w:t>
            </w:r>
          </w:p>
        </w:tc>
        <w:tc>
          <w:tcPr>
            <w:tcW w:w="1080" w:type="dxa"/>
            <w:shd w:val="clear" w:color="auto" w:fill="BFBFBF" w:themeFill="background1" w:themeFillShade="BF"/>
            <w:vAlign w:val="bottom"/>
          </w:tcPr>
          <w:p>
            <w:pPr>
              <w:spacing w:before="60" w:after="60"/>
              <w:jc w:val="right"/>
              <w:rPr>
                <w:b/>
                <w:noProof/>
                <w:sz w:val="20"/>
              </w:rPr>
            </w:pPr>
            <w:r>
              <w:rPr>
                <w:noProof/>
                <w:color w:val="000000"/>
                <w:sz w:val="20"/>
              </w:rPr>
              <w:t>28</w:t>
            </w:r>
          </w:p>
        </w:tc>
        <w:tc>
          <w:tcPr>
            <w:tcW w:w="1080" w:type="dxa"/>
            <w:shd w:val="clear" w:color="auto" w:fill="BFBFBF" w:themeFill="background1" w:themeFillShade="BF"/>
            <w:vAlign w:val="center"/>
          </w:tcPr>
          <w:p>
            <w:pPr>
              <w:spacing w:before="60" w:after="60"/>
              <w:jc w:val="right"/>
              <w:rPr>
                <w:b/>
                <w:noProof/>
                <w:sz w:val="20"/>
              </w:rPr>
            </w:pPr>
            <w:r>
              <w:rPr>
                <w:noProof/>
                <w:color w:val="000000"/>
                <w:sz w:val="20"/>
              </w:rPr>
              <w:t>28</w:t>
            </w:r>
          </w:p>
        </w:tc>
      </w:tr>
      <w:tr>
        <w:trPr>
          <w:trHeight w:val="585"/>
        </w:trPr>
        <w:tc>
          <w:tcPr>
            <w:tcW w:w="1980" w:type="dxa"/>
            <w:shd w:val="clear" w:color="auto" w:fill="CCCCCC"/>
            <w:vAlign w:val="center"/>
          </w:tcPr>
          <w:p>
            <w:pPr>
              <w:spacing w:before="60" w:after="60"/>
              <w:jc w:val="center"/>
              <w:rPr>
                <w:noProof/>
              </w:rPr>
            </w:pPr>
            <w:r>
              <w:rPr>
                <w:noProof/>
                <w:sz w:val="18"/>
              </w:rPr>
              <w:t>Vyslaní národní odborníci</w:t>
            </w:r>
          </w:p>
        </w:tc>
        <w:tc>
          <w:tcPr>
            <w:tcW w:w="1080" w:type="dxa"/>
            <w:vAlign w:val="center"/>
          </w:tcPr>
          <w:p>
            <w:pPr>
              <w:spacing w:before="60" w:after="60"/>
              <w:jc w:val="right"/>
              <w:rPr>
                <w:noProof/>
                <w:sz w:val="20"/>
              </w:rPr>
            </w:pPr>
            <w:r>
              <w:rPr>
                <w:noProof/>
                <w:color w:val="000000"/>
                <w:sz w:val="20"/>
              </w:rPr>
              <w:t>0</w:t>
            </w:r>
          </w:p>
        </w:tc>
        <w:tc>
          <w:tcPr>
            <w:tcW w:w="1080" w:type="dxa"/>
            <w:vAlign w:val="center"/>
          </w:tcPr>
          <w:p>
            <w:pPr>
              <w:spacing w:before="60" w:after="60"/>
              <w:jc w:val="right"/>
              <w:rPr>
                <w:noProof/>
                <w:sz w:val="20"/>
              </w:rPr>
            </w:pPr>
            <w:r>
              <w:rPr>
                <w:noProof/>
                <w:color w:val="000000"/>
                <w:sz w:val="20"/>
              </w:rPr>
              <w:t>0</w:t>
            </w:r>
          </w:p>
        </w:tc>
        <w:tc>
          <w:tcPr>
            <w:tcW w:w="1080" w:type="dxa"/>
            <w:vAlign w:val="center"/>
          </w:tcPr>
          <w:p>
            <w:pPr>
              <w:spacing w:before="60" w:after="60"/>
              <w:jc w:val="right"/>
              <w:rPr>
                <w:noProof/>
                <w:sz w:val="20"/>
              </w:rPr>
            </w:pPr>
            <w:r>
              <w:rPr>
                <w:noProof/>
                <w:color w:val="000000"/>
                <w:sz w:val="20"/>
              </w:rPr>
              <w:t>0</w:t>
            </w:r>
          </w:p>
        </w:tc>
        <w:tc>
          <w:tcPr>
            <w:tcW w:w="1080" w:type="dxa"/>
            <w:vAlign w:val="center"/>
          </w:tcPr>
          <w:p>
            <w:pPr>
              <w:spacing w:before="60" w:after="60"/>
              <w:jc w:val="right"/>
              <w:rPr>
                <w:noProof/>
                <w:sz w:val="20"/>
              </w:rPr>
            </w:pPr>
            <w:r>
              <w:rPr>
                <w:noProof/>
                <w:color w:val="000000"/>
                <w:sz w:val="20"/>
              </w:rPr>
              <w:t>0</w:t>
            </w:r>
          </w:p>
        </w:tc>
        <w:tc>
          <w:tcPr>
            <w:tcW w:w="1080" w:type="dxa"/>
            <w:vAlign w:val="center"/>
          </w:tcPr>
          <w:p>
            <w:pPr>
              <w:spacing w:before="60" w:after="60"/>
              <w:jc w:val="right"/>
              <w:rPr>
                <w:noProof/>
                <w:sz w:val="20"/>
              </w:rPr>
            </w:pPr>
            <w:r>
              <w:rPr>
                <w:noProof/>
                <w:sz w:val="20"/>
              </w:rPr>
              <w:t>0</w:t>
            </w:r>
          </w:p>
        </w:tc>
        <w:tc>
          <w:tcPr>
            <w:tcW w:w="1080" w:type="dxa"/>
            <w:vAlign w:val="center"/>
          </w:tcPr>
          <w:p>
            <w:pPr>
              <w:spacing w:before="60" w:after="60"/>
              <w:jc w:val="right"/>
              <w:rPr>
                <w:noProof/>
                <w:sz w:val="20"/>
              </w:rPr>
            </w:pPr>
            <w:r>
              <w:rPr>
                <w:noProof/>
                <w:sz w:val="20"/>
              </w:rPr>
              <w:t>0</w:t>
            </w:r>
          </w:p>
        </w:tc>
        <w:tc>
          <w:tcPr>
            <w:tcW w:w="1080" w:type="dxa"/>
            <w:vAlign w:val="center"/>
          </w:tcPr>
          <w:p>
            <w:pPr>
              <w:spacing w:before="60" w:after="60"/>
              <w:jc w:val="right"/>
              <w:rPr>
                <w:b/>
                <w:noProof/>
                <w:sz w:val="20"/>
              </w:rPr>
            </w:pPr>
            <w:r>
              <w:rPr>
                <w:b/>
                <w:noProof/>
                <w:sz w:val="20"/>
              </w:rPr>
              <w:t>0</w:t>
            </w:r>
          </w:p>
        </w:tc>
        <w:tc>
          <w:tcPr>
            <w:tcW w:w="1080" w:type="dxa"/>
            <w:vAlign w:val="center"/>
          </w:tcPr>
          <w:p>
            <w:pPr>
              <w:spacing w:before="60" w:after="60"/>
              <w:jc w:val="right"/>
              <w:rPr>
                <w:b/>
                <w:noProof/>
                <w:sz w:val="20"/>
              </w:rPr>
            </w:pPr>
            <w:r>
              <w:rPr>
                <w:noProof/>
                <w:color w:val="000000"/>
                <w:sz w:val="20"/>
              </w:rPr>
              <w:t>0</w:t>
            </w:r>
          </w:p>
        </w:tc>
      </w:tr>
    </w:tbl>
    <w:p>
      <w:pPr>
        <w:rPr>
          <w:noProof/>
          <w:sz w:val="20"/>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CELKEM</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color w:val="000000"/>
                <w:sz w:val="20"/>
              </w:rPr>
              <w:t>31</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color w:val="000000"/>
                <w:sz w:val="20"/>
              </w:rPr>
              <w:t>55</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color w:val="000000"/>
                <w:sz w:val="20"/>
              </w:rPr>
              <w:t>68</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color w:val="000000"/>
                <w:sz w:val="20"/>
              </w:rPr>
              <w:t>73</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color w:val="000000"/>
                <w:sz w:val="20"/>
              </w:rPr>
              <w:t>73</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color w:val="000000"/>
                <w:sz w:val="20"/>
              </w:rPr>
              <w:t>73</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73</w:t>
            </w: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jc w:val="right"/>
              <w:rPr>
                <w:b/>
                <w:noProof/>
                <w:sz w:val="20"/>
              </w:rPr>
            </w:pPr>
            <w:r>
              <w:rPr>
                <w:b/>
                <w:noProof/>
                <w:sz w:val="20"/>
              </w:rPr>
              <w:t>73</w:t>
            </w:r>
          </w:p>
        </w:tc>
      </w:tr>
    </w:tbl>
    <w:p>
      <w:pPr>
        <w:rPr>
          <w:noProof/>
          <w:u w:val="single"/>
        </w:rPr>
      </w:pPr>
    </w:p>
    <w:p>
      <w:pPr>
        <w:rPr>
          <w:noProof/>
        </w:rPr>
      </w:pPr>
      <w:r>
        <w:rPr>
          <w:noProof/>
          <w:u w:val="single"/>
        </w:rPr>
        <w:t xml:space="preserve">Uveďte plánované datum náboru a odpovídajícím způsobem upravte částku (v případě náboru v červenci se zohlední pouze 50 % průměrných nákladů) a uveďte další vysvětlení. </w:t>
      </w:r>
    </w:p>
    <w:p>
      <w:pPr>
        <w:rPr>
          <w:noProof/>
        </w:rPr>
        <w:sectPr>
          <w:headerReference w:type="default" r:id="rId20"/>
          <w:footerReference w:type="default" r:id="rId21"/>
          <w:headerReference w:type="first" r:id="rId22"/>
          <w:footerReference w:type="first" r:id="rId23"/>
          <w:pgSz w:w="11907" w:h="16839"/>
          <w:pgMar w:top="1134" w:right="1417" w:bottom="1134" w:left="1417" w:header="709" w:footer="709" w:gutter="0"/>
          <w:cols w:space="720"/>
          <w:docGrid w:linePitch="326"/>
        </w:sectPr>
      </w:pPr>
    </w:p>
    <w:p>
      <w:pPr>
        <w:pStyle w:val="ManualHeading4"/>
        <w:rPr>
          <w:bCs/>
          <w:noProof/>
          <w:szCs w:val="24"/>
        </w:rPr>
      </w:pPr>
      <w:r>
        <w:t>3.2.3.2.</w:t>
      </w:r>
      <w:r>
        <w:tab/>
      </w:r>
      <w:r>
        <w:rPr>
          <w:noProof/>
        </w:rPr>
        <w:t>Odhadované potřeby v oblasti lidských zdrojů pro mateřské GŘ.</w:t>
      </w:r>
    </w:p>
    <w:p>
      <w:pPr>
        <w:pStyle w:val="ListDash1"/>
        <w:rPr>
          <w:noProof/>
        </w:rPr>
      </w:pPr>
      <w:r>
        <w:rPr>
          <w:noProof/>
        </w:rPr>
        <w:t>X</w:t>
      </w:r>
      <w:r>
        <w:rPr>
          <w:noProof/>
        </w:rPr>
        <w:tab/>
        <w:t xml:space="preserve">Návrh/podnět nevyžaduje využití lidských zdrojů. </w:t>
      </w:r>
    </w:p>
    <w:p>
      <w:pPr>
        <w:pStyle w:val="ListDash1"/>
        <w:rPr>
          <w:noProof/>
        </w:rPr>
      </w:pPr>
      <w:r>
        <w:rPr>
          <w:noProof/>
        </w:rPr>
        <w:sym w:font="Wingdings" w:char="F0A8"/>
      </w:r>
      <w:r>
        <w:rPr>
          <w:noProof/>
        </w:rPr>
        <w:tab/>
        <w:t>Návrh/podnět vyžaduje využití lidských zdrojů, jak je vysvětleno dále:</w:t>
      </w:r>
    </w:p>
    <w:p>
      <w:pPr>
        <w:spacing w:after="60"/>
        <w:jc w:val="right"/>
        <w:rPr>
          <w:i/>
          <w:noProof/>
          <w:sz w:val="20"/>
        </w:rPr>
      </w:pPr>
      <w:r>
        <w:rPr>
          <w:i/>
          <w:noProof/>
          <w:sz w:val="20"/>
        </w:rPr>
        <w:t>Odhad vyjádřete v celých číslech (nebo zaokrouhlete nejvýše na jedno desetinné místo)</w:t>
      </w:r>
    </w:p>
    <w:tbl>
      <w:tblPr>
        <w:tblW w:w="540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43"/>
        <w:gridCol w:w="2059"/>
        <w:gridCol w:w="775"/>
        <w:gridCol w:w="739"/>
        <w:gridCol w:w="815"/>
        <w:gridCol w:w="998"/>
        <w:gridCol w:w="851"/>
        <w:gridCol w:w="14"/>
        <w:gridCol w:w="835"/>
        <w:gridCol w:w="30"/>
        <w:gridCol w:w="865"/>
        <w:gridCol w:w="12"/>
      </w:tblGrid>
      <w:tr>
        <w:trPr>
          <w:gridAfter w:val="1"/>
          <w:wAfter w:w="6" w:type="pct"/>
          <w:trHeight w:val="289"/>
          <w:jc w:val="center"/>
        </w:trPr>
        <w:tc>
          <w:tcPr>
            <w:tcW w:w="2044" w:type="pct"/>
            <w:gridSpan w:val="2"/>
            <w:shd w:val="clear" w:color="auto" w:fill="auto"/>
          </w:tcPr>
          <w:p>
            <w:pPr>
              <w:pStyle w:val="Text1"/>
              <w:spacing w:before="40" w:after="40"/>
              <w:ind w:left="0"/>
              <w:jc w:val="center"/>
              <w:rPr>
                <w:i/>
                <w:noProof/>
                <w:sz w:val="20"/>
              </w:rPr>
            </w:pPr>
          </w:p>
        </w:tc>
        <w:tc>
          <w:tcPr>
            <w:tcW w:w="386" w:type="pct"/>
            <w:shd w:val="clear" w:color="auto" w:fill="auto"/>
            <w:vAlign w:val="center"/>
          </w:tcPr>
          <w:p>
            <w:pPr>
              <w:spacing w:before="20" w:after="20"/>
              <w:jc w:val="center"/>
              <w:rPr>
                <w:noProof/>
                <w:sz w:val="20"/>
              </w:rPr>
            </w:pPr>
            <w:r>
              <w:rPr>
                <w:noProof/>
                <w:sz w:val="20"/>
              </w:rPr>
              <w:t>Rok</w:t>
            </w:r>
            <w:r>
              <w:rPr>
                <w:noProof/>
              </w:rPr>
              <w:t xml:space="preserve"> </w:t>
            </w:r>
            <w:r>
              <w:rPr>
                <w:noProof/>
              </w:rPr>
              <w:br/>
            </w:r>
            <w:r>
              <w:rPr>
                <w:b/>
                <w:noProof/>
                <w:sz w:val="20"/>
              </w:rPr>
              <w:t>2021</w:t>
            </w:r>
          </w:p>
        </w:tc>
        <w:tc>
          <w:tcPr>
            <w:tcW w:w="368" w:type="pct"/>
            <w:shd w:val="clear" w:color="auto" w:fill="auto"/>
            <w:vAlign w:val="center"/>
          </w:tcPr>
          <w:p>
            <w:pPr>
              <w:spacing w:before="20" w:after="20"/>
              <w:jc w:val="center"/>
              <w:rPr>
                <w:noProof/>
                <w:sz w:val="20"/>
              </w:rPr>
            </w:pPr>
            <w:r>
              <w:rPr>
                <w:noProof/>
                <w:sz w:val="20"/>
              </w:rPr>
              <w:t>Rok</w:t>
            </w:r>
            <w:r>
              <w:rPr>
                <w:noProof/>
              </w:rPr>
              <w:t xml:space="preserve"> </w:t>
            </w:r>
            <w:r>
              <w:rPr>
                <w:noProof/>
              </w:rPr>
              <w:br/>
            </w:r>
            <w:r>
              <w:rPr>
                <w:b/>
                <w:noProof/>
                <w:sz w:val="20"/>
              </w:rPr>
              <w:t>2022</w:t>
            </w:r>
          </w:p>
        </w:tc>
        <w:tc>
          <w:tcPr>
            <w:tcW w:w="406" w:type="pct"/>
            <w:shd w:val="clear" w:color="auto" w:fill="auto"/>
            <w:vAlign w:val="center"/>
          </w:tcPr>
          <w:p>
            <w:pPr>
              <w:spacing w:before="20" w:after="20"/>
              <w:jc w:val="center"/>
              <w:rPr>
                <w:noProof/>
                <w:sz w:val="20"/>
              </w:rPr>
            </w:pPr>
            <w:r>
              <w:rPr>
                <w:noProof/>
                <w:sz w:val="20"/>
              </w:rPr>
              <w:t>Rok</w:t>
            </w:r>
            <w:r>
              <w:rPr>
                <w:noProof/>
              </w:rPr>
              <w:t xml:space="preserve"> </w:t>
            </w:r>
            <w:r>
              <w:rPr>
                <w:noProof/>
              </w:rPr>
              <w:br/>
            </w:r>
            <w:r>
              <w:rPr>
                <w:b/>
                <w:noProof/>
                <w:sz w:val="20"/>
              </w:rPr>
              <w:t>2023</w:t>
            </w:r>
          </w:p>
        </w:tc>
        <w:tc>
          <w:tcPr>
            <w:tcW w:w="497" w:type="pct"/>
            <w:shd w:val="clear" w:color="auto" w:fill="auto"/>
            <w:vAlign w:val="center"/>
          </w:tcPr>
          <w:p>
            <w:pPr>
              <w:spacing w:before="20" w:after="20"/>
              <w:jc w:val="center"/>
              <w:rPr>
                <w:noProof/>
                <w:sz w:val="20"/>
              </w:rPr>
            </w:pPr>
            <w:r>
              <w:rPr>
                <w:noProof/>
                <w:sz w:val="20"/>
              </w:rPr>
              <w:t>Rok</w:t>
            </w:r>
            <w:r>
              <w:rPr>
                <w:noProof/>
              </w:rPr>
              <w:t xml:space="preserve"> </w:t>
            </w:r>
            <w:r>
              <w:rPr>
                <w:noProof/>
              </w:rPr>
              <w:br/>
            </w:r>
            <w:r>
              <w:rPr>
                <w:b/>
                <w:noProof/>
                <w:sz w:val="20"/>
              </w:rPr>
              <w:t>2024</w:t>
            </w:r>
          </w:p>
        </w:tc>
        <w:tc>
          <w:tcPr>
            <w:tcW w:w="431" w:type="pct"/>
            <w:gridSpan w:val="2"/>
            <w:shd w:val="clear" w:color="auto" w:fill="auto"/>
            <w:vAlign w:val="center"/>
          </w:tcPr>
          <w:p>
            <w:pPr>
              <w:tabs>
                <w:tab w:val="left" w:pos="685"/>
              </w:tabs>
              <w:jc w:val="center"/>
              <w:rPr>
                <w:b/>
                <w:noProof/>
                <w:sz w:val="20"/>
              </w:rPr>
            </w:pPr>
            <w:r>
              <w:rPr>
                <w:noProof/>
                <w:sz w:val="20"/>
              </w:rPr>
              <w:t>Rok</w:t>
            </w:r>
            <w:r>
              <w:rPr>
                <w:noProof/>
              </w:rPr>
              <w:t xml:space="preserve"> </w:t>
            </w:r>
            <w:r>
              <w:rPr>
                <w:noProof/>
              </w:rPr>
              <w:br/>
            </w:r>
            <w:r>
              <w:rPr>
                <w:b/>
                <w:noProof/>
                <w:sz w:val="20"/>
              </w:rPr>
              <w:t>2025</w:t>
            </w:r>
          </w:p>
        </w:tc>
        <w:tc>
          <w:tcPr>
            <w:tcW w:w="431" w:type="pct"/>
            <w:gridSpan w:val="2"/>
            <w:shd w:val="clear" w:color="auto" w:fill="auto"/>
            <w:vAlign w:val="center"/>
          </w:tcPr>
          <w:p>
            <w:pPr>
              <w:tabs>
                <w:tab w:val="left" w:pos="685"/>
              </w:tabs>
              <w:jc w:val="center"/>
              <w:rPr>
                <w:b/>
                <w:noProof/>
                <w:sz w:val="20"/>
              </w:rPr>
            </w:pPr>
            <w:r>
              <w:rPr>
                <w:noProof/>
                <w:sz w:val="20"/>
              </w:rPr>
              <w:t>Rok</w:t>
            </w:r>
            <w:r>
              <w:rPr>
                <w:noProof/>
              </w:rPr>
              <w:t xml:space="preserve"> </w:t>
            </w:r>
            <w:r>
              <w:rPr>
                <w:noProof/>
              </w:rPr>
              <w:br/>
            </w:r>
            <w:r>
              <w:rPr>
                <w:b/>
                <w:noProof/>
                <w:sz w:val="20"/>
              </w:rPr>
              <w:t>2026</w:t>
            </w:r>
          </w:p>
        </w:tc>
        <w:tc>
          <w:tcPr>
            <w:tcW w:w="431" w:type="pct"/>
            <w:shd w:val="clear" w:color="auto" w:fill="auto"/>
            <w:vAlign w:val="center"/>
          </w:tcPr>
          <w:p>
            <w:pPr>
              <w:tabs>
                <w:tab w:val="left" w:pos="685"/>
              </w:tabs>
              <w:jc w:val="center"/>
              <w:rPr>
                <w:b/>
                <w:noProof/>
                <w:sz w:val="20"/>
              </w:rPr>
            </w:pPr>
            <w:r>
              <w:rPr>
                <w:noProof/>
                <w:sz w:val="20"/>
              </w:rPr>
              <w:t>Rok</w:t>
            </w:r>
            <w:r>
              <w:rPr>
                <w:noProof/>
              </w:rPr>
              <w:t xml:space="preserve"> </w:t>
            </w:r>
            <w:r>
              <w:rPr>
                <w:noProof/>
              </w:rPr>
              <w:br/>
            </w:r>
            <w:r>
              <w:rPr>
                <w:b/>
                <w:noProof/>
                <w:sz w:val="20"/>
              </w:rPr>
              <w:t>2027</w:t>
            </w:r>
            <w:r>
              <w:rPr>
                <w:noProof/>
                <w:sz w:val="20"/>
              </w:rPr>
              <w:t xml:space="preserve"> a násl.</w:t>
            </w:r>
          </w:p>
        </w:tc>
      </w:tr>
      <w:tr>
        <w:trPr>
          <w:trHeight w:val="289"/>
          <w:jc w:val="center"/>
        </w:trPr>
        <w:tc>
          <w:tcPr>
            <w:tcW w:w="2044" w:type="pct"/>
            <w:gridSpan w:val="2"/>
            <w:shd w:val="clear" w:color="auto" w:fill="auto"/>
            <w:vAlign w:val="center"/>
          </w:tcPr>
          <w:p>
            <w:pPr>
              <w:pStyle w:val="Text1"/>
              <w:numPr>
                <w:ilvl w:val="0"/>
                <w:numId w:val="17"/>
              </w:numPr>
              <w:tabs>
                <w:tab w:val="left" w:pos="208"/>
              </w:tabs>
              <w:spacing w:beforeLines="20" w:before="48" w:afterLines="20" w:after="48"/>
              <w:ind w:left="208" w:hanging="120"/>
              <w:jc w:val="left"/>
              <w:rPr>
                <w:b/>
                <w:noProof/>
                <w:sz w:val="20"/>
              </w:rPr>
            </w:pPr>
            <w:r>
              <w:rPr>
                <w:b/>
                <w:noProof/>
                <w:sz w:val="20"/>
              </w:rPr>
              <w:t>Pracovní místa podle plánu pracovních míst (místa úředníků a dočasných zaměstnanců)</w:t>
            </w:r>
          </w:p>
        </w:tc>
        <w:tc>
          <w:tcPr>
            <w:tcW w:w="386" w:type="pct"/>
            <w:shd w:val="clear" w:color="auto" w:fill="auto"/>
            <w:vAlign w:val="center"/>
          </w:tcPr>
          <w:p>
            <w:pPr>
              <w:spacing w:beforeLines="20" w:before="48" w:afterLines="20" w:after="48"/>
              <w:jc w:val="center"/>
              <w:rPr>
                <w:noProof/>
                <w:sz w:val="20"/>
              </w:rPr>
            </w:pPr>
          </w:p>
        </w:tc>
        <w:tc>
          <w:tcPr>
            <w:tcW w:w="368"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gridSpan w:val="2"/>
            <w:shd w:val="clear" w:color="auto" w:fill="auto"/>
            <w:vAlign w:val="center"/>
          </w:tcPr>
          <w:p>
            <w:pPr>
              <w:spacing w:beforeLines="20" w:before="48" w:afterLines="20" w:after="48"/>
              <w:jc w:val="center"/>
              <w:rPr>
                <w:noProof/>
                <w:sz w:val="20"/>
              </w:rPr>
            </w:pPr>
          </w:p>
        </w:tc>
        <w:tc>
          <w:tcPr>
            <w:tcW w:w="452" w:type="pct"/>
            <w:gridSpan w:val="3"/>
            <w:shd w:val="clear" w:color="auto" w:fill="auto"/>
            <w:vAlign w:val="center"/>
          </w:tcPr>
          <w:p>
            <w:pPr>
              <w:spacing w:beforeLines="20" w:before="48" w:afterLines="20" w:after="48"/>
              <w:jc w:val="center"/>
              <w:rPr>
                <w:noProof/>
                <w:sz w:val="20"/>
              </w:rPr>
            </w:pPr>
          </w:p>
        </w:tc>
      </w:tr>
      <w:tr>
        <w:trPr>
          <w:trHeight w:val="289"/>
          <w:jc w:val="center"/>
        </w:trPr>
        <w:tc>
          <w:tcPr>
            <w:tcW w:w="2044" w:type="pct"/>
            <w:gridSpan w:val="2"/>
            <w:shd w:val="clear" w:color="auto" w:fill="auto"/>
            <w:vAlign w:val="center"/>
          </w:tcPr>
          <w:p>
            <w:pPr>
              <w:pStyle w:val="Text1"/>
              <w:spacing w:beforeLines="20" w:before="48" w:afterLines="20" w:after="48"/>
              <w:ind w:left="984"/>
              <w:jc w:val="left"/>
              <w:rPr>
                <w:b/>
                <w:noProof/>
                <w:sz w:val="20"/>
              </w:rPr>
            </w:pPr>
            <w:r>
              <w:rPr>
                <w:noProof/>
                <w:sz w:val="20"/>
              </w:rPr>
              <w:t>XX 01 01 01 (v ústředí a v zastoupeních Komise)</w:t>
            </w:r>
          </w:p>
        </w:tc>
        <w:tc>
          <w:tcPr>
            <w:tcW w:w="386" w:type="pct"/>
            <w:shd w:val="clear" w:color="auto" w:fill="auto"/>
            <w:vAlign w:val="center"/>
          </w:tcPr>
          <w:p>
            <w:pPr>
              <w:spacing w:beforeLines="20" w:before="48" w:afterLines="20" w:after="48"/>
              <w:jc w:val="center"/>
              <w:rPr>
                <w:noProof/>
                <w:sz w:val="20"/>
              </w:rPr>
            </w:pPr>
          </w:p>
        </w:tc>
        <w:tc>
          <w:tcPr>
            <w:tcW w:w="368"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gridSpan w:val="2"/>
            <w:shd w:val="clear" w:color="auto" w:fill="auto"/>
            <w:vAlign w:val="center"/>
          </w:tcPr>
          <w:p>
            <w:pPr>
              <w:spacing w:beforeLines="20" w:before="48" w:afterLines="20" w:after="48"/>
              <w:jc w:val="center"/>
              <w:rPr>
                <w:noProof/>
                <w:sz w:val="20"/>
              </w:rPr>
            </w:pPr>
          </w:p>
        </w:tc>
        <w:tc>
          <w:tcPr>
            <w:tcW w:w="452" w:type="pct"/>
            <w:gridSpan w:val="3"/>
            <w:shd w:val="clear" w:color="auto" w:fill="auto"/>
            <w:vAlign w:val="center"/>
          </w:tcPr>
          <w:p>
            <w:pPr>
              <w:spacing w:beforeLines="20" w:before="48" w:afterLines="20" w:after="48"/>
              <w:jc w:val="center"/>
              <w:rPr>
                <w:noProof/>
                <w:sz w:val="20"/>
              </w:rPr>
            </w:pPr>
          </w:p>
        </w:tc>
      </w:tr>
      <w:tr>
        <w:trPr>
          <w:trHeight w:val="289"/>
          <w:jc w:val="center"/>
        </w:trPr>
        <w:tc>
          <w:tcPr>
            <w:tcW w:w="2044" w:type="pct"/>
            <w:gridSpan w:val="2"/>
            <w:shd w:val="clear" w:color="auto" w:fill="auto"/>
            <w:vAlign w:val="center"/>
          </w:tcPr>
          <w:p>
            <w:pPr>
              <w:pStyle w:val="Text1"/>
              <w:spacing w:beforeLines="20" w:before="48" w:afterLines="20" w:after="48"/>
              <w:ind w:left="984"/>
              <w:jc w:val="left"/>
              <w:rPr>
                <w:noProof/>
                <w:sz w:val="20"/>
              </w:rPr>
            </w:pPr>
            <w:r>
              <w:rPr>
                <w:noProof/>
                <w:sz w:val="20"/>
              </w:rPr>
              <w:t>XX 01 01 02 (při delegacích)</w:t>
            </w:r>
          </w:p>
        </w:tc>
        <w:tc>
          <w:tcPr>
            <w:tcW w:w="386" w:type="pct"/>
            <w:shd w:val="clear" w:color="auto" w:fill="auto"/>
            <w:vAlign w:val="center"/>
          </w:tcPr>
          <w:p>
            <w:pPr>
              <w:spacing w:beforeLines="20" w:before="48" w:afterLines="20" w:after="48"/>
              <w:jc w:val="center"/>
              <w:rPr>
                <w:noProof/>
                <w:sz w:val="20"/>
              </w:rPr>
            </w:pPr>
          </w:p>
        </w:tc>
        <w:tc>
          <w:tcPr>
            <w:tcW w:w="368"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gridSpan w:val="2"/>
            <w:shd w:val="clear" w:color="auto" w:fill="auto"/>
            <w:vAlign w:val="center"/>
          </w:tcPr>
          <w:p>
            <w:pPr>
              <w:spacing w:beforeLines="20" w:before="48" w:afterLines="20" w:after="48"/>
              <w:jc w:val="center"/>
              <w:rPr>
                <w:noProof/>
                <w:sz w:val="20"/>
              </w:rPr>
            </w:pPr>
          </w:p>
        </w:tc>
        <w:tc>
          <w:tcPr>
            <w:tcW w:w="452" w:type="pct"/>
            <w:gridSpan w:val="3"/>
            <w:shd w:val="clear" w:color="auto" w:fill="auto"/>
            <w:vAlign w:val="center"/>
          </w:tcPr>
          <w:p>
            <w:pPr>
              <w:spacing w:beforeLines="20" w:before="48" w:afterLines="20" w:after="48"/>
              <w:jc w:val="center"/>
              <w:rPr>
                <w:noProof/>
                <w:sz w:val="20"/>
              </w:rPr>
            </w:pPr>
          </w:p>
        </w:tc>
      </w:tr>
      <w:tr>
        <w:trPr>
          <w:trHeight w:val="953"/>
          <w:jc w:val="center"/>
        </w:trPr>
        <w:tc>
          <w:tcPr>
            <w:tcW w:w="2044" w:type="pct"/>
            <w:gridSpan w:val="2"/>
            <w:shd w:val="clear" w:color="auto" w:fill="auto"/>
            <w:vAlign w:val="center"/>
          </w:tcPr>
          <w:p>
            <w:pPr>
              <w:pStyle w:val="Text1"/>
              <w:spacing w:beforeLines="20" w:before="48" w:afterLines="20" w:after="48"/>
              <w:ind w:left="984"/>
              <w:jc w:val="left"/>
              <w:rPr>
                <w:noProof/>
                <w:sz w:val="20"/>
              </w:rPr>
            </w:pPr>
            <w:r>
              <w:rPr>
                <w:noProof/>
                <w:sz w:val="20"/>
              </w:rPr>
              <w:t>XX 01 05 01 (v nepřímém výzkumu)</w:t>
            </w:r>
          </w:p>
        </w:tc>
        <w:tc>
          <w:tcPr>
            <w:tcW w:w="386" w:type="pct"/>
            <w:shd w:val="clear" w:color="auto" w:fill="auto"/>
            <w:vAlign w:val="center"/>
          </w:tcPr>
          <w:p>
            <w:pPr>
              <w:spacing w:beforeLines="20" w:before="48" w:afterLines="20" w:after="48"/>
              <w:jc w:val="center"/>
              <w:rPr>
                <w:noProof/>
                <w:sz w:val="20"/>
              </w:rPr>
            </w:pPr>
          </w:p>
        </w:tc>
        <w:tc>
          <w:tcPr>
            <w:tcW w:w="368"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gridSpan w:val="2"/>
            <w:shd w:val="clear" w:color="auto" w:fill="auto"/>
            <w:vAlign w:val="center"/>
          </w:tcPr>
          <w:p>
            <w:pPr>
              <w:spacing w:beforeLines="20" w:before="48" w:afterLines="20" w:after="48"/>
              <w:jc w:val="center"/>
              <w:rPr>
                <w:noProof/>
                <w:sz w:val="20"/>
              </w:rPr>
            </w:pPr>
          </w:p>
        </w:tc>
        <w:tc>
          <w:tcPr>
            <w:tcW w:w="452" w:type="pct"/>
            <w:gridSpan w:val="3"/>
            <w:shd w:val="clear" w:color="auto" w:fill="auto"/>
            <w:vAlign w:val="center"/>
          </w:tcPr>
          <w:p>
            <w:pPr>
              <w:spacing w:beforeLines="20" w:before="48" w:afterLines="20" w:after="48"/>
              <w:jc w:val="center"/>
              <w:rPr>
                <w:noProof/>
                <w:sz w:val="20"/>
              </w:rPr>
            </w:pPr>
          </w:p>
        </w:tc>
      </w:tr>
      <w:tr>
        <w:trPr>
          <w:trHeight w:val="289"/>
          <w:jc w:val="center"/>
        </w:trPr>
        <w:tc>
          <w:tcPr>
            <w:tcW w:w="2044" w:type="pct"/>
            <w:gridSpan w:val="2"/>
            <w:shd w:val="clear" w:color="auto" w:fill="auto"/>
            <w:vAlign w:val="center"/>
          </w:tcPr>
          <w:p>
            <w:pPr>
              <w:pStyle w:val="Text1"/>
              <w:spacing w:beforeLines="20" w:before="48" w:afterLines="20" w:after="48"/>
              <w:ind w:left="984"/>
              <w:jc w:val="left"/>
              <w:rPr>
                <w:noProof/>
                <w:sz w:val="20"/>
              </w:rPr>
            </w:pPr>
            <w:r>
              <w:rPr>
                <w:noProof/>
                <w:sz w:val="20"/>
              </w:rPr>
              <w:t>10 01 05 01 (v přímém výzkumu)</w:t>
            </w:r>
          </w:p>
        </w:tc>
        <w:tc>
          <w:tcPr>
            <w:tcW w:w="386" w:type="pct"/>
            <w:shd w:val="clear" w:color="auto" w:fill="auto"/>
            <w:vAlign w:val="center"/>
          </w:tcPr>
          <w:p>
            <w:pPr>
              <w:spacing w:beforeLines="20" w:before="48" w:afterLines="20" w:after="48"/>
              <w:jc w:val="center"/>
              <w:rPr>
                <w:noProof/>
                <w:sz w:val="20"/>
              </w:rPr>
            </w:pPr>
          </w:p>
        </w:tc>
        <w:tc>
          <w:tcPr>
            <w:tcW w:w="368"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gridSpan w:val="2"/>
            <w:shd w:val="clear" w:color="auto" w:fill="auto"/>
            <w:vAlign w:val="center"/>
          </w:tcPr>
          <w:p>
            <w:pPr>
              <w:spacing w:beforeLines="20" w:before="48" w:afterLines="20" w:after="48"/>
              <w:jc w:val="center"/>
              <w:rPr>
                <w:noProof/>
                <w:sz w:val="20"/>
              </w:rPr>
            </w:pPr>
          </w:p>
        </w:tc>
        <w:tc>
          <w:tcPr>
            <w:tcW w:w="452" w:type="pct"/>
            <w:gridSpan w:val="3"/>
            <w:shd w:val="clear" w:color="auto" w:fill="auto"/>
            <w:vAlign w:val="center"/>
          </w:tcPr>
          <w:p>
            <w:pPr>
              <w:spacing w:beforeLines="20" w:before="48" w:afterLines="20" w:after="48"/>
              <w:jc w:val="center"/>
              <w:rPr>
                <w:noProof/>
                <w:sz w:val="20"/>
              </w:rPr>
            </w:pPr>
          </w:p>
        </w:tc>
      </w:tr>
      <w:tr>
        <w:trPr>
          <w:trHeight w:val="289"/>
          <w:jc w:val="center"/>
        </w:trPr>
        <w:tc>
          <w:tcPr>
            <w:tcW w:w="2044" w:type="pct"/>
            <w:gridSpan w:val="2"/>
            <w:shd w:val="clear" w:color="auto" w:fill="auto"/>
            <w:vAlign w:val="center"/>
          </w:tcPr>
          <w:p>
            <w:pPr>
              <w:pStyle w:val="Text1"/>
              <w:spacing w:beforeLines="20" w:before="48" w:afterLines="20" w:after="48"/>
              <w:ind w:left="984"/>
              <w:jc w:val="left"/>
              <w:rPr>
                <w:noProof/>
                <w:sz w:val="20"/>
              </w:rPr>
            </w:pPr>
          </w:p>
        </w:tc>
        <w:tc>
          <w:tcPr>
            <w:tcW w:w="386" w:type="pct"/>
            <w:shd w:val="clear" w:color="auto" w:fill="auto"/>
            <w:vAlign w:val="center"/>
          </w:tcPr>
          <w:p>
            <w:pPr>
              <w:spacing w:beforeLines="20" w:before="48" w:afterLines="20" w:after="48"/>
              <w:jc w:val="center"/>
              <w:rPr>
                <w:noProof/>
                <w:sz w:val="20"/>
              </w:rPr>
            </w:pPr>
          </w:p>
        </w:tc>
        <w:tc>
          <w:tcPr>
            <w:tcW w:w="368"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gridSpan w:val="2"/>
            <w:shd w:val="clear" w:color="auto" w:fill="auto"/>
            <w:vAlign w:val="center"/>
          </w:tcPr>
          <w:p>
            <w:pPr>
              <w:spacing w:beforeLines="20" w:before="48" w:afterLines="20" w:after="48"/>
              <w:jc w:val="center"/>
              <w:rPr>
                <w:noProof/>
                <w:sz w:val="20"/>
              </w:rPr>
            </w:pPr>
          </w:p>
        </w:tc>
        <w:tc>
          <w:tcPr>
            <w:tcW w:w="452" w:type="pct"/>
            <w:gridSpan w:val="3"/>
            <w:shd w:val="clear" w:color="auto" w:fill="auto"/>
            <w:vAlign w:val="center"/>
          </w:tcPr>
          <w:p>
            <w:pPr>
              <w:spacing w:beforeLines="20" w:before="48" w:afterLines="20" w:after="48"/>
              <w:jc w:val="center"/>
              <w:rPr>
                <w:noProof/>
                <w:sz w:val="20"/>
              </w:rPr>
            </w:pPr>
          </w:p>
        </w:tc>
      </w:tr>
      <w:tr>
        <w:trPr>
          <w:trHeight w:val="289"/>
          <w:jc w:val="center"/>
        </w:trPr>
        <w:tc>
          <w:tcPr>
            <w:tcW w:w="2044" w:type="pct"/>
            <w:gridSpan w:val="2"/>
            <w:shd w:val="clear" w:color="auto" w:fill="auto"/>
            <w:vAlign w:val="center"/>
          </w:tcPr>
          <w:p>
            <w:pPr>
              <w:pStyle w:val="Text1"/>
              <w:spacing w:beforeLines="20" w:before="48" w:afterLines="20" w:after="48"/>
              <w:ind w:left="208" w:hanging="120"/>
              <w:jc w:val="left"/>
              <w:rPr>
                <w:noProof/>
                <w:sz w:val="20"/>
              </w:rPr>
            </w:pPr>
            <w:r>
              <w:rPr>
                <w:b/>
                <w:noProof/>
                <w:sz w:val="20"/>
              </w:rPr>
              <w:sym w:font="Wingdings" w:char="F09F"/>
            </w:r>
            <w:r>
              <w:rPr>
                <w:b/>
                <w:noProof/>
                <w:sz w:val="20"/>
              </w:rPr>
              <w:t xml:space="preserve"> Externí zaměstnanci (v přepočtu na plné pracovní úvazky: FTE)</w:t>
            </w:r>
            <w:r>
              <w:rPr>
                <w:rStyle w:val="FootnoteReference"/>
                <w:b/>
                <w:noProof/>
                <w:sz w:val="20"/>
              </w:rPr>
              <w:footnoteReference w:id="20"/>
            </w:r>
          </w:p>
        </w:tc>
        <w:tc>
          <w:tcPr>
            <w:tcW w:w="386" w:type="pct"/>
            <w:shd w:val="clear" w:color="auto" w:fill="auto"/>
            <w:vAlign w:val="center"/>
          </w:tcPr>
          <w:p>
            <w:pPr>
              <w:spacing w:beforeLines="20" w:before="48" w:afterLines="20" w:after="48"/>
              <w:jc w:val="center"/>
              <w:rPr>
                <w:noProof/>
                <w:sz w:val="20"/>
              </w:rPr>
            </w:pPr>
          </w:p>
        </w:tc>
        <w:tc>
          <w:tcPr>
            <w:tcW w:w="368"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gridSpan w:val="2"/>
            <w:shd w:val="clear" w:color="auto" w:fill="auto"/>
            <w:vAlign w:val="center"/>
          </w:tcPr>
          <w:p>
            <w:pPr>
              <w:spacing w:beforeLines="20" w:before="48" w:afterLines="20" w:after="48"/>
              <w:jc w:val="center"/>
              <w:rPr>
                <w:noProof/>
                <w:sz w:val="20"/>
              </w:rPr>
            </w:pPr>
          </w:p>
        </w:tc>
        <w:tc>
          <w:tcPr>
            <w:tcW w:w="452" w:type="pct"/>
            <w:gridSpan w:val="3"/>
            <w:shd w:val="clear" w:color="auto" w:fill="auto"/>
            <w:vAlign w:val="center"/>
          </w:tcPr>
          <w:p>
            <w:pPr>
              <w:spacing w:beforeLines="20" w:before="48" w:afterLines="20" w:after="48"/>
              <w:jc w:val="center"/>
              <w:rPr>
                <w:noProof/>
                <w:sz w:val="20"/>
              </w:rPr>
            </w:pPr>
          </w:p>
        </w:tc>
      </w:tr>
      <w:tr>
        <w:trPr>
          <w:trHeight w:val="289"/>
          <w:jc w:val="center"/>
        </w:trPr>
        <w:tc>
          <w:tcPr>
            <w:tcW w:w="2044" w:type="pct"/>
            <w:gridSpan w:val="2"/>
            <w:shd w:val="clear" w:color="auto" w:fill="auto"/>
            <w:vAlign w:val="center"/>
          </w:tcPr>
          <w:p>
            <w:pPr>
              <w:pStyle w:val="Text1"/>
              <w:spacing w:beforeLines="20" w:before="48" w:afterLines="20" w:after="48"/>
              <w:ind w:left="986"/>
              <w:jc w:val="left"/>
              <w:rPr>
                <w:b/>
                <w:noProof/>
                <w:sz w:val="20"/>
              </w:rPr>
            </w:pPr>
            <w:r>
              <w:rPr>
                <w:noProof/>
                <w:sz w:val="20"/>
              </w:rPr>
              <w:t>XX 01 02 01 (SZ, VNO, ZAP z celkového rámce)</w:t>
            </w:r>
          </w:p>
        </w:tc>
        <w:tc>
          <w:tcPr>
            <w:tcW w:w="386" w:type="pct"/>
            <w:shd w:val="clear" w:color="auto" w:fill="auto"/>
            <w:vAlign w:val="center"/>
          </w:tcPr>
          <w:p>
            <w:pPr>
              <w:spacing w:beforeLines="20" w:before="48" w:afterLines="20" w:after="48"/>
              <w:jc w:val="center"/>
              <w:rPr>
                <w:noProof/>
                <w:sz w:val="20"/>
              </w:rPr>
            </w:pPr>
          </w:p>
        </w:tc>
        <w:tc>
          <w:tcPr>
            <w:tcW w:w="368"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gridSpan w:val="2"/>
            <w:shd w:val="clear" w:color="auto" w:fill="auto"/>
            <w:vAlign w:val="center"/>
          </w:tcPr>
          <w:p>
            <w:pPr>
              <w:spacing w:beforeLines="20" w:before="48" w:afterLines="20" w:after="48"/>
              <w:jc w:val="center"/>
              <w:rPr>
                <w:noProof/>
                <w:sz w:val="20"/>
              </w:rPr>
            </w:pPr>
          </w:p>
        </w:tc>
        <w:tc>
          <w:tcPr>
            <w:tcW w:w="452" w:type="pct"/>
            <w:gridSpan w:val="3"/>
            <w:shd w:val="clear" w:color="auto" w:fill="auto"/>
            <w:vAlign w:val="center"/>
          </w:tcPr>
          <w:p>
            <w:pPr>
              <w:spacing w:beforeLines="20" w:before="48" w:afterLines="20" w:after="48"/>
              <w:jc w:val="center"/>
              <w:rPr>
                <w:noProof/>
                <w:sz w:val="20"/>
              </w:rPr>
            </w:pPr>
          </w:p>
        </w:tc>
      </w:tr>
      <w:tr>
        <w:trPr>
          <w:trHeight w:val="289"/>
          <w:jc w:val="center"/>
        </w:trPr>
        <w:tc>
          <w:tcPr>
            <w:tcW w:w="2044" w:type="pct"/>
            <w:gridSpan w:val="2"/>
            <w:shd w:val="clear" w:color="auto" w:fill="auto"/>
            <w:vAlign w:val="center"/>
          </w:tcPr>
          <w:p>
            <w:pPr>
              <w:pStyle w:val="Text1"/>
              <w:spacing w:beforeLines="20" w:before="48" w:afterLines="20" w:after="48"/>
              <w:ind w:left="986"/>
              <w:jc w:val="left"/>
              <w:rPr>
                <w:noProof/>
                <w:sz w:val="20"/>
              </w:rPr>
            </w:pPr>
            <w:r>
              <w:rPr>
                <w:noProof/>
                <w:sz w:val="20"/>
              </w:rPr>
              <w:t>XX 01 02 02 (SZ, MZ, VNO, ZAP a MOD při delegacích)</w:t>
            </w:r>
          </w:p>
        </w:tc>
        <w:tc>
          <w:tcPr>
            <w:tcW w:w="386" w:type="pct"/>
            <w:shd w:val="clear" w:color="auto" w:fill="auto"/>
            <w:vAlign w:val="center"/>
          </w:tcPr>
          <w:p>
            <w:pPr>
              <w:spacing w:beforeLines="20" w:before="48" w:afterLines="20" w:after="48"/>
              <w:jc w:val="center"/>
              <w:rPr>
                <w:noProof/>
                <w:sz w:val="20"/>
              </w:rPr>
            </w:pPr>
          </w:p>
        </w:tc>
        <w:tc>
          <w:tcPr>
            <w:tcW w:w="368"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gridSpan w:val="2"/>
            <w:shd w:val="clear" w:color="auto" w:fill="auto"/>
            <w:vAlign w:val="center"/>
          </w:tcPr>
          <w:p>
            <w:pPr>
              <w:spacing w:beforeLines="20" w:before="48" w:afterLines="20" w:after="48"/>
              <w:jc w:val="center"/>
              <w:rPr>
                <w:noProof/>
                <w:sz w:val="20"/>
              </w:rPr>
            </w:pPr>
          </w:p>
        </w:tc>
        <w:tc>
          <w:tcPr>
            <w:tcW w:w="452" w:type="pct"/>
            <w:gridSpan w:val="3"/>
            <w:shd w:val="clear" w:color="auto" w:fill="auto"/>
            <w:vAlign w:val="center"/>
          </w:tcPr>
          <w:p>
            <w:pPr>
              <w:spacing w:beforeLines="20" w:before="48" w:afterLines="20" w:after="48"/>
              <w:jc w:val="center"/>
              <w:rPr>
                <w:noProof/>
                <w:sz w:val="20"/>
              </w:rPr>
            </w:pPr>
          </w:p>
        </w:tc>
      </w:tr>
      <w:tr>
        <w:trPr>
          <w:trHeight w:val="289"/>
          <w:jc w:val="center"/>
        </w:trPr>
        <w:tc>
          <w:tcPr>
            <w:tcW w:w="1018" w:type="pct"/>
            <w:vMerge w:val="restart"/>
            <w:shd w:val="clear" w:color="auto" w:fill="auto"/>
            <w:vAlign w:val="center"/>
          </w:tcPr>
          <w:p>
            <w:pPr>
              <w:pStyle w:val="Text1"/>
              <w:spacing w:beforeLines="20" w:before="48" w:afterLines="20" w:after="48"/>
              <w:ind w:left="986"/>
              <w:jc w:val="left"/>
              <w:rPr>
                <w:b/>
                <w:noProof/>
                <w:sz w:val="20"/>
              </w:rPr>
            </w:pPr>
            <w:r>
              <w:rPr>
                <w:b/>
                <w:noProof/>
                <w:sz w:val="20"/>
              </w:rPr>
              <w:t>XX</w:t>
            </w:r>
            <w:r>
              <w:rPr>
                <w:noProof/>
                <w:sz w:val="20"/>
              </w:rPr>
              <w:t xml:space="preserve"> 01 04 </w:t>
            </w:r>
            <w:r>
              <w:rPr>
                <w:b/>
                <w:i/>
                <w:noProof/>
                <w:sz w:val="20"/>
              </w:rPr>
              <w:t>yy</w:t>
            </w:r>
            <w:r>
              <w:rPr>
                <w:rStyle w:val="FootnoteReference"/>
                <w:b/>
                <w:i/>
                <w:noProof/>
                <w:sz w:val="20"/>
              </w:rPr>
              <w:footnoteReference w:id="21"/>
            </w:r>
          </w:p>
        </w:tc>
        <w:tc>
          <w:tcPr>
            <w:tcW w:w="1026" w:type="pct"/>
            <w:shd w:val="clear" w:color="auto" w:fill="auto"/>
            <w:vAlign w:val="center"/>
          </w:tcPr>
          <w:p>
            <w:pPr>
              <w:pStyle w:val="Text1"/>
              <w:spacing w:beforeLines="20" w:before="48" w:afterLines="20" w:after="48"/>
              <w:ind w:left="598"/>
              <w:jc w:val="left"/>
              <w:rPr>
                <w:b/>
                <w:noProof/>
                <w:sz w:val="20"/>
              </w:rPr>
            </w:pPr>
            <w:r>
              <w:rPr>
                <w:noProof/>
                <w:sz w:val="20"/>
              </w:rPr>
              <w:t>– v ústředí</w:t>
            </w:r>
            <w:r>
              <w:rPr>
                <w:rStyle w:val="FootnoteReference"/>
                <w:noProof/>
                <w:sz w:val="20"/>
              </w:rPr>
              <w:footnoteReference w:id="22"/>
            </w:r>
            <w:r>
              <w:rPr>
                <w:noProof/>
              </w:rPr>
              <w:t xml:space="preserve"> </w:t>
            </w:r>
            <w:r>
              <w:rPr>
                <w:noProof/>
              </w:rPr>
              <w:br/>
            </w:r>
          </w:p>
        </w:tc>
        <w:tc>
          <w:tcPr>
            <w:tcW w:w="386" w:type="pct"/>
            <w:shd w:val="clear" w:color="auto" w:fill="auto"/>
            <w:vAlign w:val="center"/>
          </w:tcPr>
          <w:p>
            <w:pPr>
              <w:pStyle w:val="Text1"/>
              <w:spacing w:beforeLines="20" w:before="48" w:afterLines="20" w:after="48"/>
              <w:rPr>
                <w:noProof/>
                <w:sz w:val="20"/>
              </w:rPr>
            </w:pPr>
          </w:p>
        </w:tc>
        <w:tc>
          <w:tcPr>
            <w:tcW w:w="368"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gridSpan w:val="2"/>
            <w:shd w:val="clear" w:color="auto" w:fill="auto"/>
            <w:vAlign w:val="center"/>
          </w:tcPr>
          <w:p>
            <w:pPr>
              <w:spacing w:beforeLines="20" w:before="48" w:afterLines="20" w:after="48"/>
              <w:jc w:val="center"/>
              <w:rPr>
                <w:noProof/>
                <w:sz w:val="20"/>
              </w:rPr>
            </w:pPr>
          </w:p>
        </w:tc>
        <w:tc>
          <w:tcPr>
            <w:tcW w:w="452" w:type="pct"/>
            <w:gridSpan w:val="3"/>
            <w:shd w:val="clear" w:color="auto" w:fill="auto"/>
            <w:vAlign w:val="center"/>
          </w:tcPr>
          <w:p>
            <w:pPr>
              <w:spacing w:beforeLines="20" w:before="48" w:afterLines="20" w:after="48"/>
              <w:jc w:val="center"/>
              <w:rPr>
                <w:noProof/>
                <w:sz w:val="20"/>
              </w:rPr>
            </w:pPr>
          </w:p>
        </w:tc>
      </w:tr>
      <w:tr>
        <w:trPr>
          <w:trHeight w:val="289"/>
          <w:jc w:val="center"/>
        </w:trPr>
        <w:tc>
          <w:tcPr>
            <w:tcW w:w="1018" w:type="pct"/>
            <w:vMerge/>
            <w:shd w:val="clear" w:color="auto" w:fill="auto"/>
            <w:vAlign w:val="center"/>
          </w:tcPr>
          <w:p>
            <w:pPr>
              <w:rPr>
                <w:b/>
                <w:noProof/>
                <w:sz w:val="20"/>
              </w:rPr>
            </w:pPr>
          </w:p>
        </w:tc>
        <w:tc>
          <w:tcPr>
            <w:tcW w:w="1026" w:type="pct"/>
            <w:shd w:val="clear" w:color="auto" w:fill="auto"/>
            <w:vAlign w:val="center"/>
          </w:tcPr>
          <w:p>
            <w:pPr>
              <w:pStyle w:val="Text1"/>
              <w:spacing w:beforeLines="20" w:before="48" w:afterLines="20" w:after="48"/>
              <w:ind w:left="598"/>
              <w:jc w:val="left"/>
              <w:rPr>
                <w:b/>
                <w:noProof/>
                <w:sz w:val="20"/>
              </w:rPr>
            </w:pPr>
            <w:r>
              <w:rPr>
                <w:noProof/>
                <w:sz w:val="20"/>
              </w:rPr>
              <w:t xml:space="preserve">– při delegacích </w:t>
            </w:r>
          </w:p>
        </w:tc>
        <w:tc>
          <w:tcPr>
            <w:tcW w:w="386" w:type="pct"/>
            <w:shd w:val="clear" w:color="auto" w:fill="auto"/>
            <w:vAlign w:val="center"/>
          </w:tcPr>
          <w:p>
            <w:pPr>
              <w:pStyle w:val="Text1"/>
              <w:spacing w:beforeLines="20" w:before="48" w:afterLines="20" w:after="48"/>
              <w:rPr>
                <w:noProof/>
                <w:sz w:val="20"/>
              </w:rPr>
            </w:pPr>
          </w:p>
        </w:tc>
        <w:tc>
          <w:tcPr>
            <w:tcW w:w="368"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gridSpan w:val="2"/>
            <w:shd w:val="clear" w:color="auto" w:fill="auto"/>
            <w:vAlign w:val="center"/>
          </w:tcPr>
          <w:p>
            <w:pPr>
              <w:spacing w:beforeLines="20" w:before="48" w:afterLines="20" w:after="48"/>
              <w:jc w:val="center"/>
              <w:rPr>
                <w:noProof/>
                <w:sz w:val="20"/>
              </w:rPr>
            </w:pPr>
          </w:p>
        </w:tc>
        <w:tc>
          <w:tcPr>
            <w:tcW w:w="452" w:type="pct"/>
            <w:gridSpan w:val="3"/>
            <w:shd w:val="clear" w:color="auto" w:fill="auto"/>
            <w:vAlign w:val="center"/>
          </w:tcPr>
          <w:p>
            <w:pPr>
              <w:spacing w:beforeLines="20" w:before="48" w:afterLines="20" w:after="48"/>
              <w:jc w:val="center"/>
              <w:rPr>
                <w:noProof/>
                <w:sz w:val="20"/>
              </w:rPr>
            </w:pPr>
          </w:p>
        </w:tc>
      </w:tr>
      <w:tr>
        <w:trPr>
          <w:trHeight w:val="289"/>
          <w:jc w:val="center"/>
        </w:trPr>
        <w:tc>
          <w:tcPr>
            <w:tcW w:w="2044" w:type="pct"/>
            <w:gridSpan w:val="2"/>
            <w:shd w:val="clear" w:color="auto" w:fill="auto"/>
            <w:vAlign w:val="center"/>
          </w:tcPr>
          <w:p>
            <w:pPr>
              <w:pStyle w:val="Text1"/>
              <w:spacing w:beforeLines="20" w:before="48" w:afterLines="20" w:after="48"/>
              <w:ind w:left="986"/>
              <w:jc w:val="left"/>
              <w:rPr>
                <w:noProof/>
                <w:sz w:val="20"/>
              </w:rPr>
            </w:pPr>
            <w:r>
              <w:rPr>
                <w:b/>
                <w:noProof/>
                <w:sz w:val="20"/>
              </w:rPr>
              <w:t>XX</w:t>
            </w:r>
            <w:r>
              <w:rPr>
                <w:noProof/>
                <w:sz w:val="20"/>
              </w:rPr>
              <w:t xml:space="preserve"> 01 05 02 (SZ, VNO, ZAP – v nepřímém výzkumu)</w:t>
            </w:r>
          </w:p>
        </w:tc>
        <w:tc>
          <w:tcPr>
            <w:tcW w:w="386" w:type="pct"/>
            <w:shd w:val="clear" w:color="auto" w:fill="auto"/>
            <w:vAlign w:val="center"/>
          </w:tcPr>
          <w:p>
            <w:pPr>
              <w:spacing w:beforeLines="20" w:before="48" w:afterLines="20" w:after="48"/>
              <w:jc w:val="center"/>
              <w:rPr>
                <w:noProof/>
                <w:sz w:val="20"/>
              </w:rPr>
            </w:pPr>
          </w:p>
        </w:tc>
        <w:tc>
          <w:tcPr>
            <w:tcW w:w="368"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gridSpan w:val="2"/>
            <w:shd w:val="clear" w:color="auto" w:fill="auto"/>
            <w:vAlign w:val="center"/>
          </w:tcPr>
          <w:p>
            <w:pPr>
              <w:spacing w:beforeLines="20" w:before="48" w:afterLines="20" w:after="48"/>
              <w:jc w:val="center"/>
              <w:rPr>
                <w:noProof/>
                <w:sz w:val="20"/>
              </w:rPr>
            </w:pPr>
          </w:p>
        </w:tc>
        <w:tc>
          <w:tcPr>
            <w:tcW w:w="452" w:type="pct"/>
            <w:gridSpan w:val="3"/>
            <w:shd w:val="clear" w:color="auto" w:fill="auto"/>
            <w:vAlign w:val="center"/>
          </w:tcPr>
          <w:p>
            <w:pPr>
              <w:spacing w:beforeLines="20" w:before="48" w:afterLines="20" w:after="48"/>
              <w:jc w:val="center"/>
              <w:rPr>
                <w:noProof/>
                <w:sz w:val="20"/>
              </w:rPr>
            </w:pPr>
          </w:p>
        </w:tc>
      </w:tr>
      <w:tr>
        <w:trPr>
          <w:trHeight w:val="289"/>
          <w:jc w:val="center"/>
        </w:trPr>
        <w:tc>
          <w:tcPr>
            <w:tcW w:w="2044" w:type="pct"/>
            <w:gridSpan w:val="2"/>
            <w:shd w:val="clear" w:color="auto" w:fill="auto"/>
            <w:vAlign w:val="center"/>
          </w:tcPr>
          <w:p>
            <w:pPr>
              <w:pStyle w:val="Text1"/>
              <w:spacing w:beforeLines="20" w:before="48" w:afterLines="20" w:after="48"/>
              <w:ind w:left="986"/>
              <w:jc w:val="left"/>
              <w:rPr>
                <w:noProof/>
                <w:sz w:val="20"/>
              </w:rPr>
            </w:pPr>
            <w:r>
              <w:rPr>
                <w:noProof/>
                <w:sz w:val="20"/>
              </w:rPr>
              <w:t>10 01 05 02 (SZ, VNO, ZAP – v přímém výzkumu)</w:t>
            </w:r>
          </w:p>
        </w:tc>
        <w:tc>
          <w:tcPr>
            <w:tcW w:w="386" w:type="pct"/>
            <w:shd w:val="clear" w:color="auto" w:fill="auto"/>
            <w:vAlign w:val="center"/>
          </w:tcPr>
          <w:p>
            <w:pPr>
              <w:spacing w:beforeLines="20" w:before="48" w:afterLines="20" w:after="48"/>
              <w:jc w:val="center"/>
              <w:rPr>
                <w:noProof/>
                <w:sz w:val="20"/>
              </w:rPr>
            </w:pPr>
          </w:p>
        </w:tc>
        <w:tc>
          <w:tcPr>
            <w:tcW w:w="368"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gridSpan w:val="2"/>
            <w:shd w:val="clear" w:color="auto" w:fill="auto"/>
            <w:vAlign w:val="center"/>
          </w:tcPr>
          <w:p>
            <w:pPr>
              <w:spacing w:beforeLines="20" w:before="48" w:afterLines="20" w:after="48"/>
              <w:jc w:val="center"/>
              <w:rPr>
                <w:noProof/>
                <w:sz w:val="20"/>
              </w:rPr>
            </w:pPr>
          </w:p>
        </w:tc>
        <w:tc>
          <w:tcPr>
            <w:tcW w:w="452" w:type="pct"/>
            <w:gridSpan w:val="3"/>
            <w:shd w:val="clear" w:color="auto" w:fill="auto"/>
            <w:vAlign w:val="center"/>
          </w:tcPr>
          <w:p>
            <w:pPr>
              <w:spacing w:beforeLines="20" w:before="48" w:afterLines="20" w:after="48"/>
              <w:jc w:val="center"/>
              <w:rPr>
                <w:noProof/>
                <w:sz w:val="20"/>
              </w:rPr>
            </w:pPr>
          </w:p>
        </w:tc>
      </w:tr>
      <w:tr>
        <w:trPr>
          <w:trHeight w:val="289"/>
          <w:jc w:val="center"/>
        </w:trPr>
        <w:tc>
          <w:tcPr>
            <w:tcW w:w="2044" w:type="pct"/>
            <w:gridSpan w:val="2"/>
            <w:tcBorders>
              <w:bottom w:val="double" w:sz="4" w:space="0" w:color="auto"/>
            </w:tcBorders>
            <w:shd w:val="clear" w:color="auto" w:fill="auto"/>
            <w:vAlign w:val="center"/>
          </w:tcPr>
          <w:p>
            <w:pPr>
              <w:pStyle w:val="Text1"/>
              <w:spacing w:beforeLines="20" w:before="48" w:afterLines="20" w:after="48"/>
              <w:ind w:left="984"/>
              <w:jc w:val="left"/>
              <w:rPr>
                <w:noProof/>
                <w:sz w:val="20"/>
              </w:rPr>
            </w:pPr>
            <w:r>
              <w:rPr>
                <w:noProof/>
                <w:sz w:val="20"/>
              </w:rPr>
              <w:t>Jiné rozpočtové položky (upřesněte)</w:t>
            </w:r>
          </w:p>
        </w:tc>
        <w:tc>
          <w:tcPr>
            <w:tcW w:w="386" w:type="pct"/>
            <w:tcBorders>
              <w:bottom w:val="double" w:sz="4" w:space="0" w:color="auto"/>
            </w:tcBorders>
            <w:shd w:val="clear" w:color="auto" w:fill="auto"/>
            <w:vAlign w:val="center"/>
          </w:tcPr>
          <w:p>
            <w:pPr>
              <w:spacing w:beforeLines="20" w:before="48" w:afterLines="20" w:after="48"/>
              <w:jc w:val="center"/>
              <w:rPr>
                <w:noProof/>
                <w:sz w:val="20"/>
              </w:rPr>
            </w:pPr>
          </w:p>
        </w:tc>
        <w:tc>
          <w:tcPr>
            <w:tcW w:w="368" w:type="pct"/>
            <w:tcBorders>
              <w:bottom w:val="double" w:sz="4" w:space="0" w:color="auto"/>
            </w:tcBorders>
            <w:shd w:val="clear" w:color="auto" w:fill="auto"/>
            <w:vAlign w:val="center"/>
          </w:tcPr>
          <w:p>
            <w:pPr>
              <w:spacing w:beforeLines="20" w:before="48" w:afterLines="20" w:after="48"/>
              <w:jc w:val="center"/>
              <w:rPr>
                <w:noProof/>
                <w:sz w:val="20"/>
              </w:rPr>
            </w:pPr>
          </w:p>
        </w:tc>
        <w:tc>
          <w:tcPr>
            <w:tcW w:w="406" w:type="pct"/>
            <w:tcBorders>
              <w:bottom w:val="double" w:sz="4" w:space="0" w:color="auto"/>
            </w:tcBorders>
            <w:shd w:val="clear" w:color="auto" w:fill="auto"/>
            <w:vAlign w:val="center"/>
          </w:tcPr>
          <w:p>
            <w:pPr>
              <w:spacing w:beforeLines="20" w:before="48" w:afterLines="20" w:after="48"/>
              <w:jc w:val="center"/>
              <w:rPr>
                <w:noProof/>
                <w:sz w:val="20"/>
              </w:rPr>
            </w:pPr>
          </w:p>
        </w:tc>
        <w:tc>
          <w:tcPr>
            <w:tcW w:w="497" w:type="pct"/>
            <w:tcBorders>
              <w:bottom w:val="double" w:sz="4" w:space="0" w:color="auto"/>
            </w:tcBorders>
            <w:shd w:val="clear" w:color="auto" w:fill="auto"/>
            <w:vAlign w:val="center"/>
          </w:tcPr>
          <w:p>
            <w:pPr>
              <w:spacing w:beforeLines="20" w:before="48" w:afterLines="20" w:after="48"/>
              <w:jc w:val="center"/>
              <w:rPr>
                <w:noProof/>
                <w:sz w:val="20"/>
              </w:rPr>
            </w:pPr>
          </w:p>
        </w:tc>
        <w:tc>
          <w:tcPr>
            <w:tcW w:w="424" w:type="pct"/>
            <w:tcBorders>
              <w:bottom w:val="double" w:sz="4" w:space="0" w:color="auto"/>
            </w:tcBorders>
            <w:shd w:val="clear" w:color="auto" w:fill="auto"/>
            <w:vAlign w:val="center"/>
          </w:tcPr>
          <w:p>
            <w:pPr>
              <w:spacing w:beforeLines="20" w:before="48" w:afterLines="20" w:after="48"/>
              <w:jc w:val="center"/>
              <w:rPr>
                <w:noProof/>
                <w:sz w:val="20"/>
              </w:rPr>
            </w:pPr>
          </w:p>
        </w:tc>
        <w:tc>
          <w:tcPr>
            <w:tcW w:w="423" w:type="pct"/>
            <w:gridSpan w:val="2"/>
            <w:tcBorders>
              <w:bottom w:val="double" w:sz="4" w:space="0" w:color="auto"/>
            </w:tcBorders>
            <w:shd w:val="clear" w:color="auto" w:fill="auto"/>
            <w:vAlign w:val="center"/>
          </w:tcPr>
          <w:p>
            <w:pPr>
              <w:spacing w:beforeLines="20" w:before="48" w:afterLines="20" w:after="48"/>
              <w:jc w:val="center"/>
              <w:rPr>
                <w:noProof/>
                <w:sz w:val="20"/>
              </w:rPr>
            </w:pPr>
          </w:p>
        </w:tc>
        <w:tc>
          <w:tcPr>
            <w:tcW w:w="452" w:type="pct"/>
            <w:gridSpan w:val="3"/>
            <w:tcBorders>
              <w:bottom w:val="double" w:sz="4" w:space="0" w:color="auto"/>
            </w:tcBorders>
            <w:shd w:val="clear" w:color="auto" w:fill="auto"/>
            <w:vAlign w:val="center"/>
          </w:tcPr>
          <w:p>
            <w:pPr>
              <w:spacing w:beforeLines="20" w:before="48" w:afterLines="20" w:after="48"/>
              <w:jc w:val="center"/>
              <w:rPr>
                <w:noProof/>
                <w:sz w:val="20"/>
              </w:rPr>
            </w:pPr>
          </w:p>
        </w:tc>
      </w:tr>
      <w:tr>
        <w:trPr>
          <w:trHeight w:val="289"/>
          <w:jc w:val="center"/>
        </w:trPr>
        <w:tc>
          <w:tcPr>
            <w:tcW w:w="2044" w:type="pct"/>
            <w:gridSpan w:val="2"/>
            <w:tcBorders>
              <w:top w:val="double" w:sz="4" w:space="0" w:color="auto"/>
            </w:tcBorders>
            <w:shd w:val="clear" w:color="auto" w:fill="auto"/>
            <w:vAlign w:val="center"/>
          </w:tcPr>
          <w:p>
            <w:pPr>
              <w:pStyle w:val="Text1"/>
              <w:spacing w:beforeLines="20" w:before="48" w:afterLines="20" w:after="48"/>
              <w:ind w:left="986"/>
              <w:jc w:val="left"/>
              <w:rPr>
                <w:noProof/>
                <w:sz w:val="20"/>
              </w:rPr>
            </w:pPr>
            <w:r>
              <w:rPr>
                <w:b/>
                <w:noProof/>
                <w:sz w:val="20"/>
              </w:rPr>
              <w:t>CELKEM</w:t>
            </w:r>
          </w:p>
        </w:tc>
        <w:tc>
          <w:tcPr>
            <w:tcW w:w="386" w:type="pct"/>
            <w:tcBorders>
              <w:top w:val="double" w:sz="4" w:space="0" w:color="auto"/>
            </w:tcBorders>
            <w:shd w:val="clear" w:color="auto" w:fill="auto"/>
            <w:vAlign w:val="center"/>
          </w:tcPr>
          <w:p>
            <w:pPr>
              <w:spacing w:beforeLines="20" w:before="48" w:afterLines="20" w:after="48"/>
              <w:jc w:val="center"/>
              <w:rPr>
                <w:b/>
                <w:noProof/>
                <w:sz w:val="20"/>
              </w:rPr>
            </w:pPr>
          </w:p>
        </w:tc>
        <w:tc>
          <w:tcPr>
            <w:tcW w:w="368" w:type="pct"/>
            <w:tcBorders>
              <w:top w:val="double" w:sz="4" w:space="0" w:color="auto"/>
            </w:tcBorders>
            <w:shd w:val="clear" w:color="auto" w:fill="auto"/>
            <w:vAlign w:val="center"/>
          </w:tcPr>
          <w:p>
            <w:pPr>
              <w:spacing w:beforeLines="20" w:before="48" w:afterLines="20" w:after="48"/>
              <w:jc w:val="center"/>
              <w:rPr>
                <w:b/>
                <w:noProof/>
                <w:sz w:val="20"/>
              </w:rPr>
            </w:pPr>
          </w:p>
        </w:tc>
        <w:tc>
          <w:tcPr>
            <w:tcW w:w="406" w:type="pct"/>
            <w:tcBorders>
              <w:top w:val="double" w:sz="4" w:space="0" w:color="auto"/>
            </w:tcBorders>
            <w:shd w:val="clear" w:color="auto" w:fill="auto"/>
            <w:vAlign w:val="center"/>
          </w:tcPr>
          <w:p>
            <w:pPr>
              <w:spacing w:beforeLines="20" w:before="48" w:afterLines="20" w:after="48"/>
              <w:jc w:val="center"/>
              <w:rPr>
                <w:b/>
                <w:noProof/>
                <w:sz w:val="20"/>
              </w:rPr>
            </w:pPr>
          </w:p>
        </w:tc>
        <w:tc>
          <w:tcPr>
            <w:tcW w:w="497" w:type="pct"/>
            <w:tcBorders>
              <w:top w:val="double" w:sz="4" w:space="0" w:color="auto"/>
            </w:tcBorders>
            <w:shd w:val="clear" w:color="auto" w:fill="auto"/>
            <w:vAlign w:val="center"/>
          </w:tcPr>
          <w:p>
            <w:pPr>
              <w:spacing w:beforeLines="20" w:before="48" w:afterLines="20" w:after="48"/>
              <w:jc w:val="center"/>
              <w:rPr>
                <w:b/>
                <w:noProof/>
                <w:sz w:val="20"/>
              </w:rPr>
            </w:pPr>
          </w:p>
        </w:tc>
        <w:tc>
          <w:tcPr>
            <w:tcW w:w="424" w:type="pct"/>
            <w:tcBorders>
              <w:top w:val="double" w:sz="4" w:space="0" w:color="auto"/>
            </w:tcBorders>
            <w:shd w:val="clear" w:color="auto" w:fill="auto"/>
            <w:vAlign w:val="center"/>
          </w:tcPr>
          <w:p>
            <w:pPr>
              <w:spacing w:beforeLines="20" w:before="48" w:afterLines="20" w:after="48"/>
              <w:jc w:val="center"/>
              <w:rPr>
                <w:b/>
                <w:noProof/>
                <w:sz w:val="20"/>
              </w:rPr>
            </w:pPr>
          </w:p>
        </w:tc>
        <w:tc>
          <w:tcPr>
            <w:tcW w:w="423" w:type="pct"/>
            <w:gridSpan w:val="2"/>
            <w:tcBorders>
              <w:top w:val="double" w:sz="4" w:space="0" w:color="auto"/>
            </w:tcBorders>
            <w:shd w:val="clear" w:color="auto" w:fill="auto"/>
            <w:vAlign w:val="center"/>
          </w:tcPr>
          <w:p>
            <w:pPr>
              <w:spacing w:beforeLines="20" w:before="48" w:afterLines="20" w:after="48"/>
              <w:jc w:val="center"/>
              <w:rPr>
                <w:b/>
                <w:noProof/>
                <w:sz w:val="20"/>
              </w:rPr>
            </w:pPr>
          </w:p>
        </w:tc>
        <w:tc>
          <w:tcPr>
            <w:tcW w:w="452" w:type="pct"/>
            <w:gridSpan w:val="3"/>
            <w:tcBorders>
              <w:top w:val="double" w:sz="4" w:space="0" w:color="auto"/>
            </w:tcBorders>
            <w:shd w:val="clear" w:color="auto" w:fill="auto"/>
            <w:vAlign w:val="center"/>
          </w:tcPr>
          <w:p>
            <w:pPr>
              <w:spacing w:beforeLines="20" w:before="48" w:afterLines="20" w:after="48"/>
              <w:jc w:val="center"/>
              <w:rPr>
                <w:b/>
                <w:noProof/>
                <w:sz w:val="20"/>
              </w:rPr>
            </w:pPr>
          </w:p>
        </w:tc>
      </w:tr>
    </w:tbl>
    <w:p>
      <w:pPr>
        <w:pStyle w:val="Text1"/>
        <w:spacing w:before="60" w:after="60"/>
        <w:ind w:left="851"/>
        <w:rPr>
          <w:noProof/>
        </w:rPr>
      </w:pPr>
      <w:r>
        <w:rPr>
          <w:b/>
          <w:noProof/>
        </w:rPr>
        <w:t>XX</w:t>
      </w:r>
      <w:r>
        <w:rPr>
          <w:noProof/>
        </w:rPr>
        <w:t xml:space="preserve"> je oblast politiky nebo dotčená hlava rozpočtu.</w:t>
      </w:r>
    </w:p>
    <w:p>
      <w:pPr>
        <w:pStyle w:val="Text1"/>
        <w:rPr>
          <w:noProof/>
          <w:sz w:val="22"/>
        </w:rPr>
      </w:pPr>
      <w:r>
        <w:rPr>
          <w:noProof/>
          <w:sz w:val="22"/>
        </w:rPr>
        <w:t>Potřebné lidské zdroje budou pokryty zaměstnanci GŘ, kteří jsou již přiděleni k řízení činnosti a/nebo byli v rámci GŘ vnitřně přeobsazeni, případně společně s dodatečným přidělením kapacity, kterou lze vedoucímu GŘ poskytnout v rámci ročního přidělování s ohledem na rozpočtová omezení.</w:t>
      </w:r>
    </w:p>
    <w:p>
      <w:pPr>
        <w:rPr>
          <w:noProof/>
          <w:sz w:val="20"/>
        </w:rPr>
      </w:pPr>
      <w:r>
        <w:rPr>
          <w:noProof/>
          <w:sz w:val="20"/>
        </w:rPr>
        <w:t>Popis úkolů:</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Úředníci a dočasní zaměstnanci</w:t>
            </w:r>
          </w:p>
        </w:tc>
        <w:tc>
          <w:tcPr>
            <w:tcW w:w="7200" w:type="dxa"/>
          </w:tcPr>
          <w:p>
            <w:pPr>
              <w:rPr>
                <w:noProof/>
                <w:sz w:val="20"/>
              </w:rPr>
            </w:pPr>
          </w:p>
        </w:tc>
      </w:tr>
      <w:tr>
        <w:tc>
          <w:tcPr>
            <w:tcW w:w="3240" w:type="dxa"/>
          </w:tcPr>
          <w:p>
            <w:pPr>
              <w:spacing w:before="60" w:after="60"/>
              <w:rPr>
                <w:noProof/>
                <w:sz w:val="20"/>
              </w:rPr>
            </w:pPr>
            <w:r>
              <w:rPr>
                <w:noProof/>
                <w:sz w:val="20"/>
              </w:rPr>
              <w:t>Externí zaměstnanci</w:t>
            </w:r>
          </w:p>
        </w:tc>
        <w:tc>
          <w:tcPr>
            <w:tcW w:w="7200" w:type="dxa"/>
          </w:tcPr>
          <w:p>
            <w:pPr>
              <w:rPr>
                <w:noProof/>
                <w:sz w:val="20"/>
              </w:rPr>
            </w:pPr>
          </w:p>
        </w:tc>
      </w:tr>
    </w:tbl>
    <w:p>
      <w:pPr>
        <w:rPr>
          <w:noProof/>
        </w:rPr>
      </w:pPr>
    </w:p>
    <w:p>
      <w:pPr>
        <w:rPr>
          <w:noProof/>
        </w:rPr>
      </w:pPr>
      <w:r>
        <w:rPr>
          <w:noProof/>
        </w:rPr>
        <w:t xml:space="preserve">Popis výpočtu nákladů na jednotky FTE by měl být zahrnut v příloze V, oddíle 3. </w:t>
      </w:r>
    </w:p>
    <w:p>
      <w:pPr>
        <w:rPr>
          <w:noProof/>
        </w:rPr>
        <w:sectPr>
          <w:pgSz w:w="11907" w:h="16839"/>
          <w:pgMar w:top="1134" w:right="1417" w:bottom="1134" w:left="1417" w:header="709" w:footer="709" w:gutter="0"/>
          <w:cols w:space="720"/>
          <w:docGrid w:linePitch="326"/>
        </w:sectPr>
      </w:pPr>
    </w:p>
    <w:p>
      <w:pPr>
        <w:pStyle w:val="ManualHeading3"/>
        <w:rPr>
          <w:bCs/>
          <w:noProof/>
          <w:szCs w:val="24"/>
        </w:rPr>
      </w:pPr>
      <w:bookmarkStart w:id="76" w:name="_Toc514938689"/>
      <w:bookmarkStart w:id="77" w:name="_Toc58225976"/>
      <w:r>
        <w:t>3.2.4.</w:t>
      </w:r>
      <w:r>
        <w:tab/>
      </w:r>
      <w:r>
        <w:rPr>
          <w:noProof/>
        </w:rPr>
        <w:t>Slučitelnost se stávajícím víceletým finančním rámcem</w:t>
      </w:r>
      <w:bookmarkEnd w:id="76"/>
      <w:bookmarkEnd w:id="77"/>
      <w:r>
        <w:rPr>
          <w:noProof/>
        </w:rPr>
        <w:t xml:space="preserve"> </w:t>
      </w:r>
    </w:p>
    <w:p>
      <w:pPr>
        <w:pStyle w:val="ListDash1"/>
        <w:rPr>
          <w:noProof/>
        </w:rPr>
      </w:pPr>
      <w:r>
        <w:rPr>
          <w:noProof/>
        </w:rPr>
        <w:sym w:font="Wingdings" w:char="F0A8"/>
      </w:r>
      <w:r>
        <w:rPr>
          <w:noProof/>
        </w:rPr>
        <w:tab/>
        <w:t>Návrh/podnět je v souladu se stávajícím víceletým finančním rámcem.</w:t>
      </w:r>
    </w:p>
    <w:p>
      <w:pPr>
        <w:pStyle w:val="ListDash1"/>
        <w:rPr>
          <w:noProof/>
        </w:rPr>
      </w:pPr>
      <w:r>
        <w:rPr>
          <w:noProof/>
        </w:rPr>
        <w:t>X Návrh/podnět si vyžádá úpravu příslušného okruhu víceletého finančního rámce.</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Upřesněte, jaká úprava se požaduje, příslušné rozpočtové položky a odpovídající částky.</w:t>
      </w:r>
    </w:p>
    <w:p>
      <w:pPr>
        <w:pStyle w:val="Text1"/>
        <w:pBdr>
          <w:top w:val="single" w:sz="4" w:space="1" w:color="auto"/>
          <w:left w:val="single" w:sz="4" w:space="4" w:color="auto"/>
          <w:bottom w:val="single" w:sz="4" w:space="1" w:color="auto"/>
          <w:right w:val="single" w:sz="4" w:space="4" w:color="auto"/>
        </w:pBdr>
        <w:rPr>
          <w:noProof/>
        </w:rPr>
      </w:pPr>
      <w:r>
        <w:rPr>
          <w:noProof/>
        </w:rPr>
        <w:t>Navrhovaný dodatečný rozpočet pro středisko ECDC může být financován snížením rozpočtu programu „EU pro zdraví“ v budoucích letech.</w:t>
      </w:r>
    </w:p>
    <w:p>
      <w:pPr>
        <w:pStyle w:val="ListDash1"/>
        <w:rPr>
          <w:noProof/>
        </w:rPr>
      </w:pPr>
      <w:r>
        <w:rPr>
          <w:noProof/>
        </w:rPr>
        <w:sym w:font="Wingdings" w:char="F0A8"/>
      </w:r>
      <w:r>
        <w:rPr>
          <w:noProof/>
        </w:rPr>
        <w:tab/>
        <w:t>Návrh/podnět vyžaduje použití nástroje pružnosti nebo změnu víceletého finančního rámce</w:t>
      </w:r>
      <w:r>
        <w:rPr>
          <w:rStyle w:val="FootnoteReference"/>
          <w:noProof/>
        </w:rPr>
        <w:footnoteReference w:id="23"/>
      </w:r>
      <w:r>
        <w:rPr>
          <w:noProof/>
        </w:rPr>
        <w:t>.</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Upřesněte, co se požaduje, příslušné okruhy a rozpočtové položky a odpovídající částky.</w:t>
      </w:r>
    </w:p>
    <w:p>
      <w:pPr>
        <w:pStyle w:val="Text1"/>
        <w:pBdr>
          <w:top w:val="single" w:sz="4" w:space="1" w:color="auto"/>
          <w:left w:val="single" w:sz="4" w:space="4" w:color="auto"/>
          <w:bottom w:val="single" w:sz="4" w:space="1" w:color="auto"/>
          <w:right w:val="single" w:sz="4" w:space="4" w:color="auto"/>
        </w:pBdr>
        <w:rPr>
          <w:noProof/>
          <w:sz w:val="20"/>
        </w:rPr>
      </w:pPr>
    </w:p>
    <w:p>
      <w:pPr>
        <w:pStyle w:val="ManualHeading3"/>
        <w:rPr>
          <w:bCs/>
          <w:noProof/>
          <w:szCs w:val="24"/>
        </w:rPr>
      </w:pPr>
      <w:bookmarkStart w:id="78" w:name="_Toc514938690"/>
      <w:bookmarkStart w:id="79" w:name="_Toc58225977"/>
      <w:r>
        <w:t>3.2.5.</w:t>
      </w:r>
      <w:r>
        <w:tab/>
      </w:r>
      <w:r>
        <w:rPr>
          <w:noProof/>
        </w:rPr>
        <w:t>Příspěvky třetích stran</w:t>
      </w:r>
      <w:bookmarkEnd w:id="78"/>
      <w:bookmarkEnd w:id="79"/>
      <w:r>
        <w:rPr>
          <w:noProof/>
        </w:rPr>
        <w:t xml:space="preserve"> </w:t>
      </w:r>
    </w:p>
    <w:p>
      <w:pPr>
        <w:pStyle w:val="ListDash1"/>
        <w:rPr>
          <w:noProof/>
        </w:rPr>
      </w:pPr>
      <w:r>
        <w:rPr>
          <w:noProof/>
        </w:rPr>
        <w:t xml:space="preserve">Návrh/podnět nepočítá se spolufinancováním od třetích stran. </w:t>
      </w:r>
    </w:p>
    <w:p>
      <w:pPr>
        <w:pStyle w:val="ListDash1"/>
        <w:rPr>
          <w:noProof/>
        </w:rPr>
      </w:pPr>
      <w:r>
        <w:rPr>
          <w:noProof/>
        </w:rPr>
        <w:t>Návrh/podnět počítá se spolufinancováním podle následujícího odhadu:</w:t>
      </w:r>
    </w:p>
    <w:p>
      <w:pPr>
        <w:jc w:val="right"/>
        <w:rPr>
          <w:noProof/>
          <w:sz w:val="20"/>
        </w:rPr>
      </w:pPr>
      <w:r>
        <w:rPr>
          <w:noProof/>
          <w:sz w:val="20"/>
        </w:rPr>
        <w:t>v milionech EUR (zaokrouhleno na tři desetinná místa)</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Rok</w:t>
            </w:r>
            <w:r>
              <w:rPr>
                <w:noProof/>
              </w:rPr>
              <w:t xml:space="preserve"> </w:t>
            </w:r>
            <w:r>
              <w:rPr>
                <w:noProof/>
              </w:rPr>
              <w:br/>
            </w:r>
            <w:r>
              <w:rPr>
                <w:b/>
                <w:noProof/>
                <w:sz w:val="20"/>
              </w:rPr>
              <w:t>2021</w:t>
            </w:r>
          </w:p>
        </w:tc>
        <w:tc>
          <w:tcPr>
            <w:tcW w:w="964" w:type="dxa"/>
            <w:vAlign w:val="center"/>
          </w:tcPr>
          <w:p>
            <w:pPr>
              <w:jc w:val="center"/>
              <w:rPr>
                <w:noProof/>
                <w:sz w:val="20"/>
              </w:rPr>
            </w:pPr>
            <w:r>
              <w:rPr>
                <w:noProof/>
                <w:sz w:val="20"/>
              </w:rPr>
              <w:t>Rok</w:t>
            </w:r>
            <w:r>
              <w:rPr>
                <w:noProof/>
              </w:rPr>
              <w:t xml:space="preserve"> </w:t>
            </w:r>
            <w:r>
              <w:rPr>
                <w:noProof/>
              </w:rPr>
              <w:br/>
            </w:r>
            <w:r>
              <w:rPr>
                <w:b/>
                <w:noProof/>
                <w:sz w:val="20"/>
              </w:rPr>
              <w:t>2022</w:t>
            </w:r>
          </w:p>
        </w:tc>
        <w:tc>
          <w:tcPr>
            <w:tcW w:w="964" w:type="dxa"/>
            <w:vAlign w:val="center"/>
          </w:tcPr>
          <w:p>
            <w:pPr>
              <w:jc w:val="center"/>
              <w:rPr>
                <w:noProof/>
                <w:sz w:val="20"/>
              </w:rPr>
            </w:pPr>
            <w:r>
              <w:rPr>
                <w:noProof/>
                <w:sz w:val="20"/>
              </w:rPr>
              <w:t>Rok</w:t>
            </w:r>
            <w:r>
              <w:rPr>
                <w:noProof/>
              </w:rPr>
              <w:t xml:space="preserve"> </w:t>
            </w:r>
            <w:r>
              <w:rPr>
                <w:noProof/>
              </w:rPr>
              <w:br/>
            </w:r>
            <w:r>
              <w:rPr>
                <w:b/>
                <w:noProof/>
                <w:sz w:val="20"/>
              </w:rPr>
              <w:t>2023</w:t>
            </w:r>
          </w:p>
        </w:tc>
        <w:tc>
          <w:tcPr>
            <w:tcW w:w="964" w:type="dxa"/>
            <w:vAlign w:val="center"/>
          </w:tcPr>
          <w:p>
            <w:pPr>
              <w:jc w:val="center"/>
              <w:rPr>
                <w:noProof/>
                <w:sz w:val="20"/>
              </w:rPr>
            </w:pPr>
            <w:r>
              <w:rPr>
                <w:noProof/>
                <w:sz w:val="20"/>
              </w:rPr>
              <w:t>Rok</w:t>
            </w:r>
            <w:r>
              <w:rPr>
                <w:noProof/>
              </w:rPr>
              <w:t xml:space="preserve"> </w:t>
            </w:r>
            <w:r>
              <w:rPr>
                <w:noProof/>
              </w:rPr>
              <w:br/>
            </w:r>
            <w:r>
              <w:rPr>
                <w:b/>
                <w:noProof/>
                <w:sz w:val="20"/>
              </w:rPr>
              <w:t>2024</w:t>
            </w:r>
          </w:p>
        </w:tc>
        <w:tc>
          <w:tcPr>
            <w:tcW w:w="964" w:type="dxa"/>
            <w:vAlign w:val="center"/>
          </w:tcPr>
          <w:p>
            <w:pPr>
              <w:jc w:val="center"/>
              <w:rPr>
                <w:b/>
                <w:noProof/>
                <w:sz w:val="20"/>
              </w:rPr>
            </w:pPr>
            <w:r>
              <w:rPr>
                <w:noProof/>
                <w:sz w:val="20"/>
              </w:rPr>
              <w:t>Rok</w:t>
            </w:r>
            <w:r>
              <w:rPr>
                <w:noProof/>
              </w:rPr>
              <w:t xml:space="preserve"> </w:t>
            </w:r>
            <w:r>
              <w:rPr>
                <w:noProof/>
              </w:rPr>
              <w:br/>
            </w:r>
            <w:r>
              <w:rPr>
                <w:b/>
                <w:noProof/>
                <w:sz w:val="20"/>
              </w:rPr>
              <w:t>2025</w:t>
            </w:r>
          </w:p>
        </w:tc>
        <w:tc>
          <w:tcPr>
            <w:tcW w:w="964" w:type="dxa"/>
            <w:vAlign w:val="center"/>
          </w:tcPr>
          <w:p>
            <w:pPr>
              <w:jc w:val="center"/>
              <w:rPr>
                <w:b/>
                <w:noProof/>
                <w:sz w:val="20"/>
              </w:rPr>
            </w:pPr>
            <w:r>
              <w:rPr>
                <w:noProof/>
                <w:sz w:val="20"/>
              </w:rPr>
              <w:t>Rok</w:t>
            </w:r>
            <w:r>
              <w:rPr>
                <w:noProof/>
              </w:rPr>
              <w:t xml:space="preserve"> </w:t>
            </w:r>
            <w:r>
              <w:rPr>
                <w:noProof/>
              </w:rPr>
              <w:br/>
            </w:r>
            <w:r>
              <w:rPr>
                <w:b/>
                <w:noProof/>
                <w:sz w:val="20"/>
              </w:rPr>
              <w:t>2026</w:t>
            </w:r>
          </w:p>
        </w:tc>
        <w:tc>
          <w:tcPr>
            <w:tcW w:w="964" w:type="dxa"/>
            <w:vAlign w:val="center"/>
          </w:tcPr>
          <w:p>
            <w:pPr>
              <w:jc w:val="center"/>
              <w:rPr>
                <w:b/>
                <w:noProof/>
                <w:sz w:val="20"/>
              </w:rPr>
            </w:pPr>
            <w:r>
              <w:rPr>
                <w:noProof/>
                <w:sz w:val="20"/>
              </w:rPr>
              <w:t>Rok</w:t>
            </w:r>
            <w:r>
              <w:rPr>
                <w:noProof/>
              </w:rPr>
              <w:t xml:space="preserve"> </w:t>
            </w:r>
            <w:r>
              <w:rPr>
                <w:noProof/>
              </w:rPr>
              <w:br/>
            </w:r>
            <w:r>
              <w:rPr>
                <w:b/>
                <w:noProof/>
                <w:sz w:val="20"/>
              </w:rPr>
              <w:t>2027</w:t>
            </w:r>
            <w:r>
              <w:rPr>
                <w:noProof/>
                <w:sz w:val="20"/>
              </w:rPr>
              <w:t xml:space="preserve"> a násl.</w:t>
            </w:r>
          </w:p>
        </w:tc>
        <w:tc>
          <w:tcPr>
            <w:tcW w:w="1158" w:type="dxa"/>
            <w:vAlign w:val="center"/>
          </w:tcPr>
          <w:p>
            <w:pPr>
              <w:spacing w:before="60" w:after="60"/>
              <w:jc w:val="center"/>
              <w:rPr>
                <w:noProof/>
                <w:sz w:val="20"/>
              </w:rPr>
            </w:pPr>
            <w:r>
              <w:rPr>
                <w:b/>
                <w:noProof/>
                <w:sz w:val="20"/>
              </w:rPr>
              <w:t>CELKEM</w:t>
            </w:r>
          </w:p>
        </w:tc>
      </w:tr>
      <w:tr>
        <w:trPr>
          <w:cantSplit/>
        </w:trPr>
        <w:tc>
          <w:tcPr>
            <w:tcW w:w="2340" w:type="dxa"/>
          </w:tcPr>
          <w:p>
            <w:pPr>
              <w:rPr>
                <w:noProof/>
              </w:rPr>
            </w:pPr>
            <w:r>
              <w:rPr>
                <w:noProof/>
                <w:sz w:val="20"/>
              </w:rPr>
              <w:t>Upřesněte spolufinancující subjekt</w:t>
            </w:r>
            <w:r>
              <w:rPr>
                <w:i/>
                <w:noProof/>
                <w:sz w:val="20"/>
              </w:rPr>
              <w:t xml:space="preserve"> </w:t>
            </w:r>
          </w:p>
        </w:tc>
        <w:tc>
          <w:tcPr>
            <w:tcW w:w="964" w:type="dxa"/>
            <w:vAlign w:val="center"/>
          </w:tcPr>
          <w:p>
            <w:pPr>
              <w:spacing w:before="60" w:after="60"/>
              <w:jc w:val="center"/>
              <w:rPr>
                <w:i/>
                <w:noProof/>
                <w:sz w:val="20"/>
              </w:rPr>
            </w:pPr>
            <w:r>
              <w:rPr>
                <w:i/>
                <w:noProof/>
                <w:sz w:val="20"/>
              </w:rPr>
              <w:t>p.m.</w:t>
            </w:r>
          </w:p>
        </w:tc>
        <w:tc>
          <w:tcPr>
            <w:tcW w:w="964" w:type="dxa"/>
            <w:vAlign w:val="center"/>
          </w:tcPr>
          <w:p>
            <w:pPr>
              <w:spacing w:before="60" w:after="60"/>
              <w:jc w:val="center"/>
              <w:rPr>
                <w:i/>
                <w:noProof/>
                <w:sz w:val="20"/>
              </w:rPr>
            </w:pPr>
            <w:r>
              <w:rPr>
                <w:i/>
                <w:noProof/>
                <w:sz w:val="20"/>
              </w:rPr>
              <w:t>p.m.</w:t>
            </w:r>
          </w:p>
        </w:tc>
        <w:tc>
          <w:tcPr>
            <w:tcW w:w="964" w:type="dxa"/>
            <w:vAlign w:val="center"/>
          </w:tcPr>
          <w:p>
            <w:pPr>
              <w:spacing w:before="60" w:after="60"/>
              <w:jc w:val="center"/>
              <w:rPr>
                <w:i/>
                <w:noProof/>
                <w:sz w:val="20"/>
              </w:rPr>
            </w:pPr>
            <w:r>
              <w:rPr>
                <w:i/>
                <w:noProof/>
                <w:sz w:val="20"/>
              </w:rPr>
              <w:t>p.m.</w:t>
            </w:r>
          </w:p>
        </w:tc>
        <w:tc>
          <w:tcPr>
            <w:tcW w:w="964" w:type="dxa"/>
            <w:vAlign w:val="center"/>
          </w:tcPr>
          <w:p>
            <w:pPr>
              <w:spacing w:before="60" w:after="60"/>
              <w:jc w:val="center"/>
              <w:rPr>
                <w:i/>
                <w:noProof/>
                <w:sz w:val="20"/>
              </w:rPr>
            </w:pPr>
            <w:r>
              <w:rPr>
                <w:i/>
                <w:noProof/>
                <w:sz w:val="20"/>
              </w:rPr>
              <w:t>p.m.</w:t>
            </w:r>
          </w:p>
        </w:tc>
        <w:tc>
          <w:tcPr>
            <w:tcW w:w="964" w:type="dxa"/>
            <w:vAlign w:val="center"/>
          </w:tcPr>
          <w:p>
            <w:pPr>
              <w:spacing w:before="60" w:after="60"/>
              <w:jc w:val="center"/>
              <w:rPr>
                <w:i/>
                <w:noProof/>
                <w:sz w:val="20"/>
              </w:rPr>
            </w:pPr>
            <w:r>
              <w:rPr>
                <w:i/>
                <w:noProof/>
                <w:sz w:val="20"/>
              </w:rPr>
              <w:t>p.m.</w:t>
            </w:r>
          </w:p>
        </w:tc>
        <w:tc>
          <w:tcPr>
            <w:tcW w:w="964" w:type="dxa"/>
            <w:vAlign w:val="center"/>
          </w:tcPr>
          <w:p>
            <w:pPr>
              <w:spacing w:before="60" w:after="60"/>
              <w:jc w:val="center"/>
              <w:rPr>
                <w:i/>
                <w:noProof/>
                <w:sz w:val="20"/>
              </w:rPr>
            </w:pPr>
            <w:r>
              <w:rPr>
                <w:i/>
                <w:noProof/>
                <w:sz w:val="20"/>
              </w:rPr>
              <w:t>p.m.</w:t>
            </w:r>
          </w:p>
        </w:tc>
        <w:tc>
          <w:tcPr>
            <w:tcW w:w="964" w:type="dxa"/>
            <w:vAlign w:val="center"/>
          </w:tcPr>
          <w:p>
            <w:pPr>
              <w:spacing w:before="60" w:after="60"/>
              <w:jc w:val="center"/>
              <w:rPr>
                <w:i/>
                <w:noProof/>
                <w:sz w:val="20"/>
              </w:rPr>
            </w:pPr>
            <w:r>
              <w:rPr>
                <w:i/>
                <w:noProof/>
                <w:sz w:val="20"/>
              </w:rPr>
              <w:t>p.m.</w:t>
            </w:r>
          </w:p>
        </w:tc>
        <w:tc>
          <w:tcPr>
            <w:tcW w:w="1158" w:type="dxa"/>
            <w:vAlign w:val="center"/>
          </w:tcPr>
          <w:p>
            <w:pPr>
              <w:spacing w:before="60" w:after="60"/>
              <w:jc w:val="center"/>
              <w:rPr>
                <w:i/>
                <w:noProof/>
                <w:sz w:val="20"/>
              </w:rPr>
            </w:pPr>
            <w:r>
              <w:rPr>
                <w:i/>
                <w:noProof/>
                <w:sz w:val="20"/>
              </w:rPr>
              <w:t>p.m.</w:t>
            </w:r>
          </w:p>
        </w:tc>
      </w:tr>
      <w:tr>
        <w:trPr>
          <w:cantSplit/>
        </w:trPr>
        <w:tc>
          <w:tcPr>
            <w:tcW w:w="2340" w:type="dxa"/>
          </w:tcPr>
          <w:p>
            <w:pPr>
              <w:spacing w:before="60" w:after="60"/>
              <w:rPr>
                <w:noProof/>
                <w:sz w:val="20"/>
              </w:rPr>
            </w:pPr>
            <w:r>
              <w:rPr>
                <w:noProof/>
                <w:sz w:val="20"/>
              </w:rPr>
              <w:t xml:space="preserve">Spolufinancované prostředky CELKEM </w:t>
            </w:r>
          </w:p>
        </w:tc>
        <w:tc>
          <w:tcPr>
            <w:tcW w:w="964" w:type="dxa"/>
            <w:vAlign w:val="center"/>
          </w:tcPr>
          <w:p>
            <w:pPr>
              <w:spacing w:before="60" w:after="60"/>
              <w:jc w:val="center"/>
              <w:rPr>
                <w:i/>
                <w:noProof/>
                <w:sz w:val="20"/>
              </w:rPr>
            </w:pPr>
            <w:r>
              <w:rPr>
                <w:i/>
                <w:noProof/>
                <w:sz w:val="20"/>
              </w:rPr>
              <w:t>p.m.</w:t>
            </w:r>
          </w:p>
        </w:tc>
        <w:tc>
          <w:tcPr>
            <w:tcW w:w="964" w:type="dxa"/>
            <w:vAlign w:val="center"/>
          </w:tcPr>
          <w:p>
            <w:pPr>
              <w:spacing w:before="60" w:after="60"/>
              <w:jc w:val="center"/>
              <w:rPr>
                <w:i/>
                <w:noProof/>
                <w:sz w:val="20"/>
              </w:rPr>
            </w:pPr>
            <w:r>
              <w:rPr>
                <w:i/>
                <w:noProof/>
                <w:sz w:val="20"/>
              </w:rPr>
              <w:t>p.m.</w:t>
            </w:r>
          </w:p>
        </w:tc>
        <w:tc>
          <w:tcPr>
            <w:tcW w:w="964" w:type="dxa"/>
            <w:vAlign w:val="center"/>
          </w:tcPr>
          <w:p>
            <w:pPr>
              <w:spacing w:before="60" w:after="60"/>
              <w:jc w:val="center"/>
              <w:rPr>
                <w:i/>
                <w:noProof/>
                <w:sz w:val="20"/>
              </w:rPr>
            </w:pPr>
            <w:r>
              <w:rPr>
                <w:i/>
                <w:noProof/>
                <w:sz w:val="20"/>
              </w:rPr>
              <w:t>p.m.</w:t>
            </w:r>
          </w:p>
        </w:tc>
        <w:tc>
          <w:tcPr>
            <w:tcW w:w="964" w:type="dxa"/>
            <w:vAlign w:val="center"/>
          </w:tcPr>
          <w:p>
            <w:pPr>
              <w:spacing w:before="60" w:after="60"/>
              <w:jc w:val="center"/>
              <w:rPr>
                <w:i/>
                <w:noProof/>
                <w:sz w:val="20"/>
              </w:rPr>
            </w:pPr>
            <w:r>
              <w:rPr>
                <w:i/>
                <w:noProof/>
                <w:sz w:val="20"/>
              </w:rPr>
              <w:t>p.m.</w:t>
            </w:r>
          </w:p>
        </w:tc>
        <w:tc>
          <w:tcPr>
            <w:tcW w:w="964" w:type="dxa"/>
            <w:vAlign w:val="center"/>
          </w:tcPr>
          <w:p>
            <w:pPr>
              <w:spacing w:before="60" w:after="60"/>
              <w:jc w:val="center"/>
              <w:rPr>
                <w:i/>
                <w:noProof/>
                <w:sz w:val="20"/>
              </w:rPr>
            </w:pPr>
            <w:r>
              <w:rPr>
                <w:i/>
                <w:noProof/>
                <w:sz w:val="20"/>
              </w:rPr>
              <w:t>p.m.</w:t>
            </w:r>
          </w:p>
        </w:tc>
        <w:tc>
          <w:tcPr>
            <w:tcW w:w="964" w:type="dxa"/>
            <w:vAlign w:val="center"/>
          </w:tcPr>
          <w:p>
            <w:pPr>
              <w:spacing w:before="60" w:after="60"/>
              <w:jc w:val="center"/>
              <w:rPr>
                <w:i/>
                <w:noProof/>
                <w:sz w:val="20"/>
              </w:rPr>
            </w:pPr>
            <w:r>
              <w:rPr>
                <w:i/>
                <w:noProof/>
                <w:sz w:val="20"/>
              </w:rPr>
              <w:t>p.m.</w:t>
            </w:r>
          </w:p>
        </w:tc>
        <w:tc>
          <w:tcPr>
            <w:tcW w:w="964" w:type="dxa"/>
            <w:vAlign w:val="center"/>
          </w:tcPr>
          <w:p>
            <w:pPr>
              <w:spacing w:before="60" w:after="60"/>
              <w:jc w:val="center"/>
              <w:rPr>
                <w:i/>
                <w:noProof/>
                <w:sz w:val="20"/>
              </w:rPr>
            </w:pPr>
            <w:r>
              <w:rPr>
                <w:i/>
                <w:noProof/>
                <w:sz w:val="20"/>
              </w:rPr>
              <w:t>p.m.</w:t>
            </w:r>
          </w:p>
        </w:tc>
        <w:tc>
          <w:tcPr>
            <w:tcW w:w="1158" w:type="dxa"/>
            <w:vAlign w:val="center"/>
          </w:tcPr>
          <w:p>
            <w:pPr>
              <w:spacing w:before="60" w:after="60"/>
              <w:jc w:val="center"/>
              <w:rPr>
                <w:i/>
                <w:noProof/>
                <w:sz w:val="20"/>
              </w:rPr>
            </w:pPr>
            <w:r>
              <w:rPr>
                <w:i/>
                <w:noProof/>
                <w:sz w:val="20"/>
              </w:rPr>
              <w:t>p.m.</w:t>
            </w:r>
          </w:p>
        </w:tc>
      </w:tr>
    </w:tbl>
    <w:p>
      <w:pPr>
        <w:rPr>
          <w:noProof/>
        </w:rPr>
      </w:pPr>
      <w:r>
        <w:rPr>
          <w:noProof/>
        </w:rPr>
        <w:t xml:space="preserve"> </w:t>
      </w:r>
      <w:r>
        <w:rPr>
          <w:noProof/>
        </w:rPr>
        <w:br/>
      </w:r>
    </w:p>
    <w:p>
      <w:pPr>
        <w:pStyle w:val="ManualHeading2"/>
        <w:rPr>
          <w:bCs/>
          <w:noProof/>
          <w:szCs w:val="24"/>
        </w:rPr>
      </w:pPr>
      <w:r>
        <w:rPr>
          <w:noProof/>
        </w:rPr>
        <w:br w:type="page"/>
      </w:r>
      <w:bookmarkStart w:id="80" w:name="_Toc514938691"/>
      <w:bookmarkStart w:id="81" w:name="_Toc58225978"/>
      <w:r>
        <w:t>3.3.</w:t>
      </w:r>
      <w:r>
        <w:tab/>
      </w:r>
      <w:r>
        <w:rPr>
          <w:noProof/>
        </w:rPr>
        <w:t>Odhadovaný dopad na příjmy</w:t>
      </w:r>
      <w:bookmarkEnd w:id="80"/>
      <w:bookmarkEnd w:id="81"/>
      <w:r>
        <w:rPr>
          <w:noProof/>
        </w:rPr>
        <w:t xml:space="preserve"> </w:t>
      </w:r>
    </w:p>
    <w:p>
      <w:pPr>
        <w:pStyle w:val="ListDash1"/>
        <w:rPr>
          <w:noProof/>
        </w:rPr>
      </w:pPr>
      <w:r>
        <w:rPr>
          <w:noProof/>
        </w:rPr>
        <w:t>X</w:t>
      </w:r>
      <w:r>
        <w:rPr>
          <w:noProof/>
        </w:rPr>
        <w:tab/>
        <w:t>Návrh/podnět nemá žádný finanční dopad na příjmy.</w:t>
      </w:r>
    </w:p>
    <w:p>
      <w:pPr>
        <w:pStyle w:val="ListDash1"/>
        <w:rPr>
          <w:noProof/>
        </w:rPr>
      </w:pPr>
      <w:r>
        <w:rPr>
          <w:noProof/>
        </w:rPr>
        <w:sym w:font="Wingdings" w:char="F0A8"/>
      </w:r>
      <w:r>
        <w:rPr>
          <w:noProof/>
        </w:rPr>
        <w:tab/>
        <w:t>Návrh/podnět má tento finanční dopad:</w:t>
      </w:r>
    </w:p>
    <w:p>
      <w:pPr>
        <w:pStyle w:val="ListNumberLevel3"/>
        <w:rPr>
          <w:noProof/>
        </w:rPr>
      </w:pPr>
      <w:r>
        <w:rPr>
          <w:noProof/>
        </w:rPr>
        <w:sym w:font="Wingdings" w:char="F0A8"/>
      </w:r>
      <w:r>
        <w:rPr>
          <w:noProof/>
        </w:rPr>
        <w:tab/>
        <w:t xml:space="preserve">na vlastní zdroje </w:t>
      </w:r>
    </w:p>
    <w:p>
      <w:pPr>
        <w:pStyle w:val="ListNumberLevel3"/>
        <w:rPr>
          <w:noProof/>
        </w:rPr>
      </w:pPr>
      <w:r>
        <w:rPr>
          <w:noProof/>
        </w:rPr>
        <w:sym w:font="Wingdings" w:char="F0A8"/>
      </w:r>
      <w:r>
        <w:rPr>
          <w:noProof/>
        </w:rPr>
        <w:tab/>
        <w:t xml:space="preserve">na jiné příjmy </w:t>
      </w:r>
    </w:p>
    <w:p>
      <w:pPr>
        <w:pStyle w:val="ListNumberLevel3"/>
        <w:rPr>
          <w:noProof/>
        </w:rPr>
      </w:pPr>
      <w:r>
        <w:rPr>
          <w:noProof/>
        </w:rPr>
        <w:sym w:font="Wingdings" w:char="F0A8"/>
      </w:r>
      <w:r>
        <w:rPr>
          <w:noProof/>
        </w:rPr>
        <w:t xml:space="preserve"> uveďte, zda je příjem účelově vázán na výdajové položky </w:t>
      </w:r>
    </w:p>
    <w:p>
      <w:pPr>
        <w:jc w:val="right"/>
        <w:rPr>
          <w:i/>
          <w:noProof/>
          <w:sz w:val="20"/>
        </w:rPr>
      </w:pPr>
      <w:r>
        <w:rPr>
          <w:noProof/>
          <w:sz w:val="20"/>
        </w:rPr>
        <w:t>v milionech EUR (zaokrouhleno na tři desetinná místa)</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Příjmová rozpočtová položka:</w:t>
            </w:r>
          </w:p>
        </w:tc>
        <w:tc>
          <w:tcPr>
            <w:tcW w:w="1276" w:type="dxa"/>
            <w:vMerge w:val="restart"/>
            <w:vAlign w:val="center"/>
          </w:tcPr>
          <w:p>
            <w:pPr>
              <w:jc w:val="center"/>
              <w:rPr>
                <w:noProof/>
                <w:sz w:val="18"/>
              </w:rPr>
            </w:pPr>
            <w:r>
              <w:rPr>
                <w:noProof/>
                <w:sz w:val="18"/>
              </w:rPr>
              <w:t>Prostředky dostupné v běžném rozpočtovém roce</w:t>
            </w:r>
          </w:p>
        </w:tc>
        <w:tc>
          <w:tcPr>
            <w:tcW w:w="7200" w:type="dxa"/>
            <w:gridSpan w:val="7"/>
            <w:vAlign w:val="center"/>
          </w:tcPr>
          <w:p>
            <w:pPr>
              <w:jc w:val="center"/>
              <w:rPr>
                <w:noProof/>
                <w:sz w:val="18"/>
              </w:rPr>
            </w:pPr>
            <w:r>
              <w:rPr>
                <w:noProof/>
                <w:sz w:val="18"/>
              </w:rPr>
              <w:t>Dopad návrhu/podnětu</w:t>
            </w:r>
            <w:r>
              <w:rPr>
                <w:rStyle w:val="FootnoteReference"/>
                <w:noProof/>
                <w:sz w:val="18"/>
              </w:rPr>
              <w:footnoteReference w:id="24"/>
            </w:r>
          </w:p>
        </w:tc>
      </w:tr>
      <w:tr>
        <w:trPr>
          <w:trHeight w:val="388"/>
        </w:trPr>
        <w:tc>
          <w:tcPr>
            <w:tcW w:w="2144" w:type="dxa"/>
            <w:vMerge/>
            <w:vAlign w:val="center"/>
          </w:tcPr>
          <w:p>
            <w:pPr>
              <w:rPr>
                <w:noProof/>
                <w:sz w:val="18"/>
              </w:rPr>
            </w:pPr>
          </w:p>
        </w:tc>
        <w:tc>
          <w:tcPr>
            <w:tcW w:w="1276" w:type="dxa"/>
            <w:vMerge/>
            <w:vAlign w:val="center"/>
          </w:tcPr>
          <w:p>
            <w:pPr>
              <w:rPr>
                <w:noProof/>
                <w:sz w:val="18"/>
              </w:rPr>
            </w:pPr>
          </w:p>
        </w:tc>
        <w:tc>
          <w:tcPr>
            <w:tcW w:w="1080" w:type="dxa"/>
            <w:vAlign w:val="center"/>
          </w:tcPr>
          <w:p>
            <w:pPr>
              <w:jc w:val="center"/>
              <w:rPr>
                <w:noProof/>
                <w:sz w:val="18"/>
              </w:rPr>
            </w:pPr>
            <w:r>
              <w:rPr>
                <w:noProof/>
                <w:sz w:val="20"/>
              </w:rPr>
              <w:t>Rok</w:t>
            </w:r>
            <w:r>
              <w:rPr>
                <w:noProof/>
              </w:rPr>
              <w:t xml:space="preserve"> </w:t>
            </w:r>
            <w:r>
              <w:rPr>
                <w:noProof/>
              </w:rPr>
              <w:br/>
            </w:r>
            <w:r>
              <w:rPr>
                <w:b/>
                <w:noProof/>
                <w:sz w:val="20"/>
              </w:rPr>
              <w:t>2021</w:t>
            </w:r>
          </w:p>
        </w:tc>
        <w:tc>
          <w:tcPr>
            <w:tcW w:w="900" w:type="dxa"/>
            <w:vAlign w:val="center"/>
          </w:tcPr>
          <w:p>
            <w:pPr>
              <w:jc w:val="center"/>
              <w:rPr>
                <w:noProof/>
                <w:sz w:val="18"/>
              </w:rPr>
            </w:pPr>
            <w:r>
              <w:rPr>
                <w:noProof/>
                <w:sz w:val="20"/>
              </w:rPr>
              <w:t>Rok</w:t>
            </w:r>
            <w:r>
              <w:rPr>
                <w:noProof/>
              </w:rPr>
              <w:t xml:space="preserve"> </w:t>
            </w:r>
            <w:r>
              <w:rPr>
                <w:noProof/>
              </w:rPr>
              <w:br/>
            </w:r>
            <w:r>
              <w:rPr>
                <w:b/>
                <w:noProof/>
                <w:sz w:val="20"/>
              </w:rPr>
              <w:t>2022</w:t>
            </w:r>
          </w:p>
        </w:tc>
        <w:tc>
          <w:tcPr>
            <w:tcW w:w="900" w:type="dxa"/>
            <w:vAlign w:val="center"/>
          </w:tcPr>
          <w:p>
            <w:pPr>
              <w:jc w:val="center"/>
              <w:rPr>
                <w:noProof/>
                <w:sz w:val="18"/>
              </w:rPr>
            </w:pPr>
            <w:r>
              <w:rPr>
                <w:noProof/>
                <w:sz w:val="20"/>
              </w:rPr>
              <w:t>Rok</w:t>
            </w:r>
            <w:r>
              <w:rPr>
                <w:noProof/>
              </w:rPr>
              <w:t xml:space="preserve"> </w:t>
            </w:r>
            <w:r>
              <w:rPr>
                <w:noProof/>
              </w:rPr>
              <w:br/>
            </w:r>
            <w:r>
              <w:rPr>
                <w:b/>
                <w:noProof/>
                <w:sz w:val="20"/>
              </w:rPr>
              <w:t>2023</w:t>
            </w:r>
          </w:p>
        </w:tc>
        <w:tc>
          <w:tcPr>
            <w:tcW w:w="1080" w:type="dxa"/>
            <w:vAlign w:val="center"/>
          </w:tcPr>
          <w:p>
            <w:pPr>
              <w:jc w:val="center"/>
              <w:rPr>
                <w:noProof/>
                <w:sz w:val="18"/>
              </w:rPr>
            </w:pPr>
            <w:r>
              <w:rPr>
                <w:noProof/>
                <w:sz w:val="20"/>
              </w:rPr>
              <w:t>Rok</w:t>
            </w:r>
            <w:r>
              <w:rPr>
                <w:noProof/>
              </w:rPr>
              <w:t xml:space="preserve"> </w:t>
            </w:r>
            <w:r>
              <w:rPr>
                <w:noProof/>
              </w:rPr>
              <w:br/>
            </w:r>
            <w:r>
              <w:rPr>
                <w:b/>
                <w:noProof/>
                <w:sz w:val="20"/>
              </w:rPr>
              <w:t>2024</w:t>
            </w:r>
          </w:p>
        </w:tc>
        <w:tc>
          <w:tcPr>
            <w:tcW w:w="1080" w:type="dxa"/>
            <w:vAlign w:val="center"/>
          </w:tcPr>
          <w:p>
            <w:pPr>
              <w:jc w:val="center"/>
              <w:rPr>
                <w:b/>
                <w:noProof/>
                <w:sz w:val="18"/>
              </w:rPr>
            </w:pPr>
            <w:r>
              <w:rPr>
                <w:noProof/>
                <w:sz w:val="20"/>
              </w:rPr>
              <w:t>Rok</w:t>
            </w:r>
            <w:r>
              <w:rPr>
                <w:noProof/>
              </w:rPr>
              <w:t xml:space="preserve"> </w:t>
            </w:r>
            <w:r>
              <w:rPr>
                <w:noProof/>
              </w:rPr>
              <w:br/>
            </w:r>
            <w:r>
              <w:rPr>
                <w:b/>
                <w:noProof/>
                <w:sz w:val="20"/>
              </w:rPr>
              <w:t>2025</w:t>
            </w:r>
          </w:p>
        </w:tc>
        <w:tc>
          <w:tcPr>
            <w:tcW w:w="1080" w:type="dxa"/>
            <w:vAlign w:val="center"/>
          </w:tcPr>
          <w:p>
            <w:pPr>
              <w:jc w:val="center"/>
              <w:rPr>
                <w:b/>
                <w:noProof/>
                <w:sz w:val="18"/>
              </w:rPr>
            </w:pPr>
            <w:r>
              <w:rPr>
                <w:noProof/>
                <w:sz w:val="20"/>
              </w:rPr>
              <w:t>Rok</w:t>
            </w:r>
            <w:r>
              <w:rPr>
                <w:noProof/>
              </w:rPr>
              <w:t xml:space="preserve"> </w:t>
            </w:r>
            <w:r>
              <w:rPr>
                <w:noProof/>
              </w:rPr>
              <w:br/>
            </w:r>
            <w:r>
              <w:rPr>
                <w:b/>
                <w:noProof/>
                <w:sz w:val="20"/>
              </w:rPr>
              <w:t>2026</w:t>
            </w:r>
          </w:p>
        </w:tc>
        <w:tc>
          <w:tcPr>
            <w:tcW w:w="1080" w:type="dxa"/>
            <w:vAlign w:val="center"/>
          </w:tcPr>
          <w:p>
            <w:pPr>
              <w:jc w:val="center"/>
              <w:rPr>
                <w:b/>
                <w:noProof/>
                <w:sz w:val="18"/>
              </w:rPr>
            </w:pPr>
            <w:r>
              <w:rPr>
                <w:noProof/>
                <w:sz w:val="20"/>
              </w:rPr>
              <w:t>Rok</w:t>
            </w:r>
            <w:r>
              <w:rPr>
                <w:noProof/>
              </w:rPr>
              <w:t xml:space="preserve"> </w:t>
            </w:r>
            <w:r>
              <w:rPr>
                <w:noProof/>
              </w:rPr>
              <w:br/>
            </w:r>
            <w:r>
              <w:rPr>
                <w:b/>
                <w:noProof/>
                <w:sz w:val="20"/>
              </w:rPr>
              <w:t>2027</w:t>
            </w:r>
            <w:r>
              <w:rPr>
                <w:noProof/>
                <w:sz w:val="20"/>
              </w:rPr>
              <w:t xml:space="preserve"> a násl.</w:t>
            </w:r>
          </w:p>
        </w:tc>
      </w:tr>
      <w:tr>
        <w:trPr>
          <w:trHeight w:val="388"/>
        </w:trPr>
        <w:tc>
          <w:tcPr>
            <w:tcW w:w="2144" w:type="dxa"/>
            <w:vAlign w:val="center"/>
          </w:tcPr>
          <w:p>
            <w:pPr>
              <w:spacing w:before="40" w:after="40"/>
              <w:rPr>
                <w:noProof/>
                <w:sz w:val="18"/>
              </w:rPr>
            </w:pPr>
            <w:r>
              <w:rPr>
                <w:noProof/>
                <w:sz w:val="18"/>
              </w:rPr>
              <w:t>Článek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U účelově vázaných různých příjmů upřesněte dotčené výdajové rozpočtové položky.</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Upřesněte způsob výpočtu dopadu na příjmy.</w:t>
      </w:r>
    </w:p>
    <w:p>
      <w:pPr>
        <w:pStyle w:val="Text1"/>
        <w:pBdr>
          <w:top w:val="single" w:sz="4" w:space="1" w:color="auto"/>
          <w:left w:val="single" w:sz="4" w:space="4" w:color="auto"/>
          <w:bottom w:val="single" w:sz="4" w:space="1" w:color="auto"/>
          <w:right w:val="single" w:sz="4" w:space="4" w:color="auto"/>
        </w:pBdr>
        <w:rPr>
          <w:noProof/>
        </w:rPr>
      </w:pPr>
    </w:p>
    <w:p>
      <w:pPr>
        <w:rPr>
          <w:noProof/>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28</w:t>
    </w:r>
    <w:r>
      <w:fldChar w:fldCharType="end"/>
    </w:r>
    <w: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CS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CS</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CS</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Úř. věst. L 142, 30.4.2004, s. 1.</w:t>
      </w:r>
    </w:p>
  </w:footnote>
  <w:footnote w:id="3">
    <w:p>
      <w:pPr>
        <w:pStyle w:val="FootnoteText"/>
      </w:pPr>
      <w:r>
        <w:rPr>
          <w:rStyle w:val="FootnoteReference"/>
        </w:rPr>
        <w:footnoteRef/>
      </w:r>
      <w:r>
        <w:tab/>
        <w:t>Úř. věst. L 293, 5.11.2013, s. 1.</w:t>
      </w:r>
    </w:p>
  </w:footnote>
  <w:footnote w:id="4">
    <w:p>
      <w:pPr>
        <w:pStyle w:val="FootnoteText"/>
      </w:pPr>
      <w:r>
        <w:rPr>
          <w:rStyle w:val="FootnoteReference"/>
        </w:rPr>
        <w:footnoteRef/>
      </w:r>
      <w:r>
        <w:tab/>
        <w:t>https://europa.eu/european-union/sites/europaeu/files/docs/body/joint_statement_and_common_approach_2012_cs.pdf</w:t>
      </w:r>
    </w:p>
  </w:footnote>
  <w:footnote w:id="5">
    <w:p>
      <w:pPr>
        <w:pStyle w:val="FootnoteText"/>
      </w:pPr>
      <w:r>
        <w:rPr>
          <w:rStyle w:val="FootnoteReference"/>
        </w:rPr>
        <w:footnoteRef/>
      </w:r>
      <w:r>
        <w:tab/>
      </w:r>
      <w:hyperlink r:id="rId1" w:history="1">
        <w:r>
          <w:rPr>
            <w:rStyle w:val="Hyperlink"/>
            <w:color w:val="000000"/>
          </w:rPr>
          <w:t>https://www.ecdc.europa.eu/en/publications-data/third-external-evaluation-ecdc-2013-2017</w:t>
        </w:r>
      </w:hyperlink>
    </w:p>
  </w:footnote>
  <w:footnote w:id="6">
    <w:p>
      <w:pPr>
        <w:pStyle w:val="FootnoteText"/>
      </w:pPr>
      <w:r>
        <w:rPr>
          <w:rStyle w:val="FootnoteReference"/>
        </w:rPr>
        <w:footnoteRef/>
      </w:r>
      <w:r>
        <w:tab/>
      </w:r>
      <w:hyperlink r:id="rId2" w:history="1">
        <w:r>
          <w:rPr>
            <w:rStyle w:val="Hyperlink"/>
            <w:color w:val="000000"/>
          </w:rPr>
          <w:t>https://www.eca.europa.eu/cs/Pages/DocItem.aspx?did=40126</w:t>
        </w:r>
      </w:hyperlink>
    </w:p>
  </w:footnote>
  <w:footnote w:id="7">
    <w:p>
      <w:pPr>
        <w:pStyle w:val="FootnoteText"/>
      </w:pPr>
      <w:r>
        <w:rPr>
          <w:rStyle w:val="FootnoteReference"/>
        </w:rPr>
        <w:footnoteRef/>
      </w:r>
      <w:r>
        <w:tab/>
      </w:r>
      <w:hyperlink r:id="rId3" w:history="1">
        <w:r>
          <w:rPr>
            <w:rStyle w:val="Hyperlink"/>
          </w:rPr>
          <w:t>Společné prohlášení a společný přístup (Parlament, Rada a Komise)</w:t>
        </w:r>
      </w:hyperlink>
      <w:r>
        <w:t>, 2012; https://europa.eu/european-union/sites/europaeu/files/docs/body/joint_statement_and_common_approach_2012_cs.pdf</w:t>
      </w:r>
    </w:p>
  </w:footnote>
  <w:footnote w:id="8">
    <w:p>
      <w:pPr>
        <w:pStyle w:val="FootnoteText"/>
      </w:pPr>
      <w:r>
        <w:rPr>
          <w:rStyle w:val="FootnoteReference"/>
        </w:rPr>
        <w:footnoteRef/>
      </w:r>
      <w:r>
        <w:tab/>
        <w:t>Úř. věst. C, , s. .</w:t>
      </w:r>
    </w:p>
  </w:footnote>
  <w:footnote w:id="9">
    <w:p>
      <w:pPr>
        <w:pStyle w:val="FootnoteText"/>
      </w:pPr>
      <w:r>
        <w:rPr>
          <w:rStyle w:val="FootnoteReference"/>
        </w:rPr>
        <w:footnoteRef/>
      </w:r>
      <w:r>
        <w:tab/>
        <w:t>Úř. věst. C, , s. .</w:t>
      </w:r>
    </w:p>
  </w:footnote>
  <w:footnote w:id="10">
    <w:p>
      <w:pPr>
        <w:pStyle w:val="FootnoteText"/>
      </w:pPr>
      <w:r>
        <w:rPr>
          <w:rStyle w:val="FootnoteReference"/>
        </w:rPr>
        <w:footnoteRef/>
      </w:r>
      <w:r>
        <w:tab/>
        <w:t>Nařízení Evropského parlamentu a Rady (ES) č. 851/2004 ze dne 21. dubna 2004 o zřízení Evropského střediska pro prevenci a kontrolu nemocí (Úř. věst. L 142, 30.4.2004, s. 1).</w:t>
      </w:r>
    </w:p>
  </w:footnote>
  <w:footnote w:id="11">
    <w:p>
      <w:pPr>
        <w:pStyle w:val="FootnoteText"/>
      </w:pPr>
      <w:r>
        <w:rPr>
          <w:rStyle w:val="FootnoteReference"/>
        </w:rPr>
        <w:footnoteRef/>
      </w:r>
      <w:r>
        <w:tab/>
        <w:t>Nařízení Evropského parlamentu a Rady (EU) XXXX/XXXX ze dne DATUM o vážných přeshraničních zdravotních hrozbách a o zrušení rozhodnutí č. 1082/2013/EU [Úř. věst.: vložte prosím úplný název a odkaz na vyhlášení nařízení o vážných přeshraničních zdravotních hrozbách (SCBTH).]</w:t>
      </w:r>
    </w:p>
  </w:footnote>
  <w:footnote w:id="12">
    <w:p>
      <w:pPr>
        <w:pStyle w:val="FootnoteText"/>
      </w:pPr>
      <w:r>
        <w:rPr>
          <w:rStyle w:val="FootnoteReference"/>
        </w:rPr>
        <w:footnoteRef/>
      </w:r>
      <w:r>
        <w:tab/>
        <w:t>Rozhodnutí Evropského parlamentu a Rady č. 1313/2013/EU ze dne 17. prosince 2013 o mechanismu civilní ochrany Unie (Úř. věst. L 347, 20.12.2013, s. 924).</w:t>
      </w:r>
    </w:p>
  </w:footnote>
  <w:footnote w:id="13">
    <w:p>
      <w:pPr>
        <w:pStyle w:val="FootnoteText"/>
      </w:pPr>
      <w:r>
        <w:rPr>
          <w:rStyle w:val="FootnoteReference"/>
        </w:rPr>
        <w:footnoteRef/>
      </w:r>
      <w:r>
        <w:tab/>
      </w:r>
      <w:r>
        <w:rPr>
          <w:highlight w:val="yellow"/>
        </w:rPr>
        <w:t>Nařízení Evropského parlamentu a Rady (EU) č. 233/2014 ze dne 11. března 2014, kterým se zřizuje finanční nástroj pro rozvojovou spolupráci na období 2014–2020 (Úř. věst. L 77, 15.3.2014, s. 44).</w:t>
      </w:r>
    </w:p>
  </w:footnote>
  <w:footnote w:id="14">
    <w:p>
      <w:pPr>
        <w:pStyle w:val="FootnoteText"/>
      </w:pPr>
      <w:r>
        <w:rPr>
          <w:rStyle w:val="FootnoteReference"/>
        </w:rPr>
        <w:footnoteRef/>
      </w:r>
      <w:r>
        <w:tab/>
        <w:t>Jak je uvedeno v čl. 58 odst. 2 písm. a) nebo b) finančního nařízení.</w:t>
      </w:r>
    </w:p>
  </w:footnote>
  <w:footnote w:id="15">
    <w:p>
      <w:pPr>
        <w:pStyle w:val="FootnoteText"/>
      </w:pPr>
      <w:r>
        <w:rPr>
          <w:rStyle w:val="FootnoteReference"/>
        </w:rPr>
        <w:footnoteRef/>
      </w:r>
      <w:r>
        <w:tab/>
        <w:t xml:space="preserve">Vysvětlení způsobů řízení spolu s odkazem na finanční nařízení jsou k dispozici na stránkách BudgWeb: </w:t>
      </w:r>
      <w:hyperlink r:id="rId4" w:history="1">
        <w:r>
          <w:rPr>
            <w:rStyle w:val="Hyperlink"/>
          </w:rPr>
          <w:t>https://myintracomm.ec.europa.eu/budgweb/EN/man/budgmanag/Pages/budgmanag.aspx</w:t>
        </w:r>
      </w:hyperlink>
      <w:r>
        <w:t>.</w:t>
      </w:r>
    </w:p>
  </w:footnote>
  <w:footnote w:id="16">
    <w:p>
      <w:pPr>
        <w:pStyle w:val="FootnoteText"/>
      </w:pPr>
      <w:r>
        <w:rPr>
          <w:rStyle w:val="FootnoteReference"/>
        </w:rPr>
        <w:footnoteRef/>
      </w:r>
      <w:r>
        <w:tab/>
        <w:t>RP = rozlišené prostředky / NRP = nerozlišené prostředky.</w:t>
      </w:r>
    </w:p>
  </w:footnote>
  <w:footnote w:id="17">
    <w:p>
      <w:pPr>
        <w:pStyle w:val="FootnoteText"/>
      </w:pPr>
      <w:r>
        <w:rPr>
          <w:rStyle w:val="FootnoteReference"/>
        </w:rPr>
        <w:footnoteRef/>
      </w:r>
      <w:r>
        <w:tab/>
        <w:t xml:space="preserve">ESVO: Evropské sdružení volného obchodu. </w:t>
      </w:r>
    </w:p>
  </w:footnote>
  <w:footnote w:id="18">
    <w:p>
      <w:pPr>
        <w:pStyle w:val="FootnoteText"/>
      </w:pPr>
      <w:r>
        <w:rPr>
          <w:rStyle w:val="FootnoteReference"/>
        </w:rPr>
        <w:footnoteRef/>
      </w:r>
      <w:r>
        <w:tab/>
        <w:t>Kandidátské země a případně potenciální kandidáti ze západního Balkánu.</w:t>
      </w:r>
    </w:p>
  </w:footnote>
  <w:footnote w:id="19">
    <w:p>
      <w:pPr>
        <w:pStyle w:val="FootnoteText"/>
      </w:pPr>
      <w:r>
        <w:rPr>
          <w:rStyle w:val="FootnoteReference"/>
        </w:rPr>
        <w:footnoteRef/>
      </w:r>
      <w:r>
        <w:tab/>
        <w:t>Výstupy se rozumí produkty a služby, které mají být dodány (např.: počet financovaných studentských výměn, počet vybudovaných kilometrů silnic atd.).</w:t>
      </w:r>
    </w:p>
  </w:footnote>
  <w:footnote w:id="20">
    <w:p>
      <w:pPr>
        <w:pStyle w:val="FootnoteText"/>
      </w:pPr>
      <w:r>
        <w:rPr>
          <w:rStyle w:val="FootnoteReference"/>
        </w:rPr>
        <w:footnoteRef/>
      </w:r>
      <w:r>
        <w:tab/>
        <w:t xml:space="preserve">SZ = smluvní zaměstnanec; MZ = místní zaměstnanec; VNO = vyslaný národní odborník; ZAP = zaměstnanec agentury práce; MOD = mladý odborník při delegaci. </w:t>
      </w:r>
    </w:p>
  </w:footnote>
  <w:footnote w:id="21">
    <w:p>
      <w:pPr>
        <w:pStyle w:val="FootnoteText"/>
      </w:pPr>
      <w:r>
        <w:rPr>
          <w:rStyle w:val="FootnoteReference"/>
        </w:rPr>
        <w:footnoteRef/>
      </w:r>
      <w:r>
        <w:tab/>
        <w:t>Dílčí strop na externí zaměstnance financované z operačních prostředků (bývalé položky „BA“).</w:t>
      </w:r>
    </w:p>
  </w:footnote>
  <w:footnote w:id="22">
    <w:p>
      <w:pPr>
        <w:pStyle w:val="FootnoteText"/>
      </w:pPr>
      <w:r>
        <w:rPr>
          <w:rStyle w:val="FootnoteReference"/>
        </w:rPr>
        <w:footnoteRef/>
      </w:r>
      <w:r>
        <w:tab/>
        <w:t>Hlavně pro strukturální fondy, Evropský zemědělský fond pro rozvoj venkova (EZFRV) a Evropský rybářský fond.</w:t>
      </w:r>
    </w:p>
  </w:footnote>
  <w:footnote w:id="23">
    <w:p>
      <w:pPr>
        <w:pStyle w:val="FootnoteText"/>
      </w:pPr>
      <w:r>
        <w:rPr>
          <w:rStyle w:val="FootnoteReference"/>
        </w:rPr>
        <w:footnoteRef/>
      </w:r>
      <w:r>
        <w:tab/>
        <w:t>Viz články 11 a 17 nařízení Rady (EU, Euratom) č. 1311/2013, kterým se stanoví víceletý finanční rámec na období 2014–2020.</w:t>
      </w:r>
    </w:p>
  </w:footnote>
  <w:footnote w:id="24">
    <w:p>
      <w:pPr>
        <w:pStyle w:val="FootnoteText"/>
      </w:pPr>
      <w:r>
        <w:rPr>
          <w:rStyle w:val="FootnoteReference"/>
        </w:rPr>
        <w:footnoteRef/>
      </w:r>
      <w:r>
        <w:tab/>
        <w:t>Pokud jde o tradiční vlastní zdroje (cla, dávky z cukru), je třeba uvést čisté částky, tj. hrubé částky po odečtení 20 % nákladů na výběr.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2">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6">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7">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8">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0">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3">
    <w:nsid w:val="608C30E1"/>
    <w:multiLevelType w:val="hybridMultilevel"/>
    <w:tmpl w:val="DD98B9F8"/>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24">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6">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8">
    <w:nsid w:val="76BC5C11"/>
    <w:multiLevelType w:val="singleLevel"/>
    <w:tmpl w:val="E44CE82E"/>
    <w:lvl w:ilvl="0">
      <w:start w:val="1"/>
      <w:numFmt w:val="bullet"/>
      <w:pStyle w:val="ListBullet3"/>
      <w:lvlText w:val=""/>
      <w:lvlJc w:val="left"/>
      <w:pPr>
        <w:tabs>
          <w:tab w:val="num" w:pos="1134"/>
        </w:tabs>
        <w:ind w:left="1134" w:hanging="283"/>
      </w:pPr>
      <w:rPr>
        <w:rFonts w:ascii="Symbol" w:hAnsi="Symbol" w:hint="default"/>
      </w:rPr>
    </w:lvl>
  </w:abstractNum>
  <w:abstractNum w:abstractNumId="29">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18"/>
  </w:num>
  <w:num w:numId="3">
    <w:abstractNumId w:val="7"/>
  </w:num>
  <w:num w:numId="4">
    <w:abstractNumId w:val="15"/>
  </w:num>
  <w:num w:numId="5">
    <w:abstractNumId w:val="14"/>
  </w:num>
  <w:num w:numId="6">
    <w:abstractNumId w:val="26"/>
  </w:num>
  <w:num w:numId="7">
    <w:abstractNumId w:val="22"/>
  </w:num>
  <w:num w:numId="8">
    <w:abstractNumId w:val="27"/>
  </w:num>
  <w:num w:numId="9">
    <w:abstractNumId w:val="28"/>
  </w:num>
  <w:num w:numId="10">
    <w:abstractNumId w:val="1"/>
  </w:num>
  <w:num w:numId="11">
    <w:abstractNumId w:val="9"/>
  </w:num>
  <w:num w:numId="12">
    <w:abstractNumId w:val="2"/>
  </w:num>
  <w:num w:numId="13">
    <w:abstractNumId w:val="10"/>
  </w:num>
  <w:num w:numId="14">
    <w:abstractNumId w:val="8"/>
  </w:num>
  <w:num w:numId="15">
    <w:abstractNumId w:val="16"/>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9"/>
    <w:lvlOverride w:ilvl="0">
      <w:startOverride w:val="1"/>
    </w:lvlOverride>
  </w:num>
  <w:num w:numId="19">
    <w:abstractNumId w:val="11"/>
    <w:lvlOverride w:ilvl="0">
      <w:startOverride w:val="1"/>
    </w:lvlOverride>
  </w:num>
  <w:num w:numId="20">
    <w:abstractNumId w:val="21"/>
  </w:num>
  <w:num w:numId="21">
    <w:abstractNumId w:val="11"/>
  </w:num>
  <w:num w:numId="22">
    <w:abstractNumId w:val="25"/>
  </w:num>
  <w:num w:numId="23">
    <w:abstractNumId w:val="6"/>
  </w:num>
  <w:num w:numId="24">
    <w:abstractNumId w:val="12"/>
  </w:num>
  <w:num w:numId="25">
    <w:abstractNumId w:val="4"/>
  </w:num>
  <w:num w:numId="26">
    <w:abstractNumId w:val="24"/>
  </w:num>
  <w:num w:numId="27">
    <w:abstractNumId w:val="3"/>
  </w:num>
  <w:num w:numId="28">
    <w:abstractNumId w:val="13"/>
  </w:num>
  <w:num w:numId="29">
    <w:abstractNumId w:val="19"/>
  </w:num>
  <w:num w:numId="30">
    <w:abstractNumId w:val="20"/>
  </w:num>
  <w:num w:numId="31">
    <w:abstractNumId w:val="5"/>
  </w:num>
  <w:num w:numId="32">
    <w:abstractNumId w:val="17"/>
  </w:num>
  <w:num w:numId="33">
    <w:abstractNumId w:val="29"/>
  </w:num>
  <w:num w:numId="34">
    <w:abstractNumId w:val="21"/>
  </w:num>
  <w:num w:numId="35">
    <w:abstractNumId w:val="11"/>
  </w:num>
  <w:num w:numId="36">
    <w:abstractNumId w:val="25"/>
  </w:num>
  <w:num w:numId="37">
    <w:abstractNumId w:val="6"/>
  </w:num>
  <w:num w:numId="38">
    <w:abstractNumId w:val="12"/>
  </w:num>
  <w:num w:numId="39">
    <w:abstractNumId w:val="4"/>
  </w:num>
  <w:num w:numId="40">
    <w:abstractNumId w:val="24"/>
  </w:num>
  <w:num w:numId="41">
    <w:abstractNumId w:val="3"/>
  </w:num>
  <w:num w:numId="42">
    <w:abstractNumId w:val="13"/>
  </w:num>
  <w:num w:numId="43">
    <w:abstractNumId w:val="19"/>
  </w:num>
  <w:num w:numId="44">
    <w:abstractNumId w:val="20"/>
  </w:num>
  <w:num w:numId="45">
    <w:abstractNumId w:val="5"/>
  </w:num>
  <w:num w:numId="46">
    <w:abstractNumId w:val="17"/>
  </w:num>
  <w:num w:numId="47">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hideSpellingErrors/>
  <w:hideGrammaticalErrors/>
  <w:activeWritingStyle w:appName="MSWord" w:lang="nl-NL" w:vendorID="64" w:dllVersion="6" w:nlCheck="1" w:checkStyle="0"/>
  <w:activeWritingStyle w:appName="MSWord" w:lang="en-GB" w:vendorID="64" w:dllVersion="6" w:nlCheck="1" w:checkStyle="1"/>
  <w:activeWritingStyle w:appName="MSWord" w:lang="en-IE"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IE"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fr-FR" w:vendorID="64" w:dllVersion="6" w:nlCheck="1" w:checkStyle="1"/>
  <w:activeWritingStyle w:appName="MSWord" w:lang="fr-BE" w:vendorID="64" w:dllVersion="6" w:nlCheck="1" w:checkStyle="0"/>
  <w:activeWritingStyle w:appName="MSWord" w:lang="fr-BE" w:vendorID="64" w:dllVersion="4096" w:nlCheck="1" w:checkStyle="0"/>
  <w:activeWritingStyle w:appName="MSWord" w:lang="en-US" w:vendorID="64" w:dllVersion="6" w:nlCheck="1" w:checkStyle="1"/>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nl-NL" w:vendorID="64" w:dllVersion="131078" w:nlCheck="1" w:checkStyle="0"/>
  <w:attachedTemplate r:id="rId1"/>
  <w:revisionView w:markup="0"/>
  <w:defaultTabStop w:val="720"/>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12-07 21:34:54"/>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7"/>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BBFEFD6B-94C7-4283-A556-9D421B18FF57"/>
    <w:docVar w:name="LW_COVERPAGE_TYPE" w:val="1"/>
    <w:docVar w:name="LW_CROSSREFERENCE" w:val="&lt;UNUSED&gt;"/>
    <w:docVar w:name="LW_DocType" w:val="COM"/>
    <w:docVar w:name="LW_EMISSION" w:val="11.11.2020"/>
    <w:docVar w:name="LW_EMISSION_ISODATE" w:val="2020-11-11"/>
    <w:docVar w:name="LW_EMISSION_LOCATION" w:val="BRX"/>
    <w:docVar w:name="LW_EMISSION_PREFIX" w:val="V Bruselu dne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CS"/>
    <w:docVar w:name="LW_LEVEL_OF_SENSITIVITY" w:val="Standard treatment"/>
    <w:docVar w:name="LW_NOM.INST" w:val="EVROPSKÁ KOMISE"/>
    <w:docVar w:name="LW_NOM.INST_JOINTDOC" w:val="&lt;EMPTY&gt;"/>
    <w:docVar w:name="LW_PART_NBR" w:val="1"/>
    <w:docVar w:name="LW_PART_NBR_TOTAL" w:val="1"/>
    <w:docVar w:name="LW_REF.II.NEW.CP" w:val="COD"/>
    <w:docVar w:name="LW_REF.II.NEW.CP_NUMBER" w:val="0320"/>
    <w:docVar w:name="LW_REF.II.NEW.CP_YEAR" w:val="2020"/>
    <w:docVar w:name="LW_REF.INST.NEW" w:val="COM"/>
    <w:docVar w:name="LW_REF.INST.NEW_ADOPTED" w:val="final"/>
    <w:docVar w:name="LW_REF.INST.NEW_TEXT" w:val="(2020) 72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Návrh"/>
    <w:docVar w:name="LW_SUPERTITRE" w:val="&lt;UNUSED&gt;"/>
    <w:docVar w:name="LW_TITRE.OBJ.CP" w:val="kterým se m\u283?ní na\u345?ízení (ES) \u269?. 851/2004 o z\u345?ízení Evropského st\u345?ediska pro prevenci a kontrolu nemocí"/>
    <w:docVar w:name="LW_TYPE.DOC.CP" w:val="NA\u344?ÍZENÍ EVROPSKÉHO PARLAMENTU A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4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basedOn w:val="TableNormal"/>
    <w:uiPriority w:val="59"/>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Bullet">
    <w:name w:val="List Bullet"/>
    <w:basedOn w:val="Normal"/>
    <w:pPr>
      <w:numPr>
        <w:numId w:val="7"/>
      </w:numPr>
    </w:pPr>
    <w:rPr>
      <w:rFonts w:eastAsia="Times New Roman"/>
      <w:lang w:eastAsia="en-GB"/>
    </w:rPr>
  </w:style>
  <w:style w:type="paragraph" w:styleId="ListBullet2">
    <w:name w:val="List Bullet 2"/>
    <w:basedOn w:val="Normal"/>
    <w:pPr>
      <w:numPr>
        <w:numId w:val="8"/>
      </w:numPr>
    </w:pPr>
    <w:rPr>
      <w:rFonts w:eastAsia="Times New Roman"/>
      <w:lang w:eastAsia="en-GB"/>
    </w:rPr>
  </w:style>
  <w:style w:type="paragraph" w:styleId="ListBullet3">
    <w:name w:val="List Bullet 3"/>
    <w:basedOn w:val="Normal"/>
    <w:pPr>
      <w:numPr>
        <w:numId w:val="9"/>
      </w:numPr>
    </w:pPr>
    <w:rPr>
      <w:rFonts w:eastAsia="Times New Roman"/>
      <w:lang w:eastAsia="en-GB"/>
    </w:rPr>
  </w:style>
  <w:style w:type="paragraph" w:styleId="ListNumber2">
    <w:name w:val="List Number 2"/>
    <w:basedOn w:val="Normal"/>
    <w:pPr>
      <w:numPr>
        <w:numId w:val="13"/>
      </w:numPr>
    </w:pPr>
    <w:rPr>
      <w:rFonts w:eastAsia="Times New Roman"/>
      <w:lang w:eastAsia="en-GB"/>
    </w:rPr>
  </w:style>
  <w:style w:type="paragraph" w:styleId="ListNumber3">
    <w:name w:val="List Number 3"/>
    <w:basedOn w:val="Normal"/>
    <w:pPr>
      <w:numPr>
        <w:numId w:val="14"/>
      </w:numPr>
    </w:pPr>
    <w:rPr>
      <w:rFonts w:eastAsia="Times New Roman"/>
      <w:lang w:eastAsia="en-GB"/>
    </w:rPr>
  </w:style>
  <w:style w:type="paragraph" w:styleId="ListNumber4">
    <w:name w:val="List Number 4"/>
    <w:basedOn w:val="Normal"/>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cs-CZ"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cs-CZ" w:eastAsia="en-GB"/>
    </w:rPr>
  </w:style>
  <w:style w:type="paragraph" w:styleId="BalloonText">
    <w:name w:val="Balloon Text"/>
    <w:basedOn w:val="Normal"/>
    <w:link w:val="BalloonTextCha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cs-CZ"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aliases w:val="Task Body,Viñetas (Inicio Parrafo),3 Txt tabla,Zerrenda-paragrafoa,Lista multicolor - Énfasis 11,Normal bullet 2,Bullet list,List Paragraph1,Numbered List,1st level - Bullet List Paragraph,Lettre d'introduction,Paragrafo elenco,L,CV text"/>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character" w:customStyle="1" w:styleId="ListParagraphChar">
    <w:name w:val="List Paragraph Char"/>
    <w:aliases w:val="Task Body Char,Viñetas (Inicio Parrafo) Char,3 Txt tabla Char,Zerrenda-paragrafoa Char,Lista multicolor - Énfasis 11 Char,Normal bullet 2 Char,Bullet list Char,List Paragraph1 Char,Numbered List Char,Lettre d'introduction Char,L Char"/>
    <w:link w:val="ListParagraph"/>
    <w:uiPriority w:val="34"/>
    <w:locked/>
    <w:rPr>
      <w:lang w:val="cs-CZ"/>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OCHeadingChar">
    <w:name w:val="TOC Heading Char"/>
    <w:basedOn w:val="DefaultParagraphFont"/>
    <w:uiPriority w:val="39"/>
    <w:rPr>
      <w:rFonts w:ascii="Times New Roman" w:hAnsi="Times New Roman" w:cs="Times New Roman"/>
      <w:b/>
      <w:sz w:val="28"/>
      <w:lang w:val="cs-CZ"/>
    </w:rPr>
  </w:style>
  <w:style w:type="character" w:customStyle="1" w:styleId="FooterCoverPageChar">
    <w:name w:val="Footer Cover Page Char"/>
    <w:basedOn w:val="TOCHeadingChar"/>
    <w:link w:val="FooterCoverPage"/>
    <w:rPr>
      <w:rFonts w:ascii="Times New Roman" w:hAnsi="Times New Roman" w:cs="Times New Roman"/>
      <w:b w:val="0"/>
      <w:sz w:val="24"/>
      <w:lang w:val="cs-CZ"/>
    </w:rPr>
  </w:style>
  <w:style w:type="paragraph" w:customStyle="1" w:styleId="HeaderCoverPage">
    <w:name w:val="Header Cover Page"/>
    <w:basedOn w:val="Normal"/>
    <w:link w:val="HeaderCoverPageChar"/>
    <w:pPr>
      <w:tabs>
        <w:tab w:val="center" w:pos="4535"/>
        <w:tab w:val="right" w:pos="9071"/>
      </w:tabs>
      <w:spacing w:before="0"/>
    </w:pPr>
    <w:rPr>
      <w:lang w:eastAsia="en-GB"/>
    </w:rPr>
  </w:style>
  <w:style w:type="character" w:customStyle="1" w:styleId="HeaderCoverPageChar">
    <w:name w:val="Header Cover Page Char"/>
    <w:basedOn w:val="TOCHeadingChar"/>
    <w:link w:val="HeaderCoverPage"/>
    <w:rPr>
      <w:rFonts w:ascii="Times New Roman" w:hAnsi="Times New Roman" w:cs="Times New Roman"/>
      <w:b w:val="0"/>
      <w:sz w:val="24"/>
      <w:lang w:val="cs-CZ" w:eastAsia="en-GB"/>
    </w:r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rPr>
  </w:style>
  <w:style w:type="character" w:styleId="Emphasis">
    <w:name w:val="Emphasis"/>
    <w:basedOn w:val="DefaultParagraphFont"/>
    <w:uiPriority w:val="20"/>
    <w:qFormat/>
    <w:rPr>
      <w:i/>
      <w:iCs/>
    </w:rPr>
  </w:style>
  <w:style w:type="character" w:customStyle="1" w:styleId="acopre">
    <w:name w:val="acopre"/>
    <w:basedOn w:val="DefaultParagraphFont"/>
  </w:style>
  <w:style w:type="character" w:customStyle="1" w:styleId="highlight">
    <w:name w:val="highlight"/>
    <w:basedOn w:val="DefaultParagraphFont"/>
  </w:style>
  <w:style w:type="paragraph" w:customStyle="1" w:styleId="Normal1">
    <w:name w:val="Normal1"/>
    <w:basedOn w:val="Normal"/>
    <w:pPr>
      <w:spacing w:before="100" w:beforeAutospacing="1" w:after="100" w:afterAutospacing="1"/>
      <w:jc w:val="left"/>
    </w:pPr>
    <w:rPr>
      <w:rFonts w:eastAsia="Times New Roman"/>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4"/>
      </w:numPr>
    </w:pPr>
  </w:style>
  <w:style w:type="paragraph" w:customStyle="1" w:styleId="Tiret1">
    <w:name w:val="Tiret 1"/>
    <w:basedOn w:val="Point1"/>
    <w:pPr>
      <w:numPr>
        <w:numId w:val="35"/>
      </w:numPr>
    </w:pPr>
  </w:style>
  <w:style w:type="paragraph" w:customStyle="1" w:styleId="Tiret2">
    <w:name w:val="Tiret 2"/>
    <w:basedOn w:val="Point2"/>
    <w:pPr>
      <w:numPr>
        <w:numId w:val="36"/>
      </w:numPr>
    </w:pPr>
  </w:style>
  <w:style w:type="paragraph" w:customStyle="1" w:styleId="Tiret3">
    <w:name w:val="Tiret 3"/>
    <w:basedOn w:val="Point3"/>
    <w:pPr>
      <w:numPr>
        <w:numId w:val="37"/>
      </w:numPr>
    </w:pPr>
  </w:style>
  <w:style w:type="paragraph" w:customStyle="1" w:styleId="Tiret4">
    <w:name w:val="Tiret 4"/>
    <w:basedOn w:val="Point4"/>
    <w:pPr>
      <w:numPr>
        <w:numId w:val="3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9"/>
      </w:numPr>
    </w:pPr>
  </w:style>
  <w:style w:type="paragraph" w:customStyle="1" w:styleId="NumPar2">
    <w:name w:val="NumPar 2"/>
    <w:basedOn w:val="Normal"/>
    <w:next w:val="Text1"/>
    <w:pPr>
      <w:numPr>
        <w:ilvl w:val="1"/>
        <w:numId w:val="39"/>
      </w:numPr>
    </w:pPr>
  </w:style>
  <w:style w:type="paragraph" w:customStyle="1" w:styleId="NumPar3">
    <w:name w:val="NumPar 3"/>
    <w:basedOn w:val="Normal"/>
    <w:next w:val="Text1"/>
    <w:pPr>
      <w:numPr>
        <w:ilvl w:val="2"/>
        <w:numId w:val="39"/>
      </w:numPr>
    </w:pPr>
  </w:style>
  <w:style w:type="paragraph" w:customStyle="1" w:styleId="NumPar4">
    <w:name w:val="NumPar 4"/>
    <w:basedOn w:val="Normal"/>
    <w:next w:val="Text1"/>
    <w:pPr>
      <w:numPr>
        <w:ilvl w:val="3"/>
        <w:numId w:val="3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1"/>
      </w:numPr>
    </w:pPr>
  </w:style>
  <w:style w:type="paragraph" w:customStyle="1" w:styleId="Point1number">
    <w:name w:val="Point 1 (number)"/>
    <w:basedOn w:val="Normal"/>
    <w:pPr>
      <w:numPr>
        <w:ilvl w:val="2"/>
        <w:numId w:val="41"/>
      </w:numPr>
    </w:pPr>
  </w:style>
  <w:style w:type="paragraph" w:customStyle="1" w:styleId="Point2number">
    <w:name w:val="Point 2 (number)"/>
    <w:basedOn w:val="Normal"/>
    <w:pPr>
      <w:numPr>
        <w:ilvl w:val="4"/>
        <w:numId w:val="41"/>
      </w:numPr>
    </w:pPr>
  </w:style>
  <w:style w:type="paragraph" w:customStyle="1" w:styleId="Point3number">
    <w:name w:val="Point 3 (number)"/>
    <w:basedOn w:val="Normal"/>
    <w:pPr>
      <w:numPr>
        <w:ilvl w:val="6"/>
        <w:numId w:val="41"/>
      </w:numPr>
    </w:pPr>
  </w:style>
  <w:style w:type="paragraph" w:customStyle="1" w:styleId="Point0letter">
    <w:name w:val="Point 0 (letter)"/>
    <w:basedOn w:val="Normal"/>
    <w:pPr>
      <w:numPr>
        <w:ilvl w:val="1"/>
        <w:numId w:val="41"/>
      </w:numPr>
    </w:pPr>
  </w:style>
  <w:style w:type="paragraph" w:customStyle="1" w:styleId="Point1letter">
    <w:name w:val="Point 1 (letter)"/>
    <w:basedOn w:val="Normal"/>
    <w:pPr>
      <w:numPr>
        <w:ilvl w:val="3"/>
        <w:numId w:val="41"/>
      </w:numPr>
    </w:pPr>
  </w:style>
  <w:style w:type="paragraph" w:customStyle="1" w:styleId="Point2letter">
    <w:name w:val="Point 2 (letter)"/>
    <w:basedOn w:val="Normal"/>
    <w:pPr>
      <w:numPr>
        <w:ilvl w:val="5"/>
        <w:numId w:val="41"/>
      </w:numPr>
    </w:pPr>
  </w:style>
  <w:style w:type="paragraph" w:customStyle="1" w:styleId="Point3letter">
    <w:name w:val="Point 3 (letter)"/>
    <w:basedOn w:val="Normal"/>
    <w:pPr>
      <w:numPr>
        <w:ilvl w:val="7"/>
        <w:numId w:val="41"/>
      </w:numPr>
    </w:pPr>
  </w:style>
  <w:style w:type="paragraph" w:customStyle="1" w:styleId="Point4letter">
    <w:name w:val="Point 4 (letter)"/>
    <w:basedOn w:val="Normal"/>
    <w:pPr>
      <w:numPr>
        <w:ilvl w:val="8"/>
        <w:numId w:val="41"/>
      </w:numPr>
    </w:pPr>
  </w:style>
  <w:style w:type="paragraph" w:customStyle="1" w:styleId="Bullet0">
    <w:name w:val="Bullet 0"/>
    <w:basedOn w:val="Normal"/>
    <w:pPr>
      <w:numPr>
        <w:numId w:val="42"/>
      </w:numPr>
    </w:pPr>
  </w:style>
  <w:style w:type="paragraph" w:customStyle="1" w:styleId="Bullet1">
    <w:name w:val="Bullet 1"/>
    <w:basedOn w:val="Normal"/>
    <w:pPr>
      <w:numPr>
        <w:numId w:val="43"/>
      </w:numPr>
    </w:pPr>
  </w:style>
  <w:style w:type="paragraph" w:customStyle="1" w:styleId="Bullet2">
    <w:name w:val="Bullet 2"/>
    <w:basedOn w:val="Normal"/>
    <w:pPr>
      <w:numPr>
        <w:numId w:val="44"/>
      </w:numPr>
    </w:pPr>
  </w:style>
  <w:style w:type="paragraph" w:customStyle="1" w:styleId="Bullet3">
    <w:name w:val="Bullet 3"/>
    <w:basedOn w:val="Normal"/>
    <w:pPr>
      <w:numPr>
        <w:numId w:val="45"/>
      </w:numPr>
    </w:pPr>
  </w:style>
  <w:style w:type="paragraph" w:customStyle="1" w:styleId="Bullet4">
    <w:name w:val="Bullet 4"/>
    <w:basedOn w:val="Normal"/>
    <w:pPr>
      <w:numPr>
        <w:numId w:val="4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4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basedOn w:val="TableNormal"/>
    <w:uiPriority w:val="59"/>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Bullet">
    <w:name w:val="List Bullet"/>
    <w:basedOn w:val="Normal"/>
    <w:pPr>
      <w:numPr>
        <w:numId w:val="7"/>
      </w:numPr>
    </w:pPr>
    <w:rPr>
      <w:rFonts w:eastAsia="Times New Roman"/>
      <w:lang w:eastAsia="en-GB"/>
    </w:rPr>
  </w:style>
  <w:style w:type="paragraph" w:styleId="ListBullet2">
    <w:name w:val="List Bullet 2"/>
    <w:basedOn w:val="Normal"/>
    <w:pPr>
      <w:numPr>
        <w:numId w:val="8"/>
      </w:numPr>
    </w:pPr>
    <w:rPr>
      <w:rFonts w:eastAsia="Times New Roman"/>
      <w:lang w:eastAsia="en-GB"/>
    </w:rPr>
  </w:style>
  <w:style w:type="paragraph" w:styleId="ListBullet3">
    <w:name w:val="List Bullet 3"/>
    <w:basedOn w:val="Normal"/>
    <w:pPr>
      <w:numPr>
        <w:numId w:val="9"/>
      </w:numPr>
    </w:pPr>
    <w:rPr>
      <w:rFonts w:eastAsia="Times New Roman"/>
      <w:lang w:eastAsia="en-GB"/>
    </w:rPr>
  </w:style>
  <w:style w:type="paragraph" w:styleId="ListNumber2">
    <w:name w:val="List Number 2"/>
    <w:basedOn w:val="Normal"/>
    <w:pPr>
      <w:numPr>
        <w:numId w:val="13"/>
      </w:numPr>
    </w:pPr>
    <w:rPr>
      <w:rFonts w:eastAsia="Times New Roman"/>
      <w:lang w:eastAsia="en-GB"/>
    </w:rPr>
  </w:style>
  <w:style w:type="paragraph" w:styleId="ListNumber3">
    <w:name w:val="List Number 3"/>
    <w:basedOn w:val="Normal"/>
    <w:pPr>
      <w:numPr>
        <w:numId w:val="14"/>
      </w:numPr>
    </w:pPr>
    <w:rPr>
      <w:rFonts w:eastAsia="Times New Roman"/>
      <w:lang w:eastAsia="en-GB"/>
    </w:rPr>
  </w:style>
  <w:style w:type="paragraph" w:styleId="ListNumber4">
    <w:name w:val="List Number 4"/>
    <w:basedOn w:val="Normal"/>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cs-CZ"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cs-CZ" w:eastAsia="en-GB"/>
    </w:rPr>
  </w:style>
  <w:style w:type="paragraph" w:styleId="BalloonText">
    <w:name w:val="Balloon Text"/>
    <w:basedOn w:val="Normal"/>
    <w:link w:val="BalloonTextCha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cs-CZ"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aliases w:val="Task Body,Viñetas (Inicio Parrafo),3 Txt tabla,Zerrenda-paragrafoa,Lista multicolor - Énfasis 11,Normal bullet 2,Bullet list,List Paragraph1,Numbered List,1st level - Bullet List Paragraph,Lettre d'introduction,Paragrafo elenco,L,CV text"/>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character" w:customStyle="1" w:styleId="ListParagraphChar">
    <w:name w:val="List Paragraph Char"/>
    <w:aliases w:val="Task Body Char,Viñetas (Inicio Parrafo) Char,3 Txt tabla Char,Zerrenda-paragrafoa Char,Lista multicolor - Énfasis 11 Char,Normal bullet 2 Char,Bullet list Char,List Paragraph1 Char,Numbered List Char,Lettre d'introduction Char,L Char"/>
    <w:link w:val="ListParagraph"/>
    <w:uiPriority w:val="34"/>
    <w:locked/>
    <w:rPr>
      <w:lang w:val="cs-CZ"/>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OCHeadingChar">
    <w:name w:val="TOC Heading Char"/>
    <w:basedOn w:val="DefaultParagraphFont"/>
    <w:uiPriority w:val="39"/>
    <w:rPr>
      <w:rFonts w:ascii="Times New Roman" w:hAnsi="Times New Roman" w:cs="Times New Roman"/>
      <w:b/>
      <w:sz w:val="28"/>
      <w:lang w:val="cs-CZ"/>
    </w:rPr>
  </w:style>
  <w:style w:type="character" w:customStyle="1" w:styleId="FooterCoverPageChar">
    <w:name w:val="Footer Cover Page Char"/>
    <w:basedOn w:val="TOCHeadingChar"/>
    <w:link w:val="FooterCoverPage"/>
    <w:rPr>
      <w:rFonts w:ascii="Times New Roman" w:hAnsi="Times New Roman" w:cs="Times New Roman"/>
      <w:b w:val="0"/>
      <w:sz w:val="24"/>
      <w:lang w:val="cs-CZ"/>
    </w:rPr>
  </w:style>
  <w:style w:type="paragraph" w:customStyle="1" w:styleId="HeaderCoverPage">
    <w:name w:val="Header Cover Page"/>
    <w:basedOn w:val="Normal"/>
    <w:link w:val="HeaderCoverPageChar"/>
    <w:pPr>
      <w:tabs>
        <w:tab w:val="center" w:pos="4535"/>
        <w:tab w:val="right" w:pos="9071"/>
      </w:tabs>
      <w:spacing w:before="0"/>
    </w:pPr>
    <w:rPr>
      <w:lang w:eastAsia="en-GB"/>
    </w:rPr>
  </w:style>
  <w:style w:type="character" w:customStyle="1" w:styleId="HeaderCoverPageChar">
    <w:name w:val="Header Cover Page Char"/>
    <w:basedOn w:val="TOCHeadingChar"/>
    <w:link w:val="HeaderCoverPage"/>
    <w:rPr>
      <w:rFonts w:ascii="Times New Roman" w:hAnsi="Times New Roman" w:cs="Times New Roman"/>
      <w:b w:val="0"/>
      <w:sz w:val="24"/>
      <w:lang w:val="cs-CZ" w:eastAsia="en-GB"/>
    </w:r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rPr>
  </w:style>
  <w:style w:type="character" w:styleId="Emphasis">
    <w:name w:val="Emphasis"/>
    <w:basedOn w:val="DefaultParagraphFont"/>
    <w:uiPriority w:val="20"/>
    <w:qFormat/>
    <w:rPr>
      <w:i/>
      <w:iCs/>
    </w:rPr>
  </w:style>
  <w:style w:type="character" w:customStyle="1" w:styleId="acopre">
    <w:name w:val="acopre"/>
    <w:basedOn w:val="DefaultParagraphFont"/>
  </w:style>
  <w:style w:type="character" w:customStyle="1" w:styleId="highlight">
    <w:name w:val="highlight"/>
    <w:basedOn w:val="DefaultParagraphFont"/>
  </w:style>
  <w:style w:type="paragraph" w:customStyle="1" w:styleId="Normal1">
    <w:name w:val="Normal1"/>
    <w:basedOn w:val="Normal"/>
    <w:pPr>
      <w:spacing w:before="100" w:beforeAutospacing="1" w:after="100" w:afterAutospacing="1"/>
      <w:jc w:val="left"/>
    </w:pPr>
    <w:rPr>
      <w:rFonts w:eastAsia="Times New Roman"/>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4"/>
      </w:numPr>
    </w:pPr>
  </w:style>
  <w:style w:type="paragraph" w:customStyle="1" w:styleId="Tiret1">
    <w:name w:val="Tiret 1"/>
    <w:basedOn w:val="Point1"/>
    <w:pPr>
      <w:numPr>
        <w:numId w:val="35"/>
      </w:numPr>
    </w:pPr>
  </w:style>
  <w:style w:type="paragraph" w:customStyle="1" w:styleId="Tiret2">
    <w:name w:val="Tiret 2"/>
    <w:basedOn w:val="Point2"/>
    <w:pPr>
      <w:numPr>
        <w:numId w:val="36"/>
      </w:numPr>
    </w:pPr>
  </w:style>
  <w:style w:type="paragraph" w:customStyle="1" w:styleId="Tiret3">
    <w:name w:val="Tiret 3"/>
    <w:basedOn w:val="Point3"/>
    <w:pPr>
      <w:numPr>
        <w:numId w:val="37"/>
      </w:numPr>
    </w:pPr>
  </w:style>
  <w:style w:type="paragraph" w:customStyle="1" w:styleId="Tiret4">
    <w:name w:val="Tiret 4"/>
    <w:basedOn w:val="Point4"/>
    <w:pPr>
      <w:numPr>
        <w:numId w:val="3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9"/>
      </w:numPr>
    </w:pPr>
  </w:style>
  <w:style w:type="paragraph" w:customStyle="1" w:styleId="NumPar2">
    <w:name w:val="NumPar 2"/>
    <w:basedOn w:val="Normal"/>
    <w:next w:val="Text1"/>
    <w:pPr>
      <w:numPr>
        <w:ilvl w:val="1"/>
        <w:numId w:val="39"/>
      </w:numPr>
    </w:pPr>
  </w:style>
  <w:style w:type="paragraph" w:customStyle="1" w:styleId="NumPar3">
    <w:name w:val="NumPar 3"/>
    <w:basedOn w:val="Normal"/>
    <w:next w:val="Text1"/>
    <w:pPr>
      <w:numPr>
        <w:ilvl w:val="2"/>
        <w:numId w:val="39"/>
      </w:numPr>
    </w:pPr>
  </w:style>
  <w:style w:type="paragraph" w:customStyle="1" w:styleId="NumPar4">
    <w:name w:val="NumPar 4"/>
    <w:basedOn w:val="Normal"/>
    <w:next w:val="Text1"/>
    <w:pPr>
      <w:numPr>
        <w:ilvl w:val="3"/>
        <w:numId w:val="3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1"/>
      </w:numPr>
    </w:pPr>
  </w:style>
  <w:style w:type="paragraph" w:customStyle="1" w:styleId="Point1number">
    <w:name w:val="Point 1 (number)"/>
    <w:basedOn w:val="Normal"/>
    <w:pPr>
      <w:numPr>
        <w:ilvl w:val="2"/>
        <w:numId w:val="41"/>
      </w:numPr>
    </w:pPr>
  </w:style>
  <w:style w:type="paragraph" w:customStyle="1" w:styleId="Point2number">
    <w:name w:val="Point 2 (number)"/>
    <w:basedOn w:val="Normal"/>
    <w:pPr>
      <w:numPr>
        <w:ilvl w:val="4"/>
        <w:numId w:val="41"/>
      </w:numPr>
    </w:pPr>
  </w:style>
  <w:style w:type="paragraph" w:customStyle="1" w:styleId="Point3number">
    <w:name w:val="Point 3 (number)"/>
    <w:basedOn w:val="Normal"/>
    <w:pPr>
      <w:numPr>
        <w:ilvl w:val="6"/>
        <w:numId w:val="41"/>
      </w:numPr>
    </w:pPr>
  </w:style>
  <w:style w:type="paragraph" w:customStyle="1" w:styleId="Point0letter">
    <w:name w:val="Point 0 (letter)"/>
    <w:basedOn w:val="Normal"/>
    <w:pPr>
      <w:numPr>
        <w:ilvl w:val="1"/>
        <w:numId w:val="41"/>
      </w:numPr>
    </w:pPr>
  </w:style>
  <w:style w:type="paragraph" w:customStyle="1" w:styleId="Point1letter">
    <w:name w:val="Point 1 (letter)"/>
    <w:basedOn w:val="Normal"/>
    <w:pPr>
      <w:numPr>
        <w:ilvl w:val="3"/>
        <w:numId w:val="41"/>
      </w:numPr>
    </w:pPr>
  </w:style>
  <w:style w:type="paragraph" w:customStyle="1" w:styleId="Point2letter">
    <w:name w:val="Point 2 (letter)"/>
    <w:basedOn w:val="Normal"/>
    <w:pPr>
      <w:numPr>
        <w:ilvl w:val="5"/>
        <w:numId w:val="41"/>
      </w:numPr>
    </w:pPr>
  </w:style>
  <w:style w:type="paragraph" w:customStyle="1" w:styleId="Point3letter">
    <w:name w:val="Point 3 (letter)"/>
    <w:basedOn w:val="Normal"/>
    <w:pPr>
      <w:numPr>
        <w:ilvl w:val="7"/>
        <w:numId w:val="41"/>
      </w:numPr>
    </w:pPr>
  </w:style>
  <w:style w:type="paragraph" w:customStyle="1" w:styleId="Point4letter">
    <w:name w:val="Point 4 (letter)"/>
    <w:basedOn w:val="Normal"/>
    <w:pPr>
      <w:numPr>
        <w:ilvl w:val="8"/>
        <w:numId w:val="41"/>
      </w:numPr>
    </w:pPr>
  </w:style>
  <w:style w:type="paragraph" w:customStyle="1" w:styleId="Bullet0">
    <w:name w:val="Bullet 0"/>
    <w:basedOn w:val="Normal"/>
    <w:pPr>
      <w:numPr>
        <w:numId w:val="42"/>
      </w:numPr>
    </w:pPr>
  </w:style>
  <w:style w:type="paragraph" w:customStyle="1" w:styleId="Bullet1">
    <w:name w:val="Bullet 1"/>
    <w:basedOn w:val="Normal"/>
    <w:pPr>
      <w:numPr>
        <w:numId w:val="43"/>
      </w:numPr>
    </w:pPr>
  </w:style>
  <w:style w:type="paragraph" w:customStyle="1" w:styleId="Bullet2">
    <w:name w:val="Bullet 2"/>
    <w:basedOn w:val="Normal"/>
    <w:pPr>
      <w:numPr>
        <w:numId w:val="44"/>
      </w:numPr>
    </w:pPr>
  </w:style>
  <w:style w:type="paragraph" w:customStyle="1" w:styleId="Bullet3">
    <w:name w:val="Bullet 3"/>
    <w:basedOn w:val="Normal"/>
    <w:pPr>
      <w:numPr>
        <w:numId w:val="45"/>
      </w:numPr>
    </w:pPr>
  </w:style>
  <w:style w:type="paragraph" w:customStyle="1" w:styleId="Bullet4">
    <w:name w:val="Bullet 4"/>
    <w:basedOn w:val="Normal"/>
    <w:pPr>
      <w:numPr>
        <w:numId w:val="4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00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4.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9.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3" Type="http://schemas.openxmlformats.org/officeDocument/2006/relationships/hyperlink" Target="https://europa.eu/european-union/sites/europaeu/files/docs/body/joint_statement_and_common_approach_2012_cs.pdf" TargetMode="External"/><Relationship Id="rId2" Type="http://schemas.openxmlformats.org/officeDocument/2006/relationships/hyperlink" Target="https://www.eca.europa.eu/cs/Pages/DocItem.aspx?did=40126" TargetMode="External"/><Relationship Id="rId1" Type="http://schemas.openxmlformats.org/officeDocument/2006/relationships/hyperlink" Target="https://www.ecdc.europa.eu/en/publications-data/third-external-evaluation-ecdc-2013-2017" TargetMode="External"/><Relationship Id="rId4" Type="http://schemas.openxmlformats.org/officeDocument/2006/relationships/hyperlink" Target="https://myintracomm.ec.europa.eu/budgweb/EN/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2</TotalTime>
  <Pages>40</Pages>
  <Words>13943</Words>
  <Characters>83240</Characters>
  <Application>Microsoft Office Word</Application>
  <DocSecurity>0</DocSecurity>
  <Lines>2774</Lines>
  <Paragraphs>1368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95815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2020-12-07T09:57:00Z</dcterms:created>
  <dcterms:modified xsi:type="dcterms:W3CDTF">2020-12-07T20:34:00Z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