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02" w:rsidRPr="00095A75" w:rsidRDefault="00095A75">
      <w:pPr>
        <w:pStyle w:val="Pagedecouverture"/>
        <w:rPr>
          <w:noProof/>
        </w:rPr>
      </w:pPr>
      <w:bookmarkStart w:id="0" w:name="LW_BM_COVERPAGE"/>
      <w:r w:rsidRPr="00095A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F2B637E-D640-4AAE-8C5F-D56E543E5372" style="width:450.6pt;height:334.2pt">
            <v:imagedata r:id="rId11" o:title=""/>
          </v:shape>
        </w:pict>
      </w:r>
    </w:p>
    <w:bookmarkEnd w:id="0"/>
    <w:p w:rsidR="005E3302" w:rsidRPr="00095A75" w:rsidRDefault="005E3302">
      <w:pPr>
        <w:rPr>
          <w:noProof/>
        </w:rPr>
        <w:sectPr w:rsidR="005E3302" w:rsidRPr="00095A75">
          <w:headerReference w:type="even" r:id="rId12"/>
          <w:headerReference w:type="default" r:id="rId13"/>
          <w:footerReference w:type="even" r:id="rId14"/>
          <w:footerReference w:type="default" r:id="rId15"/>
          <w:headerReference w:type="first" r:id="rId16"/>
          <w:footerReference w:type="first" r:id="rId17"/>
          <w:pgSz w:w="11907" w:h="16839" w:code="9"/>
          <w:pgMar w:top="1134" w:right="1417" w:bottom="1134" w:left="1417" w:header="709" w:footer="709" w:gutter="0"/>
          <w:pgNumType w:start="0"/>
          <w:cols w:space="720"/>
          <w:docGrid w:linePitch="360"/>
        </w:sectPr>
      </w:pPr>
    </w:p>
    <w:p w:rsidR="005E3302" w:rsidRPr="00095A75" w:rsidRDefault="00095A75">
      <w:pPr>
        <w:pStyle w:val="ListParagraph"/>
        <w:numPr>
          <w:ilvl w:val="0"/>
          <w:numId w:val="2"/>
        </w:numPr>
        <w:spacing w:before="100" w:beforeAutospacing="1"/>
        <w:ind w:left="0"/>
        <w:jc w:val="both"/>
        <w:rPr>
          <w:b/>
          <w:noProof/>
        </w:rPr>
      </w:pPr>
      <w:r w:rsidRPr="00095A75">
        <w:rPr>
          <w:b/>
          <w:bCs/>
          <w:noProof/>
        </w:rPr>
        <w:lastRenderedPageBreak/>
        <w:t>Introdução</w:t>
      </w:r>
    </w:p>
    <w:p w:rsidR="005E3302" w:rsidRPr="00095A75" w:rsidRDefault="00095A75">
      <w:pPr>
        <w:pStyle w:val="Body"/>
        <w:spacing w:before="100" w:beforeAutospacing="1" w:after="0"/>
        <w:rPr>
          <w:rFonts w:ascii="Times New Roman" w:hAnsi="Times New Roman"/>
          <w:noProof/>
        </w:rPr>
      </w:pPr>
      <w:r w:rsidRPr="00095A75">
        <w:rPr>
          <w:rFonts w:ascii="Times New Roman" w:hAnsi="Times New Roman"/>
          <w:noProof/>
        </w:rPr>
        <w:t>O objetivo do Regulamento (UE) 2019/125 relativo ao comércio de determinadas mercadorias suscetíveis de serem utilizadas para aplicar a</w:t>
      </w:r>
      <w:r w:rsidRPr="00095A75">
        <w:rPr>
          <w:rFonts w:ascii="Times New Roman" w:hAnsi="Times New Roman"/>
          <w:noProof/>
        </w:rPr>
        <w:t xml:space="preserve"> pena de morte ou infligir tortura ou outras penas ou tratamentos cruéis, desumanos ou degradantes</w:t>
      </w:r>
      <w:r w:rsidRPr="00095A75">
        <w:rPr>
          <w:rFonts w:ascii="Times New Roman" w:hAnsi="Times New Roman"/>
          <w:noProof/>
          <w:vertAlign w:val="superscript"/>
        </w:rPr>
        <w:footnoteReference w:id="1"/>
      </w:r>
      <w:r w:rsidRPr="00095A75">
        <w:rPr>
          <w:rFonts w:ascii="Times New Roman" w:hAnsi="Times New Roman"/>
          <w:noProof/>
        </w:rPr>
        <w:t xml:space="preserve"> (a seguir designado por «regulamento») consiste em prevenir, por um lado, a pena de morte e, por outro, a tortura e outras penas ou tratamentos cruéis, desu</w:t>
      </w:r>
      <w:r w:rsidRPr="00095A75">
        <w:rPr>
          <w:rFonts w:ascii="Times New Roman" w:hAnsi="Times New Roman"/>
          <w:noProof/>
        </w:rPr>
        <w:t>manos ou degradantes em países fora da UE. Faz a distinção entre mercadorias:</w:t>
      </w:r>
    </w:p>
    <w:p w:rsidR="005E3302" w:rsidRPr="00095A75" w:rsidRDefault="00095A75">
      <w:pPr>
        <w:pStyle w:val="Body"/>
        <w:numPr>
          <w:ilvl w:val="0"/>
          <w:numId w:val="3"/>
        </w:numPr>
        <w:spacing w:before="100" w:beforeAutospacing="1" w:after="0"/>
        <w:rPr>
          <w:rFonts w:ascii="Times New Roman" w:hAnsi="Times New Roman"/>
          <w:noProof/>
        </w:rPr>
      </w:pPr>
      <w:r w:rsidRPr="00095A75">
        <w:rPr>
          <w:rFonts w:ascii="Times New Roman" w:hAnsi="Times New Roman"/>
          <w:noProof/>
        </w:rPr>
        <w:t xml:space="preserve">que são intrinsecamente abusivas e não devem ser objeto de comércio (anexo II), ou </w:t>
      </w:r>
    </w:p>
    <w:p w:rsidR="005E3302" w:rsidRPr="00095A75" w:rsidRDefault="00095A75">
      <w:pPr>
        <w:pStyle w:val="Body"/>
        <w:numPr>
          <w:ilvl w:val="0"/>
          <w:numId w:val="3"/>
        </w:numPr>
        <w:spacing w:before="100" w:beforeAutospacing="1" w:after="0"/>
        <w:rPr>
          <w:rFonts w:ascii="Times New Roman" w:hAnsi="Times New Roman"/>
          <w:noProof/>
        </w:rPr>
      </w:pPr>
      <w:r w:rsidRPr="00095A75">
        <w:rPr>
          <w:rFonts w:ascii="Times New Roman" w:hAnsi="Times New Roman"/>
          <w:noProof/>
        </w:rPr>
        <w:t>que podem ter utilizações legítimas, tais como o equipamento para manter a ordem pública (anex</w:t>
      </w:r>
      <w:r w:rsidRPr="00095A75">
        <w:rPr>
          <w:rFonts w:ascii="Times New Roman" w:hAnsi="Times New Roman"/>
          <w:noProof/>
        </w:rPr>
        <w:t xml:space="preserve">o III) ou as mercadorias para utilização terapêutica (anexo IV). </w:t>
      </w:r>
    </w:p>
    <w:p w:rsidR="005E3302" w:rsidRPr="00095A75" w:rsidRDefault="00095A75">
      <w:pPr>
        <w:pStyle w:val="Body"/>
        <w:spacing w:before="100" w:beforeAutospacing="1" w:after="0"/>
        <w:rPr>
          <w:rFonts w:ascii="Times New Roman" w:hAnsi="Times New Roman"/>
          <w:noProof/>
        </w:rPr>
      </w:pPr>
      <w:r w:rsidRPr="00095A75">
        <w:rPr>
          <w:rFonts w:ascii="Times New Roman" w:hAnsi="Times New Roman"/>
          <w:noProof/>
        </w:rPr>
        <w:t>O comércio dessas mercadorias está sujeito a certas restrições.</w:t>
      </w:r>
    </w:p>
    <w:p w:rsidR="005E3302" w:rsidRPr="00095A75" w:rsidRDefault="00095A75">
      <w:pPr>
        <w:spacing w:before="100" w:beforeAutospacing="1"/>
        <w:jc w:val="both"/>
        <w:rPr>
          <w:noProof/>
        </w:rPr>
      </w:pPr>
      <w:r w:rsidRPr="00095A75">
        <w:rPr>
          <w:noProof/>
        </w:rPr>
        <w:t>O artigo 26.º, n.º 3, do regulamento estabelece que os Estados-Membros devem elaborar um relatório de atividades anual público</w:t>
      </w:r>
      <w:r w:rsidRPr="00095A75">
        <w:rPr>
          <w:noProof/>
        </w:rPr>
        <w:t>. O relatório deve fornecer informações sobre o número de pedidos recebidos, as mercadorias e os países em causa e as decisões tomadas sobre os pedidos. O artigo 26.º, n.º 4, prevê que a Comissão elabore um relatório anual com base nos relatórios anuais de</w:t>
      </w:r>
      <w:r w:rsidRPr="00095A75">
        <w:rPr>
          <w:noProof/>
        </w:rPr>
        <w:t xml:space="preserve"> atividade publicados pelos Estados-Membros e que o disponibilize ao público.</w:t>
      </w:r>
    </w:p>
    <w:p w:rsidR="005E3302" w:rsidRPr="00095A75" w:rsidRDefault="00095A75">
      <w:pPr>
        <w:spacing w:before="100" w:beforeAutospacing="1"/>
        <w:jc w:val="both"/>
        <w:rPr>
          <w:noProof/>
        </w:rPr>
      </w:pPr>
      <w:r w:rsidRPr="00095A75">
        <w:rPr>
          <w:noProof/>
        </w:rPr>
        <w:t xml:space="preserve">O presente relatório da Comissão fornece informações sobre as </w:t>
      </w:r>
      <w:r w:rsidRPr="00095A75">
        <w:rPr>
          <w:noProof/>
          <w:color w:val="000000" w:themeColor="text1"/>
        </w:rPr>
        <w:t>atividades de autorização dos Estados-Membros em matéria de exportações de mercadorias suscetíveis de serem utilizad</w:t>
      </w:r>
      <w:r w:rsidRPr="00095A75">
        <w:rPr>
          <w:noProof/>
          <w:color w:val="000000" w:themeColor="text1"/>
        </w:rPr>
        <w:t>as para infligir tortura ou aplicar a pena de morte, em 2019</w:t>
      </w:r>
      <w:r w:rsidRPr="00095A75">
        <w:rPr>
          <w:noProof/>
          <w:color w:val="000000" w:themeColor="text1"/>
          <w:vertAlign w:val="superscript"/>
        </w:rPr>
        <w:footnoteReference w:id="2"/>
      </w:r>
      <w:r w:rsidRPr="00095A75">
        <w:rPr>
          <w:noProof/>
          <w:color w:val="000000" w:themeColor="text1"/>
        </w:rPr>
        <w:t xml:space="preserve">. </w:t>
      </w:r>
    </w:p>
    <w:p w:rsidR="005E3302" w:rsidRPr="00095A75" w:rsidRDefault="00095A75">
      <w:pPr>
        <w:spacing w:before="100" w:beforeAutospacing="1"/>
        <w:jc w:val="both"/>
        <w:rPr>
          <w:noProof/>
        </w:rPr>
      </w:pPr>
      <w:r w:rsidRPr="00095A75">
        <w:rPr>
          <w:noProof/>
        </w:rPr>
        <w:t xml:space="preserve">Todos os Estados-Membros comunicaram o número de autorizações de exportação concedidas e recusadas nos termos dos artigos 11.º, n.º 1, e 16.º, n.º 1, bem como as mercadorias e os países de </w:t>
      </w:r>
      <w:r w:rsidRPr="00095A75">
        <w:rPr>
          <w:noProof/>
        </w:rPr>
        <w:t>destino em causa. Na maioria dos casos, as autoridades competentes dos Estados-Membros comunicaram igualmente o número ou a quantidade de mercadorias autorizadas para exportação e a categoria de utilizadores finais a quem os bens foram fornecidos.</w:t>
      </w:r>
    </w:p>
    <w:p w:rsidR="005E3302" w:rsidRPr="00095A75" w:rsidRDefault="005E3302">
      <w:pPr>
        <w:spacing w:before="100" w:beforeAutospacing="1"/>
        <w:jc w:val="both"/>
        <w:rPr>
          <w:noProof/>
        </w:rPr>
      </w:pPr>
    </w:p>
    <w:tbl>
      <w:tblPr>
        <w:tblStyle w:val="TableGrid"/>
        <w:tblW w:w="0" w:type="auto"/>
        <w:tblInd w:w="468" w:type="dxa"/>
        <w:tblLook w:val="04A0" w:firstRow="1" w:lastRow="0" w:firstColumn="1" w:lastColumn="0" w:noHBand="0" w:noVBand="1"/>
      </w:tblPr>
      <w:tblGrid>
        <w:gridCol w:w="7560"/>
      </w:tblGrid>
      <w:tr w:rsidR="005E3302" w:rsidRPr="00095A75">
        <w:tc>
          <w:tcPr>
            <w:tcW w:w="7560" w:type="dxa"/>
          </w:tcPr>
          <w:p w:rsidR="005E3302" w:rsidRPr="00095A75" w:rsidRDefault="00095A75">
            <w:pPr>
              <w:spacing w:before="100" w:beforeAutospacing="1"/>
              <w:jc w:val="both"/>
              <w:rPr>
                <w:noProof/>
              </w:rPr>
            </w:pPr>
            <w:r w:rsidRPr="00095A75">
              <w:rPr>
                <w:b/>
                <w:noProof/>
              </w:rPr>
              <w:t>Autoriz</w:t>
            </w:r>
            <w:r w:rsidRPr="00095A75">
              <w:rPr>
                <w:b/>
                <w:noProof/>
              </w:rPr>
              <w:t>ações ao abrigo do Regulamento (UE) 2019/125</w:t>
            </w:r>
          </w:p>
          <w:p w:rsidR="005E3302" w:rsidRPr="00095A75" w:rsidRDefault="00095A75">
            <w:pPr>
              <w:spacing w:before="100" w:beforeAutospacing="1"/>
              <w:jc w:val="both"/>
              <w:rPr>
                <w:noProof/>
              </w:rPr>
            </w:pPr>
            <w:r w:rsidRPr="00095A75">
              <w:rPr>
                <w:noProof/>
              </w:rPr>
              <w:t>Os artigos 11.º, n.º 1, e 16.º, n.º 1, do Regulamento (UE) 2019/125 exigem uma autorização para a exportação</w:t>
            </w:r>
            <w:r w:rsidRPr="00095A75">
              <w:rPr>
                <w:noProof/>
                <w:vertAlign w:val="superscript"/>
              </w:rPr>
              <w:footnoteReference w:id="3"/>
            </w:r>
            <w:r w:rsidRPr="00095A75">
              <w:rPr>
                <w:noProof/>
              </w:rPr>
              <w:t xml:space="preserve"> das mercadorias enumeradas no anexo III e no anexo IV, respetivamente. </w:t>
            </w:r>
          </w:p>
          <w:p w:rsidR="005E3302" w:rsidRPr="00095A75" w:rsidRDefault="00095A75">
            <w:pPr>
              <w:spacing w:before="100" w:beforeAutospacing="1"/>
              <w:jc w:val="both"/>
              <w:rPr>
                <w:noProof/>
              </w:rPr>
            </w:pPr>
            <w:r w:rsidRPr="00095A75">
              <w:rPr>
                <w:noProof/>
              </w:rPr>
              <w:t>O anexo III enumera determina</w:t>
            </w:r>
            <w:r w:rsidRPr="00095A75">
              <w:rPr>
                <w:noProof/>
              </w:rPr>
              <w:t>das mercadorias suscetíveis de serem utilizadas para infligir tortura ou outras penas ou tratamentos cruéis, desumanos ou degradantes. As mercadorias constantes do anexo III são classificadas segundo as seguintes rubricas: mercadorias concebidas para imobi</w:t>
            </w:r>
            <w:r w:rsidRPr="00095A75">
              <w:rPr>
                <w:noProof/>
              </w:rPr>
              <w:t>lizar seres humanos; armas e dispositivos concebidos para efeitos antimotim ou de autodefesa; e armas e equipamentos concebidos para a administração de substâncias neutralizantes ou irritantes para efeitos antimotim ou de autodefesa e certas substâncias co</w:t>
            </w:r>
            <w:r w:rsidRPr="00095A75">
              <w:rPr>
                <w:noProof/>
              </w:rPr>
              <w:t>m eles relacionadas.</w:t>
            </w:r>
          </w:p>
          <w:p w:rsidR="005E3302" w:rsidRPr="00095A75" w:rsidRDefault="00095A75">
            <w:pPr>
              <w:spacing w:before="100" w:beforeAutospacing="1"/>
              <w:jc w:val="both"/>
              <w:rPr>
                <w:noProof/>
              </w:rPr>
            </w:pPr>
            <w:r w:rsidRPr="00095A75">
              <w:rPr>
                <w:noProof/>
              </w:rPr>
              <w:t>O anexo IV enumera determinados produtos químicos que podem ser utilizados em injeções letais.</w:t>
            </w:r>
          </w:p>
          <w:p w:rsidR="005E3302" w:rsidRPr="00095A75" w:rsidRDefault="00095A75">
            <w:pPr>
              <w:spacing w:before="100" w:beforeAutospacing="1"/>
              <w:jc w:val="both"/>
              <w:rPr>
                <w:noProof/>
              </w:rPr>
            </w:pPr>
            <w:r w:rsidRPr="00095A75">
              <w:rPr>
                <w:noProof/>
              </w:rPr>
              <w:t>Exceto quando for utilizada a autorização geral de exportação da União constante do anexo V para a exportação de mercadorias enumeradas no a</w:t>
            </w:r>
            <w:r w:rsidRPr="00095A75">
              <w:rPr>
                <w:noProof/>
              </w:rPr>
              <w:t>nexo IV, a autorização de exportação deve ser obtida junto das autoridades competentes do Estado-Membro em causa, enumeradas no anexo I do regulamento.</w:t>
            </w:r>
          </w:p>
          <w:p w:rsidR="005E3302" w:rsidRPr="00095A75" w:rsidRDefault="00095A75">
            <w:pPr>
              <w:spacing w:before="100" w:beforeAutospacing="1"/>
              <w:jc w:val="both"/>
              <w:rPr>
                <w:noProof/>
              </w:rPr>
            </w:pPr>
            <w:r w:rsidRPr="00095A75">
              <w:rPr>
                <w:noProof/>
              </w:rPr>
              <w:t>Habitualmente, as exportações para destinos enumerados na autorização geral de exportação da União podem</w:t>
            </w:r>
            <w:r w:rsidRPr="00095A75">
              <w:rPr>
                <w:noProof/>
              </w:rPr>
              <w:t xml:space="preserve"> ser realizadas sem necessidade de obter a autorização individual ou global de um Estado-Membro. A abordagem tem sido, até agora, a de incluir um país não pertencente à UE no anexo V se esse país tiver ratificado um acordo internacional, comprometendo-se a</w:t>
            </w:r>
            <w:r w:rsidRPr="00095A75">
              <w:rPr>
                <w:noProof/>
              </w:rPr>
              <w:t xml:space="preserve"> abolir a pena de morte para todos os crimes. Para os países que não são do Conselho da Europa, tal significa que o país em questão deve ter ratificado sem reservas o Segundo Protocolo Facultativo ao Pacto Internacional sobre os Direitos Civis e Políticos </w:t>
            </w:r>
            <w:r w:rsidRPr="00095A75">
              <w:rPr>
                <w:noProof/>
              </w:rPr>
              <w:t xml:space="preserve">(PIDCP). </w:t>
            </w:r>
          </w:p>
          <w:p w:rsidR="005E3302" w:rsidRPr="00095A75" w:rsidRDefault="00095A75">
            <w:pPr>
              <w:spacing w:before="100" w:beforeAutospacing="1"/>
              <w:jc w:val="both"/>
              <w:rPr>
                <w:noProof/>
              </w:rPr>
            </w:pPr>
            <w:r w:rsidRPr="00095A75">
              <w:rPr>
                <w:noProof/>
              </w:rPr>
              <w:t>Contudo, caso existam suspeitas razoáveis quanto à capacidade do exportador para cumprir as condições da autorização ou a legislação em matéria de controlo das exportações, a autoridade competente pode proibir o exportador de utilizar a autorizaç</w:t>
            </w:r>
            <w:r w:rsidRPr="00095A75">
              <w:rPr>
                <w:noProof/>
              </w:rPr>
              <w:t>ão geral de exportação da União.</w:t>
            </w:r>
          </w:p>
          <w:p w:rsidR="005E3302" w:rsidRPr="00095A75" w:rsidRDefault="00095A75">
            <w:pPr>
              <w:spacing w:before="100" w:beforeAutospacing="1"/>
              <w:jc w:val="both"/>
              <w:rPr>
                <w:noProof/>
              </w:rPr>
            </w:pPr>
            <w:r w:rsidRPr="00095A75">
              <w:rPr>
                <w:noProof/>
              </w:rPr>
              <w:t xml:space="preserve">O artigo 20.º, n.º 2, do Regulamento (UE) 2019/125 prevê que a autorização de exportação concedida pelos Estados-Membros pode ser individual (autorização de exportação para </w:t>
            </w:r>
            <w:r w:rsidRPr="00095A75">
              <w:rPr>
                <w:noProof/>
                <w:color w:val="000000"/>
              </w:rPr>
              <w:t xml:space="preserve">um utilizador final ou destinatário num país não pertencente à UE) </w:t>
            </w:r>
            <w:r w:rsidRPr="00095A75">
              <w:rPr>
                <w:noProof/>
              </w:rPr>
              <w:t>ou global (autorização de exportação concedida a um ou vários utilizadores finais ou distribuidores especificados, num ou em vários países terceiros especificados)</w:t>
            </w:r>
            <w:r w:rsidRPr="00095A75">
              <w:rPr>
                <w:noProof/>
                <w:vertAlign w:val="superscript"/>
              </w:rPr>
              <w:footnoteReference w:id="4"/>
            </w:r>
            <w:r w:rsidRPr="00095A75">
              <w:rPr>
                <w:noProof/>
              </w:rPr>
              <w:t>.</w:t>
            </w:r>
          </w:p>
          <w:p w:rsidR="005E3302" w:rsidRPr="00095A75" w:rsidRDefault="00095A75">
            <w:pPr>
              <w:spacing w:before="100" w:beforeAutospacing="1"/>
              <w:jc w:val="both"/>
              <w:rPr>
                <w:noProof/>
              </w:rPr>
            </w:pPr>
            <w:r w:rsidRPr="00095A75">
              <w:rPr>
                <w:noProof/>
              </w:rPr>
              <w:t>Os artigos 3.º, 4.º e 5</w:t>
            </w:r>
            <w:r w:rsidRPr="00095A75">
              <w:rPr>
                <w:noProof/>
              </w:rPr>
              <w:t>.º do regulamento proíbem as exportações, importações e o trânsito de mercadorias enumeradas no anexo II. As autoridades competentes podem conceder certas derrogações da proibição apenas se for provado que essas mercadorias serão utilizadas, atendendo ao s</w:t>
            </w:r>
            <w:r w:rsidRPr="00095A75">
              <w:rPr>
                <w:noProof/>
              </w:rPr>
              <w:t xml:space="preserve">eu valor histórico, exclusivamente para fins de exposição pública num museu (quer num país não pertencente à UE, quer, nos termos do artigo 4.º, num Estado-Membro). </w:t>
            </w:r>
          </w:p>
        </w:tc>
      </w:tr>
    </w:tbl>
    <w:p w:rsidR="005E3302" w:rsidRPr="00095A75" w:rsidRDefault="005E3302">
      <w:pPr>
        <w:spacing w:before="100" w:beforeAutospacing="1"/>
        <w:rPr>
          <w:b/>
          <w:bCs/>
          <w:noProof/>
        </w:rPr>
      </w:pPr>
    </w:p>
    <w:p w:rsidR="005E3302" w:rsidRPr="00095A75" w:rsidRDefault="00095A75">
      <w:pPr>
        <w:pStyle w:val="ListParagraph"/>
        <w:numPr>
          <w:ilvl w:val="0"/>
          <w:numId w:val="2"/>
        </w:numPr>
        <w:spacing w:before="100" w:beforeAutospacing="1"/>
        <w:ind w:left="0"/>
        <w:jc w:val="both"/>
        <w:rPr>
          <w:b/>
          <w:bCs/>
          <w:noProof/>
        </w:rPr>
      </w:pPr>
      <w:r w:rsidRPr="00095A75">
        <w:rPr>
          <w:b/>
          <w:bCs/>
          <w:noProof/>
        </w:rPr>
        <w:t>Autorizações concedidas e recusadas</w:t>
      </w:r>
    </w:p>
    <w:p w:rsidR="005E3302" w:rsidRPr="00095A75" w:rsidRDefault="00095A75">
      <w:pPr>
        <w:spacing w:before="100" w:beforeAutospacing="1"/>
        <w:jc w:val="both"/>
        <w:rPr>
          <w:b/>
          <w:bCs/>
          <w:noProof/>
        </w:rPr>
      </w:pPr>
      <w:r w:rsidRPr="00095A75">
        <w:rPr>
          <w:noProof/>
          <w:lang w:val="en-IE"/>
        </w:rPr>
        <w:t>In 2019, the total number of reported authorisations</w:t>
      </w:r>
      <w:r w:rsidRPr="00095A75">
        <w:rPr>
          <w:noProof/>
          <w:lang w:val="en-IE"/>
        </w:rPr>
        <w:t xml:space="preserve"> amounted to </w:t>
      </w:r>
      <w:r w:rsidRPr="00095A75">
        <w:rPr>
          <w:noProof/>
          <w:lang w:val="en-IE"/>
        </w:rPr>
        <w:t>285</w:t>
      </w:r>
      <w:r w:rsidRPr="00095A75">
        <w:rPr>
          <w:noProof/>
          <w:lang w:val="en-IE"/>
        </w:rPr>
        <w:t xml:space="preserve"> with 11 Member States reporting that they had granted authorisations. </w:t>
      </w:r>
      <w:r w:rsidRPr="00095A75">
        <w:rPr>
          <w:noProof/>
        </w:rPr>
        <w:t>Os restantes Estados-Membros informaram a Comissão de que não receberam nenhum pedido de autorização nos termos do regulamento.</w:t>
      </w:r>
    </w:p>
    <w:p w:rsidR="005E3302" w:rsidRPr="00095A75" w:rsidRDefault="00095A75">
      <w:pPr>
        <w:spacing w:before="100" w:beforeAutospacing="1"/>
        <w:jc w:val="both"/>
        <w:rPr>
          <w:noProof/>
        </w:rPr>
      </w:pPr>
      <w:r w:rsidRPr="00095A75">
        <w:rPr>
          <w:noProof/>
        </w:rPr>
        <w:t>Uma vez que as definições de «autorização</w:t>
      </w:r>
      <w:r w:rsidRPr="00095A75">
        <w:rPr>
          <w:noProof/>
        </w:rPr>
        <w:t xml:space="preserve"> individual» e de «autorização global», constantes do artigo 2.º do regulamento, não incluem um elemento quantitativo, o número de autorizações concedidas não indica o número nem a quantidade de mercadorias abrangidas por essas autorizações. As informações</w:t>
      </w:r>
      <w:r w:rsidRPr="00095A75">
        <w:rPr>
          <w:noProof/>
        </w:rPr>
        <w:t xml:space="preserve"> fornecidas pelos Estados-Membros à Comissão também não estabelecem, habitualmente, uma distinção entre autorizações individuais e autorizações globais.</w:t>
      </w:r>
      <w:r w:rsidRPr="00095A75">
        <w:rPr>
          <w:noProof/>
        </w:rPr>
        <w:t xml:space="preserve"> </w:t>
      </w:r>
    </w:p>
    <w:p w:rsidR="005E3302" w:rsidRPr="00095A75" w:rsidRDefault="00095A75">
      <w:pPr>
        <w:spacing w:before="100" w:beforeAutospacing="1"/>
        <w:jc w:val="both"/>
        <w:rPr>
          <w:noProof/>
        </w:rPr>
      </w:pPr>
      <w:r w:rsidRPr="00095A75">
        <w:rPr>
          <w:noProof/>
        </w:rPr>
        <w:t>O regulamento exige que as autoridades competentes verifiquem se a autorização de exportação indica qu</w:t>
      </w:r>
      <w:r w:rsidRPr="00095A75">
        <w:rPr>
          <w:noProof/>
        </w:rPr>
        <w:t>e, se exportadas, as mercadorias em questão podem ser utilizadas para infligir tortura ou outras penas ou tratamentos cruéis, desumanos ou degradantes (anexo III) ou para aplicar a pena de morte (anexo IV). Para o efeito, o artigo 20.º, n.º 8, do regulamen</w:t>
      </w:r>
      <w:r w:rsidRPr="00095A75">
        <w:rPr>
          <w:noProof/>
        </w:rPr>
        <w:t>to prevê que as autoridades competentes devem «receber informações completas, nomeadamente sobre o utilizador final, sobre o país de destino e sobre a utilização final das mercadorias».</w:t>
      </w:r>
    </w:p>
    <w:p w:rsidR="005E3302" w:rsidRPr="00095A75" w:rsidRDefault="00095A75">
      <w:pPr>
        <w:spacing w:before="100" w:beforeAutospacing="1"/>
        <w:jc w:val="both"/>
        <w:rPr>
          <w:noProof/>
          <w:lang w:val="en-IE"/>
        </w:rPr>
      </w:pPr>
      <w:r w:rsidRPr="00095A75">
        <w:rPr>
          <w:noProof/>
          <w:lang w:val="en-IE"/>
        </w:rPr>
        <w:t xml:space="preserve">In 2019, six applications </w:t>
      </w:r>
      <w:r w:rsidRPr="00095A75">
        <w:rPr>
          <w:noProof/>
          <w:lang w:val="en-IE"/>
        </w:rPr>
        <w:t>(</w:t>
      </w:r>
      <w:r w:rsidRPr="00095A75">
        <w:rPr>
          <w:noProof/>
          <w:vertAlign w:val="superscript"/>
        </w:rPr>
        <w:footnoteReference w:id="5"/>
      </w:r>
      <w:r w:rsidRPr="00095A75">
        <w:rPr>
          <w:noProof/>
          <w:lang w:val="en-IE"/>
        </w:rPr>
        <w:t>)</w:t>
      </w:r>
      <w:r w:rsidRPr="00095A75">
        <w:rPr>
          <w:noProof/>
          <w:lang w:val="en-IE"/>
        </w:rPr>
        <w:t xml:space="preserve"> for an export authorisation were reporte</w:t>
      </w:r>
      <w:r w:rsidRPr="00095A75">
        <w:rPr>
          <w:noProof/>
          <w:lang w:val="en-IE"/>
        </w:rPr>
        <w:t xml:space="preserve">d as denied. </w:t>
      </w:r>
      <w:r w:rsidRPr="00095A75">
        <w:rPr>
          <w:noProof/>
        </w:rPr>
        <w:t xml:space="preserve">Os pedidos recusados comunicados em 2019 diziam respeito a determinadas transações previstas com clientes na Bósnia-Herzegovina, China, Índia, Israel, Nigéria e Níger. </w:t>
      </w:r>
      <w:r w:rsidRPr="00095A75">
        <w:rPr>
          <w:noProof/>
          <w:lang w:val="en-IE"/>
        </w:rPr>
        <w:t>The unauthorised transactions primarily concerned goods listed in Annex III</w:t>
      </w:r>
      <w:r w:rsidRPr="00095A75">
        <w:rPr>
          <w:noProof/>
          <w:lang w:val="en-IE"/>
        </w:rPr>
        <w:t xml:space="preserve"> code 3.1 (</w:t>
      </w:r>
      <w:r w:rsidRPr="00095A75">
        <w:rPr>
          <w:noProof/>
          <w:vertAlign w:val="superscript"/>
        </w:rPr>
        <w:footnoteReference w:id="6"/>
      </w:r>
      <w:r w:rsidRPr="00095A75">
        <w:rPr>
          <w:noProof/>
          <w:lang w:val="en-IE"/>
        </w:rPr>
        <w:t>). The intended export to Nigeria concerned goods listed in Annex III code 3.6 (</w:t>
      </w:r>
      <w:r w:rsidRPr="00095A75">
        <w:rPr>
          <w:noProof/>
          <w:vertAlign w:val="superscript"/>
        </w:rPr>
        <w:footnoteReference w:id="7"/>
      </w:r>
      <w:r w:rsidRPr="00095A75">
        <w:rPr>
          <w:noProof/>
          <w:lang w:val="en-IE"/>
        </w:rPr>
        <w:t>) The intended export to India concerned goods listed in Annex IV (</w:t>
      </w:r>
      <w:r w:rsidRPr="00095A75">
        <w:rPr>
          <w:i/>
          <w:iCs/>
          <w:noProof/>
          <w:lang w:val="en-IE"/>
        </w:rPr>
        <w:t>thiopental</w:t>
      </w:r>
      <w:r w:rsidRPr="00095A75">
        <w:rPr>
          <w:noProof/>
          <w:lang w:val="en-IE"/>
        </w:rPr>
        <w:t>).</w:t>
      </w:r>
    </w:p>
    <w:p w:rsidR="005E3302" w:rsidRPr="00095A75" w:rsidRDefault="00095A75">
      <w:pPr>
        <w:spacing w:before="100" w:beforeAutospacing="1"/>
        <w:jc w:val="both"/>
        <w:rPr>
          <w:noProof/>
        </w:rPr>
      </w:pPr>
      <w:r w:rsidRPr="00095A75">
        <w:rPr>
          <w:noProof/>
        </w:rPr>
        <w:t>Os artigos 3.º, 4.º e 5.º do regulamento proíbem a exportação, a importação e o trâ</w:t>
      </w:r>
      <w:r w:rsidRPr="00095A75">
        <w:rPr>
          <w:noProof/>
        </w:rPr>
        <w:t>nsito, respetivamente, das mercadorias enumeradas no anexo II. O regulamento autoriza as autoridades nacionais competentes a conceder certas derrogações da proibição apenas se for provado que essas mercadorias serão utilizadas, atendendo ao seu valor histó</w:t>
      </w:r>
      <w:r w:rsidRPr="00095A75">
        <w:rPr>
          <w:noProof/>
        </w:rPr>
        <w:t>rico, exclusivamente para fins de exposição pública num museu (quer num país não pertencente à UE, quer, nos termos do artigo 4.º, num Estado-Membro). As autoridades competentes comunicaram que, em 2019, não concederam autorizações para esse fim.</w:t>
      </w:r>
    </w:p>
    <w:p w:rsidR="005E3302" w:rsidRPr="00095A75" w:rsidRDefault="00095A75">
      <w:pPr>
        <w:spacing w:before="100" w:beforeAutospacing="1"/>
        <w:jc w:val="both"/>
        <w:rPr>
          <w:noProof/>
        </w:rPr>
      </w:pPr>
      <w:r w:rsidRPr="00095A75">
        <w:rPr>
          <w:noProof/>
        </w:rPr>
        <w:t xml:space="preserve">O </w:t>
      </w:r>
      <w:r w:rsidRPr="00095A75">
        <w:rPr>
          <w:i/>
          <w:noProof/>
        </w:rPr>
        <w:t>anexo 1</w:t>
      </w:r>
      <w:r w:rsidRPr="00095A75">
        <w:rPr>
          <w:noProof/>
        </w:rPr>
        <w:t xml:space="preserve"> do presente relatório fornece informações sobre o número de autorizações de exportação concedidas pelas autoridades nacionais competentes em 2019, por categoria de mercadorias (anexo III e anexo IV). As exportações efetuadas ao abrigo da autorização geral</w:t>
      </w:r>
      <w:r w:rsidRPr="00095A75">
        <w:rPr>
          <w:noProof/>
        </w:rPr>
        <w:t xml:space="preserve"> de exportação da União [anexo V do Regulamento (UE) 2019/125] não estão incluídas nas informações sobre o número de autorizações concedidas.</w:t>
      </w:r>
    </w:p>
    <w:p w:rsidR="005E3302" w:rsidRPr="00095A75" w:rsidRDefault="00095A75">
      <w:pPr>
        <w:spacing w:before="100" w:beforeAutospacing="1"/>
        <w:jc w:val="both"/>
        <w:rPr>
          <w:noProof/>
        </w:rPr>
      </w:pPr>
      <w:r w:rsidRPr="00095A75">
        <w:rPr>
          <w:noProof/>
        </w:rPr>
        <w:t xml:space="preserve">O </w:t>
      </w:r>
      <w:r w:rsidRPr="00095A75">
        <w:rPr>
          <w:i/>
          <w:noProof/>
        </w:rPr>
        <w:t>anexo 2</w:t>
      </w:r>
      <w:r w:rsidRPr="00095A75">
        <w:rPr>
          <w:noProof/>
        </w:rPr>
        <w:t xml:space="preserve"> fornece informações sobre o número de pedidos autorizados e recusados durante o período de 2017-2019.</w:t>
      </w:r>
    </w:p>
    <w:p w:rsidR="005E3302" w:rsidRPr="00095A75" w:rsidRDefault="00095A75">
      <w:pPr>
        <w:spacing w:before="100" w:beforeAutospacing="1"/>
        <w:jc w:val="both"/>
        <w:rPr>
          <w:noProof/>
          <w:color w:val="00B050"/>
        </w:rPr>
      </w:pPr>
      <w:r w:rsidRPr="00095A75">
        <w:rPr>
          <w:noProof/>
        </w:rPr>
        <w:t xml:space="preserve">O </w:t>
      </w:r>
      <w:r w:rsidRPr="00095A75">
        <w:rPr>
          <w:i/>
          <w:noProof/>
        </w:rPr>
        <w:t>anexo 3</w:t>
      </w:r>
      <w:r w:rsidRPr="00095A75">
        <w:rPr>
          <w:noProof/>
        </w:rPr>
        <w:t xml:space="preserve"> fornece informações sobre os principais destinos das exportações autorizadas.</w:t>
      </w:r>
    </w:p>
    <w:p w:rsidR="005E3302" w:rsidRPr="00095A75" w:rsidRDefault="00095A75">
      <w:pPr>
        <w:spacing w:before="100" w:beforeAutospacing="1"/>
        <w:jc w:val="both"/>
        <w:rPr>
          <w:noProof/>
        </w:rPr>
      </w:pPr>
      <w:r w:rsidRPr="00095A75">
        <w:rPr>
          <w:noProof/>
        </w:rPr>
        <w:t xml:space="preserve">Os </w:t>
      </w:r>
      <w:r w:rsidRPr="00095A75">
        <w:rPr>
          <w:i/>
          <w:iCs/>
          <w:noProof/>
        </w:rPr>
        <w:t>anexos 4 e 5</w:t>
      </w:r>
      <w:r w:rsidRPr="00095A75">
        <w:rPr>
          <w:noProof/>
        </w:rPr>
        <w:t xml:space="preserve"> apresentam uma panorâmica das mercadorias autorizadas para exportação, do seu destino e da utilização final notificada.</w:t>
      </w:r>
    </w:p>
    <w:p w:rsidR="005E3302" w:rsidRPr="00095A75" w:rsidRDefault="00095A75">
      <w:pPr>
        <w:pStyle w:val="ListParagraph"/>
        <w:numPr>
          <w:ilvl w:val="0"/>
          <w:numId w:val="2"/>
        </w:numPr>
        <w:spacing w:before="100" w:beforeAutospacing="1"/>
        <w:ind w:left="0"/>
        <w:jc w:val="both"/>
        <w:rPr>
          <w:b/>
          <w:bCs/>
          <w:noProof/>
        </w:rPr>
      </w:pPr>
      <w:r w:rsidRPr="00095A75">
        <w:rPr>
          <w:b/>
          <w:bCs/>
          <w:noProof/>
        </w:rPr>
        <w:t>Utilizadores finais</w:t>
      </w:r>
    </w:p>
    <w:p w:rsidR="005E3302" w:rsidRPr="00095A75" w:rsidRDefault="00095A75">
      <w:pPr>
        <w:spacing w:before="100" w:beforeAutospacing="1"/>
        <w:jc w:val="both"/>
        <w:rPr>
          <w:noProof/>
        </w:rPr>
      </w:pPr>
      <w:r w:rsidRPr="00095A75">
        <w:rPr>
          <w:noProof/>
        </w:rPr>
        <w:t>As informações</w:t>
      </w:r>
      <w:r w:rsidRPr="00095A75">
        <w:rPr>
          <w:noProof/>
        </w:rPr>
        <w:t xml:space="preserve"> recebidas pela Comissão permitem estabelecer uma distinção entre utilização final para objetivos de manutenção da ordem pública, científicos e relacionados com os cuidados de saúde (em hospitais e para uso veterinário) e utilização final pelas empresas de</w:t>
      </w:r>
      <w:r w:rsidRPr="00095A75">
        <w:rPr>
          <w:noProof/>
        </w:rPr>
        <w:t xml:space="preserve"> segurança e comerciais. </w:t>
      </w:r>
    </w:p>
    <w:p w:rsidR="005E3302" w:rsidRDefault="00095A75">
      <w:pPr>
        <w:spacing w:before="100" w:beforeAutospacing="1"/>
        <w:jc w:val="both"/>
        <w:rPr>
          <w:noProof/>
        </w:rPr>
      </w:pPr>
      <w:r w:rsidRPr="00095A75">
        <w:rPr>
          <w:noProof/>
        </w:rPr>
        <w:t xml:space="preserve">O </w:t>
      </w:r>
      <w:r w:rsidRPr="00095A75">
        <w:rPr>
          <w:i/>
          <w:noProof/>
        </w:rPr>
        <w:t>anexo 6</w:t>
      </w:r>
      <w:r w:rsidRPr="00095A75">
        <w:rPr>
          <w:noProof/>
        </w:rPr>
        <w:t xml:space="preserve"> resume as informações fornecidas à Comissão sobre a utilização final das exportações autorizadas comunicadas em 2019.</w:t>
      </w:r>
      <w:bookmarkStart w:id="1" w:name="_GoBack"/>
      <w:bookmarkEnd w:id="1"/>
    </w:p>
    <w:sectPr w:rsidR="005E3302">
      <w:headerReference w:type="even" r:id="rId18"/>
      <w:headerReference w:type="default" r:id="rId19"/>
      <w:footerReference w:type="even" r:id="rId20"/>
      <w:footerReference w:type="default" r:id="rId21"/>
      <w:headerReference w:type="first" r:id="rId22"/>
      <w:footerReference w:type="first" r:id="rId23"/>
      <w:pgSz w:w="11907" w:h="16839" w:code="9"/>
      <w:pgMar w:top="1440" w:right="1800" w:bottom="1440" w:left="1800" w:header="708" w:footer="708"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4BF425" w16cex:dateUtc="2020-09-27T10:34:45.219Z"/>
  <w16cex:commentExtensible w16cex:durableId="31DD6F08" w16cex:dateUtc="2020-09-27T11:54:15.826Z"/>
  <w16cex:commentExtensible w16cex:durableId="42BD0ABF" w16cex:dateUtc="2020-09-27T11:55:20.934Z"/>
</w16cex:commentsExtensible>
</file>

<file path=word/commentsIds.xml><?xml version="1.0" encoding="utf-8"?>
<w16cid:commentsIds xmlns:mc="http://schemas.openxmlformats.org/markup-compatibility/2006" xmlns:w16cid="http://schemas.microsoft.com/office/word/2016/wordml/cid" mc:Ignorable="w16cid">
  <w16cid:commentId w16cid:paraId="7FAACFCA" w16cid:durableId="204BF425"/>
  <w16cid:commentId w16cid:paraId="5D514095" w16cid:durableId="31DD6F08"/>
  <w16cid:commentId w16cid:paraId="1A21E914" w16cid:durableId="42BD0A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02" w:rsidRDefault="00095A75">
      <w:r>
        <w:separator/>
      </w:r>
    </w:p>
  </w:endnote>
  <w:endnote w:type="continuationSeparator" w:id="0">
    <w:p w:rsidR="005E3302" w:rsidRDefault="0009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02" w:rsidRDefault="005E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02" w:rsidRDefault="00095A75">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02" w:rsidRDefault="005E330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02" w:rsidRDefault="005E33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810965"/>
      <w:docPartObj>
        <w:docPartGallery w:val="Page Numbers (Bottom of Page)"/>
        <w:docPartUnique/>
      </w:docPartObj>
    </w:sdtPr>
    <w:sdtEndPr>
      <w:rPr>
        <w:noProof/>
      </w:rPr>
    </w:sdtEndPr>
    <w:sdtContent>
      <w:p w:rsidR="005E3302" w:rsidRDefault="00095A75">
        <w:pPr>
          <w:pStyle w:val="Footer"/>
          <w:jc w:val="center"/>
        </w:pPr>
        <w:r>
          <w:fldChar w:fldCharType="begin"/>
        </w:r>
        <w:r>
          <w:instrText xml:space="preserve"> PAGE   \* MERGEFORMAT </w:instrText>
        </w:r>
        <w:r>
          <w:fldChar w:fldCharType="separate"/>
        </w:r>
        <w:r>
          <w:rPr>
            <w:noProof/>
          </w:rPr>
          <w:t>2</w:t>
        </w:r>
        <w:r>
          <w:fldChar w:fldCharType="end"/>
        </w:r>
      </w:p>
    </w:sdtContent>
  </w:sdt>
  <w:p w:rsidR="005E3302" w:rsidRDefault="005E33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02" w:rsidRDefault="005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02" w:rsidRDefault="00095A75">
      <w:r>
        <w:separator/>
      </w:r>
    </w:p>
  </w:footnote>
  <w:footnote w:type="continuationSeparator" w:id="0">
    <w:p w:rsidR="005E3302" w:rsidRDefault="00095A75">
      <w:r>
        <w:continuationSeparator/>
      </w:r>
    </w:p>
  </w:footnote>
  <w:footnote w:id="1">
    <w:p w:rsidR="005E3302" w:rsidRDefault="00095A75">
      <w:pPr>
        <w:pStyle w:val="FootnoteText"/>
        <w:tabs>
          <w:tab w:val="left" w:pos="284"/>
        </w:tabs>
        <w:jc w:val="both"/>
      </w:pPr>
      <w:r>
        <w:footnoteRef/>
      </w:r>
      <w:r>
        <w:t xml:space="preserve"> </w:t>
      </w:r>
      <w:r>
        <w:tab/>
        <w:t>JO L 30 de 31.1.2019, p. 1.</w:t>
      </w:r>
    </w:p>
  </w:footnote>
  <w:footnote w:id="2">
    <w:p w:rsidR="005E3302" w:rsidRDefault="00095A75">
      <w:pPr>
        <w:pStyle w:val="FootnoteText"/>
        <w:ind w:left="284" w:hanging="284"/>
        <w:jc w:val="both"/>
      </w:pPr>
      <w:r>
        <w:footnoteRef/>
      </w:r>
      <w:r>
        <w:t xml:space="preserve"> </w:t>
      </w:r>
      <w:r>
        <w:tab/>
        <w:t xml:space="preserve">O presente relatório não </w:t>
      </w:r>
      <w:r>
        <w:t>fornece informações sobre a utilização pelos exportadores da autorização geral de exportação da União para a exportação de mercadorias enumeradas no anexo IV [anexo V do Regulamento (UE) 2019/125].</w:t>
      </w:r>
    </w:p>
  </w:footnote>
  <w:footnote w:id="3">
    <w:p w:rsidR="005E3302" w:rsidRDefault="00095A75">
      <w:pPr>
        <w:pStyle w:val="FootnoteText"/>
        <w:ind w:left="284" w:hanging="284"/>
        <w:jc w:val="both"/>
      </w:pPr>
      <w:r>
        <w:footnoteRef/>
      </w:r>
      <w:r>
        <w:t xml:space="preserve"> </w:t>
      </w:r>
      <w:r>
        <w:tab/>
        <w:t>Nos termos do artigo 2.º, alínea d), do Regulamento (UE</w:t>
      </w:r>
      <w:r>
        <w:t>) 2019/125, entende-se por «exportação» «</w:t>
      </w:r>
      <w:r>
        <w:rPr>
          <w:color w:val="000000"/>
        </w:rPr>
        <w:t>a saída de mercadorias do território aduaneiro da União, incluindo a saída de mercadorias para as quais seja obrigatória uma declaração aduaneira e a saída de mercadorias após colocação numa zona franca, na aceção d</w:t>
      </w:r>
      <w:r>
        <w:rPr>
          <w:color w:val="000000"/>
        </w:rPr>
        <w:t>o Regulamento (UE) n.º 952/2013 do Parlamento Europeu e do Conselho».</w:t>
      </w:r>
    </w:p>
  </w:footnote>
  <w:footnote w:id="4">
    <w:p w:rsidR="005E3302" w:rsidRDefault="00095A75">
      <w:pPr>
        <w:pStyle w:val="FootnoteText"/>
        <w:jc w:val="both"/>
      </w:pPr>
      <w:r>
        <w:footnoteRef/>
      </w:r>
      <w:r>
        <w:t xml:space="preserve"> Ver o artigo 2.º, alínea p), para a definição completa de «autorização individual», e o artigo 2.º, alínea q), para a definição completa de «autorização global». </w:t>
      </w:r>
    </w:p>
  </w:footnote>
  <w:footnote w:id="5">
    <w:p w:rsidR="005E3302" w:rsidRDefault="00095A75">
      <w:pPr>
        <w:pStyle w:val="FootnoteText"/>
        <w:jc w:val="both"/>
        <w:rPr>
          <w:lang w:val="en-IE"/>
        </w:rPr>
      </w:pPr>
      <w:r>
        <w:footnoteRef/>
      </w:r>
      <w:r>
        <w:rPr>
          <w:lang w:val="en-IE"/>
        </w:rPr>
        <w:t xml:space="preserve"> The number of ‘deni</w:t>
      </w:r>
      <w:r>
        <w:rPr>
          <w:lang w:val="en-IE"/>
        </w:rPr>
        <w:t>als’ for 2019 differs from the number in the review report (COM (2020) 343), as it takes into account data not available at the time of finalising the report.</w:t>
      </w:r>
    </w:p>
  </w:footnote>
  <w:footnote w:id="6">
    <w:p w:rsidR="005E3302" w:rsidRDefault="00095A75">
      <w:pPr>
        <w:pStyle w:val="FootnoteText"/>
        <w:jc w:val="both"/>
      </w:pPr>
      <w:r>
        <w:footnoteRef/>
      </w:r>
      <w:r>
        <w:t xml:space="preserve"> Goods listed in Annex III under code 3.1: armas e equipamentos portáteis concebidos para admini</w:t>
      </w:r>
      <w:r>
        <w:t>strar ou disseminar doses de uma substância química neutralizante ou irritante.</w:t>
      </w:r>
    </w:p>
  </w:footnote>
  <w:footnote w:id="7">
    <w:p w:rsidR="005E3302" w:rsidRDefault="00095A75">
      <w:pPr>
        <w:pStyle w:val="FootnoteText"/>
        <w:jc w:val="both"/>
      </w:pPr>
      <w:r>
        <w:footnoteRef/>
      </w:r>
      <w:r>
        <w:t xml:space="preserve"> Goods listed in Annex III under code 3.6: equipamentos fixos ou montáveis, para a disseminação de agentes químicos neutralizantes ou irritantes, que abrangem uma vasta área.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02" w:rsidRDefault="005E3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02" w:rsidRDefault="005E330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02" w:rsidRDefault="005E330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02" w:rsidRDefault="005E33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02" w:rsidRDefault="005E33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02" w:rsidRDefault="005E3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9D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1E1094"/>
    <w:multiLevelType w:val="hybridMultilevel"/>
    <w:tmpl w:val="29EC9D3E"/>
    <w:lvl w:ilvl="0" w:tplc="1BA25B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D3D19"/>
    <w:multiLevelType w:val="multilevel"/>
    <w:tmpl w:val="1194D20C"/>
    <w:lvl w:ilvl="0">
      <w:start w:val="1"/>
      <w:numFmt w:val="decimal"/>
      <w:pStyle w:val="HeaderSensitivityRigh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6235FC"/>
    <w:multiLevelType w:val="hybridMultilevel"/>
    <w:tmpl w:val="287098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F2B637E-D640-4AAE-8C5F-D56E543E5372"/>
    <w:docVar w:name="LW_COVERPAGE_TYPE" w:val="1"/>
    <w:docVar w:name="LW_CROSSREFERENCE" w:val="&lt;UNUSED&gt;"/>
    <w:docVar w:name="LW_DocType" w:val="NORMAL"/>
    <w:docVar w:name="LW_EMISSION" w:val="14.12.2020"/>
    <w:docVar w:name="LW_EMISSION_ISODATE" w:val="2020-12-14"/>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7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Relatório relativo às autorizações de exportação em 2019 ao abrigo do Regulamento que rege o comércio de determinadas mercadorias suscetíveis de serem utilizadas para aplicar a pena de morte ou infligir tortura ou outras penas ou tratamentos cruéis, desumanos ou degradantes&lt;/FMT&gt;"/>
    <w:docVar w:name="LW_TYPE.DOC.CP" w:val="RELATÓRIO DA COMISSÃO AO PARLAMENTO EUROPEU E AO CONSELHO"/>
  </w:docVars>
  <w:rsids>
    <w:rsidRoot w:val="005E3302"/>
    <w:rsid w:val="00095A75"/>
    <w:rsid w:val="005E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DFA603-E4E9-4243-BD28-C78210F9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Char"/>
    <w:basedOn w:val="Normal"/>
    <w:link w:val="FootnoteTextChar"/>
    <w:unhideWhenUsed/>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basedOn w:val="DefaultParagraphFont"/>
    <w:link w:val="FootnoteText"/>
    <w:rPr>
      <w:rFonts w:ascii="Times New Roman" w:eastAsia="Times New Roman" w:hAnsi="Times New Roman" w:cs="Times New Roman"/>
      <w:sz w:val="20"/>
      <w:szCs w:val="20"/>
      <w:lang w:val="pt-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pt-PT"/>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pt-PT"/>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sz w:val="24"/>
      <w:szCs w:val="24"/>
      <w:lang w:val="pt-PT"/>
    </w:rPr>
  </w:style>
  <w:style w:type="paragraph" w:customStyle="1" w:styleId="Body">
    <w:name w:val="Body"/>
    <w:basedOn w:val="Normal"/>
    <w:link w:val="BodyChar"/>
    <w:qFormat/>
    <w:pPr>
      <w:spacing w:before="120" w:after="120"/>
      <w:jc w:val="both"/>
    </w:pPr>
    <w:rPr>
      <w:rFonts w:ascii="EC Square Sans Pro" w:hAnsi="EC Square Sans Pro"/>
    </w:rPr>
  </w:style>
  <w:style w:type="character" w:customStyle="1" w:styleId="BodyChar">
    <w:name w:val="Body Char"/>
    <w:link w:val="Body"/>
    <w:rPr>
      <w:rFonts w:ascii="EC Square Sans Pro" w:eastAsia="Times New Roman" w:hAnsi="EC Square Sans Pro" w:cs="Times New Roman"/>
      <w:sz w:val="24"/>
      <w:szCs w:val="24"/>
      <w:lang w:val="pt-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pt-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t-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FooterCoverPageChar">
    <w:name w:val="Footer Cover Page Char"/>
    <w:basedOn w:val="ListParagraphChar"/>
    <w:link w:val="FooterCoverPage"/>
    <w:rPr>
      <w:rFonts w:ascii="Times New Roman" w:eastAsia="Times New Roman" w:hAnsi="Times New Roman" w:cs="Times New Roman"/>
      <w:sz w:val="24"/>
      <w:szCs w:val="24"/>
      <w:lang w:val="pt-P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ListParagraphChar"/>
    <w:link w:val="FooterSensitivity"/>
    <w:rPr>
      <w:rFonts w:ascii="Times New Roman" w:eastAsia="Times New Roman" w:hAnsi="Times New Roman" w:cs="Times New Roman"/>
      <w:b/>
      <w:sz w:val="32"/>
      <w:szCs w:val="24"/>
      <w:lang w:val="pt-PT"/>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ListParagraphChar"/>
    <w:link w:val="HeaderCoverPage"/>
    <w:rPr>
      <w:rFonts w:ascii="Times New Roman" w:eastAsia="Times New Roman" w:hAnsi="Times New Roman" w:cs="Times New Roman"/>
      <w:sz w:val="24"/>
      <w:szCs w:val="24"/>
      <w:lang w:val="pt-P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ListParagraphChar"/>
    <w:link w:val="HeaderSensitivity"/>
    <w:rPr>
      <w:rFonts w:ascii="Times New Roman" w:eastAsia="Times New Roman" w:hAnsi="Times New Roman" w:cs="Times New Roman"/>
      <w:b/>
      <w:sz w:val="32"/>
      <w:szCs w:val="24"/>
      <w:lang w:val="pt-PT"/>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HeaderSensitivityRightChar">
    <w:name w:val="Header Sensitivity Right Char"/>
    <w:basedOn w:val="ListParagraphChar"/>
    <w:link w:val="HeaderSensitivityRight"/>
    <w:rPr>
      <w:rFonts w:ascii="Times New Roman" w:eastAsia="Times New Roman" w:hAnsi="Times New Roman" w:cs="Times New Roman"/>
      <w:sz w:val="28"/>
      <w:szCs w:val="24"/>
      <w:lang w:val="pt-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8b698e5af7714af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e5619ebe48d941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4" ma:contentTypeDescription="Create a new document." ma:contentTypeScope="" ma:versionID="8b1fa9895b09e2b4c7f2f4e458e5ee26">
  <xsd:schema xmlns:xsd="http://www.w3.org/2001/XMLSchema" xmlns:xs="http://www.w3.org/2001/XMLSchema" xmlns:p="http://schemas.microsoft.com/office/2006/metadata/properties" xmlns:ns2="541a8a8b-b856-4d35-a5c7-7f2c0ec3d499" targetNamespace="http://schemas.microsoft.com/office/2006/metadata/properties" ma:root="true" ma:fieldsID="4e000a0c0ec7ccb5532d969111d19074"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FDBA-E5D2-40DB-8FE9-3A3BEB1464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7D851-38A7-4BE9-BAFB-64AA813A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7211F-EEB3-499F-8F72-9F60E9A07B25}">
  <ds:schemaRefs>
    <ds:schemaRef ds:uri="http://schemas.microsoft.com/sharepoint/v3/contenttype/forms"/>
  </ds:schemaRefs>
</ds:datastoreItem>
</file>

<file path=customXml/itemProps4.xml><?xml version="1.0" encoding="utf-8"?>
<ds:datastoreItem xmlns:ds="http://schemas.openxmlformats.org/officeDocument/2006/customXml" ds:itemID="{E5C47EFD-7634-4A66-A4B3-31F3DA2C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1265</Words>
  <Characters>7177</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19</cp:revision>
  <dcterms:created xsi:type="dcterms:W3CDTF">2020-12-11T08:25:00Z</dcterms:created>
  <dcterms:modified xsi:type="dcterms:W3CDTF">2020-12-14T10:09:00Z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ContentTypeId">
    <vt:lpwstr>0x010100087E4EC354ADFB40AC5D4FC129E379BA</vt:lpwstr>
  </property>
</Properties>
</file>