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D8B51F7-C27D-4693-9479-0C3771154DDC" style="width:450.75pt;height:389.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p>
      <w:pPr>
        <w:pStyle w:val="ListParagraph"/>
        <w:numPr>
          <w:ilvl w:val="0"/>
          <w:numId w:val="1"/>
        </w:numPr>
        <w:spacing w:before="100" w:beforeAutospacing="1"/>
        <w:contextualSpacing w:val="0"/>
        <w:rPr>
          <w:b/>
          <w:noProof/>
        </w:rPr>
      </w:pPr>
      <w:bookmarkStart w:id="1" w:name="_GoBack"/>
      <w:bookmarkEnd w:id="1"/>
      <w:r>
        <w:rPr>
          <w:b/>
          <w:noProof/>
        </w:rPr>
        <w:lastRenderedPageBreak/>
        <w:t>Wprowadzenie</w:t>
      </w:r>
    </w:p>
    <w:p>
      <w:pPr>
        <w:spacing w:before="100" w:beforeAutospacing="1"/>
        <w:jc w:val="both"/>
        <w:rPr>
          <w:rFonts w:eastAsia="Times New Roman"/>
          <w:noProof/>
        </w:rPr>
      </w:pPr>
      <w:r>
        <w:rPr>
          <w:noProof/>
        </w:rPr>
        <w:t>Art. 31 ust. 4 rozporządzenia (UE) 2019/125 z dnia 16 stycznia 2019 r. w sprawie handlu niektórymi towarami, które mogłyby być użyte do wykonywania kary śmierci, tortur lub innego okrutnego, nieludzkiego lub poniżającego traktowania albo karania</w:t>
      </w:r>
      <w:r>
        <w:rPr>
          <w:rFonts w:eastAsia="Times New Roman"/>
          <w:noProof/>
          <w:vertAlign w:val="superscript"/>
          <w:lang w:eastAsia="en-GB"/>
        </w:rPr>
        <w:footnoteReference w:id="1"/>
      </w:r>
      <w:r>
        <w:rPr>
          <w:noProof/>
        </w:rPr>
        <w:t xml:space="preserve"> („rozporządzenie”) nakłada na Komisję obowiązek przedkładania Parlamentowi Europejskiemu rocznych sprawozdań z działalności Grupy Koordynacyjnej ds. Przeciwdziałania Torturom, rozpatrzonych przez nią spraw i przeprowadzonych przez nią konsultacji. Sprawozdanie nie może naruszać interesów handlowych osób fizycznych lub prawnych</w:t>
      </w:r>
    </w:p>
    <w:p>
      <w:pPr>
        <w:spacing w:before="100" w:beforeAutospacing="1"/>
        <w:jc w:val="both"/>
        <w:rPr>
          <w:rFonts w:eastAsia="Times New Roman"/>
          <w:noProof/>
        </w:rPr>
      </w:pPr>
      <w:r>
        <w:rPr>
          <w:noProof/>
        </w:rPr>
        <w:t>Niniejsze sprawozdanie dostarcza informacji na temat działalności Grupy Koordynacyjnej ds. Przeciwdziałania Torturom w 2019 r.</w:t>
      </w:r>
    </w:p>
    <w:p>
      <w:pPr>
        <w:pStyle w:val="ListParagraph"/>
        <w:numPr>
          <w:ilvl w:val="0"/>
          <w:numId w:val="1"/>
        </w:numPr>
        <w:spacing w:before="100" w:beforeAutospacing="1"/>
        <w:contextualSpacing w:val="0"/>
        <w:jc w:val="both"/>
        <w:rPr>
          <w:rFonts w:eastAsia="Times New Roman"/>
          <w:b/>
          <w:noProof/>
        </w:rPr>
      </w:pPr>
      <w:r>
        <w:rPr>
          <w:b/>
          <w:noProof/>
        </w:rPr>
        <w:t>Ramy prawne</w:t>
      </w:r>
    </w:p>
    <w:p>
      <w:pPr>
        <w:pStyle w:val="Body"/>
        <w:spacing w:before="100" w:beforeAutospacing="1" w:after="0"/>
        <w:rPr>
          <w:rFonts w:ascii="Times New Roman" w:hAnsi="Times New Roman"/>
          <w:noProof/>
        </w:rPr>
      </w:pPr>
      <w:r>
        <w:rPr>
          <w:rFonts w:ascii="Times New Roman" w:hAnsi="Times New Roman"/>
          <w:noProof/>
        </w:rPr>
        <w:t>Rozporządzenie ma na celu z jednej strony zapobieganie stosowaniu kary śmierci, a z drugiej – stosowaniu tortur i innego okrutnego, nieludzkiego lub poniżającego traktowania albo karania w państwach spoza UE, w drodze ograniczenia handlu niektórymi towarami. W rozporządzeniu tym dzieli się towary w zależności od tego, czy:</w:t>
      </w:r>
    </w:p>
    <w:p>
      <w:pPr>
        <w:pStyle w:val="Body"/>
        <w:numPr>
          <w:ilvl w:val="0"/>
          <w:numId w:val="4"/>
        </w:numPr>
        <w:spacing w:before="100" w:beforeAutospacing="1" w:after="0"/>
        <w:rPr>
          <w:rFonts w:ascii="Times New Roman" w:hAnsi="Times New Roman"/>
          <w:noProof/>
        </w:rPr>
      </w:pPr>
      <w:r>
        <w:rPr>
          <w:rFonts w:ascii="Times New Roman" w:hAnsi="Times New Roman"/>
          <w:noProof/>
        </w:rPr>
        <w:t xml:space="preserve">nierozerwalnie wiążą się z nadużyciami i w ogóle nie powinny być przedmiotem handlu (załącznik II); lub </w:t>
      </w:r>
    </w:p>
    <w:p>
      <w:pPr>
        <w:pStyle w:val="Body"/>
        <w:numPr>
          <w:ilvl w:val="0"/>
          <w:numId w:val="4"/>
        </w:numPr>
        <w:spacing w:before="100" w:beforeAutospacing="1" w:after="0"/>
        <w:rPr>
          <w:rFonts w:ascii="Times New Roman" w:hAnsi="Times New Roman"/>
          <w:noProof/>
        </w:rPr>
      </w:pPr>
      <w:r>
        <w:rPr>
          <w:rFonts w:ascii="Times New Roman" w:hAnsi="Times New Roman"/>
          <w:noProof/>
        </w:rPr>
        <w:t xml:space="preserve">mogą mieć zgodne z prawem zastosowania, tak jak sprzęt służący do egzekwowania prawa (załącznik III) lub towary o zastosowaniu leczniczym (załącznik IV). </w:t>
      </w:r>
    </w:p>
    <w:p>
      <w:pPr>
        <w:pStyle w:val="Body"/>
        <w:spacing w:before="100" w:beforeAutospacing="1" w:after="0"/>
        <w:rPr>
          <w:rFonts w:ascii="Times New Roman" w:hAnsi="Times New Roman"/>
          <w:noProof/>
        </w:rPr>
      </w:pPr>
      <w:r>
        <w:rPr>
          <w:rFonts w:ascii="Times New Roman" w:hAnsi="Times New Roman"/>
          <w:noProof/>
        </w:rPr>
        <w:t>Handel takimi towarami podlega pewnym ograniczeniom.</w:t>
      </w:r>
    </w:p>
    <w:p>
      <w:pPr>
        <w:pStyle w:val="Body"/>
        <w:spacing w:before="100" w:beforeAutospacing="1" w:after="0"/>
        <w:rPr>
          <w:rFonts w:ascii="Times New Roman" w:hAnsi="Times New Roman"/>
          <w:noProof/>
        </w:rPr>
      </w:pPr>
      <w:r>
        <w:rPr>
          <w:rFonts w:ascii="Times New Roman" w:hAnsi="Times New Roman"/>
          <w:noProof/>
        </w:rPr>
        <w:t>Dlatego też rozporządzeniem ogranicza się handel z państwami nienależącymi do UE. W szczególności:</w:t>
      </w:r>
    </w:p>
    <w:p>
      <w:pPr>
        <w:pStyle w:val="Body"/>
        <w:numPr>
          <w:ilvl w:val="0"/>
          <w:numId w:val="3"/>
        </w:numPr>
        <w:spacing w:before="100" w:beforeAutospacing="1" w:after="0"/>
        <w:rPr>
          <w:rFonts w:ascii="Times New Roman" w:hAnsi="Times New Roman"/>
          <w:noProof/>
        </w:rPr>
      </w:pPr>
      <w:r>
        <w:rPr>
          <w:rFonts w:ascii="Times New Roman" w:hAnsi="Times New Roman"/>
          <w:noProof/>
        </w:rPr>
        <w:t>Zakazuje się przywozu, wywozu i tranzytu na terytorium UE towarów wymienionych w załączniku II, które nie mają żadnego innego praktycznego zastosowania niż wykonywanie kary śmierci lub torturowanie. Zakazane jest także udzielanie wszelkiego rodzaju pomocy technicznej związanej z takimi towarami, zwłaszcza prowadzenie szkoleń dotyczących ich używania. Zakazane są także reklamowanie takich towarów w mediach drukowanych lub internecie, w ramach czasu reklamowego w telewizji lub radiu, bądź wystawianie lub oferowanie na sprzedaż na wystawach lub targach.</w:t>
      </w:r>
    </w:p>
    <w:p>
      <w:pPr>
        <w:pStyle w:val="Body"/>
        <w:numPr>
          <w:ilvl w:val="0"/>
          <w:numId w:val="3"/>
        </w:numPr>
        <w:spacing w:before="100" w:beforeAutospacing="1" w:after="0"/>
        <w:rPr>
          <w:rFonts w:ascii="Times New Roman" w:hAnsi="Times New Roman"/>
          <w:noProof/>
        </w:rPr>
      </w:pPr>
      <w:r>
        <w:rPr>
          <w:rFonts w:ascii="Times New Roman" w:hAnsi="Times New Roman"/>
          <w:noProof/>
        </w:rPr>
        <w:t>W odniesieniu do wymienionych w załączniku III towarów, które mogłyby być użyte w celu wykonywania kary śmierci lub torturowania, lecz mogłyby mieć również inne zgodne z prawem zastosowania (egzekwowanie prawa), w poszczególnych przypadkach wymagane jest wcześniejsze pozwolenie na wywóz. Uzyskania takiego pozwolenia wymaga się także w celu świadczenia pomocy technicznej lub usług pośrednictwa w odniesieniu do tej kategorii towarów. Załącznik III nie obejmuje: a) broni palnej podlegającej rozporządzeniu (UE) nr 258/2012</w:t>
      </w:r>
      <w:r>
        <w:rPr>
          <w:rFonts w:ascii="Times New Roman" w:hAnsi="Times New Roman"/>
          <w:noProof/>
          <w:vertAlign w:val="superscript"/>
        </w:rPr>
        <w:footnoteReference w:id="2"/>
      </w:r>
      <w:r>
        <w:rPr>
          <w:rFonts w:ascii="Times New Roman" w:hAnsi="Times New Roman"/>
          <w:noProof/>
        </w:rPr>
        <w:t>; b) produktów podwójnego zastosowania podlegających rozporządzeniu (WE) nr 428/2009</w:t>
      </w:r>
      <w:r>
        <w:rPr>
          <w:rFonts w:ascii="Times New Roman" w:hAnsi="Times New Roman"/>
          <w:noProof/>
          <w:vertAlign w:val="superscript"/>
        </w:rPr>
        <w:footnoteReference w:id="3"/>
      </w:r>
      <w:r>
        <w:rPr>
          <w:rFonts w:ascii="Times New Roman" w:hAnsi="Times New Roman"/>
          <w:noProof/>
        </w:rPr>
        <w:t>; c) towarów podlegających warunkom wspólnego stanowiska 2008/944/WPZiB</w:t>
      </w:r>
      <w:r>
        <w:rPr>
          <w:rFonts w:ascii="Times New Roman" w:hAnsi="Times New Roman"/>
          <w:noProof/>
          <w:vertAlign w:val="superscript"/>
        </w:rPr>
        <w:footnoteReference w:id="4"/>
      </w:r>
      <w:r>
        <w:rPr>
          <w:rFonts w:ascii="Times New Roman" w:hAnsi="Times New Roman"/>
          <w:noProof/>
        </w:rPr>
        <w:t>.</w:t>
      </w:r>
    </w:p>
    <w:p>
      <w:pPr>
        <w:pStyle w:val="Body"/>
        <w:numPr>
          <w:ilvl w:val="0"/>
          <w:numId w:val="3"/>
        </w:numPr>
        <w:spacing w:before="100" w:beforeAutospacing="1" w:after="0"/>
        <w:rPr>
          <w:noProof/>
        </w:rPr>
      </w:pPr>
      <w:r>
        <w:rPr>
          <w:rFonts w:ascii="Times New Roman" w:hAnsi="Times New Roman"/>
          <w:noProof/>
        </w:rPr>
        <w:t>Reguluje się w nim handel towarami – substancjami chemicznymi lub farmaceutycznymi (załącznik IV) – które mogłyby być użyte do wykonywania kary śmierci (np. produktami, które mogłyby zostać wykorzystane w celu przeprowadzania egzekucji ludzi przez podanie śmiertelnego zastrzyku).</w:t>
      </w:r>
      <w:r>
        <w:rPr>
          <w:rFonts w:ascii="Times New Roman" w:hAnsi="Times New Roman"/>
          <w:noProof/>
          <w:sz w:val="20"/>
          <w:szCs w:val="20"/>
        </w:rPr>
        <w:t xml:space="preserve"> </w:t>
      </w:r>
      <w:r>
        <w:rPr>
          <w:rFonts w:ascii="Times New Roman" w:hAnsi="Times New Roman"/>
          <w:noProof/>
        </w:rPr>
        <w:t xml:space="preserve">Aby kontrolować wywóz takich znieczulających substancji chemicznych oraz zapobiegać ich przekazywaniu do stosowania w celu przeprowadzania kary śmierci przez podanie śmiertelnego zastrzyku, bez ograniczania handlu takimi substancjami chemicznymi do celów medycznych, weterynaryjnych lub innych celów zgodnych z prawem, wprowadzono oddzielne pozwolenie („generalne unijne pozwolenie na wywóz”). </w:t>
      </w:r>
    </w:p>
    <w:p>
      <w:pPr>
        <w:pStyle w:val="Body"/>
        <w:spacing w:before="100" w:beforeAutospacing="1" w:after="0"/>
        <w:rPr>
          <w:rFonts w:ascii="Times New Roman" w:hAnsi="Times New Roman"/>
          <w:noProof/>
        </w:rPr>
      </w:pPr>
      <w:r>
        <w:rPr>
          <w:rFonts w:ascii="Times New Roman" w:hAnsi="Times New Roman"/>
          <w:noProof/>
        </w:rPr>
        <w:t>Wykazy towarów objętych zakazem i podlegających kontroli są określone w załącznikach II, III i IV do rozporządzenia.</w:t>
      </w:r>
    </w:p>
    <w:p>
      <w:pPr>
        <w:pStyle w:val="ListParagraph"/>
        <w:numPr>
          <w:ilvl w:val="0"/>
          <w:numId w:val="1"/>
        </w:numPr>
        <w:spacing w:before="100" w:beforeAutospacing="1"/>
        <w:contextualSpacing w:val="0"/>
        <w:jc w:val="both"/>
        <w:rPr>
          <w:b/>
          <w:noProof/>
        </w:rPr>
      </w:pPr>
      <w:r>
        <w:rPr>
          <w:b/>
          <w:noProof/>
        </w:rPr>
        <w:t>Działalność Grupy Koordynacyjnej ds. Przeciwdziałania Torturom</w:t>
      </w:r>
    </w:p>
    <w:p>
      <w:pPr>
        <w:pStyle w:val="ListParagraph"/>
        <w:spacing w:before="100" w:beforeAutospacing="1"/>
        <w:ind w:left="0"/>
        <w:contextualSpacing w:val="0"/>
        <w:jc w:val="both"/>
        <w:rPr>
          <w:noProof/>
        </w:rPr>
      </w:pPr>
      <w:r>
        <w:rPr>
          <w:noProof/>
        </w:rPr>
        <w:t>Grupa Koordynacyjna ds. Przeciwdziałania Torturom (ATCG) została ustanowiona rozporządzeniem Parlamentu Europejskiego i Rady (UE) 2016/2134 w celu rozpatrywania spraw dotyczących stosowania tego rozporządzenia.</w:t>
      </w:r>
    </w:p>
    <w:p>
      <w:pPr>
        <w:pStyle w:val="ListParagraph"/>
        <w:spacing w:before="100" w:beforeAutospacing="1"/>
        <w:ind w:left="0"/>
        <w:contextualSpacing w:val="0"/>
        <w:jc w:val="both"/>
        <w:rPr>
          <w:noProof/>
        </w:rPr>
      </w:pPr>
      <w:r>
        <w:rPr>
          <w:noProof/>
        </w:rPr>
        <w:t>ATCG pełni funkcję platformy umożliwiającej Komisji i ekspertom z państw członkowskich wymianę informacji o praktykach administracyjnych oraz omawianie kwestii dotyczących interpretacji rozporządzenia, kwestii technicznych dotyczących towarów wymienionych w wykazach, zmian okoliczności związanych z niniejszym rozporządzeniem oraz innych ewentualnych kwestii. Co więcej, zgodnie z Porozumieniem międzyinstytucjonalnym w sprawie lepszego stanowienia prawa</w:t>
      </w:r>
      <w:r>
        <w:rPr>
          <w:noProof/>
          <w:vertAlign w:val="superscript"/>
        </w:rPr>
        <w:footnoteReference w:id="5"/>
      </w:r>
      <w:r>
        <w:rPr>
          <w:noProof/>
        </w:rPr>
        <w:t xml:space="preserve"> z dnia 13 kwietnia 2016 r., Komisja konsultuje się z ATCG podczas przygotowywania aktów delegowanych.</w:t>
      </w:r>
    </w:p>
    <w:p>
      <w:pPr>
        <w:spacing w:before="100" w:beforeAutospacing="1"/>
        <w:jc w:val="both"/>
        <w:rPr>
          <w:rFonts w:eastAsia="Times New Roman"/>
          <w:noProof/>
        </w:rPr>
      </w:pPr>
      <w:r>
        <w:rPr>
          <w:noProof/>
        </w:rPr>
        <w:t>W 2019 r. odbyły się dwa posiedzenia ATCG – w dniach 29 kwietnia i 17 grudnia – w celu wymiany informacji dotyczących szeregu kwestii związanych z wdrażaniem rozporządzenia podsumowanych poniżej.</w:t>
      </w:r>
    </w:p>
    <w:p>
      <w:pPr>
        <w:pStyle w:val="ListParagraph"/>
        <w:numPr>
          <w:ilvl w:val="1"/>
          <w:numId w:val="1"/>
        </w:numPr>
        <w:spacing w:before="100" w:beforeAutospacing="1"/>
        <w:contextualSpacing w:val="0"/>
        <w:jc w:val="both"/>
        <w:rPr>
          <w:b/>
          <w:noProof/>
        </w:rPr>
      </w:pPr>
      <w:r>
        <w:rPr>
          <w:b/>
          <w:noProof/>
        </w:rPr>
        <w:t>Zmiany okoliczności związanych z aktem podstawowym</w:t>
      </w:r>
    </w:p>
    <w:p>
      <w:pPr>
        <w:spacing w:before="100" w:beforeAutospacing="1"/>
        <w:jc w:val="both"/>
        <w:rPr>
          <w:rFonts w:eastAsia="Times New Roman"/>
          <w:noProof/>
        </w:rPr>
      </w:pPr>
      <w:r>
        <w:rPr>
          <w:noProof/>
        </w:rPr>
        <w:t>ATCG poinformowano o zmianach okoliczności związanych z aktem podstawowym, mianowicie o ujednoliceniu rozporządzenia (WE) nr 1236/2005 do rozporządzenia Parlamentu Europejskiego i Rady (UE) 2019/125 z dnia 16 stycznia 2019 r. W latach 2005–2018 w rozporządzeniu pierwotnym (WE) nr 1236/2005 kilkakrotnie wprowadzono znaczące zmiany. W celu zapewnienia jasności i pewności prawa rozporządzenie zostało ujednolicone. Ujednoliconym rozporządzeniem uchylono rozporządzenie (WE) nr 1236/2005 oraz skonsolidowano zmiany do niego, nie wprowadzono jednak zmian w wykazach towarów podlegających kontroli.</w:t>
      </w:r>
    </w:p>
    <w:p>
      <w:pPr>
        <w:spacing w:before="100" w:beforeAutospacing="1"/>
        <w:jc w:val="both"/>
        <w:rPr>
          <w:rFonts w:eastAsia="Times New Roman"/>
          <w:noProof/>
        </w:rPr>
      </w:pPr>
      <w:r>
        <w:rPr>
          <w:noProof/>
        </w:rPr>
        <w:t>Ponadto, po poinformowaniu ATCG, Komisja skonsultowała się z nią w sprawie projektu aktu delegowanego zmieniającego: (i) wykaz właściwych organów (wymienionych w załączniku I) oraz (ii) wykaz miejsc przeznaczenia, do których ma zastosowanie generalne unijne pozwolenie na wywóz (załącznik V; dodanie Gambii i Madagaskaru). Do tej pory państwa nienależące do UE umieszczano w załączniku V, pod warunkiem ratyfikacji przez nie odpowiedniej umowy międzynarodowej zobowiązującej do zniesienia kary śmierci w odniesieniu do wszystkich przestępstw. W przypadku państw, które nie są członkami Rady Europy, oznacza to konieczność uprzedniej ratyfikacji Drugiego protokołu fakultatywnego do Międzynarodowego paktu praw obywatelskich i politycznych bez zastrzeżeń</w:t>
      </w:r>
      <w:r>
        <w:rPr>
          <w:rFonts w:eastAsia="Times New Roman"/>
          <w:noProof/>
          <w:vertAlign w:val="superscript"/>
          <w:lang w:eastAsia="en-GB"/>
        </w:rPr>
        <w:footnoteReference w:id="6"/>
      </w:r>
      <w:r>
        <w:rPr>
          <w:noProof/>
        </w:rPr>
        <w:t>. Gambia ratyfikowała ów protokół bez zastrzeżeń. To samo dotyczy Madagaskaru i krajów dodanych do wykazu wcześniej, w 2017 r.</w:t>
      </w:r>
      <w:r>
        <w:rPr>
          <w:rStyle w:val="FootnoteReference"/>
          <w:rFonts w:eastAsia="Times New Roman"/>
          <w:noProof/>
          <w:lang w:eastAsia="en-GB"/>
        </w:rPr>
        <w:footnoteReference w:id="7"/>
      </w:r>
    </w:p>
    <w:p>
      <w:pPr>
        <w:pStyle w:val="ListParagraph"/>
        <w:keepNext/>
        <w:numPr>
          <w:ilvl w:val="1"/>
          <w:numId w:val="1"/>
        </w:numPr>
        <w:spacing w:before="100" w:beforeAutospacing="1"/>
        <w:ind w:left="788" w:hanging="431"/>
        <w:contextualSpacing w:val="0"/>
        <w:jc w:val="both"/>
        <w:rPr>
          <w:b/>
          <w:noProof/>
        </w:rPr>
      </w:pPr>
      <w:r>
        <w:rPr>
          <w:b/>
          <w:noProof/>
        </w:rPr>
        <w:t>Informacje dotyczące handlu: przekazywanie danych</w:t>
      </w:r>
    </w:p>
    <w:p>
      <w:pPr>
        <w:spacing w:before="100" w:beforeAutospacing="1"/>
        <w:jc w:val="both"/>
        <w:rPr>
          <w:rFonts w:eastAsia="Times New Roman"/>
          <w:noProof/>
        </w:rPr>
      </w:pPr>
      <w:r>
        <w:rPr>
          <w:noProof/>
        </w:rPr>
        <w:t>Wraz z członkami ATCG Komisja dokonała przeglądu statusu otrzymanych i zaległych wniosków państw członkowskich z lat poprzednich (2017 i 2018), w celu przygotowania rocznego sprawozdania zgodnie z art. 31 ust. 4 rozporządzenia (UE) 2019/125. Komisja podkreśliła potrzebę przedłożenia sprawozdań przez wszystkie państwa członkowskie, nawet w przypadku gdy nie rozpatrzyły one żadnego wniosku o udzielenie pozwolenia na wywóz lub odmówiły udzielania takiego pozwolenia.</w:t>
      </w:r>
    </w:p>
    <w:p>
      <w:pPr>
        <w:spacing w:before="100" w:beforeAutospacing="1"/>
        <w:jc w:val="both"/>
        <w:rPr>
          <w:rFonts w:eastAsia="Times New Roman"/>
          <w:noProof/>
        </w:rPr>
      </w:pPr>
      <w:r>
        <w:rPr>
          <w:noProof/>
        </w:rPr>
        <w:t>W szerszym ujęciu, Komisja i ATCG przeanalizowały możliwość poszerzenia procesu sprawozdawczego o kwestie, takie jak (i) informacje na temat pozwoleń dotyczących usług pośrednictwa i pomocy technicznej oraz (ii) informacje na temat stosowania generalnego unijnego pozwolenia na wywóz. ATCG przedyskutowała również możliwość włączenia użytkowników końcowych do regularnej sprawozdawczości. Jeden z właściwych organów krajowych wyraził pogląd, że zgodnie z art. 26 ust. 2 informacje takie powinny być przekazywane Komisji jedynie na wniosek.</w:t>
      </w:r>
    </w:p>
    <w:p>
      <w:pPr>
        <w:spacing w:before="100" w:beforeAutospacing="1"/>
        <w:jc w:val="both"/>
        <w:rPr>
          <w:rFonts w:eastAsia="Times New Roman"/>
          <w:noProof/>
        </w:rPr>
      </w:pPr>
      <w:r>
        <w:rPr>
          <w:noProof/>
        </w:rPr>
        <w:t>Na tej podstawie Komisja poinformowała ATCG o zamiarze aktualizacji formularza sprawozdawczego w celu uwzględnienia szerszego zakresu danych w ramach przygotowania sprawozdania za 2019 r.</w:t>
      </w:r>
    </w:p>
    <w:p>
      <w:pPr>
        <w:pStyle w:val="ListParagraph"/>
        <w:numPr>
          <w:ilvl w:val="1"/>
          <w:numId w:val="1"/>
        </w:numPr>
        <w:spacing w:before="100" w:beforeAutospacing="1"/>
        <w:contextualSpacing w:val="0"/>
        <w:jc w:val="both"/>
        <w:rPr>
          <w:b/>
          <w:noProof/>
        </w:rPr>
      </w:pPr>
      <w:r>
        <w:rPr>
          <w:b/>
          <w:noProof/>
        </w:rPr>
        <w:t xml:space="preserve">Przegląd rozporządzenia (UE) 2019/125 </w:t>
      </w:r>
    </w:p>
    <w:p>
      <w:pPr>
        <w:spacing w:before="100" w:beforeAutospacing="1"/>
        <w:jc w:val="both"/>
        <w:rPr>
          <w:rFonts w:eastAsia="Times New Roman"/>
          <w:noProof/>
        </w:rPr>
      </w:pPr>
      <w:r>
        <w:rPr>
          <w:noProof/>
        </w:rPr>
        <w:t xml:space="preserve">Komisja poinformowała ATCG o procesie przeglądu rozporządzenia zgodnie z art. 32. Zgodnie z wytycznymi w sprawie lepszego stanowienia prawa, w lipcu 2019 r. Komisja opublikowała plan prac określający zakres sprawozdania, metody konsultacji oraz udział zainteresowanych stron, jak również wstępny harmonogram. Poinformowała również ATCG, że w ramach przeglądu (zgodnie z art. 32 rozporządzenia) poszukuje informacji związanych z konkretnymi częściami rozporządzenia: sankcjami, o których mowa w art. 33, oraz dodatkowymi środkami krajowymi, o których mowa w art. 10 i 14. </w:t>
      </w:r>
    </w:p>
    <w:p>
      <w:pPr>
        <w:spacing w:before="100" w:beforeAutospacing="1"/>
        <w:jc w:val="both"/>
        <w:rPr>
          <w:rFonts w:eastAsia="Times New Roman"/>
          <w:noProof/>
        </w:rPr>
      </w:pPr>
      <w:r>
        <w:rPr>
          <w:noProof/>
        </w:rPr>
        <w:t xml:space="preserve">Komisja zwróciła się do ATCG o wzięcie udziału w procesie przeglądu i przekazanie opinii, uwag, sugestii i informacji na temat najlepszych praktyk – jak również luk – jakie państwa członkowskie mogły wykryć podczas wdrażania rozporządzenia. Zasugerowano zebranie wytycznych dotyczących oceny ryzyka lub wprowadzenie – w odpowiedniej formie – systemu wymiany poglądów na temat miejsc przeznaczenia. </w:t>
      </w:r>
    </w:p>
    <w:p>
      <w:pPr>
        <w:spacing w:before="100" w:beforeAutospacing="1"/>
        <w:jc w:val="both"/>
        <w:rPr>
          <w:rFonts w:eastAsia="Times New Roman"/>
          <w:noProof/>
        </w:rPr>
      </w:pPr>
      <w:r>
        <w:rPr>
          <w:noProof/>
        </w:rPr>
        <w:t>ATCG wezwano również do szerzenia wiedzy na temat konsultacji publicznych oraz – w razie potrzeby – uzyskania informacji od różnych części administracji.</w:t>
      </w:r>
    </w:p>
    <w:p>
      <w:pPr>
        <w:pStyle w:val="ListParagraph"/>
        <w:keepNext/>
        <w:numPr>
          <w:ilvl w:val="1"/>
          <w:numId w:val="1"/>
        </w:numPr>
        <w:spacing w:before="100" w:beforeAutospacing="1"/>
        <w:ind w:left="788" w:hanging="431"/>
        <w:contextualSpacing w:val="0"/>
        <w:jc w:val="both"/>
        <w:rPr>
          <w:b/>
          <w:noProof/>
        </w:rPr>
      </w:pPr>
      <w:r>
        <w:rPr>
          <w:b/>
          <w:noProof/>
        </w:rPr>
        <w:t xml:space="preserve">Sojusz na rzecz zwalczania handlu narzędziami tortur </w:t>
      </w:r>
    </w:p>
    <w:p>
      <w:pPr>
        <w:spacing w:before="100" w:beforeAutospacing="1"/>
        <w:jc w:val="both"/>
        <w:rPr>
          <w:rFonts w:eastAsia="Times New Roman"/>
          <w:noProof/>
        </w:rPr>
      </w:pPr>
      <w:r>
        <w:rPr>
          <w:noProof/>
        </w:rPr>
        <w:t>Komisja przedstawiła aktualne informacje na temat stanu sojuszu na rzecz zwalczania handlu narzędziami tortur, zwłaszcza na temat przyjęcia w dniu 28 czerwca 2019 r. rezolucji Zgromadzenia Ogólnego ONZ „Zwalczanie handlu narzędziami tortur:</w:t>
      </w:r>
      <w:r>
        <w:rPr>
          <w:i/>
          <w:noProof/>
        </w:rPr>
        <w:t xml:space="preserve"> </w:t>
      </w:r>
      <w:r>
        <w:rPr>
          <w:noProof/>
        </w:rPr>
        <w:t>zbadanie wykonalności, zakresu i parametrów ewentualnych wspólnych standardów międzynarodowych”</w:t>
      </w:r>
      <w:r>
        <w:rPr>
          <w:rFonts w:eastAsia="Times New Roman"/>
          <w:noProof/>
          <w:vertAlign w:val="superscript"/>
          <w:lang w:eastAsia="en-GB"/>
        </w:rPr>
        <w:footnoteReference w:id="8"/>
      </w:r>
      <w:r>
        <w:rPr>
          <w:noProof/>
        </w:rPr>
        <w:t>. Rezolucja stworzyła podstawy przyszłych prac ONZ w tej dziedzinie. Wspierając prace Biura Wysokiego Komisarza ONZ ds. Praw Człowieka w zakresie monitorowania procesu wdrażania rezolucji, Komisja wykazała zaangażowanie w zwalczanie handlu narzędziami tortur.</w:t>
      </w:r>
    </w:p>
    <w:p>
      <w:pPr>
        <w:spacing w:before="100" w:beforeAutospacing="1"/>
        <w:jc w:val="both"/>
        <w:rPr>
          <w:rFonts w:eastAsia="Times New Roman"/>
          <w:noProof/>
          <w:color w:val="00B050"/>
          <w:lang w:eastAsia="en-GB"/>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1844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both"/>
      </w:pPr>
      <w:r>
        <w:rPr>
          <w:vertAlign w:val="superscript"/>
        </w:rPr>
        <w:footnoteRef/>
      </w:r>
      <w:r>
        <w:rPr>
          <w:vertAlign w:val="superscript"/>
        </w:rPr>
        <w:t xml:space="preserve"> </w:t>
      </w:r>
      <w:r>
        <w:t>Rozporządzenie w sprawie handlu niektórymi towarami, które mogłyby być użyte do wykonywania kary śmierci, tortur lub innego okrutnego, nieludzkiego lub poniżającego traktowania albo karania, przyjęto w dniu 30 lipca 2005 r. (rozporządzenie (WE) nr 1236/2005). Było ono kilkakrotnie zmieniane, po raz ostatni rozporządzeniem (UE) 2016/2134 z dnia 23 listopada 2016 r., a następnie ujednolicone jako rozporządzenie (UE) 2019/125 z dnia 16 stycznia 2019 r. (Dz.U. L 30 z 31.1.2019, s. 1).</w:t>
      </w:r>
    </w:p>
  </w:footnote>
  <w:footnote w:id="2">
    <w:p>
      <w:pPr>
        <w:pStyle w:val="FootnoteText"/>
        <w:jc w:val="both"/>
      </w:pPr>
      <w:r>
        <w:rPr>
          <w:vertAlign w:val="superscript"/>
        </w:rPr>
        <w:footnoteRef/>
      </w:r>
      <w:r>
        <w:rPr>
          <w:vertAlign w:val="superscript"/>
        </w:rPr>
        <w:t xml:space="preserve"> </w:t>
      </w:r>
      <w:r>
        <w:t>Rozporządzenie (UE) nr 258/2012 z dnia 14 marca 2012 r. wdrażające art. 10 Protokołu Narodów Zjednoczonych przeciwko nielegalnemu wytwarzaniu i obrotowi bronią palną, jej częściami i komponentami oraz amunicją, uzupełniającego Konwencję Narodów Zjednoczonych przeciwko międzynarodowej przestępczości zorganizowanej (protokół NZ w sprawie broni palnej), oraz ustanawiające zezwolenia na wywóz i środki dotyczące przywozu i tranzytu dla broni palnej, jej części i komponentów oraz amunicji, Dz.U. L 94 z 30.3.2012, s. 1.</w:t>
      </w:r>
    </w:p>
  </w:footnote>
  <w:footnote w:id="3">
    <w:p>
      <w:pPr>
        <w:pStyle w:val="FootnoteText"/>
        <w:jc w:val="both"/>
      </w:pPr>
      <w:r>
        <w:rPr>
          <w:sz w:val="22"/>
          <w:szCs w:val="22"/>
          <w:vertAlign w:val="superscript"/>
        </w:rPr>
        <w:footnoteRef/>
      </w:r>
      <w:r>
        <w:rPr>
          <w:sz w:val="22"/>
          <w:szCs w:val="22"/>
          <w:vertAlign w:val="superscript"/>
        </w:rPr>
        <w:t xml:space="preserve"> </w:t>
      </w:r>
      <w:r>
        <w:t>Rozporządzenie Rady (WE) nr 428/2009 z dnia 5 maja 2009 r. ustanawiające wspólnotowy system kontroli wywozu, transferu, pośrednictwa i tranzytu w odniesieniu do produktów podwójnego zastosowania, Dz.U. L 134 z 29.5.2009, s. 1.</w:t>
      </w:r>
    </w:p>
  </w:footnote>
  <w:footnote w:id="4">
    <w:p>
      <w:pPr>
        <w:pStyle w:val="FootnoteText"/>
        <w:jc w:val="both"/>
      </w:pPr>
      <w:r>
        <w:rPr>
          <w:vertAlign w:val="superscript"/>
        </w:rPr>
        <w:footnoteRef/>
      </w:r>
      <w:r>
        <w:t xml:space="preserve"> Wspólne stanowisko Rady 2008/944/WPZiB określające wspólne zasady kontroli wywozu technologii wojskowych i sprzętu wojskowego (WPZiB) (2020/C 85/01), Dz.U. C 85 z 13.3.2020, s. 1</w:t>
      </w:r>
      <w:r>
        <w:rPr>
          <w:rFonts w:ascii="Calibri" w:hAnsi="Calibri"/>
          <w:color w:val="44546A" w:themeColor="text2"/>
        </w:rPr>
        <w:t>.</w:t>
      </w:r>
    </w:p>
  </w:footnote>
  <w:footnote w:id="5">
    <w:p>
      <w:pPr>
        <w:pStyle w:val="FootnoteText"/>
        <w:ind w:left="709" w:hanging="709"/>
        <w:jc w:val="both"/>
      </w:pPr>
      <w:r>
        <w:rPr>
          <w:vertAlign w:val="superscript"/>
        </w:rPr>
        <w:footnoteRef/>
      </w:r>
      <w:r>
        <w:t xml:space="preserve"> Dz.U. L 123 z 12.5.2016, s. 1.</w:t>
      </w:r>
    </w:p>
  </w:footnote>
  <w:footnote w:id="6">
    <w:p>
      <w:pPr>
        <w:pStyle w:val="FootnoteText"/>
        <w:jc w:val="both"/>
      </w:pPr>
      <w:r>
        <w:rPr>
          <w:vertAlign w:val="superscript"/>
        </w:rPr>
        <w:footnoteRef/>
      </w:r>
      <w:r>
        <w:t xml:space="preserve"> Art. 2 Drugiego protokołu fakultatywnego do Międzynarodowego paktu praw obywatelskich i politycznych stanowi, że państwo może uczynić w momencie ratyfikacji lub przystąpienia zastrzeżenie, które przewiduje dopuszczalność stosowania kary śmierci w czasie wojny (w wyniku skazania za najpoważniejsze przestępstwo o charakterze wojskowym popełnione w czasie wojny).</w:t>
      </w:r>
    </w:p>
  </w:footnote>
  <w:footnote w:id="7">
    <w:p>
      <w:pPr>
        <w:pStyle w:val="FootnoteText"/>
        <w:jc w:val="both"/>
      </w:pPr>
      <w:r>
        <w:rPr>
          <w:rStyle w:val="FootnoteReference"/>
        </w:rPr>
        <w:footnoteRef/>
      </w:r>
      <w:r>
        <w:t xml:space="preserve"> Rozporządzenie (WE) 2018/181 z dnia 18 października 2017 r., którym dodano do wykazu Republikę Dominikańską, Wyspy Świętego Tomasza i Książęcą oraz Togo.</w:t>
      </w:r>
    </w:p>
  </w:footnote>
  <w:footnote w:id="8">
    <w:p>
      <w:pPr>
        <w:pStyle w:val="FootnoteText"/>
        <w:jc w:val="both"/>
      </w:pPr>
      <w:r>
        <w:rPr>
          <w:vertAlign w:val="superscript"/>
        </w:rPr>
        <w:footnoteRef/>
      </w:r>
      <w:r>
        <w:rPr>
          <w:vertAlign w:val="superscript"/>
        </w:rPr>
        <w:t xml:space="preserve"> </w:t>
      </w:r>
      <w:r>
        <w:t>Rezolucja A/73/L.94: „Zwalczanie handlu narzędziami tortur:</w:t>
      </w:r>
      <w:r>
        <w:rPr>
          <w:i/>
        </w:rPr>
        <w:t xml:space="preserve"> </w:t>
      </w:r>
      <w:r>
        <w:t>zbadanie wykonalności, zakresu i parametrów ewentualnych wspólnych standardów międzynarodowych”, przyjęta przez Zgromadzenie Ogólne Narodów Zjednoczonych w dniu 28 czerwca 2019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1094"/>
    <w:multiLevelType w:val="hybridMultilevel"/>
    <w:tmpl w:val="ACB41A52"/>
    <w:lvl w:ilvl="0" w:tplc="1BA25B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7447D"/>
    <w:multiLevelType w:val="multilevel"/>
    <w:tmpl w:val="C52EEA9C"/>
    <w:lvl w:ilvl="0">
      <w:start w:val="1"/>
      <w:numFmt w:val="decimal"/>
      <w:pStyle w:val="HeaderSensitivityRight"/>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6235FC"/>
    <w:multiLevelType w:val="hybridMultilevel"/>
    <w:tmpl w:val="F47A7C1C"/>
    <w:lvl w:ilvl="0" w:tplc="B57E49A0">
      <w:start w:val="1"/>
      <w:numFmt w:val="lowerRoman"/>
      <w:lvlText w:val="%1."/>
      <w:lvlJc w:val="righ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744AC"/>
    <w:multiLevelType w:val="hybridMultilevel"/>
    <w:tmpl w:val="BF000A60"/>
    <w:lvl w:ilvl="0" w:tplc="FEA238E2">
      <w:start w:val="1"/>
      <w:numFmt w:val="lowerRoman"/>
      <w:lvlText w:val="%1)"/>
      <w:lvlJc w:val="left"/>
      <w:pPr>
        <w:ind w:left="1080" w:hanging="72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D8B51F7-C27D-4693-9479-0C3771154DDC"/>
    <w:docVar w:name="LW_COVERPAGE_TYPE" w:val="1"/>
    <w:docVar w:name="LW_CROSSREFERENCE" w:val="&lt;UNUSED&gt;"/>
    <w:docVar w:name="LW_DocType" w:val="NORMAL"/>
    <w:docVar w:name="LW_EMISSION" w:val="14.12.2020"/>
    <w:docVar w:name="LW_EMISSION_ISODATE" w:val="2020-12-14"/>
    <w:docVar w:name="LW_EMISSION_LOCATION" w:val="BRX"/>
    <w:docVar w:name="LW_EMISSION_PREFIX" w:val="Bruksela, dnia "/>
    <w:docVar w:name="LW_EMISSION_SUFFIX" w:val=" r."/>
    <w:docVar w:name="LW_ID_DOCTYPE_NONLW" w:val="CP-003"/>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8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O PARLAMENTU EUROPEJSKIEGO_x000d__x000d__x000d__x000b__x000d__x000d__x000d__x000b__x000d__x000d__x000d__x000b_z dzia\u322?alno\u347?ci Grupy Koordynacyjnej ds. Przeciwdzia\u322?ania Torturom i przeprowadzonych przez ni\u261? konsultacji, o których mowa w art. 31 rozporz\u261?dzenia (UE) 2019/125 z dnia 16 stycznia 2019 r. w sprawie handlu niektórymi towarami, które mog\u322?yby by\u263? u\u380?yte do wykonywania kary \u347?mierci, tortur lub innego okrutnego, nieludzkiego lub poni\u380?aj\u261?cego traktowania albo karania"/>
    <w:docVar w:name="LW_TYPE.DOC.CP" w:val="SPRAWOZDANIE KOMISJ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nhideWhenUsed/>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rPr>
      <w:rFonts w:ascii="Times New Roman" w:hAnsi="Times New Roman" w:cs="Times New Roman"/>
      <w:sz w:val="20"/>
      <w:szCs w:val="20"/>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pl-P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pl-PL"/>
    </w:rPr>
  </w:style>
  <w:style w:type="paragraph" w:styleId="NormalWeb">
    <w:name w:val="Normal (Web)"/>
    <w:basedOn w:val="Normal"/>
    <w:uiPriority w:val="99"/>
    <w:unhideWhenUsed/>
    <w:pPr>
      <w:spacing w:after="150"/>
    </w:pPr>
    <w:rPr>
      <w:rFonts w:eastAsia="Times New Roman"/>
      <w:lang w:eastAsia="en-GB"/>
    </w:rPr>
  </w:style>
  <w:style w:type="paragraph" w:customStyle="1" w:styleId="Body">
    <w:name w:val="Body"/>
    <w:basedOn w:val="Normal"/>
    <w:link w:val="BodyChar"/>
    <w:qFormat/>
    <w:pPr>
      <w:spacing w:before="120" w:after="120"/>
      <w:jc w:val="both"/>
    </w:pPr>
    <w:rPr>
      <w:rFonts w:ascii="EC Square Sans Pro" w:eastAsia="Times New Roman" w:hAnsi="EC Square Sans Pro"/>
    </w:rPr>
  </w:style>
  <w:style w:type="character" w:customStyle="1" w:styleId="BodyChar">
    <w:name w:val="Body Char"/>
    <w:link w:val="Body"/>
    <w:rPr>
      <w:rFonts w:ascii="EC Square Sans Pro" w:eastAsia="Times New Roman" w:hAnsi="EC Square Sans Pro" w:cs="Times New Roman"/>
      <w:sz w:val="24"/>
      <w:szCs w:val="24"/>
      <w:lang w:val="pl-P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ListParagraphChar">
    <w:name w:val="List Paragraph Char"/>
    <w:basedOn w:val="DefaultParagraphFont"/>
    <w:link w:val="ListParagraph"/>
    <w:uiPriority w:val="34"/>
    <w:rPr>
      <w:rFonts w:ascii="Times New Roman" w:hAnsi="Times New Roman" w:cs="Times New Roman"/>
      <w:sz w:val="24"/>
      <w:szCs w:val="24"/>
      <w:lang w:val="pl-PL"/>
    </w:rPr>
  </w:style>
  <w:style w:type="character" w:customStyle="1" w:styleId="FooterCoverPageChar">
    <w:name w:val="Footer Cover Page Char"/>
    <w:basedOn w:val="ListParagraphChar"/>
    <w:link w:val="FooterCoverPage"/>
    <w:rPr>
      <w:rFonts w:ascii="Times New Roman" w:hAnsi="Times New Roman" w:cs="Times New Roman"/>
      <w:sz w:val="24"/>
      <w:szCs w:val="24"/>
      <w:lang w:val="pl-P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ListParagraphChar"/>
    <w:link w:val="FooterSensitivity"/>
    <w:rPr>
      <w:rFonts w:ascii="Times New Roman" w:hAnsi="Times New Roman" w:cs="Times New Roman"/>
      <w:b/>
      <w:sz w:val="32"/>
      <w:szCs w:val="24"/>
      <w:lang w:val="pl-PL"/>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ListParagraphChar"/>
    <w:link w:val="HeaderCoverPage"/>
    <w:rPr>
      <w:rFonts w:ascii="Times New Roman" w:hAnsi="Times New Roman" w:cs="Times New Roman"/>
      <w:sz w:val="24"/>
      <w:szCs w:val="24"/>
      <w:lang w:val="pl-P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ListParagraphChar"/>
    <w:link w:val="HeaderSensitivity"/>
    <w:rPr>
      <w:rFonts w:ascii="Times New Roman" w:hAnsi="Times New Roman" w:cs="Times New Roman"/>
      <w:b/>
      <w:sz w:val="32"/>
      <w:szCs w:val="24"/>
      <w:lang w:val="pl-PL"/>
    </w:rPr>
  </w:style>
  <w:style w:type="paragraph" w:customStyle="1" w:styleId="HeaderSensitivityRight">
    <w:name w:val="Header Sensitivity Right"/>
    <w:basedOn w:val="Normal"/>
    <w:link w:val="HeaderSensitivityRightChar"/>
    <w:pPr>
      <w:numPr>
        <w:numId w:val="1"/>
      </w:numPr>
      <w:spacing w:after="120"/>
      <w:ind w:left="0"/>
      <w:jc w:val="right"/>
    </w:pPr>
    <w:rPr>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szCs w:val="24"/>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nhideWhenUsed/>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rPr>
      <w:rFonts w:ascii="Times New Roman" w:hAnsi="Times New Roman" w:cs="Times New Roman"/>
      <w:sz w:val="20"/>
      <w:szCs w:val="20"/>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pl-P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pl-PL"/>
    </w:rPr>
  </w:style>
  <w:style w:type="paragraph" w:styleId="NormalWeb">
    <w:name w:val="Normal (Web)"/>
    <w:basedOn w:val="Normal"/>
    <w:uiPriority w:val="99"/>
    <w:unhideWhenUsed/>
    <w:pPr>
      <w:spacing w:after="150"/>
    </w:pPr>
    <w:rPr>
      <w:rFonts w:eastAsia="Times New Roman"/>
      <w:lang w:eastAsia="en-GB"/>
    </w:rPr>
  </w:style>
  <w:style w:type="paragraph" w:customStyle="1" w:styleId="Body">
    <w:name w:val="Body"/>
    <w:basedOn w:val="Normal"/>
    <w:link w:val="BodyChar"/>
    <w:qFormat/>
    <w:pPr>
      <w:spacing w:before="120" w:after="120"/>
      <w:jc w:val="both"/>
    </w:pPr>
    <w:rPr>
      <w:rFonts w:ascii="EC Square Sans Pro" w:eastAsia="Times New Roman" w:hAnsi="EC Square Sans Pro"/>
    </w:rPr>
  </w:style>
  <w:style w:type="character" w:customStyle="1" w:styleId="BodyChar">
    <w:name w:val="Body Char"/>
    <w:link w:val="Body"/>
    <w:rPr>
      <w:rFonts w:ascii="EC Square Sans Pro" w:eastAsia="Times New Roman" w:hAnsi="EC Square Sans Pro" w:cs="Times New Roman"/>
      <w:sz w:val="24"/>
      <w:szCs w:val="24"/>
      <w:lang w:val="pl-P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ListParagraphChar">
    <w:name w:val="List Paragraph Char"/>
    <w:basedOn w:val="DefaultParagraphFont"/>
    <w:link w:val="ListParagraph"/>
    <w:uiPriority w:val="34"/>
    <w:rPr>
      <w:rFonts w:ascii="Times New Roman" w:hAnsi="Times New Roman" w:cs="Times New Roman"/>
      <w:sz w:val="24"/>
      <w:szCs w:val="24"/>
      <w:lang w:val="pl-PL"/>
    </w:rPr>
  </w:style>
  <w:style w:type="character" w:customStyle="1" w:styleId="FooterCoverPageChar">
    <w:name w:val="Footer Cover Page Char"/>
    <w:basedOn w:val="ListParagraphChar"/>
    <w:link w:val="FooterCoverPage"/>
    <w:rPr>
      <w:rFonts w:ascii="Times New Roman" w:hAnsi="Times New Roman" w:cs="Times New Roman"/>
      <w:sz w:val="24"/>
      <w:szCs w:val="24"/>
      <w:lang w:val="pl-P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ListParagraphChar"/>
    <w:link w:val="FooterSensitivity"/>
    <w:rPr>
      <w:rFonts w:ascii="Times New Roman" w:hAnsi="Times New Roman" w:cs="Times New Roman"/>
      <w:b/>
      <w:sz w:val="32"/>
      <w:szCs w:val="24"/>
      <w:lang w:val="pl-PL"/>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ListParagraphChar"/>
    <w:link w:val="HeaderCoverPage"/>
    <w:rPr>
      <w:rFonts w:ascii="Times New Roman" w:hAnsi="Times New Roman" w:cs="Times New Roman"/>
      <w:sz w:val="24"/>
      <w:szCs w:val="24"/>
      <w:lang w:val="pl-P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ListParagraphChar"/>
    <w:link w:val="HeaderSensitivity"/>
    <w:rPr>
      <w:rFonts w:ascii="Times New Roman" w:hAnsi="Times New Roman" w:cs="Times New Roman"/>
      <w:b/>
      <w:sz w:val="32"/>
      <w:szCs w:val="24"/>
      <w:lang w:val="pl-PL"/>
    </w:rPr>
  </w:style>
  <w:style w:type="paragraph" w:customStyle="1" w:styleId="HeaderSensitivityRight">
    <w:name w:val="Header Sensitivity Right"/>
    <w:basedOn w:val="Normal"/>
    <w:link w:val="HeaderSensitivityRightChar"/>
    <w:pPr>
      <w:numPr>
        <w:numId w:val="1"/>
      </w:numPr>
      <w:spacing w:after="120"/>
      <w:ind w:left="0"/>
      <w:jc w:val="right"/>
    </w:pPr>
    <w:rPr>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szCs w:val="24"/>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b1fa9895b09e2b4c7f2f4e458e5ee26">
  <xsd:schema xmlns:xsd="http://www.w3.org/2001/XMLSchema" xmlns:xs="http://www.w3.org/2001/XMLSchema" xmlns:p="http://schemas.microsoft.com/office/2006/metadata/properties" xmlns:ns2="541a8a8b-b856-4d35-a5c7-7f2c0ec3d499" targetNamespace="http://schemas.microsoft.com/office/2006/metadata/properties" ma:root="true" ma:fieldsID="4e000a0c0ec7ccb5532d969111d19074"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1FCA-06F4-4F94-9A1E-9C8371F007EC}">
  <ds:schemaRefs>
    <ds:schemaRef ds:uri="http://schemas.microsoft.com/sharepoint/v3/contenttype/forms"/>
  </ds:schemaRefs>
</ds:datastoreItem>
</file>

<file path=customXml/itemProps2.xml><?xml version="1.0" encoding="utf-8"?>
<ds:datastoreItem xmlns:ds="http://schemas.openxmlformats.org/officeDocument/2006/customXml" ds:itemID="{DD26AA58-5102-453B-B1C0-9C00EA21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4D7BF-2FB1-4CA0-814A-20833CB0CE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www.w3.org/XML/1998/namespace"/>
    <ds:schemaRef ds:uri="http://purl.org/dc/dcmitype/"/>
  </ds:schemaRefs>
</ds:datastoreItem>
</file>

<file path=customXml/itemProps4.xml><?xml version="1.0" encoding="utf-8"?>
<ds:datastoreItem xmlns:ds="http://schemas.openxmlformats.org/officeDocument/2006/customXml" ds:itemID="{342E69D8-C5F5-41B7-93B9-F71B2BF2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1180</Words>
  <Characters>7942</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2020-12-10T08:41:00Z</dcterms:created>
  <dcterms:modified xsi:type="dcterms:W3CDTF">2020-12-14T11:39:00Z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CP-003</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ContentTypeId">
    <vt:lpwstr>0x010100087E4EC354ADFB40AC5D4FC129E379BA</vt:lpwstr>
  </property>
</Properties>
</file>