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1DCE5CD1-15CA-408F-8BC3-4179832F04B8" style="width:450.75pt;height:336.75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ListParagraph"/>
        <w:numPr>
          <w:ilvl w:val="0"/>
          <w:numId w:val="2"/>
        </w:numPr>
        <w:spacing w:line="276" w:lineRule="auto"/>
        <w:rPr>
          <w:rFonts w:ascii="Times New Roman" w:hAnsi="Times New Roman" w:cs="Times New Roman"/>
          <w:b/>
          <w:bCs/>
          <w:noProof/>
          <w:sz w:val="24"/>
          <w:szCs w:val="24"/>
        </w:rPr>
      </w:pPr>
      <w:bookmarkStart w:id="1" w:name="_GoBack"/>
      <w:bookmarkEnd w:id="1"/>
      <w:r>
        <w:rPr>
          <w:rFonts w:ascii="Times New Roman" w:hAnsi="Times New Roman"/>
          <w:b/>
          <w:bCs/>
          <w:noProof/>
          <w:sz w:val="24"/>
          <w:szCs w:val="24"/>
        </w:rPr>
        <w:lastRenderedPageBreak/>
        <w:t>ВЪВЕДЕНИЕ</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Съгласно член 25 от Договора за функционирането на Европейския съюз (ДФЕС) Комисията е длъжна на всеки три години да изготвя доклад до Европейския парламент, Съвета и Икономическия и социален комитет относно прилагането на разпоредбите (от част втора от Договора) относно недискриминацията и гражданството на Съюза</w:t>
      </w:r>
      <w:r>
        <w:rPr>
          <w:rStyle w:val="FootnoteReference"/>
          <w:rFonts w:ascii="Times New Roman" w:hAnsi="Times New Roman" w:cs="Times New Roman"/>
          <w:noProof/>
          <w:sz w:val="24"/>
          <w:szCs w:val="24"/>
          <w:lang w:val="en-IE"/>
        </w:rPr>
        <w:footnoteReference w:id="2"/>
      </w:r>
      <w:r>
        <w:rPr>
          <w:rFonts w:ascii="Times New Roman" w:hAnsi="Times New Roman"/>
          <w:noProof/>
          <w:sz w:val="24"/>
          <w:szCs w:val="24"/>
        </w:rPr>
        <w:t>. Настоящият девети доклад, представен съгласно член 25 от ДФЕС, обхваща периода от 1 юли 2016 г. до 30 юни 2020 г.</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В настоящия доклад се прави преглед на разпоредбите от част II от ДФЕС относно: i) гражданството на Съюза, ii) недискриминацията; iii) свободното движение и пребиваване на територията на държавите членки; iv) правото на гражданите да избират и да бъдат избирани на местни избори и на изборите за Европейски парламент в държавата членка, на територията на която пребивават; v) правото на консулска закрила; vii) правото на петиции до Европейския парламент; и vii) правото да отправят жалби до Омбудсмана. Настоящият доклад придружава Доклада за гражданството на ЕС — „Овластяване на гражданите и защита на техните права в трудни времена“.</w:t>
      </w:r>
    </w:p>
    <w:p>
      <w:pPr>
        <w:pStyle w:val="ListParagraph"/>
        <w:numPr>
          <w:ilvl w:val="0"/>
          <w:numId w:val="2"/>
        </w:numPr>
        <w:spacing w:line="276" w:lineRule="auto"/>
        <w:rPr>
          <w:rFonts w:ascii="Times New Roman" w:hAnsi="Times New Roman" w:cs="Times New Roman"/>
          <w:b/>
          <w:bCs/>
          <w:noProof/>
          <w:sz w:val="24"/>
          <w:szCs w:val="24"/>
        </w:rPr>
      </w:pPr>
      <w:r>
        <w:rPr>
          <w:rFonts w:ascii="Times New Roman" w:hAnsi="Times New Roman"/>
          <w:b/>
          <w:bCs/>
          <w:noProof/>
          <w:sz w:val="24"/>
          <w:szCs w:val="24"/>
        </w:rPr>
        <w:t>НЕДИСКРИМИНАЦИЯ НА ОСНОВАНИЕ ГРАЖДАНСТВО (ЧЛЕН 18 ОТ ДФЕС)</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С член 18 от ДФЕС</w:t>
      </w:r>
      <w:r>
        <w:rPr>
          <w:rStyle w:val="FootnoteReference"/>
          <w:rFonts w:ascii="Times New Roman" w:hAnsi="Times New Roman" w:cs="Times New Roman"/>
          <w:noProof/>
          <w:sz w:val="24"/>
          <w:szCs w:val="24"/>
          <w:lang w:val="en-GB"/>
        </w:rPr>
        <w:footnoteReference w:id="3"/>
      </w:r>
      <w:r>
        <w:rPr>
          <w:rFonts w:ascii="Times New Roman" w:hAnsi="Times New Roman"/>
          <w:noProof/>
          <w:sz w:val="24"/>
          <w:szCs w:val="24"/>
        </w:rPr>
        <w:t xml:space="preserve"> се забранява дискриминацията на основание гражданство в обхвата на приложението на Договорите</w:t>
      </w:r>
      <w:r>
        <w:rPr>
          <w:rStyle w:val="FootnoteReference"/>
          <w:rFonts w:ascii="Times New Roman" w:hAnsi="Times New Roman" w:cs="Times New Roman"/>
          <w:noProof/>
          <w:sz w:val="24"/>
          <w:szCs w:val="24"/>
          <w:lang w:val="en-GB"/>
        </w:rPr>
        <w:footnoteReference w:id="4"/>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През периода, обхванат от настоящия доклад, Съдът на Европейския съюз (Съдът) произнесе четири ключови решения, свързани с недискриминацията на гражданите на ЕС на основание гражданство, в областта на екстрадицията и спорта.</w:t>
      </w:r>
    </w:p>
    <w:p>
      <w:pPr>
        <w:pStyle w:val="ListParagraph"/>
        <w:spacing w:line="276" w:lineRule="auto"/>
        <w:ind w:left="360"/>
        <w:jc w:val="both"/>
        <w:rPr>
          <w:rFonts w:ascii="Times New Roman" w:hAnsi="Times New Roman" w:cs="Times New Roman"/>
          <w:b/>
          <w:bCs/>
          <w:noProof/>
          <w:sz w:val="24"/>
          <w:szCs w:val="24"/>
        </w:rPr>
      </w:pPr>
      <w:r>
        <w:rPr>
          <w:rFonts w:ascii="Times New Roman" w:hAnsi="Times New Roman"/>
          <w:b/>
          <w:bCs/>
          <w:noProof/>
          <w:sz w:val="24"/>
          <w:szCs w:val="24"/>
        </w:rPr>
        <w:t>2.1. Недискриминация на основание гражданство и екстрадиция на мобилни граждани на ЕС</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Трите решения на Съда относно недискриминация, основана на гражданство, и екстрадиция в трета държава на граждани на ЕС, пребиваващи в държава членка, различна от държавата членка на гражданството, бяха </w:t>
      </w:r>
      <w:r>
        <w:rPr>
          <w:rFonts w:ascii="Times New Roman" w:hAnsi="Times New Roman"/>
          <w:b/>
          <w:bCs/>
          <w:i/>
          <w:iCs/>
          <w:noProof/>
          <w:sz w:val="24"/>
          <w:szCs w:val="24"/>
        </w:rPr>
        <w:t>Petruhhin</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w:t>
      </w:r>
      <w:r>
        <w:rPr>
          <w:rFonts w:ascii="Times New Roman" w:hAnsi="Times New Roman"/>
          <w:b/>
          <w:bCs/>
          <w:i/>
          <w:iCs/>
          <w:noProof/>
          <w:sz w:val="24"/>
          <w:szCs w:val="24"/>
        </w:rPr>
        <w:t>Pisciotti</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и </w:t>
      </w:r>
      <w:r>
        <w:rPr>
          <w:rFonts w:ascii="Times New Roman" w:hAnsi="Times New Roman"/>
          <w:b/>
          <w:bCs/>
          <w:i/>
          <w:iCs/>
          <w:noProof/>
          <w:sz w:val="24"/>
          <w:szCs w:val="24"/>
        </w:rPr>
        <w:t>Raugevicius</w:t>
      </w:r>
      <w:r>
        <w:rPr>
          <w:rStyle w:val="FootnoteReference"/>
          <w:rFonts w:ascii="Times New Roman" w:hAnsi="Times New Roman" w:cs="Times New Roman"/>
          <w:noProof/>
          <w:sz w:val="24"/>
          <w:szCs w:val="24"/>
        </w:rPr>
        <w:footnoteReference w:id="7"/>
      </w:r>
      <w:r>
        <w:rPr>
          <w:rFonts w:ascii="Times New Roman" w:hAnsi="Times New Roman"/>
          <w:bCs/>
          <w:iCs/>
          <w:noProof/>
          <w:sz w:val="24"/>
          <w:szCs w:val="24"/>
        </w:rPr>
        <w:t>.</w:t>
      </w:r>
      <w:r>
        <w:rPr>
          <w:rFonts w:ascii="Times New Roman" w:hAnsi="Times New Roman"/>
          <w:b/>
          <w:bCs/>
          <w:i/>
          <w:iCs/>
          <w:noProof/>
          <w:sz w:val="24"/>
          <w:szCs w:val="24"/>
        </w:rPr>
        <w:t xml:space="preserve"> </w:t>
      </w:r>
      <w:r>
        <w:rPr>
          <w:rFonts w:ascii="Times New Roman" w:hAnsi="Times New Roman"/>
          <w:noProof/>
          <w:sz w:val="24"/>
          <w:szCs w:val="24"/>
        </w:rPr>
        <w:t>Във всеки от тези случаи се разглеждаше въпросът за взаимодействието между националните правила, изключващи екстрадирането на собствените граждани на приемащата държава членка, и принципа на ЕС за недискриминация на гражданите на ЕС на основание гражданство (член 18 от ДФЕС).</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Както делото </w:t>
      </w:r>
      <w:r>
        <w:rPr>
          <w:rFonts w:ascii="Times New Roman" w:hAnsi="Times New Roman"/>
          <w:i/>
          <w:noProof/>
          <w:sz w:val="24"/>
          <w:szCs w:val="24"/>
        </w:rPr>
        <w:t>Petruhhin,</w:t>
      </w:r>
      <w:r>
        <w:rPr>
          <w:rFonts w:ascii="Times New Roman" w:hAnsi="Times New Roman"/>
          <w:noProof/>
          <w:sz w:val="24"/>
          <w:szCs w:val="24"/>
        </w:rPr>
        <w:t xml:space="preserve"> така и делото </w:t>
      </w:r>
      <w:r>
        <w:rPr>
          <w:rFonts w:ascii="Times New Roman" w:hAnsi="Times New Roman"/>
          <w:i/>
          <w:noProof/>
          <w:sz w:val="24"/>
          <w:szCs w:val="24"/>
        </w:rPr>
        <w:t>Pisciotti</w:t>
      </w:r>
      <w:r>
        <w:rPr>
          <w:rFonts w:ascii="Times New Roman" w:hAnsi="Times New Roman"/>
          <w:noProof/>
          <w:sz w:val="24"/>
          <w:szCs w:val="24"/>
        </w:rPr>
        <w:t xml:space="preserve"> се отнасяха до екстрадицията на мобилни граждани на ЕС във връзка с наказателно преследване, докато делото </w:t>
      </w:r>
      <w:r>
        <w:rPr>
          <w:rFonts w:ascii="Times New Roman" w:hAnsi="Times New Roman"/>
          <w:i/>
          <w:noProof/>
          <w:sz w:val="24"/>
          <w:szCs w:val="24"/>
        </w:rPr>
        <w:t>Raugevicius</w:t>
      </w:r>
      <w:r>
        <w:rPr>
          <w:rFonts w:ascii="Times New Roman" w:hAnsi="Times New Roman"/>
          <w:noProof/>
          <w:sz w:val="24"/>
          <w:szCs w:val="24"/>
        </w:rPr>
        <w:t xml:space="preserve"> беше свързано с екстрадицията на мобилни граждани на ЕС с цел прилагане на присъда, постановена от съд в държава извън ЕС.</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Основните констатации на Съда по тези дела могат да се обобщят, както следва: Първо, Съдът постанови, че макар правилата в областта на екстрадицията да попадат в компетентността на държавата членка, когато между ЕС и трета държава не съществува международна конвенция, държавите членки трябва да упражняват своите национални правила в областта на екстрадицията при надлежно спазване на правото на ЕС в ситуации, които попадат в приложното поле на правото на Съюза</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Според Съда такъв е случаят, когато гражданин на ЕС се е възползвал от правата си на свободно движение (съгласно член 21 от ДФЕС), а националните правила в областта на екстрадицията биха могли да доведат до дискриминация на гражданите на ЕС, основана на гражданство (съгласно член 18 от ДФЕС)</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Второ, Съдът разгледа въпроса дали (международните) националните правила на държавите членки, които изключват </w:t>
      </w:r>
      <w:r>
        <w:rPr>
          <w:rFonts w:ascii="Times New Roman" w:hAnsi="Times New Roman"/>
          <w:i/>
          <w:iCs/>
          <w:noProof/>
          <w:sz w:val="24"/>
          <w:szCs w:val="24"/>
        </w:rPr>
        <w:t>само</w:t>
      </w:r>
      <w:r>
        <w:rPr>
          <w:rFonts w:ascii="Times New Roman" w:hAnsi="Times New Roman"/>
          <w:noProof/>
          <w:sz w:val="24"/>
          <w:szCs w:val="24"/>
        </w:rPr>
        <w:t xml:space="preserve"> екстрадицията на техните собствени граждани, биха били несъвместими с принципа за недопускане на дискриминация, залегнал в член 18 от ДФЕС. Съдът отбелязва, че подобни правила за екстрадиция въвеждат разлика в третирането на гражданите на ЕС в зависимост от гражданството и по този начин водят до ограничаване на свободното движение</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В съответствие с практиката на Съда такова ограничение би могло да бъде обосновано „само ако се основава на обективни съображения и е пропорционално на легитимно преследваната от националното право цел“</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Въпреки че Съдът признава, че целите на „международното наказателно сътрудничество“ и избягването на опасността от безнаказаност са легитимни</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тези национални разпоредби трябва да отговарят и на изискването за пропорционалност.</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В това отношение по делото </w:t>
      </w:r>
      <w:r>
        <w:rPr>
          <w:rFonts w:ascii="Times New Roman" w:hAnsi="Times New Roman"/>
          <w:i/>
          <w:iCs/>
          <w:noProof/>
          <w:sz w:val="24"/>
          <w:szCs w:val="24"/>
        </w:rPr>
        <w:t>Petruhhin</w:t>
      </w:r>
      <w:r>
        <w:rPr>
          <w:rFonts w:ascii="Times New Roman" w:hAnsi="Times New Roman"/>
          <w:noProof/>
          <w:sz w:val="24"/>
          <w:szCs w:val="24"/>
        </w:rPr>
        <w:t xml:space="preserve"> Съдът счете, че когато разглежда допускането на молбата за екстрадиция, държавата членка следва да прецени дали не съществуват алтернативни мерки, които в по-малка степен да засягат упражняването на основните свободи</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Въз основа на принципа на лоялно сътрудничество (член 4, параграф 3 от ДЕС) и вторичното законодателство на Съюза в областта на наказателното сътрудничество (по-специално европейската заповед за арест) Съдът достигна до следното заключение. Преди да бъде екстрадиран мобилен гражданин на ЕС, държавите членки трябва да обменят информация с държавата членка на гражданството, за да се предостави на органите на тази държава членка, „доколкото съгласно националното им право те са компетентни [извън националната територия]“, възможност да преследват мобилния гражданин на ЕС за престъпления, извършени в чужбина</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xml:space="preserve">. По делото </w:t>
      </w:r>
      <w:r>
        <w:rPr>
          <w:rFonts w:ascii="Times New Roman" w:hAnsi="Times New Roman"/>
          <w:i/>
          <w:iCs/>
          <w:noProof/>
          <w:sz w:val="24"/>
          <w:szCs w:val="24"/>
        </w:rPr>
        <w:t>Pisciotti</w:t>
      </w:r>
      <w:r>
        <w:rPr>
          <w:rFonts w:ascii="Times New Roman" w:hAnsi="Times New Roman"/>
          <w:noProof/>
          <w:sz w:val="24"/>
          <w:szCs w:val="24"/>
        </w:rPr>
        <w:t xml:space="preserve"> обаче Съдът уточни, че ако държавата членка на гражданството е била адекватно информирана, но въпреки това реши да не преследва собствения си гражданин за извършени извън националната ѝ територия престъпления, правото на ЕС не изключва екстрадирането му от „приемащата“ държава членка в трета държава</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Трето, според решението на Съда по делото </w:t>
      </w:r>
      <w:r>
        <w:rPr>
          <w:rFonts w:ascii="Times New Roman" w:hAnsi="Times New Roman"/>
          <w:i/>
          <w:iCs/>
          <w:noProof/>
          <w:sz w:val="24"/>
          <w:szCs w:val="24"/>
        </w:rPr>
        <w:t>Raugevicius</w:t>
      </w:r>
      <w:r>
        <w:rPr>
          <w:rFonts w:ascii="Times New Roman" w:hAnsi="Times New Roman"/>
          <w:noProof/>
          <w:sz w:val="24"/>
          <w:szCs w:val="24"/>
        </w:rPr>
        <w:t>, конфликтът между целта за избягване на опасността от безнаказаност за извършени престъпления и ограничаването на основна свобода, както и съответната необходимост от разглеждане на алтернативни мерки също са приложими по отношение на (молбите за) екстрадиция с цел изпълнение на (чуждестранни) наказания</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Въпреки че принципът </w:t>
      </w:r>
      <w:r>
        <w:rPr>
          <w:rFonts w:ascii="Times New Roman" w:hAnsi="Times New Roman"/>
          <w:i/>
          <w:iCs/>
          <w:noProof/>
          <w:sz w:val="24"/>
          <w:szCs w:val="24"/>
        </w:rPr>
        <w:t>ne bis in idem</w:t>
      </w:r>
      <w:r>
        <w:rPr>
          <w:rFonts w:ascii="Times New Roman" w:hAnsi="Times New Roman"/>
          <w:noProof/>
          <w:sz w:val="24"/>
          <w:szCs w:val="24"/>
        </w:rPr>
        <w:t xml:space="preserve"> би изключил държавата членка на гражданството да започне наказателно преследване срещу засегнатия мобилен гражданин на ЕС, международните инструменти и законодателството на (някои) държави членки предлагат алтернативни мерки (например изтърпяване на наказания, наложени от чуждестранни съдилища, в държавата членка на гражданството)</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Според Съда такива алтернативни възможности съответно биха могли да бъдат считани за приложими спрямо засегнатия мобилен гражданин на ЕС (независимо от ограниченията, основани на гражданство)</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w:t>
      </w:r>
    </w:p>
    <w:p>
      <w:pPr>
        <w:spacing w:line="276" w:lineRule="auto"/>
        <w:ind w:left="360"/>
        <w:jc w:val="both"/>
        <w:rPr>
          <w:rFonts w:ascii="Times New Roman" w:hAnsi="Times New Roman" w:cs="Times New Roman"/>
          <w:b/>
          <w:bCs/>
          <w:noProof/>
          <w:sz w:val="24"/>
          <w:szCs w:val="24"/>
        </w:rPr>
      </w:pPr>
      <w:r>
        <w:rPr>
          <w:rFonts w:ascii="Times New Roman" w:hAnsi="Times New Roman"/>
          <w:b/>
          <w:bCs/>
          <w:noProof/>
          <w:sz w:val="24"/>
          <w:szCs w:val="24"/>
        </w:rPr>
        <w:t>2.2. Недискриминация, основаваща се на гражданство, в аматьорския спорт</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Другото важно решение на Съда през периода, за който се отнася настоящият доклад, </w:t>
      </w:r>
      <w:r>
        <w:rPr>
          <w:rFonts w:ascii="Times New Roman" w:hAnsi="Times New Roman"/>
          <w:b/>
          <w:bCs/>
          <w:i/>
          <w:iCs/>
          <w:noProof/>
          <w:sz w:val="24"/>
          <w:szCs w:val="24"/>
        </w:rPr>
        <w:t>TopFit</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разглеждаше въпроса за недискриминацията на (мобилни) граждани на ЕС на основание гражданство в областта на аматьорския спорт</w:t>
      </w:r>
      <w:r>
        <w:rPr>
          <w:rStyle w:val="FootnoteReference"/>
          <w:rFonts w:ascii="Times New Roman" w:hAnsi="Times New Roman" w:cs="Times New Roman"/>
          <w:noProof/>
          <w:sz w:val="24"/>
          <w:szCs w:val="24"/>
          <w:lang w:val="en-IE"/>
        </w:rPr>
        <w:footnoteReference w:id="20"/>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Г-н Biffi е италиански гражданин, който живее в Германия и практикува бягане като аматьор в категорията за спортисти ветерани. Той членува в TopFit, спортно сдружение, което е член на Берлинската федерация по лека атлетика (Deutscher Leichtathletikverband, DLV). През 2015 г. промяна в правилата на DLV довежда до това, че мобилните граждани на ЕС в Германия като г-н Biffi са лишени от възможността да бъдат избирани за участници в националните шампионати или са допускани да участват в тези шампионати само „извън класирането“ или „без класиране“. По този начин те са лишени от възможността да се състезават за финалите и да им бъде присъдена титлата „национален шампион“, въпреки че отговарят на всички други условия за участие в шампионатите по лека атлетика.</w:t>
      </w:r>
      <w:r>
        <w:rPr>
          <w:noProof/>
        </w:rPr>
        <w:t xml:space="preserve">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Съдът се позовава на четири становища, за да отговори на преюдициалното запитване. Първо, Съдът, позовавайки се на неотдавнашното си решение по делото </w:t>
      </w:r>
      <w:r>
        <w:rPr>
          <w:rFonts w:ascii="Times New Roman" w:hAnsi="Times New Roman"/>
          <w:i/>
          <w:iCs/>
          <w:noProof/>
          <w:sz w:val="24"/>
          <w:szCs w:val="24"/>
        </w:rPr>
        <w:t>Raugevicius</w:t>
      </w:r>
      <w:r>
        <w:rPr>
          <w:rFonts w:ascii="Times New Roman" w:hAnsi="Times New Roman"/>
          <w:noProof/>
          <w:sz w:val="24"/>
          <w:szCs w:val="24"/>
        </w:rPr>
        <w:t>, отбелязва, че „положението на гражданин на Съюза, който е упражнил правото си на свободно движение, попада в приложното поле на член 18 от ДФЕС“, включително в областта на аматьорския спорт</w:t>
      </w:r>
      <w:r>
        <w:rPr>
          <w:rStyle w:val="FootnoteReference"/>
          <w:rFonts w:ascii="Times New Roman" w:hAnsi="Times New Roman" w:cs="Times New Roman"/>
          <w:noProof/>
          <w:sz w:val="24"/>
          <w:szCs w:val="24"/>
        </w:rPr>
        <w:footnoteReference w:id="21"/>
      </w:r>
      <w:r>
        <w:rPr>
          <w:rFonts w:ascii="Times New Roman" w:hAnsi="Times New Roman"/>
          <w:noProof/>
          <w:sz w:val="24"/>
          <w:szCs w:val="24"/>
        </w:rPr>
        <w:t>. Второ, основната свобода на движение на хора, предвидена в член 21 от ДФЕС, цели по-специално да стимулира „постепенното интегриране на съответния гражданин на Съюза в обществото на приемащата държава членка“, а участието в аматьорски спорт е важна част от процеса на приобщаване</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 Трето, в съответствие с предходната съдебна практика на ЕС Съдът отбелязва, че от правилата на националните (спортни) федерации също се изисква да бъдат в съответствие с правото на ЕС, включително Договорите</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Четвърто, приложимостта на членове 18 и 21 от ДФЕС по отношение на правилата на националните спортни федерации предполага, наред с другото, че правилата на националните спортни федерации, които могат да представляват ограничение на основна свобода, са несъвместими с правото на ЕС, освен ако тези правила не са „обосновани от обективни съображения, които са съразмерни на преследваната легитимна цел“</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w:t>
      </w:r>
    </w:p>
    <w:p>
      <w:pPr>
        <w:pStyle w:val="ListParagraph"/>
        <w:numPr>
          <w:ilvl w:val="0"/>
          <w:numId w:val="2"/>
        </w:numPr>
        <w:spacing w:line="276" w:lineRule="auto"/>
        <w:rPr>
          <w:rFonts w:ascii="Times New Roman" w:hAnsi="Times New Roman" w:cs="Times New Roman"/>
          <w:b/>
          <w:bCs/>
          <w:noProof/>
          <w:sz w:val="24"/>
          <w:szCs w:val="24"/>
        </w:rPr>
      </w:pPr>
      <w:r>
        <w:rPr>
          <w:rFonts w:ascii="Times New Roman" w:hAnsi="Times New Roman"/>
          <w:b/>
          <w:bCs/>
          <w:noProof/>
          <w:sz w:val="24"/>
          <w:szCs w:val="24"/>
        </w:rPr>
        <w:t>БОРБА С ДИСКРИМИНАЦИЯТА, ОСНОВАНА НА ПОЛА, РАСАТА ИЛИ ЕТНИЧЕСКИЯ ПРОИЗХОД, РЕЛИГИЯТА ИЛИ УБЕЖДЕНИЯТА, НАЛИЧИЕТО НА ФИЗИЧЕСКО ИЛИ УМСТВЕНО УВРЕЖДАНЕ, ВЪЗРАСТТА ИЛИ СЕКСУАЛНАТА ОРИЕНТАЦИЯ (ЧЛЕН 19 ОТ ДФЕС)</w:t>
      </w:r>
    </w:p>
    <w:p>
      <w:pPr>
        <w:pStyle w:val="ListParagraph"/>
        <w:numPr>
          <w:ilvl w:val="1"/>
          <w:numId w:val="2"/>
        </w:numPr>
        <w:spacing w:line="276" w:lineRule="auto"/>
        <w:rPr>
          <w:rFonts w:ascii="Times New Roman" w:hAnsi="Times New Roman" w:cs="Times New Roman"/>
          <w:b/>
          <w:bCs/>
          <w:noProof/>
          <w:sz w:val="24"/>
          <w:szCs w:val="24"/>
        </w:rPr>
      </w:pPr>
      <w:r>
        <w:rPr>
          <w:rFonts w:ascii="Times New Roman" w:hAnsi="Times New Roman"/>
          <w:b/>
          <w:bCs/>
          <w:noProof/>
          <w:sz w:val="24"/>
          <w:szCs w:val="24"/>
        </w:rPr>
        <w:t>Въведение</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Член 19 от ДФЕС гласи, че ЕС може да предприема необходимите мерки за борба с дискриминацията, основана на пола, расата или етническия произход, религията или убежденията, наличието на физическо или умствено увреждане, възрастта или сексуалната ориентация</w:t>
      </w:r>
      <w:r>
        <w:rPr>
          <w:rStyle w:val="FootnoteReference"/>
          <w:rFonts w:ascii="Times New Roman" w:hAnsi="Times New Roman" w:cs="Times New Roman"/>
          <w:noProof/>
          <w:sz w:val="24"/>
          <w:szCs w:val="24"/>
          <w:lang w:val="en-IE"/>
        </w:rPr>
        <w:footnoteReference w:id="25"/>
      </w:r>
      <w:r>
        <w:rPr>
          <w:rFonts w:ascii="Times New Roman" w:hAnsi="Times New Roman"/>
          <w:noProof/>
          <w:sz w:val="24"/>
          <w:szCs w:val="24"/>
        </w:rPr>
        <w:t>.</w:t>
      </w:r>
    </w:p>
    <w:p>
      <w:pPr>
        <w:spacing w:line="276" w:lineRule="auto"/>
        <w:jc w:val="both"/>
        <w:rPr>
          <w:rFonts w:ascii="Times New Roman" w:eastAsia="Times New Roman" w:hAnsi="Times New Roman" w:cs="Times New Roman"/>
          <w:noProof/>
          <w:sz w:val="24"/>
          <w:szCs w:val="24"/>
        </w:rPr>
      </w:pPr>
      <w:r>
        <w:rPr>
          <w:rFonts w:ascii="Times New Roman" w:hAnsi="Times New Roman"/>
          <w:noProof/>
          <w:sz w:val="24"/>
          <w:szCs w:val="24"/>
        </w:rPr>
        <w:t>През март 2019 г. Европейската комисия публикува годишния доклад за равенството между жените и мъжете, в който заключи, че дори в ЕС, където недвусмисленото равенство между половете е гарантирано от закона, равенството между жените и мъжете все още не е осезаема реалност</w:t>
      </w:r>
      <w:r>
        <w:rPr>
          <w:rStyle w:val="FootnoteReference"/>
          <w:rFonts w:ascii="Times New Roman" w:eastAsia="Times New Roman" w:hAnsi="Times New Roman" w:cs="Times New Roman"/>
          <w:noProof/>
          <w:sz w:val="24"/>
          <w:szCs w:val="24"/>
          <w:lang w:val="en-IE"/>
        </w:rPr>
        <w:footnoteReference w:id="26"/>
      </w:r>
      <w:r>
        <w:rPr>
          <w:rFonts w:ascii="Times New Roman" w:hAnsi="Times New Roman"/>
          <w:noProof/>
          <w:sz w:val="24"/>
          <w:szCs w:val="24"/>
        </w:rPr>
        <w:t>.</w:t>
      </w:r>
    </w:p>
    <w:p>
      <w:pPr>
        <w:spacing w:line="276" w:lineRule="auto"/>
        <w:jc w:val="both"/>
        <w:rPr>
          <w:rFonts w:ascii="Times New Roman" w:hAnsi="Times New Roman" w:cs="Times New Roman"/>
          <w:noProof/>
          <w:sz w:val="24"/>
          <w:szCs w:val="24"/>
          <w:highlight w:val="yellow"/>
        </w:rPr>
      </w:pPr>
      <w:r>
        <w:rPr>
          <w:rFonts w:ascii="Times New Roman" w:hAnsi="Times New Roman"/>
          <w:noProof/>
          <w:sz w:val="24"/>
          <w:szCs w:val="24"/>
        </w:rPr>
        <w:t>След публикуването на списъка с действия за постигане на напредък по отношение на равнопоставеността на ЛГБТИ през декември 2015 г., който включваше дейностите, предвидени от Комисията в различни области на политиката през периода 2016—2019 г.</w:t>
      </w:r>
      <w:r>
        <w:rPr>
          <w:rStyle w:val="FootnoteReference"/>
          <w:rFonts w:ascii="Times New Roman" w:eastAsia="Times New Roman" w:hAnsi="Times New Roman" w:cs="Times New Roman"/>
          <w:noProof/>
          <w:sz w:val="24"/>
          <w:szCs w:val="24"/>
          <w:lang w:val="en-IE"/>
        </w:rPr>
        <w:footnoteReference w:id="27"/>
      </w:r>
      <w:r>
        <w:rPr>
          <w:rFonts w:ascii="Times New Roman" w:hAnsi="Times New Roman"/>
          <w:noProof/>
          <w:sz w:val="24"/>
          <w:szCs w:val="24"/>
        </w:rPr>
        <w:t>, през февруари 2017 г. Комисията публикува първия годишен доклад относно списъка с действия за постигане на напредък във връзка с равнопоставеността на ЛГБТИ, обхващащ 2016 г. Вторият и третият доклад излязоха съответно през 2018 г. и 2019 г., а през май 2020 г. беше публикуван окончателният доклад, обхващащ мерките, предприети през 2019 г</w:t>
      </w:r>
      <w:r>
        <w:rPr>
          <w:rStyle w:val="FootnoteReference"/>
          <w:rFonts w:ascii="Times New Roman" w:eastAsia="Times New Roman" w:hAnsi="Times New Roman" w:cs="Times New Roman"/>
          <w:noProof/>
          <w:sz w:val="24"/>
          <w:szCs w:val="24"/>
          <w:lang w:val="en-IE"/>
        </w:rPr>
        <w:footnoteReference w:id="28"/>
      </w:r>
      <w:r>
        <w:rPr>
          <w:rFonts w:ascii="Times New Roman" w:hAnsi="Times New Roman"/>
          <w:noProof/>
          <w:sz w:val="24"/>
          <w:szCs w:val="24"/>
        </w:rPr>
        <w:t xml:space="preserve">. </w:t>
      </w:r>
    </w:p>
    <w:p>
      <w:pPr>
        <w:spacing w:line="276" w:lineRule="auto"/>
        <w:jc w:val="both"/>
        <w:rPr>
          <w:rFonts w:ascii="Times New Roman" w:hAnsi="Times New Roman" w:cs="Times New Roman"/>
          <w:noProof/>
          <w:spacing w:val="6"/>
          <w:sz w:val="24"/>
          <w:szCs w:val="24"/>
          <w:highlight w:val="yellow"/>
        </w:rPr>
      </w:pPr>
      <w:r>
        <w:rPr>
          <w:rFonts w:ascii="Times New Roman" w:hAnsi="Times New Roman"/>
          <w:noProof/>
          <w:spacing w:val="6"/>
          <w:sz w:val="24"/>
          <w:szCs w:val="24"/>
        </w:rPr>
        <w:t>През ноември 2018 г. Комисията изготви заключителните документи въз основа на разискванията в рамките на посветените на въпросите на антициганизма и афрофобията заседания, проведени от Групата на ЕС на високо равнище за борба с расизма, ксенофобията и другите форми на нетърпимост по време на нейната четвърта среща на 5 декември 2017 г</w:t>
      </w:r>
      <w:r>
        <w:rPr>
          <w:rStyle w:val="FootnoteReference"/>
          <w:rFonts w:ascii="Times New Roman" w:eastAsia="Times New Roman" w:hAnsi="Times New Roman" w:cs="Times New Roman"/>
          <w:noProof/>
          <w:spacing w:val="6"/>
          <w:sz w:val="24"/>
          <w:szCs w:val="24"/>
          <w:lang w:val="en-IE"/>
        </w:rPr>
        <w:footnoteReference w:id="29"/>
      </w:r>
      <w:r>
        <w:rPr>
          <w:rFonts w:ascii="Times New Roman" w:hAnsi="Times New Roman"/>
          <w:noProof/>
          <w:spacing w:val="6"/>
          <w:sz w:val="24"/>
          <w:szCs w:val="24"/>
        </w:rPr>
        <w:t>. Тя изготви също и насоки относно практическото прилагане на Рамково решение 2008/913/ПВР на Съвета относно борбата с определени форми и прояви на расизъм и ксенофобия посредством наказателното право</w:t>
      </w:r>
      <w:r>
        <w:rPr>
          <w:rStyle w:val="FootnoteReference"/>
          <w:rFonts w:ascii="Times New Roman" w:eastAsia="Times New Roman" w:hAnsi="Times New Roman" w:cs="Times New Roman"/>
          <w:noProof/>
          <w:spacing w:val="6"/>
          <w:sz w:val="24"/>
          <w:szCs w:val="24"/>
          <w:lang w:val="en-IE"/>
        </w:rPr>
        <w:footnoteReference w:id="30"/>
      </w:r>
      <w:r>
        <w:rPr>
          <w:rFonts w:ascii="Times New Roman" w:hAnsi="Times New Roman"/>
          <w:noProof/>
          <w:spacing w:val="6"/>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През декември 2018 г. Европейската комисия публикува оценка на Рамката на ЕС за национални стратегии за интегриране на ромите до 2020 г.</w:t>
      </w:r>
      <w:r>
        <w:rPr>
          <w:rStyle w:val="FootnoteReference"/>
          <w:rFonts w:ascii="Times New Roman" w:eastAsia="Times New Roman" w:hAnsi="Times New Roman" w:cs="Times New Roman"/>
          <w:noProof/>
          <w:sz w:val="24"/>
          <w:szCs w:val="24"/>
          <w:lang w:val="en-IE"/>
        </w:rPr>
        <w:footnoteReference w:id="31"/>
      </w:r>
      <w:r>
        <w:rPr>
          <w:rFonts w:ascii="Times New Roman" w:hAnsi="Times New Roman"/>
          <w:noProof/>
          <w:sz w:val="24"/>
          <w:szCs w:val="24"/>
        </w:rPr>
        <w:t>. При оценката бяха разгледани рамката на ЕС и начинът, по който с нея се мобилизират други европейски политики, правни и финансови инструменти за приобщаване на ромите. През септември 2019 г. Комисията публикува и доклад с акцент върху изпълнението на мерките за приобщаване на ромите на национално равнище</w:t>
      </w:r>
      <w:r>
        <w:rPr>
          <w:rStyle w:val="FootnoteReference"/>
          <w:rFonts w:ascii="Times New Roman" w:eastAsia="Times New Roman" w:hAnsi="Times New Roman" w:cs="Times New Roman"/>
          <w:noProof/>
          <w:sz w:val="24"/>
          <w:szCs w:val="24"/>
          <w:lang w:val="en-IE"/>
        </w:rPr>
        <w:footnoteReference w:id="32"/>
      </w:r>
      <w:r>
        <w:rPr>
          <w:rFonts w:ascii="Times New Roman" w:hAnsi="Times New Roman"/>
          <w:noProof/>
          <w:sz w:val="24"/>
          <w:szCs w:val="24"/>
        </w:rPr>
        <w:t>.</w:t>
      </w:r>
    </w:p>
    <w:p>
      <w:pPr>
        <w:spacing w:line="276"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Комисията стартира през 2019 г. и провежда до декември 2020 г. </w:t>
      </w:r>
      <w:hyperlink r:id="rId19" w:history="1">
        <w:r>
          <w:rPr>
            <w:rFonts w:ascii="Times New Roman" w:hAnsi="Times New Roman"/>
            <w:noProof/>
            <w:sz w:val="24"/>
            <w:szCs w:val="24"/>
          </w:rPr>
          <w:t>кампанията #EuvsDiscrimination</w:t>
        </w:r>
      </w:hyperlink>
      <w:r>
        <w:rPr>
          <w:rStyle w:val="FootnoteReference"/>
          <w:rFonts w:ascii="Times New Roman" w:eastAsia="Times New Roman" w:hAnsi="Times New Roman" w:cs="Times New Roman"/>
          <w:noProof/>
          <w:sz w:val="24"/>
          <w:szCs w:val="24"/>
          <w:lang w:val="en-IE"/>
        </w:rPr>
        <w:footnoteReference w:id="33"/>
      </w:r>
      <w:r>
        <w:rPr>
          <w:noProof/>
        </w:rPr>
        <w:t>,</w:t>
      </w:r>
      <w:r>
        <w:rPr>
          <w:rFonts w:ascii="Times New Roman" w:hAnsi="Times New Roman"/>
          <w:noProof/>
          <w:sz w:val="24"/>
          <w:szCs w:val="24"/>
        </w:rPr>
        <w:t xml:space="preserve"> насочена срещу дискриминацията на работното място въз основа на възраст, пол, увреждания, етнически или расов произход, религия или убеждения, или сексуална ориентация, която е забранена от законодателството на ЕС за борба с дискриминацията</w:t>
      </w:r>
      <w:r>
        <w:rPr>
          <w:rStyle w:val="FootnoteReference"/>
          <w:rFonts w:ascii="Times New Roman" w:eastAsia="Times New Roman" w:hAnsi="Times New Roman" w:cs="Times New Roman"/>
          <w:noProof/>
          <w:sz w:val="24"/>
          <w:szCs w:val="24"/>
          <w:lang w:val="en-IE"/>
        </w:rPr>
        <w:footnoteReference w:id="34"/>
      </w:r>
      <w:r>
        <w:rPr>
          <w:rFonts w:ascii="Times New Roman" w:hAnsi="Times New Roman"/>
          <w:noProof/>
          <w:sz w:val="24"/>
          <w:szCs w:val="24"/>
        </w:rPr>
        <w:t>.</w:t>
      </w:r>
    </w:p>
    <w:p>
      <w:pPr>
        <w:pStyle w:val="ListParagraph"/>
        <w:numPr>
          <w:ilvl w:val="1"/>
          <w:numId w:val="2"/>
        </w:numPr>
        <w:spacing w:line="276" w:lineRule="auto"/>
        <w:rPr>
          <w:rFonts w:ascii="Times New Roman" w:hAnsi="Times New Roman" w:cs="Times New Roman"/>
          <w:b/>
          <w:bCs/>
          <w:noProof/>
          <w:sz w:val="24"/>
          <w:szCs w:val="24"/>
        </w:rPr>
      </w:pPr>
      <w:r>
        <w:rPr>
          <w:rFonts w:ascii="Times New Roman" w:hAnsi="Times New Roman"/>
          <w:b/>
          <w:bCs/>
          <w:noProof/>
          <w:sz w:val="24"/>
          <w:szCs w:val="24"/>
        </w:rPr>
        <w:t>Развитие на съдебната практика</w:t>
      </w:r>
    </w:p>
    <w:p>
      <w:pPr>
        <w:spacing w:line="276"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Що се отнася до свободата на вероизповедание, следва да се отбележи решението на Съда от 22 януари 2019 г. по делото </w:t>
      </w:r>
      <w:r>
        <w:rPr>
          <w:rFonts w:ascii="Times New Roman" w:hAnsi="Times New Roman"/>
          <w:i/>
          <w:noProof/>
          <w:sz w:val="24"/>
          <w:szCs w:val="24"/>
        </w:rPr>
        <w:t>Cresco Investigation</w:t>
      </w:r>
      <w:r>
        <w:rPr>
          <w:rFonts w:ascii="Times New Roman" w:hAnsi="Times New Roman"/>
          <w:noProof/>
          <w:sz w:val="24"/>
          <w:szCs w:val="24"/>
        </w:rPr>
        <w:t xml:space="preserve"> (C-193/17, EU:C:2019:43). Съдът приема, че национално законодателство, съгласно което, първо, Разпети петък е официален празник само за работниците, членове на някои християнски църкви, и второ, единствено тези работници, ако са задължени да работят на този официален празник, имат право на обезщетение за работа на ден на официален празник, създава пряка дискриминация, основана на религия.</w:t>
      </w:r>
    </w:p>
    <w:p>
      <w:pPr>
        <w:pStyle w:val="ListParagraph"/>
        <w:spacing w:line="276" w:lineRule="auto"/>
        <w:ind w:left="792"/>
        <w:rPr>
          <w:rFonts w:ascii="Times New Roman" w:hAnsi="Times New Roman" w:cs="Times New Roman"/>
          <w:b/>
          <w:noProof/>
          <w:sz w:val="24"/>
          <w:szCs w:val="24"/>
        </w:rPr>
      </w:pPr>
    </w:p>
    <w:p>
      <w:pPr>
        <w:pStyle w:val="ListParagraph"/>
        <w:numPr>
          <w:ilvl w:val="0"/>
          <w:numId w:val="2"/>
        </w:numPr>
        <w:spacing w:line="276" w:lineRule="auto"/>
        <w:rPr>
          <w:rFonts w:ascii="Times New Roman" w:hAnsi="Times New Roman" w:cs="Times New Roman"/>
          <w:b/>
          <w:bCs/>
          <w:noProof/>
          <w:sz w:val="24"/>
          <w:szCs w:val="24"/>
        </w:rPr>
      </w:pPr>
      <w:r>
        <w:rPr>
          <w:rFonts w:ascii="Times New Roman" w:hAnsi="Times New Roman"/>
          <w:b/>
          <w:bCs/>
          <w:noProof/>
          <w:sz w:val="24"/>
          <w:szCs w:val="24"/>
        </w:rPr>
        <w:t>ГРАЖДАНСТВО НА СЪЮЗА (ЧЛЕН 20, ПАРАГРАФ 1 ОТ ДФЕС)</w:t>
      </w:r>
    </w:p>
    <w:p>
      <w:pPr>
        <w:pStyle w:val="ListParagraph"/>
        <w:numPr>
          <w:ilvl w:val="1"/>
          <w:numId w:val="2"/>
        </w:numPr>
        <w:spacing w:line="276" w:lineRule="auto"/>
        <w:rPr>
          <w:rFonts w:ascii="Times New Roman" w:hAnsi="Times New Roman" w:cs="Times New Roman"/>
          <w:b/>
          <w:bCs/>
          <w:noProof/>
          <w:sz w:val="24"/>
          <w:szCs w:val="24"/>
        </w:rPr>
      </w:pPr>
      <w:r>
        <w:rPr>
          <w:rFonts w:ascii="Times New Roman" w:hAnsi="Times New Roman"/>
          <w:b/>
          <w:bCs/>
          <w:noProof/>
          <w:sz w:val="24"/>
          <w:szCs w:val="24"/>
        </w:rPr>
        <w:t>Въведение</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В член 20 от ДФЕС се предвижда, че всяко лице, което притежава гражданство на държава — членка на ЕС, е също и гражданин на Съюза. Гражданството на Съюза се добавя към националното гражданство, а не го замества. Макар че всяка държава членка сама определя условията за придобиването и загубването на гражданство при надлежно спазване на правото на ЕС</w:t>
      </w:r>
      <w:r>
        <w:rPr>
          <w:rStyle w:val="FootnoteReference"/>
          <w:rFonts w:ascii="Times New Roman" w:hAnsi="Times New Roman" w:cs="Times New Roman"/>
          <w:noProof/>
          <w:sz w:val="24"/>
          <w:szCs w:val="24"/>
          <w:lang w:val="en-GB"/>
        </w:rPr>
        <w:footnoteReference w:id="35"/>
      </w:r>
      <w:r>
        <w:rPr>
          <w:rFonts w:ascii="Times New Roman" w:hAnsi="Times New Roman"/>
          <w:noProof/>
          <w:sz w:val="24"/>
          <w:szCs w:val="24"/>
        </w:rPr>
        <w:t>, предоставянето на гражданство на дадена държава членка води и до предоставяне на гражданство на ЕС и произтичащите от него права, които могат да се упражняват навсякъде в Съюза. Поради това Комисията счита, че държавите членки следва да използват своя прерогатив за предоставяне на гражданство в дух на лоялно сътрудничество, както се изисква в Договорите.</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Европейската комисия предприе редица действия по отношение на придобиването и загубването на гражданство на ЕС, по-специално по въпроса за режимите за „гражданство срещу инвестиции“ в ЕС, с които се предоставя право на гражданство на гражданите на държави извън Съюза в замяна на инвестиции. </w:t>
      </w:r>
    </w:p>
    <w:p>
      <w:pPr>
        <w:spacing w:line="276" w:lineRule="auto"/>
        <w:jc w:val="both"/>
        <w:rPr>
          <w:rFonts w:ascii="Times New Roman" w:eastAsia="Times New Roman" w:hAnsi="Times New Roman" w:cs="Times New Roman"/>
          <w:noProof/>
          <w:sz w:val="24"/>
          <w:szCs w:val="24"/>
        </w:rPr>
      </w:pPr>
      <w:r>
        <w:rPr>
          <w:rFonts w:ascii="Times New Roman" w:hAnsi="Times New Roman"/>
          <w:noProof/>
          <w:sz w:val="24"/>
          <w:szCs w:val="24"/>
        </w:rPr>
        <w:t>През януари 2019 г. Комисията изготви доклада „Режими за предоставяне на гражданство и право на пребиваване в ЕС“</w:t>
      </w:r>
      <w:r>
        <w:rPr>
          <w:rStyle w:val="FootnoteReference"/>
          <w:rFonts w:ascii="Times New Roman" w:eastAsia="Times New Roman" w:hAnsi="Times New Roman" w:cs="Times New Roman"/>
          <w:noProof/>
          <w:sz w:val="24"/>
          <w:szCs w:val="24"/>
          <w:lang w:val="en-GB"/>
        </w:rPr>
        <w:footnoteReference w:id="36"/>
      </w:r>
      <w:r>
        <w:rPr>
          <w:rFonts w:ascii="Times New Roman" w:hAnsi="Times New Roman"/>
          <w:noProof/>
          <w:sz w:val="24"/>
          <w:szCs w:val="24"/>
        </w:rPr>
        <w:t xml:space="preserve">, в който се анализират съществуващите режими за получаване на гражданство и на право на пребиваване в държавите от ЕС срещу инвестиции и се подчертават редица проблеми и рискове, които тези режими представляват за Съюза. </w:t>
      </w:r>
    </w:p>
    <w:p>
      <w:pPr>
        <w:spacing w:line="276" w:lineRule="auto"/>
        <w:jc w:val="both"/>
        <w:rPr>
          <w:rFonts w:ascii="Times New Roman" w:eastAsia="Calibri Light" w:hAnsi="Times New Roman" w:cs="Times New Roman"/>
          <w:noProof/>
          <w:sz w:val="24"/>
          <w:szCs w:val="24"/>
        </w:rPr>
      </w:pPr>
      <w:r>
        <w:rPr>
          <w:rFonts w:ascii="Times New Roman" w:hAnsi="Times New Roman"/>
          <w:noProof/>
          <w:sz w:val="24"/>
          <w:szCs w:val="24"/>
        </w:rPr>
        <w:t>След този доклад Комисията създаде „група от експерти от държавите членки в областта на режимите за предоставяне на гражданство и право на пребиваване“, която i) да разгледа специфичните рискове, които произтичат от режимите за гражданство срещу инвестиции; ii) да изготви до края на 2019 г. общ набор от проверки за сигурност; и iii) да обърне внимание на аспектите на прозрачността и доброто управление при прилагането както на режимите за предоставяне на гражданство, така и на тези за право на пребиваване срещу инвестиции</w:t>
      </w:r>
      <w:r>
        <w:rPr>
          <w:rStyle w:val="FootnoteReference"/>
          <w:rFonts w:ascii="Times New Roman" w:eastAsia="Times New Roman" w:hAnsi="Times New Roman" w:cs="Times New Roman"/>
          <w:noProof/>
          <w:sz w:val="24"/>
          <w:szCs w:val="24"/>
          <w:lang w:val="en-GB"/>
        </w:rPr>
        <w:footnoteReference w:id="37"/>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През периода, обхванат от настоящия доклад, Комисията разгледа 98 жалби на граждани, почти 1400 писма/индивидуални запитвания, 48 въпроса и 10 петиции от Европейския парламент в областта на гражданството на ЕС и произтичащите от него права, отнасящи се главно до информация относно последиците от излизането на Обединеното кралство от ЕС за правата, свързани с гражданството на Съюза.</w:t>
      </w:r>
    </w:p>
    <w:p>
      <w:pPr>
        <w:pStyle w:val="ListParagraph"/>
        <w:numPr>
          <w:ilvl w:val="1"/>
          <w:numId w:val="2"/>
        </w:numPr>
        <w:spacing w:line="276" w:lineRule="auto"/>
        <w:jc w:val="both"/>
        <w:rPr>
          <w:rFonts w:ascii="Times New Roman" w:hAnsi="Times New Roman" w:cs="Times New Roman"/>
          <w:b/>
          <w:bCs/>
          <w:noProof/>
          <w:sz w:val="24"/>
          <w:szCs w:val="24"/>
        </w:rPr>
      </w:pPr>
      <w:r>
        <w:rPr>
          <w:rFonts w:ascii="Times New Roman" w:hAnsi="Times New Roman"/>
          <w:b/>
          <w:bCs/>
          <w:noProof/>
          <w:sz w:val="24"/>
          <w:szCs w:val="24"/>
        </w:rPr>
        <w:t>Развитие на съдебната практика</w:t>
      </w:r>
    </w:p>
    <w:p>
      <w:pPr>
        <w:spacing w:line="276" w:lineRule="auto"/>
        <w:jc w:val="both"/>
        <w:rPr>
          <w:rFonts w:ascii="Times New Roman" w:eastAsia="Times New Roman" w:hAnsi="Times New Roman" w:cs="Times New Roman"/>
          <w:noProof/>
          <w:sz w:val="24"/>
          <w:szCs w:val="24"/>
        </w:rPr>
      </w:pPr>
      <w:r>
        <w:rPr>
          <w:rFonts w:ascii="Times New Roman" w:hAnsi="Times New Roman"/>
          <w:noProof/>
          <w:sz w:val="24"/>
          <w:szCs w:val="24"/>
        </w:rPr>
        <w:t>В периода 2016—2019 г. Съдът разгледа 29 дела, отнасящи се до гражданство на ЕС, включително дела за дискриминация на основание гражданство, загуба на гражданство на ЕС поради загуба на гражданство на държава членка или производни права на пребиваване на граждани на трети държави, които са членове на семейството на гражданин на ЕС</w:t>
      </w:r>
      <w:r>
        <w:rPr>
          <w:rStyle w:val="FootnoteReference"/>
          <w:rFonts w:ascii="Times New Roman" w:eastAsia="Times New Roman" w:hAnsi="Times New Roman" w:cs="Times New Roman"/>
          <w:noProof/>
          <w:sz w:val="24"/>
          <w:szCs w:val="24"/>
          <w:lang w:val="en-GB"/>
        </w:rPr>
        <w:footnoteReference w:id="38"/>
      </w:r>
      <w:r>
        <w:rPr>
          <w:rFonts w:ascii="Times New Roman" w:hAnsi="Times New Roman"/>
          <w:noProof/>
          <w:sz w:val="24"/>
          <w:szCs w:val="24"/>
        </w:rPr>
        <w:t xml:space="preserve">. </w:t>
      </w:r>
    </w:p>
    <w:p>
      <w:pPr>
        <w:spacing w:line="276" w:lineRule="auto"/>
        <w:jc w:val="both"/>
        <w:rPr>
          <w:rFonts w:ascii="Times New Roman" w:eastAsia="Calibri Light" w:hAnsi="Times New Roman" w:cs="Times New Roman"/>
          <w:noProof/>
          <w:sz w:val="24"/>
          <w:szCs w:val="24"/>
        </w:rPr>
      </w:pPr>
      <w:r>
        <w:rPr>
          <w:rFonts w:ascii="Times New Roman" w:hAnsi="Times New Roman"/>
          <w:noProof/>
          <w:sz w:val="24"/>
          <w:szCs w:val="24"/>
        </w:rPr>
        <w:t xml:space="preserve">По делото </w:t>
      </w:r>
      <w:r>
        <w:rPr>
          <w:rFonts w:ascii="Times New Roman" w:hAnsi="Times New Roman"/>
          <w:b/>
          <w:bCs/>
          <w:i/>
          <w:iCs/>
          <w:noProof/>
          <w:sz w:val="24"/>
          <w:szCs w:val="24"/>
        </w:rPr>
        <w:t>Tjebbes и други</w:t>
      </w:r>
      <w:r>
        <w:rPr>
          <w:rStyle w:val="FootnoteReference"/>
          <w:rFonts w:ascii="Times New Roman" w:eastAsia="Times New Roman" w:hAnsi="Times New Roman" w:cs="Times New Roman"/>
          <w:noProof/>
          <w:sz w:val="24"/>
          <w:szCs w:val="24"/>
          <w:lang w:val="en-GB"/>
        </w:rPr>
        <w:footnoteReference w:id="39"/>
      </w:r>
      <w:r>
        <w:rPr>
          <w:rFonts w:ascii="Times New Roman" w:hAnsi="Times New Roman"/>
          <w:noProof/>
          <w:sz w:val="24"/>
          <w:szCs w:val="24"/>
        </w:rPr>
        <w:t xml:space="preserve"> Съдът потвърди легитимността като цяло на целта на държавите членки да гарантират, че съществува действителна връзка между държавата и гражданите ѝ. Тази легитимност обаче не освобождава държавите членки от задължението да гарантират, че (в отделни случаи) загубването на гражданството на държавите членки </w:t>
      </w:r>
      <w:r>
        <w:rPr>
          <w:rFonts w:ascii="Times New Roman" w:hAnsi="Times New Roman"/>
          <w:i/>
          <w:iCs/>
          <w:noProof/>
          <w:sz w:val="24"/>
          <w:szCs w:val="24"/>
        </w:rPr>
        <w:t>ex lege</w:t>
      </w:r>
      <w:r>
        <w:rPr>
          <w:rFonts w:ascii="Times New Roman" w:hAnsi="Times New Roman"/>
          <w:noProof/>
          <w:sz w:val="24"/>
          <w:szCs w:val="24"/>
        </w:rPr>
        <w:t xml:space="preserve"> е съобразено с принципа на пропорционалност, когато загубата на гражданство би довела до загубване на статута на гражданин на Съюза и произтичащите от това права</w:t>
      </w:r>
      <w:r>
        <w:rPr>
          <w:rStyle w:val="FootnoteReference"/>
          <w:rFonts w:ascii="Times New Roman" w:eastAsia="Times New Roman" w:hAnsi="Times New Roman" w:cs="Times New Roman"/>
          <w:noProof/>
          <w:sz w:val="24"/>
          <w:szCs w:val="24"/>
          <w:lang w:val="en-GB"/>
        </w:rPr>
        <w:footnoteReference w:id="40"/>
      </w:r>
      <w:r>
        <w:rPr>
          <w:rFonts w:ascii="Times New Roman" w:hAnsi="Times New Roman"/>
          <w:noProof/>
          <w:sz w:val="24"/>
          <w:szCs w:val="24"/>
        </w:rPr>
        <w:t>.</w:t>
      </w:r>
    </w:p>
    <w:p>
      <w:pPr>
        <w:spacing w:line="276" w:lineRule="auto"/>
        <w:jc w:val="both"/>
        <w:rPr>
          <w:rFonts w:ascii="Times New Roman" w:eastAsia="Times New Roman" w:hAnsi="Times New Roman" w:cs="Times New Roman"/>
          <w:noProof/>
          <w:sz w:val="24"/>
          <w:szCs w:val="24"/>
        </w:rPr>
      </w:pPr>
      <w:r>
        <w:rPr>
          <w:rFonts w:ascii="Times New Roman" w:hAnsi="Times New Roman"/>
          <w:noProof/>
          <w:sz w:val="24"/>
          <w:szCs w:val="24"/>
        </w:rPr>
        <w:t>Съответно Съдът счете, че принципът на пропорционалност изисква в законодателството на държавите членки, уреждащо загубата на гражданство, да се предвиди възможността за „индивидуална преценка на последиците, които то поражда за [съответното лице и за членовете на неговото семейство] от гледна точка на правото на Съюза“</w:t>
      </w:r>
      <w:r>
        <w:rPr>
          <w:rStyle w:val="FootnoteReference"/>
          <w:rFonts w:ascii="Times New Roman" w:eastAsia="Times New Roman" w:hAnsi="Times New Roman" w:cs="Times New Roman"/>
          <w:noProof/>
          <w:sz w:val="24"/>
          <w:szCs w:val="24"/>
          <w:lang w:val="en-GB"/>
        </w:rPr>
        <w:footnoteReference w:id="41"/>
      </w:r>
      <w:r>
        <w:rPr>
          <w:rFonts w:ascii="Times New Roman" w:hAnsi="Times New Roman"/>
          <w:noProof/>
          <w:sz w:val="24"/>
          <w:szCs w:val="24"/>
        </w:rPr>
        <w:t xml:space="preserve">. Освен това, когато, след такава преценка, загубата на гражданство на ЕС (като последица от автоматичната загуба на гражданство на дадена държава членка) бъде прието за несъвместимо с правото на ЕС, следва да бъде възможно възстановяването на гражданството </w:t>
      </w:r>
      <w:r>
        <w:rPr>
          <w:rFonts w:ascii="Times New Roman" w:hAnsi="Times New Roman"/>
          <w:i/>
          <w:iCs/>
          <w:noProof/>
          <w:sz w:val="24"/>
          <w:szCs w:val="24"/>
        </w:rPr>
        <w:t>ex tunc</w:t>
      </w:r>
      <w:r>
        <w:rPr>
          <w:rStyle w:val="FootnoteReference"/>
          <w:rFonts w:ascii="Times New Roman" w:eastAsia="Times New Roman" w:hAnsi="Times New Roman" w:cs="Times New Roman"/>
          <w:noProof/>
          <w:sz w:val="24"/>
          <w:szCs w:val="24"/>
          <w:lang w:val="en-GB"/>
        </w:rPr>
        <w:footnoteReference w:id="42"/>
      </w:r>
      <w:r>
        <w:rPr>
          <w:rFonts w:ascii="Times New Roman" w:hAnsi="Times New Roman"/>
          <w:noProof/>
          <w:sz w:val="24"/>
          <w:szCs w:val="24"/>
        </w:rPr>
        <w:t>.</w:t>
      </w:r>
    </w:p>
    <w:p>
      <w:pPr>
        <w:pStyle w:val="ListParagraph"/>
        <w:spacing w:line="276" w:lineRule="auto"/>
        <w:ind w:left="792"/>
        <w:jc w:val="both"/>
        <w:rPr>
          <w:rFonts w:ascii="Times New Roman" w:hAnsi="Times New Roman" w:cs="Times New Roman"/>
          <w:b/>
          <w:noProof/>
          <w:sz w:val="24"/>
          <w:szCs w:val="24"/>
        </w:rPr>
      </w:pPr>
    </w:p>
    <w:p>
      <w:pPr>
        <w:pStyle w:val="ListParagraph"/>
        <w:numPr>
          <w:ilvl w:val="0"/>
          <w:numId w:val="2"/>
        </w:numPr>
        <w:spacing w:line="276" w:lineRule="auto"/>
        <w:jc w:val="both"/>
        <w:rPr>
          <w:rFonts w:ascii="Times New Roman" w:hAnsi="Times New Roman" w:cs="Times New Roman"/>
          <w:b/>
          <w:bCs/>
          <w:noProof/>
          <w:sz w:val="24"/>
          <w:szCs w:val="24"/>
        </w:rPr>
      </w:pPr>
      <w:r>
        <w:rPr>
          <w:rFonts w:ascii="Times New Roman" w:hAnsi="Times New Roman"/>
          <w:b/>
          <w:bCs/>
          <w:noProof/>
          <w:sz w:val="24"/>
          <w:szCs w:val="24"/>
        </w:rPr>
        <w:t>ПРАВО НА СВОБОДНО ДВИЖЕНИЕ И ПРЕБИВАВАНЕ НА ТЕРИТОРИЯТА НА ДЪРЖАВИТЕ ЧЛЕНКИ (ЧЛЕН 20, ПАРАГРАФ 2 И ЧЛЕН 21 ОТ ДФЕС)</w:t>
      </w:r>
    </w:p>
    <w:p>
      <w:pPr>
        <w:pStyle w:val="ListParagraph"/>
        <w:numPr>
          <w:ilvl w:val="1"/>
          <w:numId w:val="2"/>
        </w:numPr>
        <w:spacing w:line="276" w:lineRule="auto"/>
        <w:jc w:val="both"/>
        <w:rPr>
          <w:rFonts w:ascii="Times New Roman" w:hAnsi="Times New Roman" w:cs="Times New Roman"/>
          <w:b/>
          <w:bCs/>
          <w:noProof/>
          <w:sz w:val="24"/>
          <w:szCs w:val="24"/>
        </w:rPr>
      </w:pPr>
      <w:r>
        <w:rPr>
          <w:rFonts w:ascii="Times New Roman" w:hAnsi="Times New Roman"/>
          <w:b/>
          <w:bCs/>
          <w:noProof/>
          <w:sz w:val="24"/>
          <w:szCs w:val="24"/>
        </w:rPr>
        <w:t>Въведение</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Съгласно член 20, параграф 2, буква a) и член 21 от ДФЕС гражданите на Съюза имат право свободно да се движат и да пребивават на територията на държавите членки при условията и в границите, предвидени от Договорите и от мерките, приети за тяхното прилагане</w:t>
      </w:r>
      <w:r>
        <w:rPr>
          <w:rStyle w:val="FootnoteReference"/>
          <w:rFonts w:ascii="Times New Roman" w:hAnsi="Times New Roman" w:cs="Times New Roman"/>
          <w:noProof/>
          <w:sz w:val="24"/>
          <w:szCs w:val="24"/>
          <w:lang w:val="en-GB"/>
        </w:rPr>
        <w:footnoteReference w:id="43"/>
      </w:r>
      <w:r>
        <w:rPr>
          <w:rFonts w:ascii="Times New Roman" w:hAnsi="Times New Roman"/>
          <w:noProof/>
          <w:sz w:val="24"/>
          <w:szCs w:val="24"/>
        </w:rPr>
        <w:t xml:space="preserve">.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Повечето граждани подкрепят това право</w:t>
      </w:r>
      <w:r>
        <w:rPr>
          <w:rStyle w:val="FootnoteReference"/>
          <w:rFonts w:ascii="Times New Roman" w:hAnsi="Times New Roman" w:cs="Times New Roman"/>
          <w:noProof/>
          <w:sz w:val="24"/>
          <w:szCs w:val="24"/>
          <w:lang w:val="en-GB"/>
        </w:rPr>
        <w:footnoteReference w:id="44"/>
      </w:r>
      <w:r>
        <w:rPr>
          <w:rFonts w:ascii="Times New Roman" w:hAnsi="Times New Roman"/>
          <w:noProof/>
          <w:sz w:val="24"/>
          <w:szCs w:val="24"/>
        </w:rPr>
        <w:t xml:space="preserve"> и гледат на него като на една от основните ползи от членството в ЕС</w:t>
      </w:r>
      <w:r>
        <w:rPr>
          <w:rStyle w:val="FootnoteReference"/>
          <w:rFonts w:ascii="Times New Roman" w:hAnsi="Times New Roman" w:cs="Times New Roman"/>
          <w:noProof/>
          <w:sz w:val="24"/>
          <w:szCs w:val="24"/>
          <w:lang w:val="en-GB"/>
        </w:rPr>
        <w:footnoteReference w:id="45"/>
      </w:r>
      <w:r>
        <w:rPr>
          <w:noProof/>
        </w:rPr>
        <w:t>.</w:t>
      </w:r>
      <w:r>
        <w:rPr>
          <w:rFonts w:ascii="Times New Roman" w:hAnsi="Times New Roman"/>
          <w:noProof/>
          <w:sz w:val="24"/>
          <w:szCs w:val="24"/>
        </w:rPr>
        <w:t xml:space="preserve"> Освен това повече от половината от гражданите на ЕС казват, че са се възползвали от това, че има по-малко или няма граничен контрол при пътуване в чужбина</w:t>
      </w:r>
      <w:r>
        <w:rPr>
          <w:rStyle w:val="FootnoteReference"/>
          <w:rFonts w:ascii="Times New Roman" w:hAnsi="Times New Roman" w:cs="Times New Roman"/>
          <w:noProof/>
          <w:sz w:val="24"/>
          <w:szCs w:val="24"/>
          <w:lang w:val="en-GB"/>
        </w:rPr>
        <w:footnoteReference w:id="46"/>
      </w:r>
      <w:r>
        <w:rPr>
          <w:rFonts w:ascii="Times New Roman" w:hAnsi="Times New Roman"/>
          <w:noProof/>
          <w:sz w:val="24"/>
          <w:szCs w:val="24"/>
        </w:rPr>
        <w:t>. Повечето европейци казват, че свободното движение на хора, стоки и услуги в рамките на Европейския съюз е най-положителният резултат от ЕС</w:t>
      </w:r>
      <w:r>
        <w:rPr>
          <w:rStyle w:val="FootnoteReference"/>
          <w:rFonts w:ascii="Times New Roman" w:hAnsi="Times New Roman" w:cs="Times New Roman"/>
          <w:noProof/>
          <w:sz w:val="24"/>
          <w:szCs w:val="24"/>
          <w:lang w:val="en-GB"/>
        </w:rPr>
        <w:footnoteReference w:id="47"/>
      </w:r>
      <w:r>
        <w:rPr>
          <w:rFonts w:ascii="Times New Roman" w:hAnsi="Times New Roman"/>
          <w:noProof/>
          <w:sz w:val="24"/>
          <w:szCs w:val="24"/>
        </w:rPr>
        <w:t>. В проучване, проведено през пролетта на 2020 г., 83 % от гражданите на ЕС са изразили съгласие, че свободното движение на граждани на ЕС в рамките на ЕС е довело до ползи за икономиката на тяхната държава</w:t>
      </w:r>
      <w:r>
        <w:rPr>
          <w:rStyle w:val="FootnoteReference"/>
          <w:rFonts w:ascii="Times New Roman" w:hAnsi="Times New Roman" w:cs="Times New Roman"/>
          <w:noProof/>
          <w:sz w:val="24"/>
          <w:szCs w:val="24"/>
          <w:lang w:val="en-GB"/>
        </w:rPr>
        <w:footnoteReference w:id="48"/>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През 2018 г. над 16 милиона граждани на ЕС са живеели или работели в държава от ЕС, различна от държавата, на която са граждани. Много по-голям брой граждани на ЕС са посетили временно други държави на ЕС във връзка с празници, приятелски и семейни посещения и по служебни въпроси.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Мобилните граждани на ЕС и членовете на техните семейства могат да открият информация относно правото си да пребивават в други държави членки на портала „Вашата Европа“</w:t>
      </w:r>
      <w:r>
        <w:rPr>
          <w:rFonts w:ascii="Times New Roman" w:hAnsi="Times New Roman" w:cs="Times New Roman"/>
          <w:noProof/>
          <w:sz w:val="24"/>
          <w:szCs w:val="24"/>
          <w:vertAlign w:val="superscript"/>
          <w:lang w:val="en-GB"/>
        </w:rPr>
        <w:footnoteReference w:id="49"/>
      </w:r>
      <w:r>
        <w:rPr>
          <w:rFonts w:ascii="Times New Roman" w:hAnsi="Times New Roman"/>
          <w:noProof/>
          <w:sz w:val="24"/>
          <w:szCs w:val="24"/>
        </w:rPr>
        <w:t>; „Вашата Европа“ също така предоставя достъп до специфична за всяка държава информация, изпълнявайки ролята си на „единна цифрова платформа“ на ЕС</w:t>
      </w:r>
      <w:r>
        <w:rPr>
          <w:rFonts w:ascii="Times New Roman" w:hAnsi="Times New Roman" w:cs="Times New Roman"/>
          <w:noProof/>
          <w:sz w:val="24"/>
          <w:szCs w:val="24"/>
          <w:vertAlign w:val="superscript"/>
          <w:lang w:val="en-GB"/>
        </w:rPr>
        <w:footnoteReference w:id="50"/>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През периода, обхванат от настоящия доклад, Комисията разгледа 950 жалби на граждани, 6128 въпроса и 140 петиции от Европейския парламент относно упражняването на правото на свободно движение. Много от тях бяха свързани с правото на влизане и пребиваване на граждани на трети държави, които са членове на семейството на граждани на ЕС (условия за издаване на визи и карти за пребиваване, допълнителни формалности), и условията, при които гражданите на ЕС могат да упражняват своето право на свободно движение.</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Мобилните граждани на ЕС, които са неблагоприятно засегнати от неправилното прилагане на правото на ЕС от страна на публичните органи, могат да получат помощ от мрежата за решаване на проблеми в рамките на вътрешния пазар (SOLVIT)</w:t>
      </w:r>
      <w:r>
        <w:rPr>
          <w:rStyle w:val="FootnoteReference"/>
          <w:rFonts w:ascii="Times New Roman" w:hAnsi="Times New Roman" w:cs="Times New Roman"/>
          <w:noProof/>
          <w:sz w:val="24"/>
          <w:szCs w:val="24"/>
          <w:lang w:val="en-GB"/>
        </w:rPr>
        <w:footnoteReference w:id="51"/>
      </w:r>
      <w:r>
        <w:rPr>
          <w:rFonts w:ascii="Times New Roman" w:hAnsi="Times New Roman"/>
          <w:noProof/>
          <w:sz w:val="24"/>
          <w:szCs w:val="24"/>
        </w:rPr>
        <w:t>, която беше създадена с цел да се реагира бързо и да се намерят решения на национално равнище. През периода 2016—2018 г. чрез SOLVIT бяха разгледани около 1930 случая, свързани със свободното движение на хора</w:t>
      </w:r>
      <w:r>
        <w:rPr>
          <w:rStyle w:val="FootnoteReference"/>
          <w:rFonts w:ascii="Times New Roman" w:hAnsi="Times New Roman" w:cs="Times New Roman"/>
          <w:noProof/>
          <w:sz w:val="24"/>
          <w:szCs w:val="24"/>
          <w:lang w:val="en-GB"/>
        </w:rPr>
        <w:footnoteReference w:id="52"/>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Гражданите могат също така да задават въпроси относно своите лични права в ЕС чрез службата „Вашата Европа — Съвети“</w:t>
      </w:r>
      <w:r>
        <w:rPr>
          <w:rStyle w:val="FootnoteReference"/>
          <w:rFonts w:ascii="Times New Roman" w:hAnsi="Times New Roman" w:cs="Times New Roman"/>
          <w:noProof/>
          <w:sz w:val="24"/>
          <w:szCs w:val="24"/>
          <w:lang w:val="en-GB"/>
        </w:rPr>
        <w:footnoteReference w:id="53"/>
      </w:r>
      <w:r>
        <w:rPr>
          <w:rFonts w:ascii="Times New Roman" w:hAnsi="Times New Roman"/>
          <w:noProof/>
          <w:sz w:val="24"/>
          <w:szCs w:val="24"/>
        </w:rPr>
        <w:t>, която предоставя безплатни специализирани правни съвети. „Вашата Европа — Съвети“ се управлява от Комисията, а външен изпълнител — Европейската служба за граждански действия (ECAS), осигурява нейното функциониране. В периода 2016—2020 г. във „Вашата Европа — Съвети“ бяха получени над 42 000 запитвания по въпроси, свързани с процедурите за влизане и правата на пребиваване, и над 2300 запитвания относно политическите и съдебните права.</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Гражданите на ЕС могат също така да се обръщат към центъра на Комисията Europe Direct (EDCC)</w:t>
      </w:r>
      <w:r>
        <w:rPr>
          <w:rStyle w:val="FootnoteReference"/>
          <w:rFonts w:ascii="Times New Roman" w:hAnsi="Times New Roman" w:cs="Times New Roman"/>
          <w:noProof/>
          <w:sz w:val="24"/>
          <w:szCs w:val="24"/>
          <w:lang w:val="en-GB"/>
        </w:rPr>
        <w:footnoteReference w:id="54"/>
      </w:r>
      <w:r>
        <w:rPr>
          <w:rFonts w:ascii="Times New Roman" w:hAnsi="Times New Roman"/>
          <w:noProof/>
          <w:sz w:val="24"/>
          <w:szCs w:val="24"/>
        </w:rPr>
        <w:t>, който предоставя обща информация относно ЕС и съвети във връзка с правата на гражданите на ЕС. През периода 2016—2019 г. EDCC получи общо 5251 запитвания относно свободното движение на хора.</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Освен това мобилните работници на ЕС могат да поискат съдействие от националните органи, създадени в съответствие с Директива 2014/54/ЕС</w:t>
      </w:r>
      <w:r>
        <w:rPr>
          <w:rFonts w:ascii="Times New Roman" w:hAnsi="Times New Roman" w:cs="Times New Roman"/>
          <w:noProof/>
          <w:sz w:val="24"/>
          <w:szCs w:val="24"/>
          <w:vertAlign w:val="superscript"/>
          <w:lang w:val="en-GB"/>
        </w:rPr>
        <w:footnoteReference w:id="55"/>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С цел да допринесе за свободното движение на хората с увреждания, през периода 2016—2018 г. Комисията изпълни пилотен проект за картата на ЕС за хора с увреждания</w:t>
      </w:r>
      <w:r>
        <w:rPr>
          <w:rFonts w:ascii="Times New Roman" w:hAnsi="Times New Roman" w:cs="Times New Roman"/>
          <w:noProof/>
          <w:sz w:val="24"/>
          <w:szCs w:val="24"/>
          <w:vertAlign w:val="superscript"/>
          <w:lang w:val="en-GB"/>
        </w:rPr>
        <w:footnoteReference w:id="56"/>
      </w:r>
      <w:r>
        <w:rPr>
          <w:rFonts w:ascii="Times New Roman" w:hAnsi="Times New Roman"/>
          <w:noProof/>
          <w:sz w:val="24"/>
          <w:szCs w:val="24"/>
        </w:rPr>
        <w:t xml:space="preserve">.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Комисията разработи инструмент за електронно обучение за правото на свободно движение, който е предназначен за местните администрации, за да се задълбочи тяхното познаване на Директива 2004/38/ЕО (Директива за свободното движение) и произтичащите от нея права. Инструментът за електронно обучение е достъпен на 23 езика и включва тест за изготвяне на самооценка и онлайн курс за начинаещи и за напреднали потребители.</w:t>
      </w:r>
    </w:p>
    <w:p>
      <w:pPr>
        <w:spacing w:line="276" w:lineRule="auto"/>
        <w:jc w:val="both"/>
        <w:rPr>
          <w:rFonts w:ascii="Times New Roman" w:hAnsi="Times New Roman" w:cs="Times New Roman"/>
          <w:noProof/>
          <w:sz w:val="24"/>
          <w:szCs w:val="24"/>
        </w:rPr>
      </w:pPr>
    </w:p>
    <w:p>
      <w:pPr>
        <w:pStyle w:val="ListParagraph"/>
        <w:numPr>
          <w:ilvl w:val="1"/>
          <w:numId w:val="2"/>
        </w:numPr>
        <w:spacing w:line="276" w:lineRule="auto"/>
        <w:jc w:val="both"/>
        <w:rPr>
          <w:rFonts w:ascii="Times New Roman" w:hAnsi="Times New Roman" w:cs="Times New Roman"/>
          <w:b/>
          <w:bCs/>
          <w:noProof/>
          <w:sz w:val="24"/>
          <w:szCs w:val="24"/>
        </w:rPr>
      </w:pPr>
      <w:r>
        <w:rPr>
          <w:rFonts w:ascii="Times New Roman" w:hAnsi="Times New Roman"/>
          <w:b/>
          <w:bCs/>
          <w:noProof/>
          <w:sz w:val="24"/>
          <w:szCs w:val="24"/>
        </w:rPr>
        <w:t>Развитие на съдебната практика</w:t>
      </w:r>
    </w:p>
    <w:p>
      <w:pPr>
        <w:pStyle w:val="ListParagraph"/>
        <w:numPr>
          <w:ilvl w:val="2"/>
          <w:numId w:val="2"/>
        </w:numPr>
        <w:spacing w:line="276" w:lineRule="auto"/>
        <w:jc w:val="both"/>
        <w:rPr>
          <w:rFonts w:ascii="Times New Roman" w:hAnsi="Times New Roman" w:cs="Times New Roman"/>
          <w:bCs/>
          <w:i/>
          <w:noProof/>
          <w:sz w:val="24"/>
          <w:szCs w:val="24"/>
        </w:rPr>
      </w:pPr>
      <w:bookmarkStart w:id="2" w:name="_Toc27163886"/>
      <w:r>
        <w:rPr>
          <w:rFonts w:ascii="Times New Roman" w:hAnsi="Times New Roman"/>
          <w:bCs/>
          <w:i/>
          <w:noProof/>
          <w:sz w:val="24"/>
          <w:szCs w:val="24"/>
        </w:rPr>
        <w:t>Развитие на съдебната практика на Съда на Европейския съюз в областта на правата на свободно движение и (производните) права на пребиваване</w:t>
      </w:r>
      <w:bookmarkEnd w:id="2"/>
    </w:p>
    <w:p>
      <w:pPr>
        <w:spacing w:line="276" w:lineRule="auto"/>
        <w:jc w:val="both"/>
        <w:rPr>
          <w:rFonts w:ascii="Times New Roman" w:hAnsi="Times New Roman" w:cs="Times New Roman"/>
          <w:noProof/>
          <w:sz w:val="24"/>
          <w:szCs w:val="24"/>
        </w:rPr>
      </w:pPr>
      <w:r>
        <w:rPr>
          <w:rFonts w:ascii="Times New Roman" w:hAnsi="Times New Roman"/>
          <w:noProof/>
          <w:sz w:val="24"/>
          <w:szCs w:val="24"/>
        </w:rPr>
        <w:t>Съдът постанови множество решения във връзка с член 21 от ДФЕС (включително прилагането му чрез Директивата за свободното движение), както и производното от гражданството на ЕС право на пребиваване въз основа на член 20 от ДФЕС</w:t>
      </w:r>
      <w:r>
        <w:rPr>
          <w:rFonts w:ascii="Times New Roman" w:hAnsi="Times New Roman" w:cs="Times New Roman"/>
          <w:noProof/>
          <w:sz w:val="24"/>
          <w:szCs w:val="24"/>
          <w:vertAlign w:val="superscript"/>
          <w:lang w:val="en-GB"/>
        </w:rPr>
        <w:footnoteReference w:id="57"/>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Първата поредица от дела се отнася до въпроса кои граждани на ЕС и членове на семейството могат да се позовават на Директива 2004/38/ЕО по отношение на правата на пребиваване.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По делото </w:t>
      </w:r>
      <w:r>
        <w:rPr>
          <w:rFonts w:ascii="Times New Roman" w:hAnsi="Times New Roman"/>
          <w:b/>
          <w:i/>
          <w:noProof/>
          <w:sz w:val="24"/>
          <w:szCs w:val="24"/>
        </w:rPr>
        <w:t>Lounes</w:t>
      </w:r>
      <w:r>
        <w:rPr>
          <w:rFonts w:ascii="Times New Roman" w:hAnsi="Times New Roman" w:cs="Times New Roman"/>
          <w:noProof/>
          <w:sz w:val="24"/>
          <w:szCs w:val="24"/>
          <w:vertAlign w:val="superscript"/>
          <w:lang w:val="en-GB"/>
        </w:rPr>
        <w:footnoteReference w:id="58"/>
      </w:r>
      <w:r>
        <w:rPr>
          <w:rFonts w:ascii="Times New Roman" w:hAnsi="Times New Roman"/>
          <w:noProof/>
          <w:sz w:val="24"/>
          <w:szCs w:val="24"/>
        </w:rPr>
        <w:t xml:space="preserve"> Съдът постанови, че гражданин на ЕС, който е упражнил правата си на свободно движение, за да пребивава в друга държава членка на ЕС, и който след това е придобил гражданството на приемащата държава членка при същевременно запазване на гражданството на държавата членка по произход, може, макар и вече да не е бенефициент по Директива 2004/38/ЕО, да продължи да се позовава на произтичащите от член 21 от ДФЕС права</w:t>
      </w:r>
      <w:r>
        <w:rPr>
          <w:rFonts w:ascii="Times New Roman" w:hAnsi="Times New Roman" w:cs="Times New Roman"/>
          <w:noProof/>
          <w:sz w:val="24"/>
          <w:szCs w:val="24"/>
          <w:vertAlign w:val="superscript"/>
          <w:lang w:val="en-GB"/>
        </w:rPr>
        <w:footnoteReference w:id="59"/>
      </w:r>
      <w:r>
        <w:rPr>
          <w:rFonts w:ascii="Times New Roman" w:hAnsi="Times New Roman"/>
          <w:noProof/>
          <w:sz w:val="24"/>
          <w:szCs w:val="24"/>
        </w:rPr>
        <w:t>. Правата на пребиваване на членовете на семейството на въпросния гражданин на ЕС (лице с двойно гражданство) могат също да бъдат изведени пряко от член 21 от ДФЕС при условия, които не трябва да бъдат по-строги от предвидените в Директива 2004/38/ЕО</w:t>
      </w:r>
      <w:r>
        <w:rPr>
          <w:rFonts w:ascii="Times New Roman" w:hAnsi="Times New Roman" w:cs="Times New Roman"/>
          <w:noProof/>
          <w:sz w:val="24"/>
          <w:szCs w:val="24"/>
          <w:vertAlign w:val="superscript"/>
          <w:lang w:val="en-GB"/>
        </w:rPr>
        <w:footnoteReference w:id="60"/>
      </w:r>
      <w:r>
        <w:rPr>
          <w:rFonts w:ascii="Times New Roman" w:hAnsi="Times New Roman"/>
          <w:noProof/>
          <w:sz w:val="24"/>
          <w:szCs w:val="24"/>
        </w:rPr>
        <w:t>. Съдът уточни, че правото на свободно движение включва правото на гражданите да водят нормален семеен живот</w:t>
      </w:r>
      <w:r>
        <w:rPr>
          <w:rFonts w:ascii="Times New Roman" w:hAnsi="Times New Roman" w:cs="Times New Roman"/>
          <w:noProof/>
          <w:sz w:val="24"/>
          <w:szCs w:val="24"/>
          <w:vertAlign w:val="superscript"/>
          <w:lang w:val="en-GB"/>
        </w:rPr>
        <w:footnoteReference w:id="61"/>
      </w:r>
      <w:r>
        <w:rPr>
          <w:rFonts w:ascii="Times New Roman" w:hAnsi="Times New Roman"/>
          <w:noProof/>
          <w:sz w:val="24"/>
          <w:szCs w:val="24"/>
        </w:rPr>
        <w:t xml:space="preserve">.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По делото </w:t>
      </w:r>
      <w:r>
        <w:rPr>
          <w:rFonts w:ascii="Times New Roman" w:hAnsi="Times New Roman"/>
          <w:b/>
          <w:i/>
          <w:noProof/>
          <w:sz w:val="24"/>
          <w:szCs w:val="24"/>
        </w:rPr>
        <w:t>Gusa</w:t>
      </w:r>
      <w:r>
        <w:rPr>
          <w:rFonts w:ascii="Times New Roman" w:hAnsi="Times New Roman" w:cs="Times New Roman"/>
          <w:noProof/>
          <w:sz w:val="24"/>
          <w:szCs w:val="24"/>
          <w:vertAlign w:val="superscript"/>
          <w:lang w:val="en-GB"/>
        </w:rPr>
        <w:footnoteReference w:id="62"/>
      </w:r>
      <w:r>
        <w:rPr>
          <w:rFonts w:ascii="Times New Roman" w:hAnsi="Times New Roman"/>
          <w:noProof/>
          <w:sz w:val="24"/>
          <w:szCs w:val="24"/>
        </w:rPr>
        <w:t xml:space="preserve"> Съдът постанови, че правото на запазване на статуса на „работник или самостоятелно заето лице“ след прекратяване на икономическа дейност в случаите, предвидени в член 7, параграф 3 от Директива 2004/38/ЕО (по-конкретно буква б) от същия параграф, по отношение на „надлежно регистрирана принудителна безработица, след като е бил/а зает/а в продължение на повече от една година и [след като] се е регистрирал/а като търсещо работа лице в съответното бюро по труда“), се прилага също и по отношение на мобилните граждани на ЕС, които са били самостоятелно заети лица преди принудително да прекратят икономическа дейност</w:t>
      </w:r>
      <w:r>
        <w:rPr>
          <w:rFonts w:ascii="Times New Roman" w:hAnsi="Times New Roman" w:cs="Times New Roman"/>
          <w:noProof/>
          <w:sz w:val="24"/>
          <w:szCs w:val="24"/>
          <w:vertAlign w:val="superscript"/>
          <w:lang w:val="en-GB"/>
        </w:rPr>
        <w:footnoteReference w:id="63"/>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По делото </w:t>
      </w:r>
      <w:r>
        <w:rPr>
          <w:rFonts w:ascii="Times New Roman" w:hAnsi="Times New Roman"/>
          <w:b/>
          <w:i/>
          <w:noProof/>
          <w:sz w:val="24"/>
          <w:szCs w:val="24"/>
        </w:rPr>
        <w:t>Coman</w:t>
      </w:r>
      <w:r>
        <w:rPr>
          <w:rFonts w:ascii="Times New Roman" w:hAnsi="Times New Roman" w:cs="Times New Roman"/>
          <w:noProof/>
          <w:sz w:val="24"/>
          <w:szCs w:val="24"/>
          <w:vertAlign w:val="superscript"/>
          <w:lang w:val="en-GB"/>
        </w:rPr>
        <w:footnoteReference w:id="64"/>
      </w:r>
      <w:r>
        <w:rPr>
          <w:rFonts w:ascii="Times New Roman" w:hAnsi="Times New Roman"/>
          <w:noProof/>
          <w:sz w:val="24"/>
          <w:szCs w:val="24"/>
        </w:rPr>
        <w:t xml:space="preserve"> Съдът тълкува понятието „съпруг/съпруга“ на гражданин на ЕС в член 2, параграф 2, буква a) от Директива 2004/38/ЕО</w:t>
      </w:r>
      <w:r>
        <w:rPr>
          <w:rFonts w:ascii="Times New Roman" w:hAnsi="Times New Roman" w:cs="Times New Roman"/>
          <w:noProof/>
          <w:sz w:val="24"/>
          <w:szCs w:val="24"/>
          <w:vertAlign w:val="superscript"/>
          <w:lang w:val="en-GB"/>
        </w:rPr>
        <w:footnoteReference w:id="65"/>
      </w:r>
      <w:r>
        <w:rPr>
          <w:rFonts w:ascii="Times New Roman" w:hAnsi="Times New Roman"/>
          <w:noProof/>
          <w:sz w:val="24"/>
          <w:szCs w:val="24"/>
        </w:rPr>
        <w:t xml:space="preserve"> и постанови, че то има самостоятелно определение в правото на ЕС, независимо от законите на държавите членки. Съдът постанови, че когато гражданин на ЕС, който се завръща в държавата членка, на която е гражданин, (преди това) е упражнил правата си на свободно движение, реално пребивавайки в друга държава членка, и през това време е създал или укрепил семеен живот в приемащата държава членка с гражданин (на трета държава) от същия пол, с когото се е свързал в законно сключен в приемащата държава членка брак, правото на ЕС не допуска въпросната държава членка (по произход) да откаже да предостави на съпруга от същия пол на завръщащия се гражданин на Съюза производни права на влизане и на пребиваване по съображението, че нейното право не предвижда брака между лица от един и същ пол</w:t>
      </w:r>
      <w:r>
        <w:rPr>
          <w:rFonts w:ascii="Times New Roman" w:hAnsi="Times New Roman" w:cs="Times New Roman"/>
          <w:noProof/>
          <w:sz w:val="24"/>
          <w:szCs w:val="24"/>
          <w:vertAlign w:val="superscript"/>
          <w:lang w:val="en-GB"/>
        </w:rPr>
        <w:footnoteReference w:id="66"/>
      </w:r>
      <w:r>
        <w:rPr>
          <w:rFonts w:ascii="Times New Roman" w:hAnsi="Times New Roman"/>
          <w:noProof/>
          <w:sz w:val="24"/>
          <w:szCs w:val="24"/>
        </w:rPr>
        <w:t>. Съответната държава членка трябва да разглежда това лице като съпруг/съпруга за целите на упражняването на правата, които тези лица черпят от правото на Съюза. В същото време това не изисква държавата членка да предвижда в националното си право института на брака между лица от един и същ пол</w:t>
      </w:r>
      <w:r>
        <w:rPr>
          <w:rFonts w:ascii="Times New Roman" w:hAnsi="Times New Roman" w:cs="Times New Roman"/>
          <w:noProof/>
          <w:sz w:val="24"/>
          <w:szCs w:val="24"/>
          <w:vertAlign w:val="superscript"/>
          <w:lang w:val="en-GB"/>
        </w:rPr>
        <w:footnoteReference w:id="67"/>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По делото </w:t>
      </w:r>
      <w:r>
        <w:rPr>
          <w:rFonts w:ascii="Times New Roman" w:hAnsi="Times New Roman"/>
          <w:b/>
          <w:i/>
          <w:noProof/>
          <w:sz w:val="24"/>
          <w:szCs w:val="24"/>
        </w:rPr>
        <w:t>Altiner и Ravn</w:t>
      </w:r>
      <w:r>
        <w:rPr>
          <w:rFonts w:ascii="Times New Roman" w:hAnsi="Times New Roman" w:cs="Times New Roman"/>
          <w:noProof/>
          <w:sz w:val="24"/>
          <w:szCs w:val="24"/>
          <w:vertAlign w:val="superscript"/>
          <w:lang w:val="en-GB"/>
        </w:rPr>
        <w:footnoteReference w:id="68"/>
      </w:r>
      <w:r>
        <w:rPr>
          <w:rFonts w:ascii="Times New Roman" w:hAnsi="Times New Roman"/>
          <w:noProof/>
          <w:sz w:val="24"/>
          <w:szCs w:val="24"/>
        </w:rPr>
        <w:t xml:space="preserve"> Съдът постанови, че правото на ЕС допуска национална правна уредба, съгласно която не се предоставя производно право на пребиваване на член на семейството на гражданин на Съюза, който е гражданин на тази държава членка и се завръща в нея, когато влизането на члена на семейството на територията на държавата членка по произход не е „естествено продължение“ на завръщането на въпросния гражданин на Съюза в тази държава членка</w:t>
      </w:r>
      <w:r>
        <w:rPr>
          <w:rFonts w:ascii="Times New Roman" w:hAnsi="Times New Roman" w:cs="Times New Roman"/>
          <w:noProof/>
          <w:sz w:val="24"/>
          <w:szCs w:val="24"/>
          <w:vertAlign w:val="superscript"/>
          <w:lang w:val="en-GB"/>
        </w:rPr>
        <w:footnoteReference w:id="69"/>
      </w:r>
      <w:r>
        <w:rPr>
          <w:rFonts w:ascii="Times New Roman" w:hAnsi="Times New Roman"/>
          <w:noProof/>
          <w:sz w:val="24"/>
          <w:szCs w:val="24"/>
        </w:rPr>
        <w:t>. Това е при условие, че подобна национална уредба изисква в рамките на общата преценка да се вземат предвид други релевантни фактори, които биха могли да укажат, че въпреки периода от време, изтекъл между завръщането на гражданина на Съюза в посочената държава членка и влизането на територията ѝ на члена на семейството му, гражданин на трета държава, не е бил прекъснат създаденият и укрепен в приемащата държава членка семеен живот</w:t>
      </w:r>
      <w:r>
        <w:rPr>
          <w:rFonts w:ascii="Times New Roman" w:hAnsi="Times New Roman" w:cs="Times New Roman"/>
          <w:noProof/>
          <w:sz w:val="24"/>
          <w:szCs w:val="24"/>
          <w:vertAlign w:val="superscript"/>
          <w:lang w:val="en-GB"/>
        </w:rPr>
        <w:footnoteReference w:id="70"/>
      </w:r>
      <w:r>
        <w:rPr>
          <w:rFonts w:ascii="Times New Roman" w:hAnsi="Times New Roman"/>
          <w:noProof/>
          <w:sz w:val="24"/>
          <w:szCs w:val="24"/>
        </w:rPr>
        <w:t>.</w:t>
      </w:r>
    </w:p>
    <w:p>
      <w:pPr>
        <w:spacing w:line="276" w:lineRule="auto"/>
        <w:jc w:val="both"/>
        <w:rPr>
          <w:rFonts w:ascii="Times New Roman" w:hAnsi="Times New Roman" w:cs="Times New Roman"/>
          <w:i/>
          <w:noProof/>
          <w:sz w:val="24"/>
          <w:szCs w:val="24"/>
        </w:rPr>
      </w:pPr>
      <w:r>
        <w:rPr>
          <w:rFonts w:ascii="Times New Roman" w:hAnsi="Times New Roman"/>
          <w:noProof/>
          <w:sz w:val="24"/>
          <w:szCs w:val="24"/>
        </w:rPr>
        <w:t xml:space="preserve">Делото </w:t>
      </w:r>
      <w:r>
        <w:rPr>
          <w:rFonts w:ascii="Times New Roman" w:hAnsi="Times New Roman"/>
          <w:b/>
          <w:i/>
          <w:noProof/>
          <w:sz w:val="24"/>
          <w:szCs w:val="24"/>
        </w:rPr>
        <w:t>Tarola</w:t>
      </w:r>
      <w:r>
        <w:rPr>
          <w:rFonts w:ascii="Times New Roman" w:hAnsi="Times New Roman" w:cs="Times New Roman"/>
          <w:noProof/>
          <w:sz w:val="24"/>
          <w:szCs w:val="24"/>
          <w:vertAlign w:val="superscript"/>
          <w:lang w:val="en-GB"/>
        </w:rPr>
        <w:footnoteReference w:id="71"/>
      </w:r>
      <w:r>
        <w:rPr>
          <w:rFonts w:ascii="Times New Roman" w:hAnsi="Times New Roman"/>
          <w:noProof/>
          <w:sz w:val="24"/>
          <w:szCs w:val="24"/>
        </w:rPr>
        <w:t xml:space="preserve"> се </w:t>
      </w:r>
      <w:r>
        <w:rPr>
          <w:rFonts w:ascii="Times New Roman" w:hAnsi="Times New Roman"/>
          <w:bCs/>
          <w:noProof/>
          <w:sz w:val="24"/>
          <w:szCs w:val="24"/>
        </w:rPr>
        <w:t>отнасяше до случай на гражданин на ЕС, упражнил правото си на свободно движение, като е работил в приемащата държава членка за срок от две седмици не по срочен трудов договор, след което се е оказал в принудителна безработица. Съдът тълкува член 7, параграф 1, буква a) и параграф 3, буква в) от Директива 2004/38/EО и счете, че гражданин в такова положение запазва статуса на работник</w:t>
      </w:r>
      <w:r>
        <w:rPr>
          <w:rFonts w:ascii="Times New Roman" w:hAnsi="Times New Roman"/>
          <w:noProof/>
          <w:sz w:val="24"/>
          <w:szCs w:val="24"/>
        </w:rPr>
        <w:t xml:space="preserve"> </w:t>
      </w:r>
      <w:r>
        <w:rPr>
          <w:rFonts w:ascii="Times New Roman" w:hAnsi="Times New Roman"/>
          <w:bCs/>
          <w:noProof/>
          <w:sz w:val="24"/>
          <w:szCs w:val="24"/>
        </w:rPr>
        <w:t xml:space="preserve">(и следователно правото да пребивава в приемащата държава членка) за не по-малко от шест месеца, </w:t>
      </w:r>
      <w:r>
        <w:rPr>
          <w:rFonts w:ascii="Times New Roman" w:hAnsi="Times New Roman"/>
          <w:noProof/>
          <w:sz w:val="24"/>
          <w:szCs w:val="24"/>
        </w:rPr>
        <w:t>ако въпросното лице действително е имало статуса на работник, преди да се е оказало в принудителна безработица, и се е регистрирало като търсещо работа лице в съответното бюро по труда</w:t>
      </w:r>
      <w:r>
        <w:rPr>
          <w:rFonts w:ascii="Times New Roman" w:hAnsi="Times New Roman" w:cs="Times New Roman"/>
          <w:noProof/>
          <w:sz w:val="24"/>
          <w:szCs w:val="24"/>
          <w:vertAlign w:val="superscript"/>
          <w:lang w:val="en-GB"/>
        </w:rPr>
        <w:footnoteReference w:id="72"/>
      </w:r>
      <w:r>
        <w:rPr>
          <w:rFonts w:ascii="Times New Roman" w:hAnsi="Times New Roman"/>
          <w:noProof/>
          <w:sz w:val="24"/>
          <w:szCs w:val="24"/>
        </w:rPr>
        <w:t>. Освен това Съдът отбеляза, че съгласно националното право ползването на правото на социалноосигурителни обезщетения или социални помощи може да зависи от конкретен срок на заетост, доколкото същото условие е приложимо и за гражданите на въпросната държава членка съгласно принципа на равно третиране</w:t>
      </w:r>
      <w:r>
        <w:rPr>
          <w:rFonts w:ascii="Times New Roman" w:hAnsi="Times New Roman" w:cs="Times New Roman"/>
          <w:noProof/>
          <w:sz w:val="24"/>
          <w:szCs w:val="24"/>
          <w:vertAlign w:val="superscript"/>
          <w:lang w:val="en-GB"/>
        </w:rPr>
        <w:footnoteReference w:id="73"/>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bCs/>
          <w:noProof/>
          <w:sz w:val="24"/>
          <w:szCs w:val="24"/>
        </w:rPr>
        <w:t xml:space="preserve">Делото </w:t>
      </w:r>
      <w:r>
        <w:rPr>
          <w:rFonts w:ascii="Times New Roman" w:hAnsi="Times New Roman"/>
          <w:b/>
          <w:bCs/>
          <w:i/>
          <w:noProof/>
          <w:sz w:val="24"/>
          <w:szCs w:val="24"/>
        </w:rPr>
        <w:t>Bajratari</w:t>
      </w:r>
      <w:r>
        <w:rPr>
          <w:rStyle w:val="FootnoteReference"/>
          <w:noProof/>
        </w:rPr>
        <w:footnoteReference w:id="74"/>
      </w:r>
      <w:r>
        <w:rPr>
          <w:rFonts w:ascii="Times New Roman" w:hAnsi="Times New Roman"/>
          <w:bCs/>
          <w:noProof/>
          <w:sz w:val="24"/>
          <w:szCs w:val="24"/>
        </w:rPr>
        <w:t xml:space="preserve"> е свързано с тълкуването на член 7, параграф 1, буква б) от Директива 2004/38/EО — пребиваване на основание достатъчно средства и пълна здравна застраховка. Случаят се отнася до гражданин на трета държава, родител на ненавършил пълнолетие гражданин на ЕС, който се позовава на производното си право на пребиваване в приемащата държава членка в качеството на лице, което действително упражнява родителските права върху ненавършилото си пълнолетие дете, гражданин на ЕС, пребиваващ на основание член 7, параграф 1, буква б). Съдът постанови, че ненавършилият пълнолетие гражданин на Съюза разполага с достатъчно средства, за да не се превърне в неприемлива тежест за системата за социално подпомагане на приемащата държава членка през времето си на пребиваване, дори и когато тези средства са от доходи от незаконно упражнявана трудова дейност на родителя му, гражданин на трета държава, който няма разрешения за пребиваване и работа в тази държава членка</w:t>
      </w:r>
      <w:r>
        <w:rPr>
          <w:rStyle w:val="FootnoteReference"/>
          <w:rFonts w:ascii="Times New Roman" w:hAnsi="Times New Roman"/>
          <w:bCs/>
          <w:noProof/>
          <w:sz w:val="24"/>
          <w:szCs w:val="24"/>
          <w:lang w:val="en-GB"/>
        </w:rPr>
        <w:footnoteReference w:id="75"/>
      </w:r>
      <w:r>
        <w:rPr>
          <w:rFonts w:ascii="Times New Roman" w:hAnsi="Times New Roman"/>
          <w:bCs/>
          <w:noProof/>
          <w:sz w:val="24"/>
          <w:szCs w:val="24"/>
        </w:rPr>
        <w:t>. Съдът постанови също, че условията за ограничаване на правото на пребиваване на ненавършилият пълнолетие гражданин на ЕС от съображения, свързани с обществения ред, не са изпълнени</w:t>
      </w:r>
      <w:r>
        <w:rPr>
          <w:rStyle w:val="FootnoteReference"/>
          <w:rFonts w:ascii="Times New Roman" w:hAnsi="Times New Roman"/>
          <w:bCs/>
          <w:noProof/>
          <w:sz w:val="24"/>
          <w:szCs w:val="24"/>
          <w:lang w:val="en-GB"/>
        </w:rPr>
        <w:footnoteReference w:id="76"/>
      </w:r>
      <w:r>
        <w:rPr>
          <w:rFonts w:ascii="Times New Roman" w:hAnsi="Times New Roman"/>
          <w:bCs/>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Втора поредица от решения на Съда на Европейския съюз се отнася до ограничаването на правата на пребиваване и експулсирането по Директива 2004/38/ЕО.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По делото </w:t>
      </w:r>
      <w:r>
        <w:rPr>
          <w:rFonts w:ascii="Times New Roman" w:hAnsi="Times New Roman"/>
          <w:b/>
          <w:i/>
          <w:noProof/>
          <w:sz w:val="24"/>
          <w:szCs w:val="24"/>
        </w:rPr>
        <w:t>E/Subdelegación del Gobierno en Álava</w:t>
      </w:r>
      <w:r>
        <w:rPr>
          <w:rFonts w:ascii="Times New Roman" w:hAnsi="Times New Roman" w:cs="Times New Roman"/>
          <w:noProof/>
          <w:sz w:val="24"/>
          <w:szCs w:val="24"/>
          <w:vertAlign w:val="superscript"/>
          <w:lang w:val="en-GB"/>
        </w:rPr>
        <w:footnoteReference w:id="77"/>
      </w:r>
      <w:r>
        <w:rPr>
          <w:rFonts w:ascii="Times New Roman" w:hAnsi="Times New Roman"/>
          <w:noProof/>
          <w:sz w:val="24"/>
          <w:szCs w:val="24"/>
        </w:rPr>
        <w:t xml:space="preserve"> Съдът отново потвърди, че решенията за експулсиране съгласно Директива 2004/38/ЕО трябва да се основават изключително на личното поведение на въпросното лице (гражданин на ЕС). Обстоятелството, че съответното лице се намира в затвора в момента на приемане на решението за експулсиране без перспектива за освобождаване в близко бъдеще, не „изключва възможността поведението му да представлява […] истинска и настояща по характер заплаха за някои от основните интереси на обществото в приемащата държава членка“</w:t>
      </w:r>
      <w:r>
        <w:rPr>
          <w:rFonts w:ascii="Times New Roman" w:hAnsi="Times New Roman" w:cs="Times New Roman"/>
          <w:noProof/>
          <w:sz w:val="24"/>
          <w:szCs w:val="24"/>
          <w:vertAlign w:val="superscript"/>
          <w:lang w:val="en-GB"/>
        </w:rPr>
        <w:footnoteReference w:id="78"/>
      </w:r>
      <w:r>
        <w:rPr>
          <w:rFonts w:ascii="Times New Roman" w:hAnsi="Times New Roman"/>
          <w:noProof/>
          <w:sz w:val="24"/>
          <w:szCs w:val="24"/>
        </w:rPr>
        <w:t xml:space="preserve"> за целите на приемане на такова решение.</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По делото </w:t>
      </w:r>
      <w:r>
        <w:rPr>
          <w:rFonts w:ascii="Times New Roman" w:hAnsi="Times New Roman"/>
          <w:b/>
          <w:i/>
          <w:noProof/>
          <w:sz w:val="24"/>
          <w:szCs w:val="24"/>
        </w:rPr>
        <w:t>Petrea</w:t>
      </w:r>
      <w:r>
        <w:rPr>
          <w:rFonts w:ascii="Times New Roman" w:hAnsi="Times New Roman" w:cs="Times New Roman"/>
          <w:noProof/>
          <w:sz w:val="24"/>
          <w:szCs w:val="24"/>
          <w:vertAlign w:val="superscript"/>
          <w:lang w:val="en-GB"/>
        </w:rPr>
        <w:footnoteReference w:id="79"/>
      </w:r>
      <w:r>
        <w:rPr>
          <w:rFonts w:ascii="Times New Roman" w:hAnsi="Times New Roman"/>
          <w:noProof/>
          <w:sz w:val="24"/>
          <w:szCs w:val="24"/>
        </w:rPr>
        <w:t xml:space="preserve"> Съдът определи, наред с другото, че държава членка може да отмени удостоверение за регистрация, неправилно издадено на гражданин на Съюза, който е бил експулсиран и се връща в държавата членка, докато по отношение на това лице продължава да е в сила заповед за забрана на достъп (съгласно предвиденото в Директива 2004/38/ЕО)</w:t>
      </w:r>
      <w:r>
        <w:rPr>
          <w:rFonts w:ascii="Times New Roman" w:hAnsi="Times New Roman" w:cs="Times New Roman"/>
          <w:noProof/>
          <w:sz w:val="24"/>
          <w:szCs w:val="24"/>
          <w:vertAlign w:val="superscript"/>
          <w:lang w:val="en-GB"/>
        </w:rPr>
        <w:footnoteReference w:id="80"/>
      </w:r>
      <w:r>
        <w:rPr>
          <w:rFonts w:ascii="Times New Roman" w:hAnsi="Times New Roman"/>
          <w:noProof/>
          <w:sz w:val="24"/>
          <w:szCs w:val="24"/>
        </w:rPr>
        <w:t>. Засегнатият гражданин на ЕС има право, съгласно член 32 от Директива 2004/38/ЕО, да подаде молба за вдигане на забраната за достъп; такива граждани обаче нямат право на пребиваване (съгласно Директива 2004/38/ЕО), докато се разглежда тяхната молба</w:t>
      </w:r>
      <w:r>
        <w:rPr>
          <w:rFonts w:ascii="Times New Roman" w:hAnsi="Times New Roman" w:cs="Times New Roman"/>
          <w:noProof/>
          <w:sz w:val="24"/>
          <w:szCs w:val="24"/>
          <w:vertAlign w:val="superscript"/>
          <w:lang w:val="en-GB"/>
        </w:rPr>
        <w:footnoteReference w:id="81"/>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По делата </w:t>
      </w:r>
      <w:r>
        <w:rPr>
          <w:rFonts w:ascii="Times New Roman" w:hAnsi="Times New Roman"/>
          <w:b/>
          <w:i/>
          <w:noProof/>
          <w:sz w:val="24"/>
          <w:szCs w:val="24"/>
        </w:rPr>
        <w:t>B и Vomero</w:t>
      </w:r>
      <w:r>
        <w:rPr>
          <w:rFonts w:ascii="Times New Roman" w:hAnsi="Times New Roman" w:cs="Times New Roman"/>
          <w:noProof/>
          <w:sz w:val="24"/>
          <w:szCs w:val="24"/>
          <w:vertAlign w:val="superscript"/>
          <w:lang w:val="en-GB"/>
        </w:rPr>
        <w:footnoteReference w:id="82"/>
      </w:r>
      <w:r>
        <w:rPr>
          <w:rFonts w:ascii="Times New Roman" w:hAnsi="Times New Roman"/>
          <w:noProof/>
          <w:sz w:val="24"/>
          <w:szCs w:val="24"/>
        </w:rPr>
        <w:t xml:space="preserve"> Съдът уточни редица въпроси по отношение на разпоредбите на Директива 2004/38/ЕО относно предоставянето на високо ниво на защита срещу експулсиране съгласно член 28, параграф 3, буква a) от същата директива и условията за това, по-специално в контекста на лишаването от свобода. Съдът постанови, че гражданинът на ЕС трябва да е придобил право на постоянно пребиваване, за да отговаря на условията за предоставяне на високо ниво на защита срещу експулсиране</w:t>
      </w:r>
      <w:r>
        <w:rPr>
          <w:rFonts w:ascii="Times New Roman" w:hAnsi="Times New Roman" w:cs="Times New Roman"/>
          <w:noProof/>
          <w:sz w:val="24"/>
          <w:szCs w:val="24"/>
          <w:vertAlign w:val="superscript"/>
          <w:lang w:val="en-GB"/>
        </w:rPr>
        <w:footnoteReference w:id="83"/>
      </w:r>
      <w:r>
        <w:rPr>
          <w:rFonts w:ascii="Times New Roman" w:hAnsi="Times New Roman"/>
          <w:noProof/>
          <w:sz w:val="24"/>
          <w:szCs w:val="24"/>
        </w:rPr>
        <w:t>. Освен това Съдът уточни, че периодът на (непрекъснато) предварително пребиваване с натрупване, необходим за предоставянето на високо ниво на защита срещу експулсиране, трябва да се изчислява, като се брои обратно, считано от датата на първоначалното приемане на решение за експулсиране</w:t>
      </w:r>
      <w:r>
        <w:rPr>
          <w:rFonts w:ascii="Times New Roman" w:hAnsi="Times New Roman" w:cs="Times New Roman"/>
          <w:noProof/>
          <w:sz w:val="24"/>
          <w:szCs w:val="24"/>
          <w:vertAlign w:val="superscript"/>
          <w:lang w:val="en-GB"/>
        </w:rPr>
        <w:footnoteReference w:id="84"/>
      </w:r>
      <w:r>
        <w:rPr>
          <w:rFonts w:ascii="Times New Roman" w:hAnsi="Times New Roman"/>
          <w:noProof/>
          <w:sz w:val="24"/>
          <w:szCs w:val="24"/>
        </w:rPr>
        <w:t>. Въпросът дали периодът на пребиваване, необходим за предоставянето на високо ниво на защита срещу експулсиране, е бил прекъснат от периода на лишаване от свобода преди решението за експулсиране, трябва да се определи от общата преценка дали са прекъснати интеграционните връзки на гражданина на ЕС с приемащата държава членка, независимо от лишаването от свобода</w:t>
      </w:r>
      <w:r>
        <w:rPr>
          <w:rFonts w:ascii="Times New Roman" w:hAnsi="Times New Roman" w:cs="Times New Roman"/>
          <w:noProof/>
          <w:sz w:val="24"/>
          <w:szCs w:val="24"/>
          <w:vertAlign w:val="superscript"/>
          <w:lang w:val="en-GB"/>
        </w:rPr>
        <w:footnoteReference w:id="85"/>
      </w:r>
      <w:r>
        <w:rPr>
          <w:rFonts w:ascii="Times New Roman" w:hAnsi="Times New Roman"/>
          <w:noProof/>
          <w:sz w:val="24"/>
          <w:szCs w:val="24"/>
        </w:rPr>
        <w:t>. Релевантните обстоятелства за тази обща преценка включват „здравината на интеграционните връзки, създадени с приемащата държава членка преди лишаването на заинтересованото лице от свобода, видът на престъплението, заради което му е определен съответният срок на лишаване от свобода, и обстоятелствата, при които е извършено това престъпление, както и поведението на заинтересованото лице през периода на лишаването му от свобода“</w:t>
      </w:r>
      <w:r>
        <w:rPr>
          <w:rFonts w:ascii="Times New Roman" w:hAnsi="Times New Roman" w:cs="Times New Roman"/>
          <w:noProof/>
          <w:sz w:val="24"/>
          <w:szCs w:val="24"/>
          <w:vertAlign w:val="superscript"/>
          <w:lang w:val="en-GB"/>
        </w:rPr>
        <w:footnoteReference w:id="86"/>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По делата </w:t>
      </w:r>
      <w:r>
        <w:rPr>
          <w:rFonts w:ascii="Times New Roman" w:hAnsi="Times New Roman"/>
          <w:b/>
          <w:i/>
          <w:noProof/>
          <w:sz w:val="24"/>
          <w:szCs w:val="24"/>
        </w:rPr>
        <w:t>K и HF</w:t>
      </w:r>
      <w:r>
        <w:rPr>
          <w:rFonts w:ascii="Times New Roman" w:hAnsi="Times New Roman" w:cs="Times New Roman"/>
          <w:noProof/>
          <w:sz w:val="24"/>
          <w:szCs w:val="24"/>
          <w:vertAlign w:val="superscript"/>
          <w:lang w:val="en-GB"/>
        </w:rPr>
        <w:footnoteReference w:id="87"/>
      </w:r>
      <w:r>
        <w:rPr>
          <w:rFonts w:ascii="Times New Roman" w:hAnsi="Times New Roman"/>
          <w:noProof/>
          <w:sz w:val="24"/>
          <w:szCs w:val="24"/>
        </w:rPr>
        <w:t xml:space="preserve"> Съдът постанови, че обстоятелството, че на (член на семейството на) гражданин на ЕС преди това е отказано убежище на основание член 1, раздел F от Женевската конвенция, не може </w:t>
      </w:r>
      <w:r>
        <w:rPr>
          <w:rFonts w:ascii="Times New Roman" w:hAnsi="Times New Roman"/>
          <w:i/>
          <w:noProof/>
          <w:sz w:val="24"/>
          <w:szCs w:val="24"/>
        </w:rPr>
        <w:t>автоматично</w:t>
      </w:r>
      <w:r>
        <w:rPr>
          <w:rFonts w:ascii="Times New Roman" w:hAnsi="Times New Roman"/>
          <w:noProof/>
          <w:sz w:val="24"/>
          <w:szCs w:val="24"/>
        </w:rPr>
        <w:t xml:space="preserve"> да доведе до заключението, че самото присъствие на това лице представлява действителна, настояща и достатъчно сериозна заплаха за някой от основните интереси на обществото, както изисква (член 27 от) Директива 2004/38/ЕО</w:t>
      </w:r>
      <w:r>
        <w:rPr>
          <w:rFonts w:ascii="Times New Roman" w:hAnsi="Times New Roman" w:cs="Times New Roman"/>
          <w:noProof/>
          <w:sz w:val="24"/>
          <w:szCs w:val="24"/>
          <w:vertAlign w:val="superscript"/>
          <w:lang w:val="en-GB"/>
        </w:rPr>
        <w:footnoteReference w:id="88"/>
      </w:r>
      <w:r>
        <w:rPr>
          <w:rFonts w:ascii="Times New Roman" w:hAnsi="Times New Roman"/>
          <w:noProof/>
          <w:sz w:val="24"/>
          <w:szCs w:val="24"/>
        </w:rPr>
        <w:t>. Необходимостта от ограничаване на свободата на движение и пребиваване на гражданин на ЕС или на член на семейството на гражданин на ЕС трябва да се преценява за всеки отделен случай</w:t>
      </w:r>
      <w:r>
        <w:rPr>
          <w:rFonts w:ascii="Times New Roman" w:hAnsi="Times New Roman" w:cs="Times New Roman"/>
          <w:noProof/>
          <w:sz w:val="24"/>
          <w:szCs w:val="24"/>
          <w:vertAlign w:val="superscript"/>
          <w:lang w:val="en-GB"/>
        </w:rPr>
        <w:footnoteReference w:id="89"/>
      </w:r>
      <w:r>
        <w:rPr>
          <w:rFonts w:ascii="Times New Roman" w:hAnsi="Times New Roman"/>
          <w:noProof/>
          <w:sz w:val="24"/>
          <w:szCs w:val="24"/>
        </w:rPr>
        <w:t xml:space="preserve"> и въз основа на правилата за свободно движение. Националните компетентни органи трябва допълнително да преценят дали i) приемането на такива мерки, свързани с опазването на обществения ред и с гарантирането на обществената сигурност, е в съответствие с принципа на пропорционалност, като се вземат предвид правата на гражданите на ЕС и на членовете на техните семейства, и ii) дали е възможно да се приемат други мерки, които в по-малка степен засягат свободата на движение</w:t>
      </w:r>
      <w:r>
        <w:rPr>
          <w:rFonts w:ascii="Times New Roman" w:hAnsi="Times New Roman" w:cs="Times New Roman"/>
          <w:noProof/>
          <w:sz w:val="24"/>
          <w:szCs w:val="24"/>
          <w:vertAlign w:val="superscript"/>
          <w:lang w:val="en-GB"/>
        </w:rPr>
        <w:footnoteReference w:id="90"/>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Трета поредица решения на Съда в рамките на разглеждания период засяга произтичащите от членове 20 и 21 от ДФЕС права на свободно движение и на пребиваване. </w:t>
      </w:r>
    </w:p>
    <w:p>
      <w:pPr>
        <w:spacing w:line="276" w:lineRule="auto"/>
        <w:jc w:val="both"/>
        <w:rPr>
          <w:rFonts w:ascii="Times New Roman" w:hAnsi="Times New Roman" w:cs="Times New Roman"/>
          <w:noProof/>
          <w:spacing w:val="6"/>
          <w:sz w:val="24"/>
          <w:szCs w:val="24"/>
        </w:rPr>
      </w:pPr>
      <w:r>
        <w:rPr>
          <w:rFonts w:ascii="Times New Roman" w:hAnsi="Times New Roman"/>
          <w:noProof/>
          <w:spacing w:val="6"/>
          <w:sz w:val="24"/>
          <w:szCs w:val="24"/>
        </w:rPr>
        <w:t xml:space="preserve">По делото </w:t>
      </w:r>
      <w:r>
        <w:rPr>
          <w:rFonts w:ascii="Times New Roman" w:hAnsi="Times New Roman"/>
          <w:b/>
          <w:bCs/>
          <w:i/>
          <w:iCs/>
          <w:noProof/>
          <w:spacing w:val="6"/>
          <w:sz w:val="24"/>
          <w:szCs w:val="24"/>
        </w:rPr>
        <w:t>Rendón Marín</w:t>
      </w:r>
      <w:r>
        <w:rPr>
          <w:rFonts w:ascii="Times New Roman" w:hAnsi="Times New Roman" w:cs="Times New Roman"/>
          <w:noProof/>
          <w:spacing w:val="6"/>
          <w:sz w:val="24"/>
          <w:szCs w:val="24"/>
          <w:vertAlign w:val="superscript"/>
          <w:lang w:val="en-GB"/>
        </w:rPr>
        <w:footnoteReference w:id="91"/>
      </w:r>
      <w:r>
        <w:rPr>
          <w:rFonts w:ascii="Times New Roman" w:hAnsi="Times New Roman"/>
          <w:noProof/>
          <w:spacing w:val="6"/>
          <w:sz w:val="24"/>
          <w:szCs w:val="24"/>
        </w:rPr>
        <w:t xml:space="preserve"> Съдът постанови, че правото на Съюза не допуска автоматично да бъде отказано производното право на пребиваване на гражданин на трета държава, който сам упражнява родителските права по отношение на „мобилни“ и „статични“ ненавършили пълнолетие граждани на Съюза, единствено въз основа на предишни осъждания</w:t>
      </w:r>
      <w:r>
        <w:rPr>
          <w:rFonts w:ascii="Times New Roman" w:hAnsi="Times New Roman" w:cs="Times New Roman"/>
          <w:noProof/>
          <w:spacing w:val="6"/>
          <w:sz w:val="24"/>
          <w:szCs w:val="24"/>
          <w:vertAlign w:val="superscript"/>
          <w:lang w:val="en-GB"/>
        </w:rPr>
        <w:footnoteReference w:id="92"/>
      </w:r>
      <w:r>
        <w:rPr>
          <w:rFonts w:ascii="Times New Roman" w:hAnsi="Times New Roman"/>
          <w:noProof/>
          <w:spacing w:val="6"/>
          <w:sz w:val="24"/>
          <w:szCs w:val="24"/>
        </w:rPr>
        <w:t xml:space="preserve">. Това изключване на възможността автоматично да бъде отказано производното право на пребиваване на гражданин на трета държава, който е родител на ненавършил пълнолетие гражданин на ЕС на негова издръжка, единствено въз основа на предишни осъждания на родителя, е потвърдено от Съда също така и по делото </w:t>
      </w:r>
      <w:r>
        <w:rPr>
          <w:rFonts w:ascii="Times New Roman" w:hAnsi="Times New Roman"/>
          <w:b/>
          <w:i/>
          <w:noProof/>
          <w:spacing w:val="6"/>
          <w:sz w:val="24"/>
          <w:szCs w:val="24"/>
        </w:rPr>
        <w:t>CS</w:t>
      </w:r>
      <w:r>
        <w:rPr>
          <w:rFonts w:ascii="Times New Roman" w:hAnsi="Times New Roman" w:cs="Times New Roman"/>
          <w:noProof/>
          <w:spacing w:val="6"/>
          <w:sz w:val="24"/>
          <w:szCs w:val="24"/>
          <w:vertAlign w:val="superscript"/>
          <w:lang w:val="en-GB"/>
        </w:rPr>
        <w:footnoteReference w:id="93"/>
      </w:r>
      <w:r>
        <w:rPr>
          <w:rFonts w:ascii="Times New Roman" w:hAnsi="Times New Roman"/>
          <w:noProof/>
          <w:spacing w:val="6"/>
          <w:sz w:val="24"/>
          <w:szCs w:val="24"/>
        </w:rPr>
        <w:t xml:space="preserve">. И по двете дела, </w:t>
      </w:r>
      <w:r>
        <w:rPr>
          <w:rFonts w:ascii="Times New Roman" w:hAnsi="Times New Roman"/>
          <w:i/>
          <w:noProof/>
          <w:spacing w:val="6"/>
          <w:sz w:val="24"/>
          <w:szCs w:val="24"/>
        </w:rPr>
        <w:t>Rendón Marín</w:t>
      </w:r>
      <w:r>
        <w:rPr>
          <w:rFonts w:ascii="Times New Roman" w:hAnsi="Times New Roman"/>
          <w:noProof/>
          <w:spacing w:val="6"/>
          <w:sz w:val="24"/>
          <w:szCs w:val="24"/>
        </w:rPr>
        <w:t xml:space="preserve"> и </w:t>
      </w:r>
      <w:r>
        <w:rPr>
          <w:rFonts w:ascii="Times New Roman" w:hAnsi="Times New Roman"/>
          <w:i/>
          <w:noProof/>
          <w:spacing w:val="6"/>
          <w:sz w:val="24"/>
          <w:szCs w:val="24"/>
        </w:rPr>
        <w:t>CS</w:t>
      </w:r>
      <w:r>
        <w:rPr>
          <w:rFonts w:ascii="Times New Roman" w:hAnsi="Times New Roman"/>
          <w:noProof/>
          <w:spacing w:val="6"/>
          <w:sz w:val="24"/>
          <w:szCs w:val="24"/>
        </w:rPr>
        <w:t>, Съдът обаче признава възможността държавата членка да ограничи произтичащите от член 20 и член 21 от ДФЕС права на пребиваване, доколкото такова ограничаване се основава на преценка за всеки отделен случай и доколкото всяко експулсиране или ограничаване на правото на пребиваване е направено поради „наличие на истинска, настояща и достатъчно сериозна заплаха за обществения ред или за обществената сигурност“</w:t>
      </w:r>
      <w:r>
        <w:rPr>
          <w:rFonts w:ascii="Times New Roman" w:hAnsi="Times New Roman" w:cs="Times New Roman"/>
          <w:noProof/>
          <w:spacing w:val="6"/>
          <w:sz w:val="24"/>
          <w:szCs w:val="24"/>
          <w:vertAlign w:val="superscript"/>
          <w:lang w:val="en-GB"/>
        </w:rPr>
        <w:footnoteReference w:id="94"/>
      </w:r>
      <w:r>
        <w:rPr>
          <w:rFonts w:ascii="Times New Roman" w:hAnsi="Times New Roman"/>
          <w:noProof/>
          <w:spacing w:val="6"/>
          <w:sz w:val="24"/>
          <w:szCs w:val="24"/>
        </w:rPr>
        <w:t>.</w:t>
      </w:r>
    </w:p>
    <w:p>
      <w:pPr>
        <w:spacing w:line="276" w:lineRule="auto"/>
        <w:jc w:val="both"/>
        <w:rPr>
          <w:rFonts w:ascii="Times New Roman" w:hAnsi="Times New Roman" w:cs="Times New Roman"/>
          <w:noProof/>
          <w:spacing w:val="6"/>
          <w:sz w:val="24"/>
          <w:szCs w:val="24"/>
        </w:rPr>
      </w:pPr>
      <w:r>
        <w:rPr>
          <w:rFonts w:ascii="Times New Roman" w:hAnsi="Times New Roman"/>
          <w:noProof/>
          <w:spacing w:val="6"/>
          <w:sz w:val="24"/>
          <w:szCs w:val="24"/>
        </w:rPr>
        <w:t xml:space="preserve">По делото </w:t>
      </w:r>
      <w:r>
        <w:rPr>
          <w:rFonts w:ascii="Times New Roman" w:hAnsi="Times New Roman"/>
          <w:b/>
          <w:i/>
          <w:noProof/>
          <w:spacing w:val="6"/>
          <w:sz w:val="24"/>
          <w:szCs w:val="24"/>
        </w:rPr>
        <w:t>Chavez-Vilchez и други</w:t>
      </w:r>
      <w:r>
        <w:rPr>
          <w:rFonts w:ascii="Times New Roman" w:hAnsi="Times New Roman" w:cs="Times New Roman"/>
          <w:noProof/>
          <w:spacing w:val="6"/>
          <w:sz w:val="24"/>
          <w:szCs w:val="24"/>
          <w:vertAlign w:val="superscript"/>
          <w:lang w:val="en-GB"/>
        </w:rPr>
        <w:footnoteReference w:id="95"/>
      </w:r>
      <w:r>
        <w:rPr>
          <w:rFonts w:ascii="Times New Roman" w:hAnsi="Times New Roman"/>
          <w:noProof/>
          <w:spacing w:val="6"/>
          <w:sz w:val="24"/>
          <w:szCs w:val="24"/>
        </w:rPr>
        <w:t xml:space="preserve"> Съдът беше призован да уточни до каква степен правото на пребиваване, произтичащото от член 20 от ДФЕС (като бъде следвана съдебната практика на Съда, започвайки от делото </w:t>
      </w:r>
      <w:r>
        <w:rPr>
          <w:rFonts w:ascii="Times New Roman" w:hAnsi="Times New Roman"/>
          <w:i/>
          <w:noProof/>
          <w:spacing w:val="6"/>
          <w:sz w:val="24"/>
          <w:szCs w:val="24"/>
        </w:rPr>
        <w:t>Ruiz Zambrano</w:t>
      </w:r>
      <w:r>
        <w:rPr>
          <w:rStyle w:val="FootnoteReference"/>
          <w:rFonts w:ascii="Times New Roman" w:hAnsi="Times New Roman" w:cs="Times New Roman"/>
          <w:i/>
          <w:noProof/>
          <w:spacing w:val="6"/>
          <w:sz w:val="24"/>
          <w:szCs w:val="24"/>
          <w:lang w:val="en-GB"/>
        </w:rPr>
        <w:footnoteReference w:id="96"/>
      </w:r>
      <w:r>
        <w:rPr>
          <w:rFonts w:ascii="Times New Roman" w:hAnsi="Times New Roman"/>
          <w:noProof/>
          <w:spacing w:val="6"/>
          <w:sz w:val="24"/>
          <w:szCs w:val="24"/>
        </w:rPr>
        <w:t xml:space="preserve">), зависи от възможността родителят на гражданина на ЕС, който действително не упражнява родителските права по отношение на „статичния“ ненавършил пълнолетие гражданин на ЕС, да се грижи за това дете. Съдът постанови, че компетентните органи трябва да определят в светлината, </w:t>
      </w:r>
      <w:r>
        <w:rPr>
          <w:rFonts w:ascii="Times New Roman" w:hAnsi="Times New Roman"/>
          <w:i/>
          <w:noProof/>
          <w:spacing w:val="6"/>
          <w:sz w:val="24"/>
          <w:szCs w:val="24"/>
        </w:rPr>
        <w:t>inter alia,</w:t>
      </w:r>
      <w:r>
        <w:rPr>
          <w:rFonts w:ascii="Times New Roman" w:hAnsi="Times New Roman"/>
          <w:noProof/>
          <w:spacing w:val="6"/>
          <w:sz w:val="24"/>
          <w:szCs w:val="24"/>
        </w:rPr>
        <w:t xml:space="preserve"> на членове 7 (зачитане на личния и семейния живот) и 24 (висшият интерес на детето трябва да бъде от първостепенно значение) от Хартата на основните права на Европейския съюз кой родител действително се грижи за детето и дали съществува действително отношение на зависимост с родителя, гражданин на трета държава, което би принудило детето да напусне територията на Съюза, ако на посочения родител бъде отказано право на пребиваване</w:t>
      </w:r>
      <w:r>
        <w:rPr>
          <w:rFonts w:ascii="Times New Roman" w:hAnsi="Times New Roman" w:cs="Times New Roman"/>
          <w:noProof/>
          <w:spacing w:val="6"/>
          <w:sz w:val="24"/>
          <w:szCs w:val="24"/>
          <w:vertAlign w:val="superscript"/>
          <w:lang w:val="en-GB"/>
        </w:rPr>
        <w:footnoteReference w:id="97"/>
      </w:r>
      <w:r>
        <w:rPr>
          <w:rFonts w:ascii="Times New Roman" w:hAnsi="Times New Roman"/>
          <w:noProof/>
          <w:spacing w:val="6"/>
          <w:sz w:val="24"/>
          <w:szCs w:val="24"/>
        </w:rPr>
        <w:t>. Съдът постанови, че за целите на тази преценка обстоятелството, че другият родител, гражданин на ЕС, действително може и е готов сам да поеме ежедневната и действителна грижа за детето, е релевантно. Само по себе си обаче това не е достатъчно, за да може да се установи, че между родителя, гражданин на трета държава, и детето не съществува отношение на зависимост от такова естество, че последното би било принудено да напусне територията на Съюза, ако на посочения гражданин на трета държава бъде отказано право на пребиваване</w:t>
      </w:r>
      <w:r>
        <w:rPr>
          <w:rFonts w:ascii="Times New Roman" w:hAnsi="Times New Roman" w:cs="Times New Roman"/>
          <w:noProof/>
          <w:spacing w:val="6"/>
          <w:sz w:val="24"/>
          <w:szCs w:val="24"/>
          <w:vertAlign w:val="superscript"/>
          <w:lang w:val="en-GB"/>
        </w:rPr>
        <w:footnoteReference w:id="98"/>
      </w:r>
      <w:r>
        <w:rPr>
          <w:rFonts w:ascii="Times New Roman" w:hAnsi="Times New Roman"/>
          <w:noProof/>
          <w:spacing w:val="6"/>
          <w:sz w:val="24"/>
          <w:szCs w:val="24"/>
        </w:rPr>
        <w:t>. Съдът отново потвърди, че обстоятелства, които са от значение за преценката на компетентните органи, включват „</w:t>
      </w:r>
      <w:r>
        <w:rPr>
          <w:rFonts w:ascii="Times New Roman" w:hAnsi="Times New Roman"/>
          <w:i/>
          <w:noProof/>
          <w:spacing w:val="6"/>
          <w:sz w:val="24"/>
          <w:szCs w:val="24"/>
        </w:rPr>
        <w:t>въпроса за упражняването на родителските права, както и обстоятелството дали законната, финансовата или емоционалната грижа за детето се поема от родителя, гражданин на трета държава</w:t>
      </w:r>
      <w:r>
        <w:rPr>
          <w:rFonts w:ascii="Times New Roman" w:hAnsi="Times New Roman"/>
          <w:noProof/>
          <w:spacing w:val="6"/>
          <w:sz w:val="24"/>
          <w:szCs w:val="24"/>
        </w:rPr>
        <w:t>“</w:t>
      </w:r>
      <w:r>
        <w:rPr>
          <w:rFonts w:ascii="Times New Roman" w:hAnsi="Times New Roman" w:cs="Times New Roman"/>
          <w:noProof/>
          <w:spacing w:val="6"/>
          <w:sz w:val="24"/>
          <w:szCs w:val="24"/>
          <w:vertAlign w:val="superscript"/>
          <w:lang w:val="en-GB"/>
        </w:rPr>
        <w:footnoteReference w:id="99"/>
      </w:r>
      <w:r>
        <w:rPr>
          <w:rFonts w:ascii="Times New Roman" w:hAnsi="Times New Roman"/>
          <w:noProof/>
          <w:spacing w:val="6"/>
          <w:sz w:val="24"/>
          <w:szCs w:val="24"/>
        </w:rPr>
        <w:t>. След това Съдът добави, че преценяването на тези обстоятелства се извършва „</w:t>
      </w:r>
      <w:r>
        <w:rPr>
          <w:rFonts w:ascii="Times New Roman" w:hAnsi="Times New Roman"/>
          <w:i/>
          <w:noProof/>
          <w:spacing w:val="6"/>
          <w:sz w:val="24"/>
          <w:szCs w:val="24"/>
        </w:rPr>
        <w:t>като с оглед на висшия интерес на заинтересованото дете се вземат предвид всички обстоятелства в конкретния случай, по-специално неговата възраст, физическото и емоционалното му развитие, степента на емоционална обвързаност както с родителя, гражданин на Съюза, така и с родителя, гражданин на трета държава, а също и опасността, която раздялата с последния би породила за душевното равновесие на детето</w:t>
      </w:r>
      <w:r>
        <w:rPr>
          <w:rFonts w:ascii="Times New Roman" w:hAnsi="Times New Roman"/>
          <w:noProof/>
          <w:spacing w:val="6"/>
          <w:sz w:val="24"/>
          <w:szCs w:val="24"/>
        </w:rPr>
        <w:t>“</w:t>
      </w:r>
      <w:r>
        <w:rPr>
          <w:rFonts w:ascii="Times New Roman" w:hAnsi="Times New Roman" w:cs="Times New Roman"/>
          <w:noProof/>
          <w:spacing w:val="6"/>
          <w:sz w:val="24"/>
          <w:szCs w:val="24"/>
          <w:vertAlign w:val="superscript"/>
          <w:lang w:val="en-GB"/>
        </w:rPr>
        <w:footnoteReference w:id="100"/>
      </w:r>
      <w:r>
        <w:rPr>
          <w:rFonts w:ascii="Times New Roman" w:hAnsi="Times New Roman"/>
          <w:noProof/>
          <w:spacing w:val="6"/>
          <w:sz w:val="24"/>
          <w:szCs w:val="24"/>
        </w:rPr>
        <w:t xml:space="preserve">. </w:t>
      </w:r>
    </w:p>
    <w:p>
      <w:pPr>
        <w:pStyle w:val="c41dispositifintroduction"/>
        <w:spacing w:before="0" w:beforeAutospacing="0" w:after="160" w:afterAutospacing="0" w:line="276" w:lineRule="auto"/>
        <w:jc w:val="both"/>
        <w:rPr>
          <w:rFonts w:eastAsia="Times New Roman"/>
          <w:noProof/>
          <w:color w:val="000000"/>
          <w:spacing w:val="6"/>
        </w:rPr>
      </w:pPr>
      <w:r>
        <w:rPr>
          <w:noProof/>
          <w:spacing w:val="6"/>
        </w:rPr>
        <w:t xml:space="preserve">Дело </w:t>
      </w:r>
      <w:r>
        <w:rPr>
          <w:b/>
          <w:i/>
          <w:noProof/>
          <w:spacing w:val="6"/>
        </w:rPr>
        <w:t>Subdelegación del Gobierno en Ciudad Real</w:t>
      </w:r>
      <w:r>
        <w:rPr>
          <w:rStyle w:val="FootnoteReference"/>
          <w:noProof/>
          <w:color w:val="002060"/>
          <w:spacing w:val="6"/>
          <w:lang w:val="es-ES" w:eastAsia="en-US"/>
        </w:rPr>
        <w:footnoteReference w:id="101"/>
      </w:r>
      <w:r>
        <w:rPr>
          <w:noProof/>
          <w:color w:val="002060"/>
          <w:spacing w:val="6"/>
        </w:rPr>
        <w:t xml:space="preserve"> </w:t>
      </w:r>
      <w:r>
        <w:rPr>
          <w:noProof/>
          <w:color w:val="000000"/>
          <w:spacing w:val="6"/>
        </w:rPr>
        <w:t xml:space="preserve">се отнася до член 20 от ДФЕС. Съдът постанови, че член 20 не допуска държава членка да отхвърли искане за събиране на семейството, подадено от гражданин на трета държава, съпруг/съпруга на лице, което е гражданин на Съюза и на тази държава членка, и което никога не е упражнявало свободата си на движение, само и единствено поради това че този гражданин на Съюза не разполага с достатъчно средства за себе си и за своя(та) съпруг(а) и с цел да не се превърнат в тежест за системата за социално подпомагане, без оглед на това дали между споменатия гражданин на Съюза и съпруга(та) му съществува отношение на зависимост от такова естество, че при отказ да се признае производно право на пребиваване на последния/последната, споменатият гражданин на Съюза би бил принуден да напусне територията на Съюза и по този начин би бил лишен от ефективно упражняване на правата, които му предоставя неговият статут. Следователно, когато компетентният национален орган е сезиран от гражданин на трета държава с искане да му бъде предоставено право на пребиваване с цел събиране на семейството с гражданин на Съюза, гражданин на съответната държава членка, този орган трябва да прецени — въз основа на обстоятелствата, които съответният гражданин на трета държава и съответният гражданин на Съюза трябва да му предоставят, и като извърши, ако се налага, необходимите проверки — дали между тези две лица съществува отношение на зависимост, така че на този гражданин да трябва да се предостави производно право на пребиваване по силата на член 20 от ДФЕС. </w:t>
      </w:r>
    </w:p>
    <w:p>
      <w:pPr>
        <w:spacing w:line="276" w:lineRule="auto"/>
        <w:jc w:val="both"/>
        <w:rPr>
          <w:rFonts w:ascii="Times New Roman" w:hAnsi="Times New Roman" w:cs="Times New Roman"/>
          <w:noProof/>
          <w:sz w:val="24"/>
          <w:szCs w:val="24"/>
        </w:rPr>
      </w:pPr>
    </w:p>
    <w:p>
      <w:pPr>
        <w:pStyle w:val="ListParagraph"/>
        <w:numPr>
          <w:ilvl w:val="2"/>
          <w:numId w:val="2"/>
        </w:numPr>
        <w:spacing w:line="276" w:lineRule="auto"/>
        <w:jc w:val="both"/>
        <w:rPr>
          <w:rFonts w:ascii="Times New Roman" w:hAnsi="Times New Roman" w:cs="Times New Roman"/>
          <w:bCs/>
          <w:i/>
          <w:noProof/>
          <w:sz w:val="24"/>
          <w:szCs w:val="24"/>
        </w:rPr>
      </w:pPr>
      <w:bookmarkStart w:id="3" w:name="_Toc27163887"/>
      <w:r>
        <w:rPr>
          <w:rFonts w:ascii="Times New Roman" w:hAnsi="Times New Roman"/>
          <w:bCs/>
          <w:i/>
          <w:noProof/>
          <w:sz w:val="24"/>
          <w:szCs w:val="24"/>
        </w:rPr>
        <w:t>Развитие на съдебната практика на Съда на Европейския съюз в областта на правата на влизане и пребиваване на „други членове на семейството“ на граждани на ЕС</w:t>
      </w:r>
      <w:bookmarkEnd w:id="3"/>
    </w:p>
    <w:p>
      <w:pPr>
        <w:spacing w:line="276" w:lineRule="auto"/>
        <w:jc w:val="both"/>
        <w:rPr>
          <w:rFonts w:ascii="Times New Roman" w:hAnsi="Times New Roman" w:cs="Times New Roman"/>
          <w:bCs/>
          <w:noProof/>
          <w:color w:val="000000"/>
          <w:sz w:val="24"/>
          <w:szCs w:val="24"/>
        </w:rPr>
      </w:pPr>
      <w:r>
        <w:rPr>
          <w:rFonts w:ascii="Times New Roman" w:hAnsi="Times New Roman"/>
          <w:noProof/>
          <w:sz w:val="24"/>
          <w:szCs w:val="24"/>
        </w:rPr>
        <w:t xml:space="preserve">Що се отнася до правото на влизане, по делото </w:t>
      </w:r>
      <w:r>
        <w:rPr>
          <w:rFonts w:ascii="Times New Roman" w:hAnsi="Times New Roman"/>
          <w:b/>
          <w:i/>
          <w:noProof/>
          <w:sz w:val="24"/>
          <w:szCs w:val="24"/>
        </w:rPr>
        <w:t>Ryanair Designated Activity Company</w:t>
      </w:r>
      <w:r>
        <w:rPr>
          <w:rStyle w:val="FootnoteReference"/>
          <w:rFonts w:ascii="Times New Roman" w:eastAsia="Times New Roman" w:hAnsi="Times New Roman" w:cs="Times New Roman"/>
          <w:noProof/>
          <w:sz w:val="24"/>
          <w:szCs w:val="24"/>
          <w:lang w:val="en-GB"/>
        </w:rPr>
        <w:footnoteReference w:id="102"/>
      </w:r>
      <w:r>
        <w:rPr>
          <w:rFonts w:ascii="Times New Roman" w:hAnsi="Times New Roman"/>
          <w:noProof/>
          <w:sz w:val="24"/>
          <w:szCs w:val="24"/>
        </w:rPr>
        <w:t xml:space="preserve"> </w:t>
      </w:r>
      <w:r>
        <w:rPr>
          <w:rFonts w:ascii="Times New Roman" w:hAnsi="Times New Roman"/>
          <w:bCs/>
          <w:noProof/>
          <w:color w:val="000000"/>
          <w:sz w:val="24"/>
          <w:szCs w:val="24"/>
        </w:rPr>
        <w:t>Съдът уточни, че граждани на трети държави, които са членове на семейството на гражданин на ЕС, притежаващи карта за постоянно пребиваване, издадена от държава членка по член 20 от Директива 2004/38/EО, също се ползват от освобождаване от предвиденото в член 5, параграф 2 от тази директива задължение да притежават виза, за да влязат на територията на друга държава членка. Освобождаването от виза е приложимо също така, когато картата е издадена от държава членка, която не е част от Шенгенското пространство. В решението се заключава, че притежателят на такава карта има право да влиза без виза на територията на държава членка при представяне на картата без допълнителна проверка на положението му на член на семейството или друга необходима обосновка.</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Освен това в рамките на разглеждания период Съдът произнесе две решения, които допълнително уточняват прилагането по аналогия на член 3, параграф 2 от Директива 2004/38/ЕО и предишното му решение по делото </w:t>
      </w:r>
      <w:r>
        <w:rPr>
          <w:rFonts w:ascii="Times New Roman" w:hAnsi="Times New Roman"/>
          <w:i/>
          <w:noProof/>
          <w:sz w:val="24"/>
          <w:szCs w:val="24"/>
        </w:rPr>
        <w:t>Rahman</w:t>
      </w:r>
      <w:r>
        <w:rPr>
          <w:rFonts w:ascii="Times New Roman" w:hAnsi="Times New Roman" w:cs="Times New Roman"/>
          <w:noProof/>
          <w:sz w:val="24"/>
          <w:szCs w:val="24"/>
          <w:vertAlign w:val="superscript"/>
          <w:lang w:val="en-GB"/>
        </w:rPr>
        <w:footnoteReference w:id="103"/>
      </w:r>
      <w:r>
        <w:rPr>
          <w:rFonts w:ascii="Times New Roman" w:hAnsi="Times New Roman"/>
          <w:noProof/>
          <w:sz w:val="24"/>
          <w:szCs w:val="24"/>
        </w:rPr>
        <w:t>.</w:t>
      </w:r>
    </w:p>
    <w:p>
      <w:pPr>
        <w:spacing w:line="276" w:lineRule="auto"/>
        <w:jc w:val="both"/>
        <w:rPr>
          <w:rFonts w:ascii="Times New Roman" w:hAnsi="Times New Roman" w:cs="Times New Roman"/>
          <w:iCs/>
          <w:noProof/>
          <w:sz w:val="24"/>
          <w:szCs w:val="24"/>
        </w:rPr>
      </w:pPr>
      <w:r>
        <w:rPr>
          <w:rFonts w:ascii="Times New Roman" w:hAnsi="Times New Roman"/>
          <w:noProof/>
          <w:sz w:val="24"/>
          <w:szCs w:val="24"/>
        </w:rPr>
        <w:t xml:space="preserve">По делото </w:t>
      </w:r>
      <w:r>
        <w:rPr>
          <w:rFonts w:ascii="Times New Roman" w:hAnsi="Times New Roman"/>
          <w:b/>
          <w:i/>
          <w:noProof/>
          <w:sz w:val="24"/>
          <w:szCs w:val="24"/>
        </w:rPr>
        <w:t>Banger</w:t>
      </w:r>
      <w:r>
        <w:rPr>
          <w:rFonts w:ascii="Times New Roman" w:hAnsi="Times New Roman" w:cs="Times New Roman"/>
          <w:noProof/>
          <w:sz w:val="24"/>
          <w:szCs w:val="24"/>
          <w:vertAlign w:val="superscript"/>
          <w:lang w:val="en-GB"/>
        </w:rPr>
        <w:footnoteReference w:id="104"/>
      </w:r>
      <w:r>
        <w:rPr>
          <w:rFonts w:ascii="Times New Roman" w:hAnsi="Times New Roman"/>
          <w:noProof/>
          <w:sz w:val="24"/>
          <w:szCs w:val="24"/>
        </w:rPr>
        <w:t xml:space="preserve"> Съдът постанови, че член 21 от ДФЕС изисква държавите членки да улесняват влизането и пребиваването на членове на семейството в широк смисъл на собствените си граждани, които се завръщат, при условията, предвидени в член 3, параграф 2 от Директива 2004/38/ЕО, който се прилага по аналогия</w:t>
      </w:r>
      <w:r>
        <w:rPr>
          <w:rFonts w:ascii="Times New Roman" w:hAnsi="Times New Roman" w:cs="Times New Roman"/>
          <w:noProof/>
          <w:sz w:val="24"/>
          <w:szCs w:val="24"/>
          <w:vertAlign w:val="superscript"/>
          <w:lang w:val="en-GB"/>
        </w:rPr>
        <w:footnoteReference w:id="105"/>
      </w:r>
      <w:r>
        <w:rPr>
          <w:rFonts w:ascii="Times New Roman" w:hAnsi="Times New Roman"/>
          <w:noProof/>
          <w:sz w:val="24"/>
          <w:szCs w:val="24"/>
        </w:rPr>
        <w:t>. При преценката на молбата за издаване на разрешение за пребиваване по член 3, параграф 2 се спазват също така изискванията за предоставяне на определено предимство на такива молби в сравнение с тези на граждани на трети държави, които нямат такива семейни връзки, както и за извършване на подробен преглед на отнасящите се до заявителя лични обстоятелства. Всеки отказ на разрешение за влизане или пребиваване по такива молби трябва да бъде аргументиран</w:t>
      </w:r>
      <w:r>
        <w:rPr>
          <w:rFonts w:ascii="Times New Roman" w:hAnsi="Times New Roman" w:cs="Times New Roman"/>
          <w:noProof/>
          <w:sz w:val="24"/>
          <w:szCs w:val="24"/>
          <w:vertAlign w:val="superscript"/>
          <w:lang w:val="en-GB"/>
        </w:rPr>
        <w:footnoteReference w:id="106"/>
      </w:r>
      <w:r>
        <w:rPr>
          <w:rFonts w:ascii="Times New Roman" w:hAnsi="Times New Roman"/>
          <w:noProof/>
          <w:sz w:val="24"/>
          <w:szCs w:val="24"/>
        </w:rPr>
        <w:t xml:space="preserve">. Освен това Съдът постанови, че „членове на семейството в широк смисъл“, на които е отказано разрешение за пребиваване, трябва да имат достъп до процедури за обжалване пред национален съд. Националният съд трябва да може </w:t>
      </w:r>
      <w:r>
        <w:rPr>
          <w:rFonts w:ascii="Times New Roman" w:hAnsi="Times New Roman"/>
          <w:i/>
          <w:iCs/>
          <w:noProof/>
          <w:sz w:val="24"/>
          <w:szCs w:val="24"/>
        </w:rPr>
        <w:t>„да провери дали решението за отказ почива на достатъчно солидна фактическа основа и дали процесуалните гаранции са спазени. Сред тези гаранции е и задължението за компетентните национални органи да извършат подробен преглед на отнасящите се до заявителя лични обстоятелства и да аргументират всеки отказ за влизане или пребиваване“</w:t>
      </w:r>
      <w:r>
        <w:rPr>
          <w:rFonts w:ascii="Times New Roman" w:hAnsi="Times New Roman" w:cs="Times New Roman"/>
          <w:iCs/>
          <w:noProof/>
          <w:sz w:val="24"/>
          <w:szCs w:val="24"/>
          <w:vertAlign w:val="superscript"/>
          <w:lang w:val="en-GB"/>
        </w:rPr>
        <w:footnoteReference w:id="107"/>
      </w:r>
      <w:r>
        <w:rPr>
          <w:rFonts w:ascii="Times New Roman" w:hAnsi="Times New Roman"/>
          <w:iCs/>
          <w:noProof/>
          <w:sz w:val="24"/>
          <w:szCs w:val="24"/>
        </w:rPr>
        <w:t>.</w:t>
      </w:r>
    </w:p>
    <w:p>
      <w:pPr>
        <w:spacing w:line="276" w:lineRule="auto"/>
        <w:jc w:val="both"/>
        <w:rPr>
          <w:rFonts w:ascii="Times New Roman" w:hAnsi="Times New Roman" w:cs="Times New Roman"/>
          <w:noProof/>
          <w:spacing w:val="6"/>
          <w:sz w:val="24"/>
          <w:szCs w:val="24"/>
        </w:rPr>
      </w:pPr>
      <w:r>
        <w:rPr>
          <w:rFonts w:ascii="Times New Roman" w:hAnsi="Times New Roman"/>
          <w:noProof/>
          <w:spacing w:val="6"/>
          <w:sz w:val="24"/>
          <w:szCs w:val="24"/>
        </w:rPr>
        <w:t xml:space="preserve">По делото </w:t>
      </w:r>
      <w:r>
        <w:rPr>
          <w:rFonts w:ascii="Times New Roman" w:hAnsi="Times New Roman"/>
          <w:b/>
          <w:i/>
          <w:noProof/>
          <w:spacing w:val="6"/>
          <w:sz w:val="24"/>
          <w:szCs w:val="24"/>
        </w:rPr>
        <w:t>SM</w:t>
      </w:r>
      <w:r>
        <w:rPr>
          <w:rFonts w:ascii="Times New Roman" w:hAnsi="Times New Roman" w:cs="Times New Roman"/>
          <w:noProof/>
          <w:spacing w:val="6"/>
          <w:sz w:val="24"/>
          <w:szCs w:val="24"/>
          <w:vertAlign w:val="superscript"/>
          <w:lang w:val="en-GB"/>
        </w:rPr>
        <w:footnoteReference w:id="108"/>
      </w:r>
      <w:r>
        <w:rPr>
          <w:rFonts w:ascii="Times New Roman" w:hAnsi="Times New Roman"/>
          <w:noProof/>
          <w:spacing w:val="6"/>
          <w:sz w:val="24"/>
          <w:szCs w:val="24"/>
        </w:rPr>
        <w:t xml:space="preserve"> Съдът първо уточни (подобно на подхода към понятието „съпруг/съпруга“ по делото </w:t>
      </w:r>
      <w:r>
        <w:rPr>
          <w:rFonts w:ascii="Times New Roman" w:hAnsi="Times New Roman"/>
          <w:i/>
          <w:noProof/>
          <w:spacing w:val="6"/>
          <w:sz w:val="24"/>
          <w:szCs w:val="24"/>
        </w:rPr>
        <w:t>Coman</w:t>
      </w:r>
      <w:r>
        <w:rPr>
          <w:rFonts w:ascii="Times New Roman" w:hAnsi="Times New Roman"/>
          <w:noProof/>
          <w:spacing w:val="6"/>
          <w:sz w:val="24"/>
          <w:szCs w:val="24"/>
        </w:rPr>
        <w:t>), че понятието „пряк наследник“ в член 2, параграф 2, буква в) от Директива 2004/38/ЕО има самостоятелно определение в правото на ЕС, независимо от законите на държавите членки</w:t>
      </w:r>
      <w:r>
        <w:rPr>
          <w:rStyle w:val="FootnoteReference"/>
          <w:rFonts w:ascii="Times New Roman" w:hAnsi="Times New Roman" w:cs="Times New Roman"/>
          <w:noProof/>
          <w:spacing w:val="6"/>
          <w:sz w:val="24"/>
          <w:szCs w:val="24"/>
          <w:lang w:val="en-GB"/>
        </w:rPr>
        <w:footnoteReference w:id="109"/>
      </w:r>
      <w:r>
        <w:rPr>
          <w:rFonts w:ascii="Times New Roman" w:hAnsi="Times New Roman"/>
          <w:noProof/>
          <w:spacing w:val="6"/>
          <w:sz w:val="24"/>
          <w:szCs w:val="24"/>
        </w:rPr>
        <w:t xml:space="preserve">. Освен това той постанови, че такова понятие следва да се тълкува разширително и да обхваща „както всички биологични, така и всички правни връзки“ (следователно обхваща както биологичните, така и осиновените деца). То обаче не обхваща децата, които са поставени под постоянно законно настойничество или попечителство, което не създава родствена връзка между детето и настойника или попечителя му (включително децата, поставени под алжирския режим </w:t>
      </w:r>
      <w:r>
        <w:rPr>
          <w:rFonts w:ascii="Times New Roman" w:hAnsi="Times New Roman"/>
          <w:i/>
          <w:noProof/>
          <w:spacing w:val="6"/>
          <w:sz w:val="24"/>
          <w:szCs w:val="24"/>
        </w:rPr>
        <w:t>кафала</w:t>
      </w:r>
      <w:r>
        <w:rPr>
          <w:rFonts w:ascii="Times New Roman" w:hAnsi="Times New Roman"/>
          <w:noProof/>
          <w:spacing w:val="6"/>
          <w:sz w:val="24"/>
          <w:szCs w:val="24"/>
        </w:rPr>
        <w:t>)</w:t>
      </w:r>
      <w:r>
        <w:rPr>
          <w:rFonts w:ascii="Times New Roman" w:hAnsi="Times New Roman" w:cs="Times New Roman"/>
          <w:noProof/>
          <w:spacing w:val="6"/>
          <w:sz w:val="24"/>
          <w:szCs w:val="24"/>
          <w:vertAlign w:val="superscript"/>
          <w:lang w:val="en-GB"/>
        </w:rPr>
        <w:footnoteReference w:id="110"/>
      </w:r>
      <w:r>
        <w:rPr>
          <w:rFonts w:ascii="Times New Roman" w:hAnsi="Times New Roman"/>
          <w:noProof/>
          <w:spacing w:val="6"/>
          <w:sz w:val="24"/>
          <w:szCs w:val="24"/>
        </w:rPr>
        <w:t>. Съдът по-специално отбелязва, че такива деца попадат в обхвата на член 3, параграф 2 от Директива 2004/38/ЕО</w:t>
      </w:r>
      <w:r>
        <w:rPr>
          <w:rFonts w:ascii="Times New Roman" w:hAnsi="Times New Roman" w:cs="Times New Roman"/>
          <w:noProof/>
          <w:spacing w:val="6"/>
          <w:sz w:val="24"/>
          <w:szCs w:val="24"/>
          <w:vertAlign w:val="superscript"/>
          <w:lang w:val="en-GB"/>
        </w:rPr>
        <w:footnoteReference w:id="111"/>
      </w:r>
      <w:r>
        <w:rPr>
          <w:rFonts w:ascii="Times New Roman" w:hAnsi="Times New Roman"/>
          <w:noProof/>
          <w:spacing w:val="6"/>
          <w:sz w:val="24"/>
          <w:szCs w:val="24"/>
        </w:rPr>
        <w:t>. Когато изпълняват задължението си по член 3, параграф 2 да улесняват влизането и пребиваването на „други членове на семейство“</w:t>
      </w:r>
      <w:r>
        <w:rPr>
          <w:rFonts w:ascii="Times New Roman" w:hAnsi="Times New Roman" w:cs="Times New Roman"/>
          <w:noProof/>
          <w:spacing w:val="6"/>
          <w:sz w:val="24"/>
          <w:szCs w:val="24"/>
          <w:vertAlign w:val="superscript"/>
          <w:lang w:val="en-GB"/>
        </w:rPr>
        <w:footnoteReference w:id="112"/>
      </w:r>
      <w:r>
        <w:rPr>
          <w:rFonts w:ascii="Times New Roman" w:hAnsi="Times New Roman"/>
          <w:noProof/>
          <w:spacing w:val="6"/>
          <w:sz w:val="24"/>
          <w:szCs w:val="24"/>
        </w:rPr>
        <w:t>, държавите членки трябва да упражнят правото си на преценка „в светлината на и при спазване на“ разпоредбите на Хартата на основните права на Европейския съюз, включително правото на (зачитане на) семейния живот (член 7) и висшия интерес на детето (член 24)</w:t>
      </w:r>
      <w:r>
        <w:rPr>
          <w:rFonts w:ascii="Times New Roman" w:hAnsi="Times New Roman" w:cs="Times New Roman"/>
          <w:noProof/>
          <w:spacing w:val="6"/>
          <w:sz w:val="24"/>
          <w:szCs w:val="24"/>
          <w:vertAlign w:val="superscript"/>
          <w:lang w:val="en-GB"/>
        </w:rPr>
        <w:footnoteReference w:id="113"/>
      </w:r>
      <w:r>
        <w:rPr>
          <w:rFonts w:ascii="Times New Roman" w:hAnsi="Times New Roman"/>
          <w:noProof/>
          <w:spacing w:val="6"/>
          <w:sz w:val="24"/>
          <w:szCs w:val="24"/>
        </w:rPr>
        <w:t xml:space="preserve">. Освен това те са длъжни да </w:t>
      </w:r>
      <w:r>
        <w:rPr>
          <w:rFonts w:ascii="Times New Roman" w:hAnsi="Times New Roman"/>
          <w:i/>
          <w:iCs/>
          <w:noProof/>
          <w:spacing w:val="6"/>
          <w:sz w:val="24"/>
          <w:szCs w:val="24"/>
        </w:rPr>
        <w:t>„преценят премерено и разумно всички известни и релевантни обстоятелства и да вземат предвид различните налични интереси, сред които по-специално висшия интерес на съответното дете“</w:t>
      </w:r>
      <w:r>
        <w:rPr>
          <w:rFonts w:ascii="Times New Roman" w:hAnsi="Times New Roman" w:cs="Times New Roman"/>
          <w:iCs/>
          <w:noProof/>
          <w:spacing w:val="6"/>
          <w:sz w:val="24"/>
          <w:szCs w:val="24"/>
          <w:vertAlign w:val="superscript"/>
          <w:lang w:val="en-GB"/>
        </w:rPr>
        <w:footnoteReference w:id="114"/>
      </w:r>
      <w:r>
        <w:rPr>
          <w:rFonts w:ascii="Times New Roman" w:hAnsi="Times New Roman"/>
          <w:iCs/>
          <w:noProof/>
          <w:spacing w:val="6"/>
          <w:sz w:val="24"/>
          <w:szCs w:val="24"/>
        </w:rPr>
        <w:t xml:space="preserve">. </w:t>
      </w:r>
      <w:r>
        <w:rPr>
          <w:rFonts w:ascii="Times New Roman" w:hAnsi="Times New Roman"/>
          <w:noProof/>
          <w:spacing w:val="6"/>
          <w:sz w:val="24"/>
          <w:szCs w:val="24"/>
        </w:rPr>
        <w:t>В тази преценка трябва да бъдат отчетени: i) възрастта, на която детето е поставено под настойничество или попечителство, и дали детето е живяло съвместно с настойника или попечителя си след това, ii) степента, в която то се е привързало емоционално към него, iii) доколко детето е зависимо от него, както и iv) евентуалните конкретни и реални рискове за въпросното дете от злоупотреба, експлоатация или трафик. Ако в преценката се достигне до заключението, че детето и настойникът или попечителят му трябва фактически да живеят съвместно като семейство и че детето е зависимо от настойника или попечителя си, основното право на зачитане на семейния живот и висшият интерес на детето по принцип налагат приемащата държава членка да предостави право за влизане и пребиваване на въпросното дете в качеството му на „друг член на семейството“</w:t>
      </w:r>
      <w:r>
        <w:rPr>
          <w:rFonts w:ascii="Times New Roman" w:hAnsi="Times New Roman" w:cs="Times New Roman"/>
          <w:noProof/>
          <w:spacing w:val="6"/>
          <w:sz w:val="24"/>
          <w:szCs w:val="24"/>
          <w:vertAlign w:val="superscript"/>
          <w:lang w:val="en-GB"/>
        </w:rPr>
        <w:footnoteReference w:id="115"/>
      </w:r>
      <w:r>
        <w:rPr>
          <w:rFonts w:ascii="Times New Roman" w:hAnsi="Times New Roman"/>
          <w:noProof/>
          <w:spacing w:val="6"/>
          <w:sz w:val="24"/>
          <w:szCs w:val="24"/>
        </w:rPr>
        <w:t>.</w:t>
      </w:r>
    </w:p>
    <w:p>
      <w:pPr>
        <w:pStyle w:val="ListParagraph"/>
        <w:numPr>
          <w:ilvl w:val="2"/>
          <w:numId w:val="2"/>
        </w:numPr>
        <w:spacing w:line="276" w:lineRule="auto"/>
        <w:jc w:val="both"/>
        <w:rPr>
          <w:rFonts w:ascii="Times New Roman" w:hAnsi="Times New Roman" w:cs="Times New Roman"/>
          <w:bCs/>
          <w:i/>
          <w:noProof/>
          <w:sz w:val="24"/>
          <w:szCs w:val="24"/>
        </w:rPr>
      </w:pPr>
      <w:bookmarkStart w:id="4" w:name="_Ref23433364"/>
      <w:bookmarkStart w:id="5" w:name="_Toc27163888"/>
      <w:r>
        <w:rPr>
          <w:rFonts w:ascii="Times New Roman" w:hAnsi="Times New Roman"/>
          <w:bCs/>
          <w:i/>
          <w:noProof/>
          <w:sz w:val="24"/>
          <w:szCs w:val="24"/>
        </w:rPr>
        <w:t>Развитие на съдебната практика на Съда на Европейския съюз в областта на процесуалните аспекти на правата на свободно движение и на пребиваване</w:t>
      </w:r>
      <w:bookmarkEnd w:id="4"/>
      <w:bookmarkEnd w:id="5"/>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В рамките на разглеждания период Съдът също така произнесе три решения, отнасящи се до процесуалните права и стандарти, приложими по силата на Директивата за свободното движение.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По делото </w:t>
      </w:r>
      <w:r>
        <w:rPr>
          <w:rFonts w:ascii="Times New Roman" w:hAnsi="Times New Roman"/>
          <w:b/>
          <w:i/>
          <w:noProof/>
          <w:sz w:val="24"/>
          <w:szCs w:val="24"/>
        </w:rPr>
        <w:t>Petrea</w:t>
      </w:r>
      <w:r>
        <w:rPr>
          <w:rFonts w:ascii="Times New Roman" w:hAnsi="Times New Roman"/>
          <w:noProof/>
          <w:sz w:val="24"/>
          <w:szCs w:val="24"/>
        </w:rPr>
        <w:t xml:space="preserve"> Съдът (също) бе призован да разгледа редица въпроси, отнасящи се до процесуалните аспекти на Директива 2004/38/ЕО. Случаят се отнасяше до гражданин на ЕС, който се е върнал на територията на държава членка, независимо от факта, че му е бил забранен достъпът до територията на тази държава членка. По делото </w:t>
      </w:r>
      <w:r>
        <w:rPr>
          <w:rFonts w:ascii="Times New Roman" w:hAnsi="Times New Roman"/>
          <w:i/>
          <w:noProof/>
          <w:sz w:val="24"/>
          <w:szCs w:val="24"/>
        </w:rPr>
        <w:t>Petrea</w:t>
      </w:r>
      <w:r>
        <w:rPr>
          <w:rFonts w:ascii="Times New Roman" w:hAnsi="Times New Roman"/>
          <w:noProof/>
          <w:sz w:val="24"/>
          <w:szCs w:val="24"/>
        </w:rPr>
        <w:t xml:space="preserve"> Съдът постанови, че държавите членки имат право да предвидят експулсирането на такъв мобилен гражданин на ЕС чрез национална процедура, транспонираща Директива 2008/115/ЕО (за връщането на граждани на трети държави), при положение че се прилагат мерките за транспониране на Директива 2004/38/ЕО, които са по-благоприятни за този гражданин на Съюза</w:t>
      </w:r>
      <w:r>
        <w:rPr>
          <w:rFonts w:ascii="Times New Roman" w:hAnsi="Times New Roman" w:cs="Times New Roman"/>
          <w:noProof/>
          <w:sz w:val="24"/>
          <w:szCs w:val="24"/>
          <w:vertAlign w:val="superscript"/>
          <w:lang w:val="en-GB"/>
        </w:rPr>
        <w:footnoteReference w:id="116"/>
      </w:r>
      <w:r>
        <w:rPr>
          <w:rFonts w:ascii="Times New Roman" w:hAnsi="Times New Roman"/>
          <w:noProof/>
          <w:sz w:val="24"/>
          <w:szCs w:val="24"/>
        </w:rPr>
        <w:t>. Освен това Съдът постанови, че държавите членки могат да определят, че лицата не могат да се позовават на незаконосъобразността на издадено срещу тях решение за забрана на достъп с цел оспорване на последващо решение за връщане, стига заинтересованото лице да е имало ефективна „възможност да оспори своевременно [решението за забрана на достъп] с оглед на разпоредбите на Директива 2004/38“</w:t>
      </w:r>
      <w:r>
        <w:rPr>
          <w:rFonts w:ascii="Times New Roman" w:hAnsi="Times New Roman" w:cs="Times New Roman"/>
          <w:noProof/>
          <w:sz w:val="24"/>
          <w:szCs w:val="24"/>
          <w:vertAlign w:val="superscript"/>
          <w:lang w:val="en-GB"/>
        </w:rPr>
        <w:footnoteReference w:id="117"/>
      </w:r>
      <w:r>
        <w:rPr>
          <w:rFonts w:ascii="Times New Roman" w:hAnsi="Times New Roman"/>
          <w:noProof/>
          <w:sz w:val="24"/>
          <w:szCs w:val="24"/>
        </w:rPr>
        <w:t>. Съдът също постанови, че макар член 30 от Директива 2004/38/ЕО да налага на държавите членки задължението за уведомяване на въпросните лица за решение, прието по член 27 (т.e. решение за експулсиране), „по такъв начин, че да могат да разберат съдържанието му и последствията му за тях“, това уведомяване не задължава държавите членки да уведомят за решението на език, който лицето разбира или който основателно може да се предполага, че разбира,</w:t>
      </w:r>
      <w:r>
        <w:rPr>
          <w:rFonts w:ascii="Times New Roman" w:hAnsi="Times New Roman"/>
          <w:b/>
          <w:bCs/>
          <w:noProof/>
          <w:sz w:val="24"/>
          <w:szCs w:val="24"/>
        </w:rPr>
        <w:t xml:space="preserve"> </w:t>
      </w:r>
      <w:r>
        <w:rPr>
          <w:rFonts w:ascii="Times New Roman" w:hAnsi="Times New Roman"/>
          <w:noProof/>
          <w:sz w:val="24"/>
          <w:szCs w:val="24"/>
        </w:rPr>
        <w:t>когато лицето не е направило искане за това</w:t>
      </w:r>
      <w:r>
        <w:rPr>
          <w:rFonts w:ascii="Times New Roman" w:hAnsi="Times New Roman" w:cs="Times New Roman"/>
          <w:noProof/>
          <w:sz w:val="24"/>
          <w:szCs w:val="24"/>
          <w:vertAlign w:val="superscript"/>
          <w:lang w:val="en-GB"/>
        </w:rPr>
        <w:footnoteReference w:id="118"/>
      </w:r>
      <w:r>
        <w:rPr>
          <w:rFonts w:ascii="Times New Roman" w:hAnsi="Times New Roman"/>
          <w:noProof/>
          <w:sz w:val="24"/>
          <w:szCs w:val="24"/>
        </w:rPr>
        <w:t>.</w:t>
      </w:r>
    </w:p>
    <w:p>
      <w:pPr>
        <w:pStyle w:val="Lijstje2"/>
        <w:numPr>
          <w:ilvl w:val="0"/>
          <w:numId w:val="0"/>
        </w:numPr>
        <w:tabs>
          <w:tab w:val="left" w:pos="720"/>
        </w:tabs>
        <w:spacing w:after="160" w:line="276" w:lineRule="auto"/>
        <w:rPr>
          <w:rFonts w:ascii="Times New Roman" w:hAnsi="Times New Roman"/>
          <w:bCs/>
          <w:noProof/>
          <w:sz w:val="24"/>
          <w:szCs w:val="24"/>
        </w:rPr>
      </w:pPr>
      <w:r>
        <w:rPr>
          <w:noProof/>
        </w:rPr>
        <w:t xml:space="preserve">По делото </w:t>
      </w:r>
      <w:r>
        <w:rPr>
          <w:rFonts w:ascii="Times New Roman" w:hAnsi="Times New Roman"/>
          <w:b/>
          <w:bCs/>
          <w:i/>
          <w:noProof/>
          <w:sz w:val="24"/>
          <w:szCs w:val="24"/>
        </w:rPr>
        <w:t>Chenchooliah</w:t>
      </w:r>
      <w:r>
        <w:rPr>
          <w:rStyle w:val="FootnoteReference"/>
          <w:i/>
          <w:noProof/>
        </w:rPr>
        <w:footnoteReference w:id="119"/>
      </w:r>
      <w:r>
        <w:rPr>
          <w:rFonts w:ascii="Times New Roman" w:hAnsi="Times New Roman"/>
          <w:bCs/>
          <w:noProof/>
          <w:sz w:val="24"/>
          <w:szCs w:val="24"/>
        </w:rPr>
        <w:t xml:space="preserve"> Съдът постанови, че член 15 от Директива 2004/38/EО е приложим по отношение на експулсирането на гражданин на трета държава, който е съпруг/съпруга на гражданин на ЕС и който вече няма право да пребивава в държавата членка съгласно Директива 2004/38/EО поради отпътуването на гражданина на ЕС от тази държава членка</w:t>
      </w:r>
      <w:r>
        <w:rPr>
          <w:rStyle w:val="FootnoteReference"/>
          <w:rFonts w:ascii="Times New Roman" w:hAnsi="Times New Roman"/>
          <w:bCs/>
          <w:noProof/>
          <w:sz w:val="24"/>
          <w:szCs w:val="24"/>
          <w:lang w:val="en-GB"/>
        </w:rPr>
        <w:footnoteReference w:id="120"/>
      </w:r>
      <w:r>
        <w:rPr>
          <w:rFonts w:ascii="Times New Roman" w:hAnsi="Times New Roman"/>
          <w:bCs/>
          <w:noProof/>
          <w:sz w:val="24"/>
          <w:szCs w:val="24"/>
        </w:rPr>
        <w:t>. Съдът счете, че въпреки че съпругата вече не се ползва от правото да пребивава в приемащата държава членка съгласно Директива 2004/38/EО поради отпътуването на гражданина на ЕС, експулсирането се урежда от Директива 2004/38/EО</w:t>
      </w:r>
      <w:r>
        <w:rPr>
          <w:rStyle w:val="FootnoteReference"/>
          <w:rFonts w:ascii="Times New Roman" w:hAnsi="Times New Roman"/>
          <w:bCs/>
          <w:noProof/>
          <w:sz w:val="24"/>
          <w:szCs w:val="24"/>
          <w:lang w:val="en-GB"/>
        </w:rPr>
        <w:footnoteReference w:id="121"/>
      </w:r>
      <w:r>
        <w:rPr>
          <w:rFonts w:ascii="Times New Roman" w:hAnsi="Times New Roman"/>
          <w:bCs/>
          <w:noProof/>
          <w:sz w:val="24"/>
          <w:szCs w:val="24"/>
        </w:rPr>
        <w:t>. Това означава, че приемащата държава членка в никакъв случай не може да наложи забрана за влизане на територията на държавата в контекста на експулсирането и че съответните процесуални гаранции, посочени в членове 30 и 31 от Директива 2004/38/EО, са приложими в този случай</w:t>
      </w:r>
      <w:r>
        <w:rPr>
          <w:rStyle w:val="FootnoteReference"/>
          <w:rFonts w:ascii="Times New Roman" w:hAnsi="Times New Roman"/>
          <w:bCs/>
          <w:noProof/>
          <w:sz w:val="24"/>
          <w:szCs w:val="24"/>
          <w:lang w:val="en-GB"/>
        </w:rPr>
        <w:footnoteReference w:id="122"/>
      </w:r>
      <w:r>
        <w:rPr>
          <w:rFonts w:ascii="Times New Roman" w:hAnsi="Times New Roman"/>
          <w:bCs/>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По делото </w:t>
      </w:r>
      <w:r>
        <w:rPr>
          <w:rFonts w:ascii="Times New Roman" w:hAnsi="Times New Roman"/>
          <w:b/>
          <w:i/>
          <w:noProof/>
          <w:sz w:val="24"/>
          <w:szCs w:val="24"/>
        </w:rPr>
        <w:t>Diallo</w:t>
      </w:r>
      <w:r>
        <w:rPr>
          <w:rFonts w:ascii="Times New Roman" w:hAnsi="Times New Roman" w:cs="Times New Roman"/>
          <w:noProof/>
          <w:sz w:val="24"/>
          <w:szCs w:val="24"/>
          <w:vertAlign w:val="superscript"/>
          <w:lang w:val="en-GB"/>
        </w:rPr>
        <w:footnoteReference w:id="123"/>
      </w:r>
      <w:r>
        <w:rPr>
          <w:rFonts w:ascii="Times New Roman" w:hAnsi="Times New Roman"/>
          <w:noProof/>
          <w:sz w:val="24"/>
          <w:szCs w:val="24"/>
        </w:rPr>
        <w:t xml:space="preserve"> Съдът уточни, че член 10, параграф 1 от Директива 2004/38/ЕО не само задължава държавите членки да вземат и съобщят в рамките на шест месеца решението относно молбата за карта за пребиваване на член на семейството на мобилен гражданин на ЕС, но също задължава държавите членки да вземат решение за отказ за издаване на карта за пребиваване съгласно същата директива (и да уведомят заинтересованото лице) в рамките на същия шестмесечен срок</w:t>
      </w:r>
      <w:r>
        <w:rPr>
          <w:rFonts w:ascii="Times New Roman" w:hAnsi="Times New Roman" w:cs="Times New Roman"/>
          <w:noProof/>
          <w:sz w:val="24"/>
          <w:szCs w:val="24"/>
          <w:vertAlign w:val="superscript"/>
          <w:lang w:val="en-GB"/>
        </w:rPr>
        <w:footnoteReference w:id="124"/>
      </w:r>
      <w:r>
        <w:rPr>
          <w:rFonts w:ascii="Times New Roman" w:hAnsi="Times New Roman"/>
          <w:noProof/>
          <w:sz w:val="24"/>
          <w:szCs w:val="24"/>
        </w:rPr>
        <w:t>. Съдът допълнително уточни, че правото на ЕС, по-специално Директива 2004/38, не би допуснало държавите членки да предвидят съгласно националното законодателство, че изтичането на шестмесечния период автоматично води до издаване на карта за пребиваване, без да се установи предварително, че заинтересованото лице действително отговаря на условията за пребиваване в приемащата държава членка в съответствие с правото на ЕС</w:t>
      </w:r>
      <w:r>
        <w:rPr>
          <w:rFonts w:ascii="Times New Roman" w:hAnsi="Times New Roman" w:cs="Times New Roman"/>
          <w:noProof/>
          <w:sz w:val="24"/>
          <w:szCs w:val="24"/>
          <w:vertAlign w:val="superscript"/>
          <w:lang w:val="en-GB"/>
        </w:rPr>
        <w:footnoteReference w:id="125"/>
      </w:r>
      <w:r>
        <w:rPr>
          <w:rFonts w:ascii="Times New Roman" w:hAnsi="Times New Roman"/>
          <w:noProof/>
          <w:sz w:val="24"/>
          <w:szCs w:val="24"/>
        </w:rPr>
        <w:t>. Освен това Съдът постанови, че след отмяната по съдебен ред на решение, с което се отказва издаването на карта за пребиваване, компетентните национални органи трябва да вземат решение относно молбата за издаване на карта за пребиваване в разумен срок, който при всички случаи не бива да надвишава срока по член 10, параграф 1 от Директива 2004/38. В светлината на принципа на ефективност и на „присъщата за Директива 2004/38 цел за бързо обработване на молбите“, и като се има предвид, че гражданите на трети държави остават в положение на правна несигурност до издаването на карта за пребиваване, Съдът изрично отхвърли идеята след отмяната по съдебен ред на решение, с което се отказва издаването на карта за пребиваване, компетентните органи отново да разполагат с пълния шестмесечен срок за вземане на ново решение</w:t>
      </w:r>
      <w:r>
        <w:rPr>
          <w:rFonts w:ascii="Times New Roman" w:hAnsi="Times New Roman" w:cs="Times New Roman"/>
          <w:noProof/>
          <w:sz w:val="24"/>
          <w:szCs w:val="24"/>
          <w:vertAlign w:val="superscript"/>
          <w:lang w:val="en-GB"/>
        </w:rPr>
        <w:footnoteReference w:id="126"/>
      </w:r>
      <w:r>
        <w:rPr>
          <w:rFonts w:ascii="Times New Roman" w:hAnsi="Times New Roman"/>
          <w:noProof/>
          <w:sz w:val="24"/>
          <w:szCs w:val="24"/>
        </w:rPr>
        <w:t xml:space="preserve">. </w:t>
      </w:r>
    </w:p>
    <w:p>
      <w:pPr>
        <w:pStyle w:val="ListParagraph"/>
        <w:numPr>
          <w:ilvl w:val="2"/>
          <w:numId w:val="2"/>
        </w:numPr>
        <w:spacing w:line="276" w:lineRule="auto"/>
        <w:jc w:val="both"/>
        <w:rPr>
          <w:rFonts w:ascii="Times New Roman" w:hAnsi="Times New Roman" w:cs="Times New Roman"/>
          <w:bCs/>
          <w:i/>
          <w:noProof/>
          <w:sz w:val="24"/>
          <w:szCs w:val="24"/>
        </w:rPr>
      </w:pPr>
      <w:bookmarkStart w:id="6" w:name="_Toc27163889"/>
      <w:r>
        <w:rPr>
          <w:rFonts w:ascii="Times New Roman" w:hAnsi="Times New Roman"/>
          <w:bCs/>
          <w:i/>
          <w:noProof/>
          <w:sz w:val="24"/>
          <w:szCs w:val="24"/>
        </w:rPr>
        <w:t>Развитие на съдебната практика на Съда на Европейския съюз в областта на правата, свързани с упражняване на правата на свободно движение и на пребиваване</w:t>
      </w:r>
      <w:bookmarkEnd w:id="6"/>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В рамките на разглеждания период Съдът произнесе допълнително решение, свързано с въпроси за потенциалните последици от възпрепятстването на свободното движение на граждани на ЕС, залегнало в член 21 от ДФЕС.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По делото </w:t>
      </w:r>
      <w:r>
        <w:rPr>
          <w:rFonts w:ascii="Times New Roman" w:hAnsi="Times New Roman"/>
          <w:b/>
          <w:i/>
          <w:noProof/>
          <w:sz w:val="24"/>
          <w:szCs w:val="24"/>
        </w:rPr>
        <w:t>Freitag</w:t>
      </w:r>
      <w:r>
        <w:rPr>
          <w:rFonts w:ascii="Times New Roman" w:hAnsi="Times New Roman" w:cs="Times New Roman"/>
          <w:noProof/>
          <w:sz w:val="24"/>
          <w:szCs w:val="24"/>
          <w:vertAlign w:val="superscript"/>
          <w:lang w:val="en-GB"/>
        </w:rPr>
        <w:footnoteReference w:id="127"/>
      </w:r>
      <w:r>
        <w:rPr>
          <w:rFonts w:ascii="Times New Roman" w:hAnsi="Times New Roman"/>
          <w:noProof/>
          <w:sz w:val="24"/>
          <w:szCs w:val="24"/>
        </w:rPr>
        <w:t xml:space="preserve"> от Съда беше поискано да провери дали член 21 от ДФЕС, в светлината на предходни съдебни решения на Съда — от делото </w:t>
      </w:r>
      <w:r>
        <w:rPr>
          <w:rFonts w:ascii="Times New Roman" w:hAnsi="Times New Roman"/>
          <w:i/>
          <w:noProof/>
          <w:sz w:val="24"/>
          <w:szCs w:val="24"/>
        </w:rPr>
        <w:t>Grunkin и Paul</w:t>
      </w:r>
      <w:r>
        <w:rPr>
          <w:rFonts w:ascii="Times New Roman" w:hAnsi="Times New Roman"/>
          <w:noProof/>
          <w:sz w:val="24"/>
          <w:szCs w:val="24"/>
        </w:rPr>
        <w:t xml:space="preserve"> до делото </w:t>
      </w:r>
      <w:r>
        <w:rPr>
          <w:rFonts w:ascii="Times New Roman" w:hAnsi="Times New Roman"/>
          <w:i/>
          <w:noProof/>
          <w:sz w:val="24"/>
          <w:szCs w:val="24"/>
        </w:rPr>
        <w:t>Bogendorff von Wolffersdorff</w:t>
      </w:r>
      <w:r>
        <w:rPr>
          <w:rFonts w:ascii="Times New Roman" w:hAnsi="Times New Roman"/>
          <w:noProof/>
          <w:sz w:val="24"/>
          <w:szCs w:val="24"/>
        </w:rPr>
        <w:t>, допуска отказ за признаване, основан на национални законови разпоредби (в случая германското право), на промяна на името на (германски/румънски) гражданин с двойно гражданство, направена в другата държава членка на гражданството (т.e. Румъния), когато въпросният гражданин на ЕС не е пребивавал обичайно в другата държава членка в момента на промяната на името. Съдът постанови по същество, че член 21 от ДФЕС не допуска органите на държавата членка да откажат да признаят името, което гражданин на тази държава членка е придобил законно в друга държава членка, на която той също е гражданин. Това е така, защото ограничението за признаване на промяната на името вероятно „може да възпрепятства упражняването на […] право на свободно движение и пребиваване на територията на държавите членки“, тъй като има конкретна опасност въпросният гражданин на ЕС с двойно гражданство да се окаже принуден да разсейва съмненията относно самоличността си, както и относно автентичността на документите, които представя, или истинността на съдържащите се в тях сведения</w:t>
      </w:r>
      <w:r>
        <w:rPr>
          <w:rFonts w:ascii="Times New Roman" w:hAnsi="Times New Roman" w:cs="Times New Roman"/>
          <w:noProof/>
          <w:sz w:val="24"/>
          <w:szCs w:val="24"/>
          <w:vertAlign w:val="superscript"/>
          <w:lang w:val="en-GB"/>
        </w:rPr>
        <w:footnoteReference w:id="128"/>
      </w:r>
      <w:r>
        <w:rPr>
          <w:rFonts w:ascii="Times New Roman" w:hAnsi="Times New Roman"/>
          <w:noProof/>
          <w:sz w:val="24"/>
          <w:szCs w:val="24"/>
        </w:rPr>
        <w:t xml:space="preserve">. </w:t>
      </w:r>
    </w:p>
    <w:p>
      <w:pPr>
        <w:pStyle w:val="ListParagraph"/>
        <w:numPr>
          <w:ilvl w:val="2"/>
          <w:numId w:val="2"/>
        </w:numPr>
        <w:spacing w:line="276" w:lineRule="auto"/>
        <w:jc w:val="both"/>
        <w:rPr>
          <w:rFonts w:ascii="Times New Roman" w:hAnsi="Times New Roman" w:cs="Times New Roman"/>
          <w:i/>
          <w:iCs/>
          <w:noProof/>
          <w:sz w:val="24"/>
          <w:szCs w:val="24"/>
        </w:rPr>
      </w:pPr>
      <w:r>
        <w:rPr>
          <w:rFonts w:ascii="Times New Roman" w:hAnsi="Times New Roman"/>
          <w:i/>
          <w:iCs/>
          <w:noProof/>
          <w:sz w:val="24"/>
          <w:szCs w:val="24"/>
        </w:rPr>
        <w:t>Достъп до обезщетения и/или социално подпомагане на гражданите на държавите от ЕС, които пребивават в друга държава членка</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По делото </w:t>
      </w:r>
      <w:r>
        <w:rPr>
          <w:rFonts w:ascii="Times New Roman" w:hAnsi="Times New Roman"/>
          <w:b/>
          <w:i/>
          <w:noProof/>
          <w:sz w:val="24"/>
          <w:szCs w:val="24"/>
        </w:rPr>
        <w:t>A</w:t>
      </w:r>
      <w:r>
        <w:rPr>
          <w:rFonts w:ascii="Times New Roman" w:hAnsi="Times New Roman"/>
          <w:noProof/>
          <w:sz w:val="24"/>
          <w:szCs w:val="24"/>
        </w:rPr>
        <w:t>.</w:t>
      </w:r>
      <w:r>
        <w:rPr>
          <w:rStyle w:val="FootnoteReference"/>
          <w:rFonts w:ascii="Times New Roman" w:hAnsi="Times New Roman" w:cs="Times New Roman"/>
          <w:noProof/>
          <w:sz w:val="24"/>
          <w:szCs w:val="24"/>
          <w:lang w:val="en-US"/>
        </w:rPr>
        <w:footnoteReference w:id="129"/>
      </w:r>
      <w:r>
        <w:rPr>
          <w:rFonts w:ascii="Times New Roman" w:hAnsi="Times New Roman"/>
          <w:noProof/>
          <w:sz w:val="24"/>
          <w:szCs w:val="24"/>
        </w:rPr>
        <w:t xml:space="preserve"> Съдът припомни, че</w:t>
      </w:r>
      <w:r>
        <w:rPr>
          <w:rFonts w:ascii="Times New Roman" w:hAnsi="Times New Roman"/>
          <w:bCs/>
          <w:iCs/>
          <w:noProof/>
          <w:sz w:val="24"/>
          <w:szCs w:val="24"/>
        </w:rPr>
        <w:t xml:space="preserve"> компетентността на държавите членки да организират образователните си системи трябва да бъде упражнявана в съответствие с член 21 от ДФЕС, а правилата за финансиране на висшето образование не трябва да водят до неоправдано ограничаване на правото на свободно движение</w:t>
      </w:r>
      <w:r>
        <w:rPr>
          <w:rStyle w:val="FootnoteReference"/>
          <w:rFonts w:ascii="Times New Roman" w:hAnsi="Times New Roman" w:cs="Times New Roman"/>
          <w:bCs/>
          <w:iCs/>
          <w:noProof/>
          <w:sz w:val="24"/>
          <w:szCs w:val="24"/>
          <w:lang w:val="en-GB"/>
        </w:rPr>
        <w:footnoteReference w:id="130"/>
      </w:r>
      <w:r>
        <w:rPr>
          <w:rFonts w:ascii="Times New Roman" w:hAnsi="Times New Roman"/>
          <w:bCs/>
          <w:iCs/>
          <w:noProof/>
          <w:sz w:val="24"/>
          <w:szCs w:val="24"/>
        </w:rPr>
        <w:t>. Съдът посочи, че националните правила, с които някои граждани на държава членка се поставят в по-неблагоприятно положение единствено поради обстоятелството, че са упражнили правото си на свободно движение,</w:t>
      </w:r>
      <w:r>
        <w:rPr>
          <w:rFonts w:ascii="Times New Roman" w:hAnsi="Times New Roman"/>
          <w:noProof/>
          <w:sz w:val="24"/>
          <w:szCs w:val="24"/>
        </w:rPr>
        <w:t xml:space="preserve"> представлява ограничение на свободите, признати с член 21, параграф 1 от ДФЕС</w:t>
      </w:r>
      <w:r>
        <w:rPr>
          <w:rStyle w:val="FootnoteReference"/>
          <w:rFonts w:ascii="Times New Roman" w:hAnsi="Times New Roman" w:cs="Times New Roman"/>
          <w:noProof/>
          <w:sz w:val="24"/>
          <w:szCs w:val="24"/>
          <w:lang w:val="en-US"/>
        </w:rPr>
        <w:footnoteReference w:id="131"/>
      </w:r>
      <w:r>
        <w:rPr>
          <w:rFonts w:ascii="Times New Roman" w:hAnsi="Times New Roman"/>
          <w:noProof/>
          <w:sz w:val="24"/>
          <w:szCs w:val="24"/>
        </w:rPr>
        <w:t xml:space="preserve">. Поради това </w:t>
      </w:r>
      <w:r>
        <w:rPr>
          <w:rFonts w:ascii="Times New Roman" w:hAnsi="Times New Roman"/>
          <w:bCs/>
          <w:iCs/>
          <w:noProof/>
          <w:sz w:val="24"/>
          <w:szCs w:val="24"/>
        </w:rPr>
        <w:t>той прави извода, че членове 20 и 21 от ДФЕС не допускат гражданин на държава членка, който е с тежко увреждане, да получи отказ от общината си по пребиваване за предоставяне на обезщетение, като например разглежданата по главното производство услуга „лично асистиране“, с мотива че лицето пребивава в друга държава членка, за да продължи образованието си във висше учебно заведение</w:t>
      </w:r>
      <w:r>
        <w:rPr>
          <w:rStyle w:val="FootnoteReference"/>
          <w:rFonts w:ascii="Times New Roman" w:hAnsi="Times New Roman" w:cs="Times New Roman"/>
          <w:bCs/>
          <w:iCs/>
          <w:noProof/>
          <w:sz w:val="24"/>
          <w:szCs w:val="24"/>
          <w:lang w:val="en-GB"/>
        </w:rPr>
        <w:footnoteReference w:id="132"/>
      </w:r>
      <w:r>
        <w:rPr>
          <w:rFonts w:ascii="Times New Roman" w:hAnsi="Times New Roman"/>
          <w:bCs/>
          <w:iCs/>
          <w:noProof/>
          <w:sz w:val="24"/>
          <w:szCs w:val="24"/>
        </w:rPr>
        <w:t>.</w:t>
      </w:r>
      <w:r>
        <w:rPr>
          <w:rFonts w:ascii="Times New Roman" w:hAnsi="Times New Roman"/>
          <w:noProof/>
          <w:sz w:val="24"/>
          <w:szCs w:val="24"/>
        </w:rPr>
        <w:t xml:space="preserve"> </w:t>
      </w:r>
    </w:p>
    <w:p>
      <w:pPr>
        <w:spacing w:line="276" w:lineRule="auto"/>
        <w:jc w:val="both"/>
        <w:rPr>
          <w:rFonts w:ascii="Times New Roman" w:hAnsi="Times New Roman" w:cs="Times New Roman"/>
          <w:b/>
          <w:bCs/>
          <w:noProof/>
          <w:sz w:val="24"/>
          <w:szCs w:val="24"/>
        </w:rPr>
      </w:pPr>
    </w:p>
    <w:p>
      <w:pPr>
        <w:pStyle w:val="ListParagraph"/>
        <w:numPr>
          <w:ilvl w:val="1"/>
          <w:numId w:val="2"/>
        </w:numPr>
        <w:spacing w:line="276" w:lineRule="auto"/>
        <w:jc w:val="both"/>
        <w:rPr>
          <w:rFonts w:ascii="Times New Roman" w:hAnsi="Times New Roman" w:cs="Times New Roman"/>
          <w:b/>
          <w:bCs/>
          <w:noProof/>
          <w:sz w:val="24"/>
          <w:szCs w:val="24"/>
        </w:rPr>
      </w:pPr>
      <w:r>
        <w:rPr>
          <w:rFonts w:ascii="Times New Roman" w:hAnsi="Times New Roman"/>
          <w:b/>
          <w:bCs/>
          <w:noProof/>
          <w:sz w:val="24"/>
          <w:szCs w:val="24"/>
        </w:rPr>
        <w:t>Действия на Комисията</w:t>
      </w:r>
    </w:p>
    <w:p>
      <w:pPr>
        <w:pStyle w:val="ListParagraph"/>
        <w:numPr>
          <w:ilvl w:val="2"/>
          <w:numId w:val="2"/>
        </w:numPr>
        <w:spacing w:line="276" w:lineRule="auto"/>
        <w:jc w:val="both"/>
        <w:rPr>
          <w:rFonts w:ascii="Times New Roman" w:hAnsi="Times New Roman" w:cs="Times New Roman"/>
          <w:b/>
          <w:bCs/>
          <w:noProof/>
          <w:sz w:val="24"/>
          <w:szCs w:val="24"/>
        </w:rPr>
      </w:pPr>
      <w:r>
        <w:rPr>
          <w:rFonts w:ascii="Times New Roman" w:hAnsi="Times New Roman"/>
          <w:b/>
          <w:bCs/>
          <w:noProof/>
          <w:sz w:val="24"/>
          <w:szCs w:val="24"/>
        </w:rPr>
        <w:t>Улесняване на упражняването на правото на свободно движение</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В областта на свободното движение на (мобилни) граждани на ЕС Европейската комисия наскоро предприе редица стъпки, с които да гарантира, че държавите членки се съобразяват изцяло с правото на ЕС, включително чрез производства за установяване на нарушение в случаи на несъвместимост на националната правна уредба с правото на Съюза.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Европейската комисия също така прие мерки в други области на правото на Съюза с потенциални последици за свободното движение на мобилни граждани на ЕС. Например през февруари 2019 г. Европейската комисия прие препоръка с цел улесняване на гражданите на ЕС при получаване на (трансграничен) достъп до своите собствени данни за здравословното състояние.</w:t>
      </w:r>
    </w:p>
    <w:p>
      <w:pPr>
        <w:pStyle w:val="ListParagraph"/>
        <w:spacing w:line="276" w:lineRule="auto"/>
        <w:ind w:left="1224"/>
        <w:jc w:val="both"/>
        <w:rPr>
          <w:rFonts w:ascii="Times New Roman" w:hAnsi="Times New Roman" w:cs="Times New Roman"/>
          <w:b/>
          <w:bCs/>
          <w:noProof/>
          <w:sz w:val="24"/>
          <w:szCs w:val="24"/>
        </w:rPr>
      </w:pPr>
    </w:p>
    <w:p>
      <w:pPr>
        <w:pStyle w:val="ListParagraph"/>
        <w:numPr>
          <w:ilvl w:val="2"/>
          <w:numId w:val="2"/>
        </w:numPr>
        <w:spacing w:line="276" w:lineRule="auto"/>
        <w:jc w:val="both"/>
        <w:rPr>
          <w:rFonts w:ascii="Times New Roman" w:hAnsi="Times New Roman" w:cs="Times New Roman"/>
          <w:b/>
          <w:noProof/>
          <w:sz w:val="24"/>
          <w:szCs w:val="24"/>
        </w:rPr>
      </w:pPr>
      <w:r>
        <w:rPr>
          <w:rFonts w:ascii="Times New Roman" w:hAnsi="Times New Roman"/>
          <w:b/>
          <w:noProof/>
          <w:sz w:val="24"/>
          <w:szCs w:val="24"/>
        </w:rPr>
        <w:t>Повишаване на сигурността на личните карти и на документите за пребиваване</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Директивата за свободното движение (2004/38/ЕО) определя условията за упражняване на правото на свободно движение и за (временно и постоянно) пребиваване в ЕС за гражданите на ЕС и членовете на техните семейства. В тази директива се предвижда, че като представят валидна лична карта или паспорт, гражданите на ЕС и членовете на техните семейства могат да влизат и да пребивават в друга държава членка, както и да кандидатстват за съответните документи за пребиваване. Директивата обаче не урежда формата и стандартите за личните карти, които следва да се използват за влизане в държавите — членки на ЕС, или за напускането им. По същия начин тя не предвижда конкретни стандарти за документите за пребиваване, издавани на гражданите на ЕС и на членовете на техните семейства, които не са граждани на Съюза, с изключение на наименованието на документа за членовете на семейството — „Карта за пребиваване на член на семейството на гражданин на Съюза“ (вж. член 10, параграф 1 от Директива 2004/38/ЕО).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ЕС предоставя на своите граждани пространство на свобода, сигурност и правосъдие без вътрешни граници, в което е гарантирано свободното движение на хора в съчетание с подходящи мерки по отношение на управлението на външните граници, убежището, имиграцията, както и предотвратяването на престъпността и тероризма и борбата с тях.</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Много от мерките на ЕС в областта на сигурността, като например системните проверки в Шенгенската информационна система, установени от Кодекса на шенгенските граници, разчитат на сигурни документи за пътуване и за самоличност</w:t>
      </w:r>
      <w:r>
        <w:rPr>
          <w:rStyle w:val="FootnoteReference"/>
          <w:rFonts w:ascii="Times New Roman" w:hAnsi="Times New Roman" w:cs="Times New Roman"/>
          <w:noProof/>
          <w:sz w:val="24"/>
          <w:szCs w:val="24"/>
          <w:lang w:val="en-IE"/>
        </w:rPr>
        <w:footnoteReference w:id="133"/>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През последните години бяха въведени стандарти на ЕС за редица документи за самоличност и за пътуване, използвани в Европа.</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В плана за действие за 2016 г. относно сигурността на документите беше разгледан рискът от измами с личните карти и документите за пребиваване</w:t>
      </w:r>
      <w:r>
        <w:rPr>
          <w:rStyle w:val="FootnoteReference"/>
          <w:rFonts w:ascii="Times New Roman" w:hAnsi="Times New Roman" w:cs="Times New Roman"/>
          <w:noProof/>
          <w:sz w:val="24"/>
          <w:szCs w:val="24"/>
          <w:lang w:val="en-IE"/>
        </w:rPr>
        <w:footnoteReference w:id="134"/>
      </w:r>
      <w:r>
        <w:rPr>
          <w:rFonts w:ascii="Times New Roman" w:hAnsi="Times New Roman"/>
          <w:noProof/>
          <w:sz w:val="24"/>
          <w:szCs w:val="24"/>
        </w:rPr>
        <w:t>, а в Доклада от 2017 г. за гражданството беше поет ангажимент да се анализират варианти на политиката за повишаване на сигурността на личните карти и документите за пребиваване. Комисията извърши оценка на въздействието, в която бяха разгледани редица варианти за лични карти и документи за пребиваване спрямо сегашното положение, включително мерки с незадължителен характер, минимални общи изисквания и по-широка хармонизация. Сегашното положение беше счетено за незадоволително, а по-широката хармонизация бе сметната за непропорционална.</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Това са някои от причините, поради които през април 2018 г., в рамките на своите действия за постигане на истински и ефективен Съюз на сигурност</w:t>
      </w:r>
      <w:r>
        <w:rPr>
          <w:rStyle w:val="FootnoteReference"/>
          <w:rFonts w:ascii="Times New Roman" w:hAnsi="Times New Roman" w:cs="Times New Roman"/>
          <w:noProof/>
          <w:sz w:val="24"/>
          <w:szCs w:val="24"/>
          <w:lang w:val="en-GB"/>
        </w:rPr>
        <w:footnoteReference w:id="135"/>
      </w:r>
      <w:r>
        <w:rPr>
          <w:rFonts w:ascii="Times New Roman" w:hAnsi="Times New Roman"/>
          <w:noProof/>
          <w:sz w:val="24"/>
          <w:szCs w:val="24"/>
        </w:rPr>
        <w:t>, Комисията предложи да се подобрят защитните елементи на личните карти на гражданите на ЕС и картите за пребиваване на членовете на семействата, които не са граждани на ЕС.</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През юни 2019 г. Европейският парламент и Съветът приеха Регламент 2019/1157 относно повишаване на сигурността на личните карти на гражданите на Съюза и на документите за пребиваване, издавани на гражданите на Съюза и на членовете на техните семейства, които упражняват правото си на свободно движение</w:t>
      </w:r>
      <w:r>
        <w:rPr>
          <w:rStyle w:val="FootnoteReference"/>
          <w:rFonts w:ascii="Times New Roman" w:hAnsi="Times New Roman" w:cs="Times New Roman"/>
          <w:noProof/>
          <w:sz w:val="24"/>
          <w:szCs w:val="24"/>
          <w:lang w:val="en-GB"/>
        </w:rPr>
        <w:footnoteReference w:id="136"/>
      </w:r>
      <w:r>
        <w:rPr>
          <w:rFonts w:ascii="Times New Roman" w:hAnsi="Times New Roman"/>
          <w:noProof/>
          <w:sz w:val="24"/>
          <w:szCs w:val="24"/>
        </w:rPr>
        <w:t>. С регламента се въвеждат минимални общи защитни стандарти, които правят личните карти и документите за пребиваване по-сигурни и по-надеждни. Регламентът ще се прилага от август 2021 г.</w:t>
      </w:r>
    </w:p>
    <w:p>
      <w:pPr>
        <w:spacing w:line="276" w:lineRule="auto"/>
        <w:jc w:val="both"/>
        <w:rPr>
          <w:rFonts w:ascii="Times New Roman" w:hAnsi="Times New Roman" w:cs="Times New Roman"/>
          <w:noProof/>
          <w:sz w:val="24"/>
          <w:szCs w:val="24"/>
        </w:rPr>
      </w:pPr>
    </w:p>
    <w:p>
      <w:pPr>
        <w:pStyle w:val="Default"/>
        <w:spacing w:line="276" w:lineRule="auto"/>
        <w:jc w:val="both"/>
        <w:rPr>
          <w:noProof/>
        </w:rPr>
      </w:pPr>
      <w:r>
        <w:rPr>
          <w:b/>
          <w:bCs/>
          <w:noProof/>
        </w:rPr>
        <w:t xml:space="preserve">6. ПРАВО НА ГРАЖДАНИТЕ НА СЪЮЗА ДА ИЗБИРАТ И ДА БЪДАТ ИЗБИРАНИ В МЕСТНИ ИЗБОРИ И В ИЗБОРИ ЗА ЕВРОПЕЙСКИ ПАРЛАМЕНТ (ЧЛЕН 20, ПАРАГРАФ 2, БУКВА Б) И ЧЛЕН 22 ОТ ДФЕС) </w:t>
      </w:r>
    </w:p>
    <w:p>
      <w:pPr>
        <w:pStyle w:val="Default"/>
        <w:spacing w:line="276" w:lineRule="auto"/>
        <w:rPr>
          <w:b/>
          <w:bCs/>
          <w:noProof/>
        </w:rPr>
      </w:pPr>
    </w:p>
    <w:p>
      <w:pPr>
        <w:pStyle w:val="Default"/>
        <w:spacing w:line="276" w:lineRule="auto"/>
        <w:rPr>
          <w:noProof/>
        </w:rPr>
      </w:pPr>
      <w:r>
        <w:rPr>
          <w:b/>
          <w:bCs/>
          <w:noProof/>
        </w:rPr>
        <w:t xml:space="preserve">6.1. Въведение </w:t>
      </w:r>
    </w:p>
    <w:p>
      <w:pPr>
        <w:spacing w:line="276" w:lineRule="auto"/>
        <w:jc w:val="both"/>
        <w:rPr>
          <w:rFonts w:ascii="Times New Roman" w:hAnsi="Times New Roman" w:cs="Times New Roman"/>
          <w:noProof/>
          <w:spacing w:val="6"/>
          <w:sz w:val="24"/>
          <w:szCs w:val="24"/>
        </w:rPr>
      </w:pPr>
      <w:r>
        <w:rPr>
          <w:rFonts w:ascii="Times New Roman" w:hAnsi="Times New Roman"/>
          <w:noProof/>
          <w:spacing w:val="6"/>
          <w:sz w:val="24"/>
          <w:szCs w:val="24"/>
        </w:rPr>
        <w:t>Съгласно член 20, параграф 2, буква б) и член 22 от ДФЕС всички граждани на ЕС, пребиваващи в държава членка, на която не са граждани, имат правото да избират и да бъдат избирани в избори за Европейски парламент, както и в местни избори в държавата членка, в която пребивават, при същите условия като гражданите на тази държава.</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Комисията отговори на 43 жалби, 57 писма/индивидуални запитвания, 74 въпроса и 21 петиции от Европейския парламент по тези въпроси, най-вече във връзка със загубата на избирателни права или право да гласуват на референдум.</w:t>
      </w:r>
    </w:p>
    <w:p>
      <w:pPr>
        <w:spacing w:before="100" w:beforeAutospacing="1" w:after="100" w:afterAutospacing="1" w:line="276" w:lineRule="auto"/>
        <w:jc w:val="both"/>
        <w:rPr>
          <w:rFonts w:ascii="Times New Roman" w:eastAsia="Times New Roman" w:hAnsi="Times New Roman" w:cs="Times New Roman"/>
          <w:noProof/>
          <w:spacing w:val="6"/>
          <w:sz w:val="24"/>
          <w:szCs w:val="24"/>
        </w:rPr>
      </w:pPr>
      <w:r>
        <w:rPr>
          <w:rFonts w:ascii="Times New Roman" w:hAnsi="Times New Roman"/>
          <w:noProof/>
          <w:spacing w:val="6"/>
          <w:sz w:val="24"/>
          <w:szCs w:val="24"/>
        </w:rPr>
        <w:t>След изборите за Европейски парламент през 2019 г. Комисията получи голям брой жалби относно възможността мобилните граждани на ЕС ефективно да упражнят правото си на глас в Обединеното кралство</w:t>
      </w:r>
      <w:r>
        <w:rPr>
          <w:rStyle w:val="FootnoteReference"/>
          <w:rFonts w:ascii="Times New Roman" w:eastAsia="Times New Roman" w:hAnsi="Times New Roman" w:cs="Times New Roman"/>
          <w:noProof/>
          <w:spacing w:val="6"/>
          <w:sz w:val="24"/>
          <w:szCs w:val="24"/>
          <w:lang w:val="en-US"/>
        </w:rPr>
        <w:footnoteReference w:id="137"/>
      </w:r>
      <w:r>
        <w:rPr>
          <w:rFonts w:ascii="Times New Roman" w:hAnsi="Times New Roman"/>
          <w:noProof/>
          <w:spacing w:val="6"/>
          <w:sz w:val="24"/>
          <w:szCs w:val="24"/>
        </w:rPr>
        <w:t>, както и от румънски граждани относно трудностите, които са срещнали при гласуването в румънските консулства в чужбина</w:t>
      </w:r>
      <w:r>
        <w:rPr>
          <w:rStyle w:val="FootnoteReference"/>
          <w:rFonts w:ascii="Times New Roman" w:eastAsia="Times New Roman" w:hAnsi="Times New Roman" w:cs="Times New Roman"/>
          <w:noProof/>
          <w:spacing w:val="6"/>
          <w:sz w:val="24"/>
          <w:szCs w:val="24"/>
          <w:lang w:val="en-US"/>
        </w:rPr>
        <w:footnoteReference w:id="138"/>
      </w:r>
      <w:r>
        <w:rPr>
          <w:rFonts w:ascii="Times New Roman" w:hAnsi="Times New Roman"/>
          <w:noProof/>
          <w:spacing w:val="6"/>
          <w:sz w:val="24"/>
          <w:szCs w:val="24"/>
        </w:rPr>
        <w:t xml:space="preserve">. </w:t>
      </w:r>
    </w:p>
    <w:p>
      <w:pPr>
        <w:pStyle w:val="ListParagraph"/>
        <w:spacing w:line="276" w:lineRule="auto"/>
        <w:ind w:left="708"/>
        <w:jc w:val="both"/>
        <w:rPr>
          <w:rFonts w:ascii="Times New Roman" w:hAnsi="Times New Roman" w:cs="Times New Roman"/>
          <w:b/>
          <w:bCs/>
          <w:noProof/>
          <w:sz w:val="24"/>
          <w:szCs w:val="24"/>
        </w:rPr>
      </w:pPr>
      <w:r>
        <w:rPr>
          <w:rFonts w:ascii="Times New Roman" w:hAnsi="Times New Roman"/>
          <w:b/>
          <w:bCs/>
          <w:noProof/>
          <w:sz w:val="24"/>
          <w:szCs w:val="24"/>
        </w:rPr>
        <w:t>6.2. Развитие на съдебната практика</w:t>
      </w:r>
    </w:p>
    <w:p>
      <w:pPr>
        <w:pStyle w:val="ListParagraph"/>
        <w:spacing w:line="276" w:lineRule="auto"/>
        <w:ind w:left="0"/>
        <w:jc w:val="both"/>
        <w:rPr>
          <w:rFonts w:ascii="Times New Roman" w:hAnsi="Times New Roman" w:cs="Times New Roman"/>
          <w:noProof/>
          <w:sz w:val="24"/>
          <w:szCs w:val="24"/>
          <w:highlight w:val="yellow"/>
        </w:rPr>
      </w:pPr>
    </w:p>
    <w:p>
      <w:pPr>
        <w:spacing w:line="276" w:lineRule="auto"/>
        <w:jc w:val="both"/>
        <w:rPr>
          <w:rFonts w:ascii="Times New Roman" w:hAnsi="Times New Roman" w:cs="Times New Roman"/>
          <w:noProof/>
          <w:sz w:val="24"/>
          <w:szCs w:val="24"/>
        </w:rPr>
      </w:pPr>
      <w:r>
        <w:rPr>
          <w:rFonts w:ascii="Times New Roman" w:hAnsi="Times New Roman"/>
          <w:noProof/>
          <w:sz w:val="24"/>
          <w:szCs w:val="24"/>
        </w:rPr>
        <w:t>В решението си по делото</w:t>
      </w:r>
      <w:r>
        <w:rPr>
          <w:noProof/>
        </w:rPr>
        <w:t xml:space="preserve"> </w:t>
      </w:r>
      <w:r>
        <w:rPr>
          <w:rFonts w:ascii="Times New Roman" w:hAnsi="Times New Roman"/>
          <w:b/>
          <w:i/>
          <w:noProof/>
          <w:sz w:val="24"/>
          <w:szCs w:val="24"/>
        </w:rPr>
        <w:t>Junqueras Vies</w:t>
      </w:r>
      <w:r>
        <w:rPr>
          <w:rFonts w:ascii="Times New Roman" w:hAnsi="Times New Roman"/>
          <w:noProof/>
          <w:sz w:val="24"/>
          <w:szCs w:val="24"/>
        </w:rPr>
        <w:t xml:space="preserve"> от 19 декември 2019 г.</w:t>
      </w:r>
      <w:r>
        <w:rPr>
          <w:rStyle w:val="FootnoteReference"/>
          <w:rFonts w:ascii="Times New Roman" w:hAnsi="Times New Roman" w:cs="Times New Roman"/>
          <w:noProof/>
          <w:sz w:val="24"/>
          <w:szCs w:val="24"/>
          <w:lang w:val="en-IE"/>
        </w:rPr>
        <w:footnoteReference w:id="139"/>
      </w:r>
      <w:r>
        <w:rPr>
          <w:rFonts w:ascii="Times New Roman" w:hAnsi="Times New Roman"/>
          <w:noProof/>
          <w:sz w:val="24"/>
          <w:szCs w:val="24"/>
        </w:rPr>
        <w:t xml:space="preserve"> след преюдициално запитване от испанския Върховен съд (Tribunal Supremo) Съдът реши, че член 9 от Протокол (№ 7) за привилегиите и имунитетите на Европейския съюз трябва да се тълкува в смисъл, че: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 лице, което официално е обявено за избрано за член на Европейския парламент, докато е с мярка за неотклонение задържане под стража в наказателно производство за тежки престъпления, но на което не е разрешено да изпълни определени изисквания, предвидени от вътрешното право във връзка с обявяването му за избрано, нито да се яви в Европейския парламент, за да участва в първата му сесия, се ползва с имунитет съгласно втората алинея от този член;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 този имунитет предполага да се снеме наложената на съответното лице мярка за неотклонение задържане под стража, за да може то да се яви в Европейския парламент и да изпълни там необходимите формалности. Ако обаче счита, че тази мярка следва да продължи да действа и след като съответното лице е придобило качеството на член на Европейския парламент, компетентният национален съд трябва във възможно най-кратък срок да поиска от Европейския парламент да снеме посочения имунитет на основание член 9, трета алинея от същия протокол.  </w:t>
      </w:r>
    </w:p>
    <w:p>
      <w:pPr>
        <w:pStyle w:val="ListParagraph"/>
        <w:spacing w:line="276" w:lineRule="auto"/>
        <w:ind w:left="792"/>
        <w:jc w:val="both"/>
        <w:rPr>
          <w:rFonts w:ascii="Times New Roman" w:hAnsi="Times New Roman" w:cs="Times New Roman"/>
          <w:bCs/>
          <w:noProof/>
          <w:sz w:val="24"/>
          <w:szCs w:val="24"/>
        </w:rPr>
      </w:pPr>
    </w:p>
    <w:p>
      <w:pPr>
        <w:pStyle w:val="ListParagraph"/>
        <w:spacing w:line="276" w:lineRule="auto"/>
        <w:ind w:left="792"/>
        <w:jc w:val="both"/>
        <w:rPr>
          <w:rFonts w:ascii="Times New Roman" w:hAnsi="Times New Roman" w:cs="Times New Roman"/>
          <w:b/>
          <w:bCs/>
          <w:noProof/>
          <w:sz w:val="24"/>
          <w:szCs w:val="24"/>
        </w:rPr>
      </w:pPr>
      <w:r>
        <w:rPr>
          <w:rFonts w:ascii="Times New Roman" w:hAnsi="Times New Roman"/>
          <w:b/>
          <w:bCs/>
          <w:noProof/>
          <w:sz w:val="24"/>
          <w:szCs w:val="24"/>
        </w:rPr>
        <w:t>6.3. Промени във връзка с правата на глас и действия, предприети от Комисията</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В своя доклад от 2017 г. за гражданството на ЕС</w:t>
      </w:r>
      <w:r>
        <w:rPr>
          <w:rStyle w:val="FootnoteReference"/>
          <w:rFonts w:ascii="Times New Roman" w:hAnsi="Times New Roman" w:cs="Times New Roman"/>
          <w:noProof/>
          <w:sz w:val="24"/>
          <w:szCs w:val="24"/>
          <w:lang w:val="en-US"/>
        </w:rPr>
        <w:footnoteReference w:id="140"/>
      </w:r>
      <w:r>
        <w:rPr>
          <w:rFonts w:ascii="Times New Roman" w:hAnsi="Times New Roman"/>
          <w:noProof/>
          <w:sz w:val="24"/>
          <w:szCs w:val="24"/>
        </w:rPr>
        <w:t xml:space="preserve"> Комисията призова държавите членки да насърчават участието в демократичния живот, като информират по-добре гражданите за техните избирателни права и като премахнат пречките пред тяхното участие. Това беше подкрепено в заключенията на Съвета от 11 май 2017 г</w:t>
      </w:r>
      <w:r>
        <w:rPr>
          <w:rStyle w:val="FootnoteReference"/>
          <w:rFonts w:ascii="Times New Roman" w:hAnsi="Times New Roman" w:cs="Times New Roman"/>
          <w:noProof/>
          <w:sz w:val="24"/>
          <w:szCs w:val="24"/>
          <w:lang w:val="en-US"/>
        </w:rPr>
        <w:footnoteReference w:id="141"/>
      </w:r>
      <w:r>
        <w:rPr>
          <w:rFonts w:ascii="Times New Roman" w:hAnsi="Times New Roman"/>
          <w:noProof/>
          <w:sz w:val="24"/>
          <w:szCs w:val="24"/>
        </w:rPr>
        <w:t xml:space="preserve">.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През февруари 2018 г. Комисията публикува последния си доклад за прилагането на правото на ЕС по време на местни и общински избори и начините за насърчаване на избирателните права</w:t>
      </w:r>
      <w:r>
        <w:rPr>
          <w:rStyle w:val="FootnoteReference"/>
          <w:rFonts w:ascii="Times New Roman" w:hAnsi="Times New Roman" w:cs="Times New Roman"/>
          <w:noProof/>
          <w:sz w:val="24"/>
          <w:szCs w:val="24"/>
          <w:lang w:val="en-US"/>
        </w:rPr>
        <w:footnoteReference w:id="142"/>
      </w:r>
      <w:r>
        <w:rPr>
          <w:rFonts w:ascii="Times New Roman" w:hAnsi="Times New Roman"/>
          <w:noProof/>
          <w:sz w:val="24"/>
          <w:szCs w:val="24"/>
        </w:rPr>
        <w:t>. Тъй като гражданите на ЕС все повече се движат и пребивават в други държави членки, основните опасения, произтичащи от доклада, бяха ниските нива на регистрация на гласоподаватели за мобилни граждани и необходимостта от по-добро събиране на данни.</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През септември 2018 г. Комисията прие пакет от мерки в подкрепа на свободните и честните европейски избори, включително: i) Съобщение</w:t>
      </w:r>
      <w:r>
        <w:rPr>
          <w:rStyle w:val="FootnoteReference"/>
          <w:rFonts w:ascii="Times New Roman" w:hAnsi="Times New Roman" w:cs="Times New Roman"/>
          <w:noProof/>
          <w:sz w:val="24"/>
          <w:szCs w:val="24"/>
          <w:lang w:val="en-US"/>
        </w:rPr>
        <w:footnoteReference w:id="143"/>
      </w:r>
      <w:r>
        <w:rPr>
          <w:rFonts w:ascii="Times New Roman" w:hAnsi="Times New Roman"/>
          <w:noProof/>
          <w:sz w:val="24"/>
          <w:szCs w:val="24"/>
        </w:rPr>
        <w:t>; ii) Препоръка относно мрежите за изборно сътрудничество, онлайн прозрачността, защитата от инциденти в областта на киберсигурността и борбата с кампаниите за дезинформация в контекста на изборите за Европейски парламент; iii) Документ с насоки</w:t>
      </w:r>
      <w:r>
        <w:rPr>
          <w:rStyle w:val="FootnoteReference"/>
          <w:rFonts w:ascii="Times New Roman" w:hAnsi="Times New Roman" w:cs="Times New Roman"/>
          <w:noProof/>
          <w:sz w:val="24"/>
          <w:szCs w:val="24"/>
          <w:lang w:val="en-US"/>
        </w:rPr>
        <w:footnoteReference w:id="144"/>
      </w:r>
      <w:r>
        <w:rPr>
          <w:rFonts w:ascii="Times New Roman" w:hAnsi="Times New Roman"/>
          <w:noProof/>
          <w:sz w:val="24"/>
          <w:szCs w:val="24"/>
        </w:rPr>
        <w:t xml:space="preserve"> относно прилагането на правото на ЕС в областта на защитата на данните в контекста на избори; и iv) законодателно предложение</w:t>
      </w:r>
      <w:r>
        <w:rPr>
          <w:rStyle w:val="FootnoteReference"/>
          <w:rFonts w:ascii="Times New Roman" w:hAnsi="Times New Roman" w:cs="Times New Roman"/>
          <w:noProof/>
          <w:sz w:val="24"/>
          <w:szCs w:val="24"/>
          <w:lang w:val="en-US"/>
        </w:rPr>
        <w:footnoteReference w:id="145"/>
      </w:r>
      <w:r>
        <w:rPr>
          <w:rFonts w:ascii="Times New Roman" w:hAnsi="Times New Roman"/>
          <w:noProof/>
          <w:sz w:val="24"/>
          <w:szCs w:val="24"/>
        </w:rPr>
        <w:t xml:space="preserve"> за предвиждане на санкции за умишлена злоупотреба с лични данни от страна на европейските политически партии и фондации с цел да се повлияе на изборните резултати.</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В съответствие с тези мерки Комисията подкрепи държавите членки чрез създаване и организиране на срещи на европейската мрежа за сътрудничество в областта на изборите</w:t>
      </w:r>
      <w:r>
        <w:rPr>
          <w:rStyle w:val="FootnoteReference"/>
          <w:rFonts w:ascii="Times New Roman" w:hAnsi="Times New Roman" w:cs="Times New Roman"/>
          <w:noProof/>
          <w:sz w:val="24"/>
          <w:szCs w:val="24"/>
          <w:lang w:val="en-US"/>
        </w:rPr>
        <w:footnoteReference w:id="146"/>
      </w:r>
      <w:r>
        <w:rPr>
          <w:rFonts w:ascii="Times New Roman" w:hAnsi="Times New Roman"/>
          <w:noProof/>
          <w:sz w:val="24"/>
          <w:szCs w:val="24"/>
        </w:rPr>
        <w:t>. Тази мрежа обединява представители на органите на държавите членки с компетентност по изборните въпроси и позволява конкретен и практически обмен по редица теми, свързани с гарантирането на свободни и честни избори, включително защита на данните, киберсигурност, прозрачност, повишаване на осведомеността и приобщаващо и равнопоставено участие.</w:t>
      </w:r>
    </w:p>
    <w:p>
      <w:pPr>
        <w:spacing w:line="276" w:lineRule="auto"/>
        <w:jc w:val="both"/>
        <w:rPr>
          <w:rFonts w:ascii="Times New Roman" w:hAnsi="Times New Roman" w:cs="Times New Roman"/>
          <w:b/>
          <w:bCs/>
          <w:noProof/>
          <w:sz w:val="24"/>
          <w:szCs w:val="24"/>
        </w:rPr>
      </w:pPr>
    </w:p>
    <w:p>
      <w:pPr>
        <w:spacing w:line="276" w:lineRule="auto"/>
        <w:jc w:val="both"/>
        <w:rPr>
          <w:rFonts w:ascii="Times New Roman" w:hAnsi="Times New Roman" w:cs="Times New Roman"/>
          <w:b/>
          <w:bCs/>
          <w:noProof/>
          <w:sz w:val="24"/>
          <w:szCs w:val="24"/>
        </w:rPr>
      </w:pPr>
      <w:r>
        <w:rPr>
          <w:rFonts w:ascii="Times New Roman" w:hAnsi="Times New Roman"/>
          <w:b/>
          <w:bCs/>
          <w:noProof/>
          <w:sz w:val="24"/>
          <w:szCs w:val="24"/>
        </w:rPr>
        <w:t>7. ПРАВО НА ЗАКРИЛА ОТ ДИПЛОМАТИЧЕСКИТЕ И КОНСУЛСКИТЕ ВЛАСТИ (ЧЛЕН 20, ПАРАГРАФ 2, БУКВА В) И ЧЛЕН 23 ОТ ДФЕС)</w:t>
      </w:r>
    </w:p>
    <w:p>
      <w:pPr>
        <w:spacing w:line="276" w:lineRule="auto"/>
        <w:jc w:val="both"/>
        <w:rPr>
          <w:rFonts w:ascii="Times New Roman" w:hAnsi="Times New Roman" w:cs="Times New Roman"/>
          <w:b/>
          <w:bCs/>
          <w:noProof/>
          <w:sz w:val="24"/>
          <w:szCs w:val="24"/>
        </w:rPr>
      </w:pPr>
      <w:r>
        <w:rPr>
          <w:rFonts w:ascii="Times New Roman" w:hAnsi="Times New Roman"/>
          <w:b/>
          <w:bCs/>
          <w:noProof/>
          <w:sz w:val="24"/>
          <w:szCs w:val="24"/>
        </w:rPr>
        <w:t>7.1. Въведение</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Съгласно член 20, параграф 2, буква в) и член 23 от ДФЕС гражданите на ЕС имат правото да се ползват на територията на трета държава, в която държавата членка, на която те са граждани, няма представителство, от закрилата на дипломатическите и консулските власти на всяка друга държава членка при същите условия, както и гражданите на тази държава. 76 % от гражданите на ЕС са запознати с това право</w:t>
      </w:r>
      <w:r>
        <w:rPr>
          <w:rStyle w:val="FootnoteReference"/>
          <w:rFonts w:ascii="Times New Roman" w:hAnsi="Times New Roman" w:cs="Times New Roman"/>
          <w:noProof/>
          <w:sz w:val="24"/>
          <w:szCs w:val="24"/>
          <w:lang w:val="en-GB"/>
        </w:rPr>
        <w:footnoteReference w:id="147"/>
      </w:r>
      <w:r>
        <w:rPr>
          <w:rFonts w:ascii="Times New Roman" w:hAnsi="Times New Roman"/>
          <w:noProof/>
          <w:sz w:val="24"/>
          <w:szCs w:val="24"/>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През периода, обхванат от настоящия доклад, Комисията разгледа 10 жалби, 8 писма/индивидуални запитвания и 8 въпроса от Европейския парламент по този въпрос. Повечето от тях бяха свързани с издаването на временни документи за пътуване с цел връщане у дома, липсата на консулска закрила или случаи на дискриминационна консулска закрила.</w:t>
      </w:r>
    </w:p>
    <w:p>
      <w:pPr>
        <w:spacing w:line="276" w:lineRule="auto"/>
        <w:jc w:val="both"/>
        <w:rPr>
          <w:rFonts w:ascii="Times New Roman" w:hAnsi="Times New Roman" w:cs="Times New Roman"/>
          <w:b/>
          <w:bCs/>
          <w:noProof/>
          <w:sz w:val="24"/>
          <w:szCs w:val="24"/>
        </w:rPr>
      </w:pPr>
      <w:r>
        <w:rPr>
          <w:rFonts w:ascii="Times New Roman" w:hAnsi="Times New Roman"/>
          <w:b/>
          <w:bCs/>
          <w:noProof/>
          <w:sz w:val="24"/>
          <w:szCs w:val="24"/>
        </w:rPr>
        <w:t>7.2. Промени в областта на консулската закрила</w:t>
      </w:r>
    </w:p>
    <w:p>
      <w:pPr>
        <w:pStyle w:val="NormalWeb"/>
        <w:spacing w:line="276" w:lineRule="auto"/>
        <w:jc w:val="both"/>
        <w:rPr>
          <w:noProof/>
        </w:rPr>
      </w:pPr>
      <w:r>
        <w:rPr>
          <w:noProof/>
        </w:rPr>
        <w:t>На 18 юни 2019 г. Съветът прие директива за временния документ за пътуване на ЕС, с която бяха актуализирани правилата, форматът и защитните елементи на използвания понастоящем документ</w:t>
      </w:r>
      <w:r>
        <w:rPr>
          <w:rStyle w:val="FootnoteReference"/>
          <w:noProof/>
        </w:rPr>
        <w:footnoteReference w:id="148"/>
      </w:r>
      <w:r>
        <w:rPr>
          <w:noProof/>
        </w:rPr>
        <w:t xml:space="preserve">. </w:t>
      </w:r>
      <w:r>
        <w:rPr>
          <w:rStyle w:val="Strong"/>
          <w:b w:val="0"/>
          <w:bCs w:val="0"/>
          <w:noProof/>
        </w:rPr>
        <w:t>С нея се опростяват формалностите за непредставените граждани на ЕС в държави извън ЕС,</w:t>
      </w:r>
      <w:r>
        <w:rPr>
          <w:noProof/>
        </w:rPr>
        <w:t xml:space="preserve"> чийто паспорт или документ за пътуване е бил изгубен, откраднат или унищожен, за да се гарантира предоставянето на временен документ за пътуване от друга държава членка, с което да им се даде възможност да се завърнат у дома. След приемането на необходимите технически спецификации, държавите членки разполагат с две години за транспониране на директивата в националното си право.</w:t>
      </w:r>
    </w:p>
    <w:p>
      <w:pPr>
        <w:pStyle w:val="NormalWeb"/>
        <w:spacing w:line="276" w:lineRule="auto"/>
        <w:jc w:val="both"/>
        <w:rPr>
          <w:noProof/>
        </w:rPr>
      </w:pPr>
      <w:r>
        <w:rPr>
          <w:noProof/>
        </w:rPr>
        <w:t>Едновременно с това Комисията продължи да включва и договаря клаузи за съгласие в двустранните споразумения с трети държави, за да се осигури съгласието на тези трети държави представените държави членки на ЕС да оказват помощ на непредставените граждани на Съюза.</w:t>
      </w:r>
    </w:p>
    <w:p>
      <w:pPr>
        <w:spacing w:line="276" w:lineRule="auto"/>
        <w:jc w:val="both"/>
        <w:rPr>
          <w:rFonts w:ascii="Times New Roman" w:hAnsi="Times New Roman" w:cs="Times New Roman"/>
          <w:b/>
          <w:bCs/>
          <w:noProof/>
          <w:sz w:val="24"/>
          <w:szCs w:val="24"/>
        </w:rPr>
      </w:pPr>
      <w:r>
        <w:rPr>
          <w:rFonts w:ascii="Times New Roman" w:hAnsi="Times New Roman"/>
          <w:b/>
          <w:bCs/>
          <w:noProof/>
          <w:sz w:val="24"/>
          <w:szCs w:val="24"/>
        </w:rPr>
        <w:t xml:space="preserve">8. ПРАВО НА ГРАЖДАНИТЕ НА ЕС ДА ОТПРАВЯТ ПЕТИЦИИ ДО ЕВРОПЕЙСКИЯ ПАРЛАМЕНТ И ДА СЕ ОБРЪЩАТ КЪМ ЕВРОПЕЙСКИЯ ОМБУДСМАН (ЧЛЕН 20, ПАРАГРАФ 2, БУКВА Г) И ЧЛЕН 24, ПАРАГРАФИ 2, 3 И 4 ОТ ДФЕС) </w:t>
      </w:r>
    </w:p>
    <w:p>
      <w:pPr>
        <w:spacing w:line="276" w:lineRule="auto"/>
        <w:jc w:val="both"/>
        <w:rPr>
          <w:rFonts w:ascii="Times New Roman" w:hAnsi="Times New Roman" w:cs="Times New Roman"/>
          <w:b/>
          <w:bCs/>
          <w:noProof/>
          <w:sz w:val="24"/>
          <w:szCs w:val="24"/>
        </w:rPr>
      </w:pPr>
      <w:r>
        <w:rPr>
          <w:rFonts w:ascii="Times New Roman" w:hAnsi="Times New Roman"/>
          <w:b/>
          <w:bCs/>
          <w:noProof/>
          <w:sz w:val="24"/>
          <w:szCs w:val="24"/>
        </w:rPr>
        <w:t xml:space="preserve">8.1. Въведение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В член 20, параграф 2, буква г) и член 24, параграфи 2, 3 и 4 от ДФЕС се посочват други права, съгласно които гражданите на ЕС могат да се обръщат към институциите на ЕС, включително правото да отправят петиции до Европейския парламент и правото да се обръщат към Европейския омбудсман. Всеки гражданин на Съюза може да се обръща писмено към всяка от институциите, органите, службите или агенциите на един от официалните езици на ЕС</w:t>
      </w:r>
      <w:r>
        <w:rPr>
          <w:rStyle w:val="FootnoteReference"/>
          <w:rFonts w:ascii="Times New Roman" w:hAnsi="Times New Roman" w:cs="Times New Roman"/>
          <w:noProof/>
          <w:sz w:val="24"/>
          <w:szCs w:val="24"/>
          <w:lang w:val="en-US"/>
        </w:rPr>
        <w:footnoteReference w:id="149"/>
      </w:r>
      <w:r>
        <w:rPr>
          <w:rFonts w:ascii="Times New Roman" w:hAnsi="Times New Roman"/>
          <w:noProof/>
          <w:sz w:val="24"/>
          <w:szCs w:val="24"/>
        </w:rPr>
        <w:t xml:space="preserve"> и да получава писмен отговор на същия език</w:t>
      </w:r>
      <w:r>
        <w:rPr>
          <w:rStyle w:val="FootnoteReference"/>
          <w:rFonts w:ascii="Times New Roman" w:hAnsi="Times New Roman" w:cs="Times New Roman"/>
          <w:noProof/>
          <w:sz w:val="24"/>
          <w:szCs w:val="24"/>
          <w:lang w:val="en-US"/>
        </w:rPr>
        <w:footnoteReference w:id="150"/>
      </w:r>
      <w:r>
        <w:rPr>
          <w:rFonts w:ascii="Times New Roman" w:hAnsi="Times New Roman"/>
          <w:noProof/>
          <w:sz w:val="24"/>
          <w:szCs w:val="24"/>
        </w:rPr>
        <w:t>.</w:t>
      </w:r>
    </w:p>
    <w:p>
      <w:pPr>
        <w:spacing w:line="276" w:lineRule="auto"/>
        <w:jc w:val="both"/>
        <w:rPr>
          <w:rFonts w:ascii="Times New Roman" w:hAnsi="Times New Roman" w:cs="Times New Roman"/>
          <w:b/>
          <w:bCs/>
          <w:noProof/>
          <w:sz w:val="24"/>
          <w:szCs w:val="24"/>
        </w:rPr>
      </w:pPr>
      <w:r>
        <w:rPr>
          <w:rFonts w:ascii="Times New Roman" w:hAnsi="Times New Roman"/>
          <w:b/>
          <w:bCs/>
          <w:noProof/>
          <w:sz w:val="24"/>
          <w:szCs w:val="24"/>
        </w:rPr>
        <w:t xml:space="preserve">8.2. Право на петиции до Европейския парламент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Съгласно член 24, параграф 2 от ДФЕС гражданите на EС имат право да подават петиции до Европейския парламент на всеки от езиците на Договора по въпроси, които ги засягат, и да получават отговор на същия език. През 2018 г. Комисията по петиции към Европейския парламент получи 1220 петиции, което представлява понижение в сравнение с получените 1271 петиции през 2017 г. и 1569 през 2016 г. През 2019 г. обаче броят на петициите нарасна до 1357, от които 938 бяха обявени за допустими. През 2018 г. околната среда се превърна в основна тема на петициите, тенденция която се запази и през 2019 г.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От 2014 г. насам е достъпен „уебпортал за петиции“</w:t>
      </w:r>
      <w:r>
        <w:rPr>
          <w:rStyle w:val="FootnoteReference"/>
          <w:rFonts w:ascii="Times New Roman" w:hAnsi="Times New Roman" w:cs="Times New Roman"/>
          <w:noProof/>
          <w:sz w:val="24"/>
          <w:szCs w:val="24"/>
          <w:lang w:val="en-US"/>
        </w:rPr>
        <w:footnoteReference w:id="151"/>
      </w:r>
      <w:r>
        <w:rPr>
          <w:rFonts w:ascii="Times New Roman" w:hAnsi="Times New Roman"/>
          <w:noProof/>
          <w:sz w:val="24"/>
          <w:szCs w:val="24"/>
        </w:rPr>
        <w:t>, който позволява лесно подаване на петиции онлайн. Докато през 2014 г. в 80 % от случаите петициите бяха внесени по електронна поща, а в останалите 20 % с писмо, през 2019 г. 73,9 % от получените петиции бяха подадени чрез уебпортала</w:t>
      </w:r>
      <w:r>
        <w:rPr>
          <w:rStyle w:val="FootnoteReference"/>
          <w:rFonts w:ascii="Times New Roman" w:hAnsi="Times New Roman" w:cs="Times New Roman"/>
          <w:noProof/>
          <w:sz w:val="24"/>
          <w:szCs w:val="24"/>
          <w:lang w:val="en-US"/>
        </w:rPr>
        <w:footnoteReference w:id="152"/>
      </w:r>
      <w:r>
        <w:rPr>
          <w:rFonts w:ascii="Times New Roman" w:hAnsi="Times New Roman"/>
          <w:noProof/>
          <w:sz w:val="24"/>
          <w:szCs w:val="24"/>
        </w:rPr>
        <w:t xml:space="preserve">.   </w:t>
      </w:r>
    </w:p>
    <w:p>
      <w:pPr>
        <w:spacing w:line="276" w:lineRule="auto"/>
        <w:jc w:val="both"/>
        <w:rPr>
          <w:rFonts w:ascii="Times New Roman" w:hAnsi="Times New Roman" w:cs="Times New Roman"/>
          <w:b/>
          <w:bCs/>
          <w:noProof/>
          <w:sz w:val="24"/>
          <w:szCs w:val="24"/>
        </w:rPr>
      </w:pPr>
    </w:p>
    <w:p>
      <w:pPr>
        <w:spacing w:line="276" w:lineRule="auto"/>
        <w:jc w:val="both"/>
        <w:rPr>
          <w:rFonts w:ascii="Times New Roman" w:hAnsi="Times New Roman" w:cs="Times New Roman"/>
          <w:noProof/>
          <w:sz w:val="24"/>
          <w:szCs w:val="24"/>
        </w:rPr>
      </w:pPr>
      <w:r>
        <w:rPr>
          <w:rFonts w:ascii="Times New Roman" w:hAnsi="Times New Roman"/>
          <w:b/>
          <w:bCs/>
          <w:noProof/>
          <w:sz w:val="24"/>
          <w:szCs w:val="24"/>
        </w:rPr>
        <w:t xml:space="preserve">8.3. Право на обръщане към Европейския омбудсман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Съгласно член 24, параграф 3 от ДФЕС гражданите на Съюза имат право да се обръщат към Европейския омбудсман, който разглежда жалби на гражданите във връзка с институциите, органите и агенциите на ЕС. Проблемите варират от спорове, произтичащи от договори, до нарушения на основните права, липса на прозрачност при вземането на решения и отказване на достъп до документи.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През периода 2017—2019 г. службата на Омбудсмана регистрира над 6000 жалби, около 2500 от които попадаха в рамките на нейния мандат, и започна 1395 разследвания. Огромната част от жалбите се отнасяше до твърдения за липса на прозрачност и отчетност. Изпълняването на предложенията на Омбудсмана намаля от 85 % през 2016 г. на 77 % през 2018 г. Намалението е относително постоянно от 2014 г. насам, когато изпълнението беше достигнало 90 %. През тригодишния период службата на Омбудсмана помогна на над 50 000 граждани, като започна разследвания и предостави отговори на искания за информация или съвети в своя интерактивен онлайн наръчник.</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Тази основна дейност по разглеждане на жалби беше допълнена от стратегически разследвания по собствена инициатива, чиято цел бе да бъдат от полза за възможно най-много граждани, като бяха проучени въпроси, които изглеждат по-скоро системни, отколкото изолирани случаи. През периода, обхванат от настоящия доклад, наред с другото, разследванията бяха насочени към прозрачността на законодателния процес на Съвета (2017 г.)</w:t>
      </w:r>
      <w:r>
        <w:rPr>
          <w:rStyle w:val="FootnoteReference"/>
          <w:rFonts w:ascii="Times New Roman" w:hAnsi="Times New Roman" w:cs="Times New Roman"/>
          <w:noProof/>
          <w:sz w:val="24"/>
          <w:szCs w:val="24"/>
          <w:lang w:val="en-US"/>
        </w:rPr>
        <w:footnoteReference w:id="153"/>
      </w:r>
      <w:r>
        <w:rPr>
          <w:rFonts w:ascii="Times New Roman" w:hAnsi="Times New Roman"/>
          <w:noProof/>
          <w:sz w:val="24"/>
          <w:szCs w:val="24"/>
        </w:rPr>
        <w:t xml:space="preserve">.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През 2016 г. Европейският омбудсман прие нов вътрешен правилник, уреждащ начина, по който Омбудсманът разглежда жалбите и провежда разследванията, с цел службата да стане по-ефикасна и по-ефективна.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През 2018 г. Европейският омбудсман въведе нова ускорена процедура за жалби относно публичния достъп до документи,</w:t>
      </w:r>
      <w:r>
        <w:rPr>
          <w:noProof/>
        </w:rPr>
        <w:t xml:space="preserve"> </w:t>
      </w:r>
      <w:r>
        <w:rPr>
          <w:rFonts w:ascii="Times New Roman" w:hAnsi="Times New Roman"/>
          <w:noProof/>
          <w:sz w:val="24"/>
          <w:szCs w:val="24"/>
        </w:rPr>
        <w:t>която позволява на Омбудсмана да вземе решение в рамките на два месеца от получаването на жалбата</w:t>
      </w:r>
      <w:r>
        <w:rPr>
          <w:rStyle w:val="FootnoteReference"/>
          <w:rFonts w:ascii="Times New Roman" w:hAnsi="Times New Roman" w:cs="Times New Roman"/>
          <w:noProof/>
          <w:sz w:val="24"/>
          <w:szCs w:val="24"/>
          <w:lang w:val="en-US"/>
        </w:rPr>
        <w:footnoteReference w:id="154"/>
      </w:r>
      <w:r>
        <w:rPr>
          <w:rFonts w:ascii="Times New Roman" w:hAnsi="Times New Roman"/>
          <w:noProof/>
          <w:sz w:val="24"/>
          <w:szCs w:val="24"/>
        </w:rPr>
        <w:t xml:space="preserve">. </w:t>
      </w:r>
    </w:p>
    <w:p>
      <w:pPr>
        <w:spacing w:line="276" w:lineRule="auto"/>
        <w:jc w:val="both"/>
        <w:rPr>
          <w:rFonts w:ascii="Times New Roman" w:hAnsi="Times New Roman" w:cs="Times New Roman"/>
          <w:b/>
          <w:bCs/>
          <w:noProof/>
          <w:sz w:val="24"/>
          <w:szCs w:val="24"/>
        </w:rPr>
      </w:pPr>
      <w:r>
        <w:rPr>
          <w:rFonts w:ascii="Times New Roman" w:hAnsi="Times New Roman"/>
          <w:b/>
          <w:bCs/>
          <w:noProof/>
          <w:sz w:val="24"/>
          <w:szCs w:val="24"/>
        </w:rPr>
        <w:t>9. ЕВРОПЕЙСКА ГРАЖДАНСКА ИНИЦИАТИВА (ЕГИ) (ЧЛЕН 24 ОТ ДФЕС; ЧЛЕН 11, ПАРАГРАФ 4 ОТ ДЕС)</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Съгласно член 11, параграф 4 от Договора за Европейския съюз (ДЕС), който се прилага чрез Регламент (ЕС) № 211/2011, един милион или повече граждани от поне седем държави членки могат да се обединят и да приканят Комисията да представи подходящо предложение в рамките на правомощията ѝ по въпроси, за които гражданите считат, че за целите на прилагането на Договорите е необходим правен акт на Съюза.</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От 2011 г. насам бяха стартирани 75 инициативи</w:t>
      </w:r>
      <w:r>
        <w:rPr>
          <w:rStyle w:val="FootnoteReference"/>
          <w:rFonts w:ascii="Times New Roman" w:hAnsi="Times New Roman" w:cs="Times New Roman"/>
          <w:noProof/>
          <w:sz w:val="24"/>
          <w:szCs w:val="24"/>
          <w:lang w:val="en-GB"/>
        </w:rPr>
        <w:footnoteReference w:id="155"/>
      </w:r>
      <w:r>
        <w:rPr>
          <w:rFonts w:ascii="Times New Roman" w:hAnsi="Times New Roman"/>
          <w:noProof/>
          <w:sz w:val="24"/>
          <w:szCs w:val="24"/>
        </w:rPr>
        <w:t xml:space="preserve"> по различни теми, като организаторите са събрали приблизително девет милиона изявления за подкрепа в целия Европейски съюз. Пет инициативи успяха да достигнат прага от един милион подписа, едната от които през периода, обхванат от настоящия доклад.</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Инициативата „Забрана за използването на глифосат“</w:t>
      </w:r>
      <w:r>
        <w:rPr>
          <w:rStyle w:val="FootnoteReference"/>
          <w:rFonts w:ascii="Times New Roman" w:hAnsi="Times New Roman" w:cs="Times New Roman"/>
          <w:noProof/>
          <w:sz w:val="24"/>
          <w:szCs w:val="24"/>
          <w:lang w:val="en-GB"/>
        </w:rPr>
        <w:footnoteReference w:id="156"/>
      </w:r>
      <w:r>
        <w:rPr>
          <w:rFonts w:ascii="Times New Roman" w:hAnsi="Times New Roman"/>
          <w:noProof/>
          <w:sz w:val="24"/>
          <w:szCs w:val="24"/>
        </w:rPr>
        <w:t xml:space="preserve"> призовава държавите членки да забранят използването на глифосат, да реформират процедурата за одобрение на пестициди и да определят задължителни за целия ЕС цели за намаляване на използването на пестициди. През декември 2017 г. Комисията прие съобщение</w:t>
      </w:r>
      <w:r>
        <w:rPr>
          <w:rStyle w:val="FootnoteReference"/>
          <w:rFonts w:ascii="Times New Roman" w:hAnsi="Times New Roman" w:cs="Times New Roman"/>
          <w:noProof/>
          <w:sz w:val="24"/>
          <w:szCs w:val="24"/>
          <w:lang w:val="en-GB"/>
        </w:rPr>
        <w:footnoteReference w:id="157"/>
      </w:r>
      <w:r>
        <w:rPr>
          <w:rFonts w:ascii="Times New Roman" w:hAnsi="Times New Roman"/>
          <w:noProof/>
          <w:sz w:val="24"/>
          <w:szCs w:val="24"/>
        </w:rPr>
        <w:t>, като обясни, че не възнамерява да внесе законодателно предложение, тъй като научната оценка на глифосата, извършена от Европейския орган за безопасност на храните, е благоприятна по отношение на здравето на хората и животните и околната среда.</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Като последващо действие въз основа на прегледа на прилагането на регламента след 31 март 2015 г.</w:t>
      </w:r>
      <w:r>
        <w:rPr>
          <w:rStyle w:val="FootnoteReference"/>
          <w:rFonts w:ascii="Times New Roman" w:hAnsi="Times New Roman" w:cs="Times New Roman"/>
          <w:noProof/>
          <w:sz w:val="24"/>
          <w:szCs w:val="24"/>
          <w:lang w:val="en-GB"/>
        </w:rPr>
        <w:footnoteReference w:id="158"/>
      </w:r>
      <w:r>
        <w:rPr>
          <w:rFonts w:ascii="Times New Roman" w:hAnsi="Times New Roman"/>
          <w:noProof/>
          <w:sz w:val="24"/>
          <w:szCs w:val="24"/>
        </w:rPr>
        <w:t>, на 13 септември 2017 г. Комисията прие предложение за нов регламент относно гражданската инициатива</w:t>
      </w:r>
      <w:r>
        <w:rPr>
          <w:rStyle w:val="FootnoteReference"/>
          <w:rFonts w:ascii="Times New Roman" w:hAnsi="Times New Roman" w:cs="Times New Roman"/>
          <w:noProof/>
          <w:sz w:val="24"/>
          <w:szCs w:val="24"/>
          <w:lang w:val="en-GB"/>
        </w:rPr>
        <w:footnoteReference w:id="159"/>
      </w:r>
      <w:r>
        <w:rPr>
          <w:rFonts w:ascii="Times New Roman" w:hAnsi="Times New Roman"/>
          <w:noProof/>
          <w:sz w:val="24"/>
          <w:szCs w:val="24"/>
        </w:rPr>
        <w:t>. Той беше приет на 17 април 2019 г.</w:t>
      </w:r>
      <w:r>
        <w:rPr>
          <w:rFonts w:ascii="Times New Roman" w:hAnsi="Times New Roman" w:cs="Times New Roman"/>
          <w:noProof/>
          <w:sz w:val="24"/>
          <w:szCs w:val="24"/>
          <w:vertAlign w:val="superscript"/>
          <w:lang w:val="en-GB"/>
        </w:rPr>
        <w:footnoteReference w:id="160"/>
      </w:r>
      <w:r>
        <w:rPr>
          <w:rFonts w:ascii="Times New Roman" w:hAnsi="Times New Roman"/>
          <w:noProof/>
          <w:sz w:val="24"/>
          <w:szCs w:val="24"/>
        </w:rPr>
        <w:t xml:space="preserve"> и се прилага от 1 януари 2020 г. Преработеният регламент дава възможност за широкообхватно опростяване и подобрения за гражданите и организаторите на всички последователни етапи от процеса на ЕГИ, така че да бъде постигнат пълният потенциал на ЕГИ, като се направи по-достъпна, по-малко обременяваща и по-лесна за използване от организаторите и поддръжниците. </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Комисията направи втори преглед на прилагането на регламента и на 28 март 2018 г. прие нов доклад</w:t>
      </w:r>
      <w:r>
        <w:rPr>
          <w:rStyle w:val="FootnoteReference"/>
          <w:rFonts w:ascii="Times New Roman" w:hAnsi="Times New Roman" w:cs="Times New Roman"/>
          <w:noProof/>
          <w:sz w:val="24"/>
          <w:szCs w:val="24"/>
          <w:lang w:val="en-GB"/>
        </w:rPr>
        <w:footnoteReference w:id="161"/>
      </w:r>
      <w:r>
        <w:rPr>
          <w:rFonts w:ascii="Times New Roman" w:hAnsi="Times New Roman"/>
          <w:noProof/>
          <w:sz w:val="24"/>
          <w:szCs w:val="24"/>
        </w:rPr>
        <w:t>, в който заключи, че Комисията е оценила старателно оставащите пречки и е потърсила решение за тях в предложението си за регламент от 13 септември 2017 г. Комисията се ангажира да продължи да наблюдава и обсъжда редица въпроси, свързани с ЕГИ, в тясно сътрудничество и координация с различните заинтересовани страни и институции и да подобрява инструмента.</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През периода, обхванат от настоящия доклад, бяха проведени седем заседания на Експертната група по европейската гражданска инициатива</w:t>
      </w:r>
      <w:r>
        <w:rPr>
          <w:rStyle w:val="FootnoteReference"/>
          <w:rFonts w:ascii="Times New Roman" w:hAnsi="Times New Roman" w:cs="Times New Roman"/>
          <w:noProof/>
          <w:sz w:val="24"/>
          <w:szCs w:val="24"/>
          <w:lang w:val="en-GB"/>
        </w:rPr>
        <w:footnoteReference w:id="162"/>
      </w:r>
      <w:r>
        <w:rPr>
          <w:rFonts w:ascii="Times New Roman" w:hAnsi="Times New Roman"/>
          <w:noProof/>
          <w:sz w:val="24"/>
          <w:szCs w:val="24"/>
        </w:rPr>
        <w:t>. Тя се състои от представители на съответните национални органи и нейната роля е да координира прилагането на ЕГИ съвместно с държавите от ЕС.</w:t>
      </w:r>
    </w:p>
    <w:sectPr>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43827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Годишните доклади относно прилагането на Хартата на основните права на Европейския съюз включват актуална информация за напредъка по отношение на правата, свързани с гражданството на Съюза.</w:t>
      </w:r>
    </w:p>
  </w:footnote>
  <w:footnote w:id="3">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Вж. също така член 21, параграф 2 от Хартата на основните права.</w:t>
      </w:r>
    </w:p>
  </w:footnote>
  <w:footnote w:id="4">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Тази разпоредба не засяга специалните разпоредби, съдържащи се в Договорите.</w:t>
      </w:r>
    </w:p>
  </w:footnote>
  <w:footnote w:id="5">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Дело C-182/15, </w:t>
      </w:r>
      <w:r>
        <w:rPr>
          <w:rFonts w:ascii="Times New Roman" w:hAnsi="Times New Roman"/>
          <w:i/>
          <w:iCs/>
        </w:rPr>
        <w:t>Aleksei Petruhhin/Latvijas Republikas Generālprokuratūra</w:t>
      </w:r>
      <w:r>
        <w:rPr>
          <w:rFonts w:ascii="Times New Roman" w:hAnsi="Times New Roman"/>
        </w:rPr>
        <w:t>.</w:t>
      </w:r>
    </w:p>
  </w:footnote>
  <w:footnote w:id="6">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Дело C-191/16, </w:t>
      </w:r>
      <w:r>
        <w:rPr>
          <w:rFonts w:ascii="Times New Roman" w:hAnsi="Times New Roman"/>
          <w:i/>
          <w:iCs/>
        </w:rPr>
        <w:t>Romano Pisciotti/Bundesrepublik Deutschland</w:t>
      </w:r>
      <w:r>
        <w:rPr>
          <w:rFonts w:ascii="Times New Roman" w:hAnsi="Times New Roman"/>
        </w:rPr>
        <w:t>.</w:t>
      </w:r>
    </w:p>
  </w:footnote>
  <w:footnote w:id="7">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Дело C-247/17, </w:t>
      </w:r>
      <w:r>
        <w:rPr>
          <w:rFonts w:ascii="Times New Roman" w:hAnsi="Times New Roman"/>
          <w:i/>
          <w:iCs/>
        </w:rPr>
        <w:t>Denis Raugevicius</w:t>
      </w:r>
      <w:r>
        <w:rPr>
          <w:rFonts w:ascii="Times New Roman" w:hAnsi="Times New Roman"/>
        </w:rPr>
        <w:t>.</w:t>
      </w:r>
    </w:p>
  </w:footnote>
  <w:footnote w:id="8">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Вж. дело C-182/15, </w:t>
      </w:r>
      <w:r>
        <w:rPr>
          <w:rFonts w:ascii="Times New Roman" w:hAnsi="Times New Roman"/>
          <w:i/>
          <w:iCs/>
        </w:rPr>
        <w:t>Petruhhin</w:t>
      </w:r>
      <w:r>
        <w:rPr>
          <w:rFonts w:ascii="Times New Roman" w:hAnsi="Times New Roman"/>
        </w:rPr>
        <w:t>, т. 26—27.</w:t>
      </w:r>
    </w:p>
  </w:footnote>
  <w:footnote w:id="9">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Дело C-182/15, </w:t>
      </w:r>
      <w:r>
        <w:rPr>
          <w:rFonts w:ascii="Times New Roman" w:hAnsi="Times New Roman"/>
          <w:i/>
          <w:iCs/>
        </w:rPr>
        <w:t>Petruhhin</w:t>
      </w:r>
      <w:r>
        <w:rPr>
          <w:rFonts w:ascii="Times New Roman" w:hAnsi="Times New Roman"/>
        </w:rPr>
        <w:t xml:space="preserve">, т. 29—31; Дело C-191/16, </w:t>
      </w:r>
      <w:r>
        <w:rPr>
          <w:rFonts w:ascii="Times New Roman" w:hAnsi="Times New Roman"/>
          <w:i/>
          <w:iCs/>
        </w:rPr>
        <w:t>Pisciotti</w:t>
      </w:r>
      <w:r>
        <w:rPr>
          <w:rFonts w:ascii="Times New Roman" w:hAnsi="Times New Roman"/>
        </w:rPr>
        <w:t xml:space="preserve">, т. 31—35, 37—42; Дело C-247/17, </w:t>
      </w:r>
      <w:r>
        <w:rPr>
          <w:rFonts w:ascii="Times New Roman" w:hAnsi="Times New Roman"/>
          <w:i/>
          <w:iCs/>
        </w:rPr>
        <w:t>Raugevicius</w:t>
      </w:r>
      <w:r>
        <w:rPr>
          <w:rFonts w:ascii="Times New Roman" w:hAnsi="Times New Roman"/>
        </w:rPr>
        <w:t>, т. 27—28.</w:t>
      </w:r>
    </w:p>
  </w:footnote>
  <w:footnote w:id="10">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Дело C-182/15, </w:t>
      </w:r>
      <w:r>
        <w:rPr>
          <w:rFonts w:ascii="Times New Roman" w:hAnsi="Times New Roman"/>
          <w:i/>
          <w:iCs/>
        </w:rPr>
        <w:t>Petruhhin</w:t>
      </w:r>
      <w:r>
        <w:rPr>
          <w:rFonts w:ascii="Times New Roman" w:hAnsi="Times New Roman"/>
        </w:rPr>
        <w:t xml:space="preserve">, т. 32—33; Дело C-191/16, </w:t>
      </w:r>
      <w:r>
        <w:rPr>
          <w:rFonts w:ascii="Times New Roman" w:hAnsi="Times New Roman"/>
          <w:i/>
          <w:iCs/>
        </w:rPr>
        <w:t>Pisciotti</w:t>
      </w:r>
      <w:r>
        <w:rPr>
          <w:rFonts w:ascii="Times New Roman" w:hAnsi="Times New Roman"/>
        </w:rPr>
        <w:t xml:space="preserve">, т. 43—45; Дело C-247/17, </w:t>
      </w:r>
      <w:r>
        <w:rPr>
          <w:rFonts w:ascii="Times New Roman" w:hAnsi="Times New Roman"/>
          <w:i/>
          <w:iCs/>
        </w:rPr>
        <w:t>Raugevicius</w:t>
      </w:r>
      <w:r>
        <w:rPr>
          <w:rFonts w:ascii="Times New Roman" w:hAnsi="Times New Roman"/>
        </w:rPr>
        <w:t>, т. 30.</w:t>
      </w:r>
    </w:p>
  </w:footnote>
  <w:footnote w:id="11">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Дело C-182/15, </w:t>
      </w:r>
      <w:r>
        <w:rPr>
          <w:rFonts w:ascii="Times New Roman" w:hAnsi="Times New Roman"/>
          <w:i/>
          <w:iCs/>
        </w:rPr>
        <w:t>Petruhhin</w:t>
      </w:r>
      <w:r>
        <w:rPr>
          <w:rFonts w:ascii="Times New Roman" w:hAnsi="Times New Roman"/>
        </w:rPr>
        <w:t xml:space="preserve">, т. 34, 38; Дело C-191/16, </w:t>
      </w:r>
      <w:r>
        <w:rPr>
          <w:rFonts w:ascii="Times New Roman" w:hAnsi="Times New Roman"/>
          <w:i/>
          <w:iCs/>
        </w:rPr>
        <w:t>Pisciotti</w:t>
      </w:r>
      <w:r>
        <w:rPr>
          <w:rFonts w:ascii="Times New Roman" w:hAnsi="Times New Roman"/>
        </w:rPr>
        <w:t xml:space="preserve">, т. 46; Дело C-247/17, </w:t>
      </w:r>
      <w:r>
        <w:rPr>
          <w:rFonts w:ascii="Times New Roman" w:hAnsi="Times New Roman"/>
          <w:i/>
          <w:iCs/>
        </w:rPr>
        <w:t>Raugevicius</w:t>
      </w:r>
      <w:r>
        <w:rPr>
          <w:rFonts w:ascii="Times New Roman" w:hAnsi="Times New Roman"/>
        </w:rPr>
        <w:t>, т. 31.</w:t>
      </w:r>
    </w:p>
  </w:footnote>
  <w:footnote w:id="12">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Вж. дело C-182/15, </w:t>
      </w:r>
      <w:r>
        <w:rPr>
          <w:rFonts w:ascii="Times New Roman" w:hAnsi="Times New Roman"/>
          <w:i/>
          <w:iCs/>
        </w:rPr>
        <w:t>Petruhhin</w:t>
      </w:r>
      <w:r>
        <w:rPr>
          <w:rFonts w:ascii="Times New Roman" w:hAnsi="Times New Roman"/>
        </w:rPr>
        <w:t>, т. 35—37.</w:t>
      </w:r>
    </w:p>
  </w:footnote>
  <w:footnote w:id="13">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Вж. дело C-182/15, </w:t>
      </w:r>
      <w:r>
        <w:rPr>
          <w:rFonts w:ascii="Times New Roman" w:hAnsi="Times New Roman"/>
          <w:i/>
          <w:iCs/>
        </w:rPr>
        <w:t>Petruhhin</w:t>
      </w:r>
      <w:r>
        <w:rPr>
          <w:rFonts w:ascii="Times New Roman" w:hAnsi="Times New Roman"/>
        </w:rPr>
        <w:t>, т. 38—41.</w:t>
      </w:r>
    </w:p>
  </w:footnote>
  <w:footnote w:id="14">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Дело C-182/15, </w:t>
      </w:r>
      <w:r>
        <w:rPr>
          <w:rFonts w:ascii="Times New Roman" w:hAnsi="Times New Roman"/>
          <w:i/>
          <w:iCs/>
        </w:rPr>
        <w:t>Petruhhin</w:t>
      </w:r>
      <w:r>
        <w:rPr>
          <w:rFonts w:ascii="Times New Roman" w:hAnsi="Times New Roman"/>
        </w:rPr>
        <w:t>, т. 42—48.</w:t>
      </w:r>
    </w:p>
  </w:footnote>
  <w:footnote w:id="15">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Вж. дело C-191/16, </w:t>
      </w:r>
      <w:r>
        <w:rPr>
          <w:rFonts w:ascii="Times New Roman" w:hAnsi="Times New Roman"/>
          <w:i/>
          <w:iCs/>
        </w:rPr>
        <w:t>Pisciotti</w:t>
      </w:r>
      <w:r>
        <w:rPr>
          <w:rFonts w:ascii="Times New Roman" w:hAnsi="Times New Roman"/>
        </w:rPr>
        <w:t>, т. 50—56.</w:t>
      </w:r>
    </w:p>
  </w:footnote>
  <w:footnote w:id="16">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Вж. Дело C-247/17, </w:t>
      </w:r>
      <w:r>
        <w:rPr>
          <w:rFonts w:ascii="Times New Roman" w:hAnsi="Times New Roman"/>
          <w:i/>
          <w:iCs/>
        </w:rPr>
        <w:t>Raugevicius</w:t>
      </w:r>
      <w:r>
        <w:rPr>
          <w:rFonts w:ascii="Times New Roman" w:hAnsi="Times New Roman"/>
        </w:rPr>
        <w:t>, т. 32—40.</w:t>
      </w:r>
    </w:p>
  </w:footnote>
  <w:footnote w:id="17">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Дело C-247/17, </w:t>
      </w:r>
      <w:r>
        <w:rPr>
          <w:rFonts w:ascii="Times New Roman" w:hAnsi="Times New Roman"/>
          <w:i/>
          <w:iCs/>
        </w:rPr>
        <w:t>Raugevicius</w:t>
      </w:r>
      <w:r>
        <w:rPr>
          <w:rFonts w:ascii="Times New Roman" w:hAnsi="Times New Roman"/>
        </w:rPr>
        <w:t>, т 36—38.</w:t>
      </w:r>
    </w:p>
  </w:footnote>
  <w:footnote w:id="18">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Дело C-247/17, </w:t>
      </w:r>
      <w:r>
        <w:rPr>
          <w:rFonts w:ascii="Times New Roman" w:hAnsi="Times New Roman"/>
          <w:i/>
          <w:iCs/>
        </w:rPr>
        <w:t>Raugevicius</w:t>
      </w:r>
      <w:r>
        <w:rPr>
          <w:rFonts w:ascii="Times New Roman" w:hAnsi="Times New Roman"/>
        </w:rPr>
        <w:t>, т. 41—48.</w:t>
      </w:r>
    </w:p>
  </w:footnote>
  <w:footnote w:id="19">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Решение на Съда от 13 юни 2019 г., C-22/18, </w:t>
      </w:r>
      <w:r>
        <w:rPr>
          <w:rFonts w:ascii="Times New Roman" w:hAnsi="Times New Roman"/>
          <w:i/>
          <w:iCs/>
        </w:rPr>
        <w:t>TopFit e.V. и Daniele Biffi/Deutscher Leichtathletikverband e.V.</w:t>
      </w:r>
      <w:r>
        <w:rPr>
          <w:rFonts w:ascii="Times New Roman" w:hAnsi="Times New Roman"/>
        </w:rPr>
        <w:t>, ECLI:EU:C:2019:497.</w:t>
      </w:r>
    </w:p>
  </w:footnote>
  <w:footnote w:id="2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Основаващата се на гражданство дискриминация в професионалния спорт попада в обхвата на член 45 от ДФЕС.</w:t>
      </w:r>
    </w:p>
  </w:footnote>
  <w:footnote w:id="21">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Дело C-22/18, </w:t>
      </w:r>
      <w:r>
        <w:rPr>
          <w:rFonts w:ascii="Times New Roman" w:hAnsi="Times New Roman"/>
          <w:i/>
          <w:iCs/>
        </w:rPr>
        <w:t>TopFit</w:t>
      </w:r>
      <w:r>
        <w:rPr>
          <w:rFonts w:ascii="Times New Roman" w:hAnsi="Times New Roman"/>
        </w:rPr>
        <w:t>, т. 29—30.</w:t>
      </w:r>
    </w:p>
  </w:footnote>
  <w:footnote w:id="22">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Дело C-22/18, </w:t>
      </w:r>
      <w:r>
        <w:rPr>
          <w:rFonts w:ascii="Times New Roman" w:hAnsi="Times New Roman"/>
          <w:i/>
          <w:iCs/>
        </w:rPr>
        <w:t>TopFit</w:t>
      </w:r>
      <w:r>
        <w:rPr>
          <w:rFonts w:ascii="Times New Roman" w:hAnsi="Times New Roman"/>
        </w:rPr>
        <w:t>, т. 31—34.</w:t>
      </w:r>
    </w:p>
  </w:footnote>
  <w:footnote w:id="23">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Дело C-22/18, </w:t>
      </w:r>
      <w:r>
        <w:rPr>
          <w:rFonts w:ascii="Times New Roman" w:hAnsi="Times New Roman"/>
          <w:i/>
          <w:iCs/>
        </w:rPr>
        <w:t>TopFit</w:t>
      </w:r>
      <w:r>
        <w:rPr>
          <w:rFonts w:ascii="Times New Roman" w:hAnsi="Times New Roman"/>
        </w:rPr>
        <w:t>, т. 36—40.</w:t>
      </w:r>
    </w:p>
  </w:footnote>
  <w:footnote w:id="24">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Дело C-22/18, </w:t>
      </w:r>
      <w:r>
        <w:rPr>
          <w:rFonts w:ascii="Times New Roman" w:hAnsi="Times New Roman"/>
          <w:i/>
          <w:iCs/>
        </w:rPr>
        <w:t>TopFit</w:t>
      </w:r>
      <w:r>
        <w:rPr>
          <w:rFonts w:ascii="Times New Roman" w:hAnsi="Times New Roman"/>
        </w:rPr>
        <w:t>, т. 42—48.</w:t>
      </w:r>
    </w:p>
  </w:footnote>
  <w:footnote w:id="25">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Вж. също така член 21, параграф 1 от Хартата на основните права.</w:t>
      </w:r>
    </w:p>
  </w:footnote>
  <w:footnote w:id="26">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hyperlink r:id="rId1">
        <w:r>
          <w:rPr>
            <w:rStyle w:val="Hyperlink"/>
            <w:rFonts w:ascii="Times New Roman" w:hAnsi="Times New Roman"/>
          </w:rPr>
          <w:t>https://ec.europa.eu/info/sites/info/files/aid_development_cooperation_fundamental_rights/annual_report_ge_2019_en_1.pdf</w:t>
        </w:r>
      </w:hyperlink>
      <w:r>
        <w:rPr>
          <w:rFonts w:ascii="Times New Roman" w:hAnsi="Times New Roman"/>
        </w:rPr>
        <w:t xml:space="preserve"> </w:t>
      </w:r>
    </w:p>
  </w:footnote>
  <w:footnote w:id="2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 w:anchor="documents">
        <w:r>
          <w:rPr>
            <w:rStyle w:val="Hyperlink"/>
            <w:rFonts w:ascii="Times New Roman" w:hAnsi="Times New Roman"/>
          </w:rPr>
          <w:t>https://ec.europa.eu/info/policies/justice-and-fundamental-rights/combatting-discrimination/lesbian-gay-bi-trans-and-intersex-equality/list-actions-advance-lgbti-equality_en#documents</w:t>
        </w:r>
      </w:hyperlink>
      <w:r>
        <w:rPr>
          <w:rFonts w:ascii="Times New Roman" w:hAnsi="Times New Roman"/>
        </w:rPr>
        <w:t xml:space="preserve"> </w:t>
      </w:r>
    </w:p>
  </w:footnote>
  <w:footnote w:id="2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3">
        <w:r>
          <w:rPr>
            <w:rStyle w:val="Hyperlink"/>
            <w:rFonts w:ascii="Times New Roman" w:hAnsi="Times New Roman"/>
          </w:rPr>
          <w:t>https://ec.europa.eu/info/sites/info/files/report_list_of_actions_2015-19.pdf</w:t>
        </w:r>
      </w:hyperlink>
      <w:r>
        <w:rPr>
          <w:rFonts w:ascii="Times New Roman" w:hAnsi="Times New Roman"/>
        </w:rPr>
        <w:t xml:space="preserve"> </w:t>
      </w:r>
    </w:p>
  </w:footnote>
  <w:footnote w:id="29">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Доклад относно антициганизма: </w:t>
      </w:r>
      <w:hyperlink r:id="rId4">
        <w:r>
          <w:rPr>
            <w:rStyle w:val="Hyperlink"/>
            <w:rFonts w:ascii="Times New Roman" w:hAnsi="Times New Roman"/>
          </w:rPr>
          <w:t>https://ec.europa.eu/newsroom/just/document.cfm?doc_id=55652</w:t>
        </w:r>
      </w:hyperlink>
      <w:r>
        <w:rPr>
          <w:rFonts w:ascii="Times New Roman" w:hAnsi="Times New Roman"/>
        </w:rPr>
        <w:t xml:space="preserve">; Доклад относно афрофобията: </w:t>
      </w:r>
      <w:hyperlink r:id="rId5">
        <w:r>
          <w:rPr>
            <w:rStyle w:val="Hyperlink"/>
            <w:rFonts w:ascii="Times New Roman" w:hAnsi="Times New Roman"/>
          </w:rPr>
          <w:t>https://ec.europa.eu/newsroom/just/document.cfm?doc_id=55651</w:t>
        </w:r>
      </w:hyperlink>
      <w:r>
        <w:rPr>
          <w:rFonts w:ascii="Times New Roman" w:hAnsi="Times New Roman"/>
        </w:rPr>
        <w:t xml:space="preserve"> </w:t>
      </w:r>
    </w:p>
  </w:footnote>
  <w:footnote w:id="30">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w:t>
      </w:r>
      <w:hyperlink r:id="rId6">
        <w:r>
          <w:rPr>
            <w:rStyle w:val="Hyperlink"/>
            <w:rFonts w:ascii="Times New Roman" w:hAnsi="Times New Roman"/>
          </w:rPr>
          <w:t>https://ec.europa.eu/newsroom/just/document.cfm?doc_id=55607</w:t>
        </w:r>
      </w:hyperlink>
      <w:r>
        <w:rPr>
          <w:rFonts w:ascii="Times New Roman" w:hAnsi="Times New Roman"/>
        </w:rPr>
        <w:t xml:space="preserve"> </w:t>
      </w:r>
    </w:p>
  </w:footnote>
  <w:footnote w:id="31">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w:t>
      </w:r>
      <w:hyperlink r:id="rId7">
        <w:r>
          <w:rPr>
            <w:rStyle w:val="Hyperlink"/>
            <w:rFonts w:ascii="Times New Roman" w:hAnsi="Times New Roman"/>
          </w:rPr>
          <w:t>https://eur-lex.europa.eu/legal-content/BG/TXT/?qid=1544112037077&amp;uri=CELEX:52018DC0785</w:t>
        </w:r>
      </w:hyperlink>
    </w:p>
  </w:footnote>
  <w:footnote w:id="3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8">
        <w:r>
          <w:rPr>
            <w:rStyle w:val="Hyperlink"/>
            <w:rFonts w:ascii="Times New Roman" w:hAnsi="Times New Roman"/>
          </w:rPr>
          <w:t>https://eur-lex.europa.eu/legal-content/BG/TXT/HTML/?uri=CELEX:52019DC0406&amp;from=FR</w:t>
        </w:r>
      </w:hyperlink>
    </w:p>
  </w:footnote>
  <w:footnote w:id="33">
    <w:p>
      <w:pPr>
        <w:pStyle w:val="FootnoteText"/>
        <w:jc w:val="both"/>
        <w:rPr>
          <w:rFonts w:ascii="Times New Roman" w:hAnsi="Times New Roman" w:cs="Times New Roman"/>
        </w:rPr>
      </w:pPr>
      <w:r>
        <w:rPr>
          <w:rStyle w:val="FootnoteReference"/>
        </w:rPr>
        <w:footnoteRef/>
      </w:r>
      <w:r>
        <w:t xml:space="preserve"> </w:t>
      </w:r>
      <w:hyperlink r:id="rId9" w:history="1">
        <w:r>
          <w:rPr>
            <w:rStyle w:val="Hyperlink"/>
            <w:rFonts w:ascii="Times New Roman" w:hAnsi="Times New Roman"/>
          </w:rPr>
          <w:t>https://ec.europa.eu/social/main.jsp?catId=1437&amp;langId=bg</w:t>
        </w:r>
      </w:hyperlink>
      <w:r>
        <w:rPr>
          <w:rFonts w:ascii="Times New Roman" w:hAnsi="Times New Roman"/>
        </w:rPr>
        <w:t xml:space="preserve"> </w:t>
      </w:r>
    </w:p>
  </w:footnote>
  <w:footnote w:id="3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Част от тази кампания поставя акцент особено върху осигуряването на разумни улеснения на лицата с увреждания в съответствие с Директива 2000/78/EО на Съвета </w:t>
      </w:r>
      <w:hyperlink r:id="rId10" w:history="1">
        <w:r>
          <w:rPr>
            <w:rStyle w:val="Hyperlink"/>
            <w:rFonts w:ascii="Times New Roman" w:hAnsi="Times New Roman"/>
          </w:rPr>
          <w:t>https://eur-lex.europa.eu/legal-content/BG/TXT/?uri=celex:32000L0078</w:t>
        </w:r>
      </w:hyperlink>
      <w:r>
        <w:rPr>
          <w:rFonts w:ascii="Times New Roman" w:hAnsi="Times New Roman"/>
        </w:rPr>
        <w:t xml:space="preserve">. Ръководство за най-добри практики в областта на осигуряването на разумни улеснения на лицата с увреждания на работното място беше публикувано през септември 2020 г. </w:t>
      </w:r>
      <w:hyperlink r:id="rId11" w:history="1">
        <w:r>
          <w:rPr>
            <w:rStyle w:val="Hyperlink"/>
            <w:rFonts w:ascii="Times New Roman" w:hAnsi="Times New Roman"/>
          </w:rPr>
          <w:t>https://ec.europa.eu/social/main.jsp?catId=738&amp; langId=en&amp;pubId=8341&amp;furtherPubs=yes</w:t>
        </w:r>
      </w:hyperlink>
    </w:p>
  </w:footnote>
  <w:footnote w:id="35">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Дело C-135/08, </w:t>
      </w:r>
      <w:r>
        <w:rPr>
          <w:rFonts w:ascii="Times New Roman" w:hAnsi="Times New Roman"/>
          <w:i/>
          <w:iCs/>
        </w:rPr>
        <w:t>Rottmann</w:t>
      </w:r>
      <w:r>
        <w:rPr>
          <w:rFonts w:ascii="Times New Roman" w:hAnsi="Times New Roman"/>
        </w:rPr>
        <w:t>.</w:t>
      </w:r>
    </w:p>
  </w:footnote>
  <w:footnote w:id="3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COM(2019) 12 final </w:t>
      </w:r>
      <w:hyperlink r:id="rId12">
        <w:r>
          <w:rPr>
            <w:rStyle w:val="Hyperlink"/>
            <w:rFonts w:ascii="Times New Roman" w:hAnsi="Times New Roman"/>
          </w:rPr>
          <w:t>https://ec.europa.eu/info/sites/info/files/com_2019_12_final_report.pdf</w:t>
        </w:r>
      </w:hyperlink>
    </w:p>
  </w:footnote>
  <w:footnote w:id="37">
    <w:p>
      <w:pPr>
        <w:pStyle w:val="FootnoteText"/>
        <w:jc w:val="both"/>
        <w:rPr>
          <w:rFonts w:ascii="Times New Roman" w:eastAsia="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Вж. </w:t>
      </w:r>
      <w:hyperlink r:id="rId13">
        <w:r>
          <w:rPr>
            <w:rStyle w:val="Hyperlink"/>
            <w:rFonts w:ascii="Times New Roman" w:hAnsi="Times New Roman"/>
          </w:rPr>
          <w:t>https://ec.europa.eu/info/investor-citizenship-schemes_bg</w:t>
        </w:r>
      </w:hyperlink>
    </w:p>
  </w:footnote>
  <w:footnote w:id="3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Съд на Европейския съюз (2020 г.). Годишен доклад за 2019 г.: правораздавателна дейност. Люксембург, февруари 2020 г., стр. 161. </w:t>
      </w:r>
      <w:hyperlink r:id="rId14" w:history="1">
        <w:r>
          <w:rPr>
            <w:rStyle w:val="Hyperlink"/>
            <w:rFonts w:ascii="Times New Roman" w:hAnsi="Times New Roman"/>
          </w:rPr>
          <w:t>https://curia.europa.eu/jcms/upload/docs/application/pdf/2020-06/qd-ap-20-001-bg-n.pdf</w:t>
        </w:r>
      </w:hyperlink>
      <w:r>
        <w:rPr>
          <w:rFonts w:ascii="Times New Roman" w:hAnsi="Times New Roman"/>
        </w:rPr>
        <w:t xml:space="preserve"> </w:t>
      </w:r>
    </w:p>
  </w:footnote>
  <w:footnote w:id="39">
    <w:p>
      <w:pPr>
        <w:pStyle w:val="FootnoteText"/>
        <w:jc w:val="both"/>
        <w:rPr>
          <w:rFonts w:ascii="Times New Roman" w:hAnsi="Times New Roman" w:cs="Times New Roman"/>
          <w:highlight w:val="yellow"/>
        </w:rPr>
      </w:pPr>
      <w:r>
        <w:rPr>
          <w:rStyle w:val="FootnoteReference"/>
          <w:rFonts w:ascii="Times New Roman" w:hAnsi="Times New Roman" w:cs="Times New Roman"/>
        </w:rPr>
        <w:footnoteRef/>
      </w:r>
      <w:r>
        <w:rPr>
          <w:rFonts w:ascii="Times New Roman" w:hAnsi="Times New Roman"/>
        </w:rPr>
        <w:t xml:space="preserve"> Дело C-221/17, Tjebbes и други</w:t>
      </w:r>
    </w:p>
  </w:footnote>
  <w:footnote w:id="4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C-221/17, </w:t>
      </w:r>
      <w:r>
        <w:rPr>
          <w:rFonts w:ascii="Times New Roman" w:hAnsi="Times New Roman"/>
          <w:i/>
          <w:iCs/>
        </w:rPr>
        <w:t>Tjebbes и други</w:t>
      </w:r>
      <w:r>
        <w:rPr>
          <w:rFonts w:ascii="Times New Roman" w:hAnsi="Times New Roman"/>
        </w:rPr>
        <w:t>, т. 40.</w:t>
      </w:r>
    </w:p>
  </w:footnote>
  <w:footnote w:id="4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C-221/17, </w:t>
      </w:r>
      <w:r>
        <w:rPr>
          <w:rFonts w:ascii="Times New Roman" w:hAnsi="Times New Roman"/>
          <w:i/>
          <w:iCs/>
        </w:rPr>
        <w:t>Tjebbes и други</w:t>
      </w:r>
      <w:r>
        <w:rPr>
          <w:rFonts w:ascii="Times New Roman" w:hAnsi="Times New Roman"/>
        </w:rPr>
        <w:t>, т. 41.</w:t>
      </w:r>
    </w:p>
  </w:footnote>
  <w:footnote w:id="4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C-221/17, </w:t>
      </w:r>
      <w:r>
        <w:rPr>
          <w:rFonts w:ascii="Times New Roman" w:hAnsi="Times New Roman"/>
          <w:i/>
          <w:iCs/>
        </w:rPr>
        <w:t>Tjebbes и други</w:t>
      </w:r>
      <w:r>
        <w:rPr>
          <w:rFonts w:ascii="Times New Roman" w:hAnsi="Times New Roman"/>
        </w:rPr>
        <w:t>, т. 42.</w:t>
      </w:r>
    </w:p>
  </w:footnote>
  <w:footnote w:id="43">
    <w:p>
      <w:pPr>
        <w:pStyle w:val="FootnoteText"/>
        <w:jc w:val="both"/>
      </w:pPr>
      <w:r>
        <w:rPr>
          <w:rStyle w:val="FootnoteReference"/>
        </w:rPr>
        <w:footnoteRef/>
      </w:r>
      <w:r>
        <w:rPr>
          <w:rFonts w:ascii="Times New Roman" w:hAnsi="Times New Roman"/>
        </w:rPr>
        <w:t xml:space="preserve"> Вж. по-специално Директива 2004/38/ЕО относно правото на граждани на Съюза и на членове на техните семейства да се движат и да пребивават свободно на територията на държавите членки, за изменение на Регламент (ЕИО) № 1612/68 и отменяща Директиви 64/221/ЕИО, 68/360/ЕИО, 72/194/ЕИО, 73/148/ЕИО, 75/34/ЕИО, 75/35/ЕИО, 90/364/ЕИО, 90/365/ЕИО и 93/96/ЕИО, OВ L 158, 30.4.2004 г., стр. 77 (наричана по-нататък също „Директива за свободното движение“).</w:t>
      </w:r>
    </w:p>
  </w:footnote>
  <w:footnote w:id="44">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81 % от респондентите на специално проучване на Евробарометър № 486, 2019 г.</w:t>
      </w:r>
    </w:p>
  </w:footnote>
  <w:footnote w:id="45">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60 % от респондентите на стандартно проучване на Евробарометър № 91, пролет 2019 г.</w:t>
      </w:r>
    </w:p>
  </w:footnote>
  <w:footnote w:id="46">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56 % от респондентите на стандартно проучване на Евробарометър № 91, пролет 2019 г.</w:t>
      </w:r>
    </w:p>
  </w:footnote>
  <w:footnote w:id="47">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60 % от респондентите на специално проучване на Евробарометър № 486, 2019 г.</w:t>
      </w:r>
    </w:p>
  </w:footnote>
  <w:footnote w:id="48">
    <w:p>
      <w:pPr>
        <w:pStyle w:val="FootnoteText"/>
        <w:rPr>
          <w:rFonts w:ascii="Times New Roman" w:hAnsi="Times New Roman" w:cs="Times New Roman"/>
        </w:rPr>
      </w:pPr>
      <w:r>
        <w:rPr>
          <w:rStyle w:val="FootnoteReference"/>
        </w:rPr>
        <w:footnoteRef/>
      </w:r>
      <w:r>
        <w:t xml:space="preserve"> </w:t>
      </w:r>
      <w:r>
        <w:rPr>
          <w:rFonts w:ascii="Times New Roman" w:hAnsi="Times New Roman"/>
        </w:rPr>
        <w:t>Експресно проучване на Евробарометър № 485, пролет 2020 г.</w:t>
      </w:r>
    </w:p>
  </w:footnote>
  <w:footnote w:id="4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https://europa.eu/youreurope/citizens/residence/</w:t>
      </w:r>
    </w:p>
  </w:footnote>
  <w:footnote w:id="50">
    <w:p>
      <w:pPr>
        <w:pStyle w:val="FootnoteText"/>
        <w:jc w:val="both"/>
      </w:pPr>
      <w:r>
        <w:rPr>
          <w:rStyle w:val="FootnoteReference"/>
          <w:rFonts w:ascii="Times New Roman" w:hAnsi="Times New Roman" w:cs="Times New Roman"/>
        </w:rPr>
        <w:footnoteRef/>
      </w:r>
      <w:r>
        <w:rPr>
          <w:rFonts w:ascii="Times New Roman" w:hAnsi="Times New Roman"/>
        </w:rPr>
        <w:t xml:space="preserve"> Регламент (ЕС) 2018/1724 за създаване на единна цифрова платформа за предоставяне на достъп до информация, до процедури и до услуги за оказване на помощ и решаване на проблеми</w:t>
      </w:r>
    </w:p>
  </w:footnote>
  <w:footnote w:id="51">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SOLVIT е услуга, която се предоставя от националните администрации навсякъде в ЕС и ЕИП. Националните центрове на SOLVIT проучват жалби на гражданите и си сътрудничат посредством онлайн база данни, за да им помагат да решат своите проблеми безплатно и по извънсъдебен път.</w:t>
      </w:r>
    </w:p>
  </w:footnote>
  <w:footnote w:id="52">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w:t>
      </w:r>
      <w:hyperlink r:id="rId15" w:history="1">
        <w:r>
          <w:rPr>
            <w:rStyle w:val="Hyperlink"/>
            <w:rFonts w:ascii="Times New Roman" w:hAnsi="Times New Roman"/>
          </w:rPr>
          <w:t>https://ec.europa.eu/internal_market/scoreboard/performance_by_governance_tool/solvit/index_en.htm</w:t>
        </w:r>
      </w:hyperlink>
      <w:r>
        <w:rPr>
          <w:rFonts w:ascii="Times New Roman" w:hAnsi="Times New Roman"/>
        </w:rPr>
        <w:t xml:space="preserve">. </w:t>
      </w:r>
    </w:p>
  </w:footnote>
  <w:footnote w:id="5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https://europa.eu/youreurope/advice/</w:t>
      </w:r>
    </w:p>
  </w:footnote>
  <w:footnote w:id="54">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w:t>
      </w:r>
      <w:hyperlink r:id="rId16" w:history="1">
        <w:r>
          <w:rPr>
            <w:rStyle w:val="Hyperlink"/>
            <w:rFonts w:ascii="Times New Roman" w:hAnsi="Times New Roman"/>
          </w:rPr>
          <w:t>https://europa.eu/european-union/contact_bg</w:t>
        </w:r>
      </w:hyperlink>
      <w:r>
        <w:rPr>
          <w:rFonts w:ascii="Times New Roman" w:hAnsi="Times New Roman"/>
        </w:rPr>
        <w:t xml:space="preserve">. </w:t>
      </w:r>
    </w:p>
  </w:footnote>
  <w:footnote w:id="5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Директива 2014/54/ЕС на Европейския парламент и на Съвета от 16 април 2014 г. относно мерки за улесняване на упражняването на правата, предоставени на работниците в контекста на свободното движение на работници </w:t>
      </w:r>
    </w:p>
  </w:footnote>
  <w:footnote w:id="5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С него беше въведено доброволно взаимно признаване на статута на на лице с увреждания, което благоприятства достъпа на хората с увреждания до култура, спорт и развлечения в осем държави по проекта: Белгия, Естония, Италия, Кипър, Малта, Румъния, Словения, Финландия.</w:t>
      </w:r>
    </w:p>
  </w:footnote>
  <w:footnote w:id="57">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В този раздел няма да се разглеждат решенията на Съда на Европейския съюз, основани предимно на статута на „работник на Съюза“ съгласно член 45 и сл. от ДФЕС.</w:t>
      </w:r>
    </w:p>
  </w:footnote>
  <w:footnote w:id="58">
    <w:p>
      <w:pPr>
        <w:pStyle w:val="FootnoteText"/>
        <w:jc w:val="both"/>
        <w:rPr>
          <w:rFonts w:ascii="Times New Roman" w:hAnsi="Times New Roman" w:cs="Times New Roman"/>
          <w:szCs w:val="18"/>
        </w:rPr>
      </w:pPr>
      <w:r>
        <w:rPr>
          <w:rStyle w:val="FootnoteReference"/>
          <w:rFonts w:cs="Calibri Light"/>
          <w:szCs w:val="18"/>
        </w:rPr>
        <w:footnoteRef/>
      </w:r>
      <w:r>
        <w:t xml:space="preserve"> </w:t>
      </w:r>
      <w:r>
        <w:rPr>
          <w:rFonts w:ascii="Times New Roman" w:hAnsi="Times New Roman"/>
          <w:szCs w:val="18"/>
        </w:rPr>
        <w:t xml:space="preserve">Решение на Съда от 14 ноември 2017 г., C-165/16, </w:t>
      </w:r>
      <w:r>
        <w:rPr>
          <w:rFonts w:ascii="Times New Roman" w:hAnsi="Times New Roman"/>
          <w:i/>
          <w:szCs w:val="18"/>
        </w:rPr>
        <w:t>Toufik Lounes/Secretary of State for the Home Department</w:t>
      </w:r>
      <w:r>
        <w:rPr>
          <w:rFonts w:ascii="Times New Roman" w:hAnsi="Times New Roman"/>
          <w:szCs w:val="18"/>
        </w:rPr>
        <w:t>, ECLI:EU:C:2017:862.</w:t>
      </w:r>
    </w:p>
  </w:footnote>
  <w:footnote w:id="59">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C-165/16, </w:t>
      </w:r>
      <w:r>
        <w:rPr>
          <w:rFonts w:ascii="Times New Roman" w:hAnsi="Times New Roman"/>
          <w:i/>
          <w:szCs w:val="18"/>
        </w:rPr>
        <w:t>Lounes</w:t>
      </w:r>
      <w:r>
        <w:rPr>
          <w:rFonts w:ascii="Times New Roman" w:hAnsi="Times New Roman"/>
          <w:szCs w:val="18"/>
        </w:rPr>
        <w:t xml:space="preserve">, т. 45—58. Следва да се отбележи, че Съдът изрично е подчертал, че въпреки това Директива 2004/38/ЕО престава да се прилага по отношение на мобилни граждани на ЕС, които след своето преместване са придобили гражданството на приемащата държава членка; вж. C-165/16, </w:t>
      </w:r>
      <w:r>
        <w:rPr>
          <w:rFonts w:ascii="Times New Roman" w:hAnsi="Times New Roman"/>
          <w:i/>
          <w:szCs w:val="18"/>
        </w:rPr>
        <w:t>Lounes</w:t>
      </w:r>
      <w:r>
        <w:rPr>
          <w:rFonts w:ascii="Times New Roman" w:hAnsi="Times New Roman"/>
          <w:szCs w:val="18"/>
        </w:rPr>
        <w:t>, т. 31—44.</w:t>
      </w:r>
    </w:p>
  </w:footnote>
  <w:footnote w:id="60">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C-165/16, </w:t>
      </w:r>
      <w:r>
        <w:rPr>
          <w:rFonts w:ascii="Times New Roman" w:hAnsi="Times New Roman"/>
          <w:i/>
          <w:szCs w:val="18"/>
        </w:rPr>
        <w:t>Lounes</w:t>
      </w:r>
      <w:r>
        <w:rPr>
          <w:rFonts w:ascii="Times New Roman" w:hAnsi="Times New Roman"/>
          <w:szCs w:val="18"/>
        </w:rPr>
        <w:t>, т. 59—61.</w:t>
      </w:r>
    </w:p>
  </w:footnote>
  <w:footnote w:id="61">
    <w:p>
      <w:pPr>
        <w:pStyle w:val="FootnoteText"/>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Cs w:val="18"/>
        </w:rPr>
        <w:t xml:space="preserve">C-165/16, </w:t>
      </w:r>
      <w:r>
        <w:rPr>
          <w:rFonts w:ascii="Times New Roman" w:hAnsi="Times New Roman"/>
          <w:i/>
          <w:szCs w:val="18"/>
        </w:rPr>
        <w:t>Lounes</w:t>
      </w:r>
      <w:r>
        <w:rPr>
          <w:rFonts w:ascii="Times New Roman" w:hAnsi="Times New Roman"/>
          <w:szCs w:val="18"/>
        </w:rPr>
        <w:t>, т. 52.</w:t>
      </w:r>
    </w:p>
  </w:footnote>
  <w:footnote w:id="62">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Решение на Съда от 20 декември 2017 г., C-442/16, </w:t>
      </w:r>
      <w:r>
        <w:rPr>
          <w:rFonts w:ascii="Times New Roman" w:hAnsi="Times New Roman"/>
          <w:i/>
          <w:szCs w:val="18"/>
        </w:rPr>
        <w:t>Florian Gusa/Minister for Social Protection и други</w:t>
      </w:r>
      <w:r>
        <w:rPr>
          <w:rFonts w:ascii="Times New Roman" w:hAnsi="Times New Roman"/>
          <w:szCs w:val="18"/>
        </w:rPr>
        <w:t>, ECLI:EU:C:2017:1004.</w:t>
      </w:r>
    </w:p>
  </w:footnote>
  <w:footnote w:id="63">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C-442/16, </w:t>
      </w:r>
      <w:r>
        <w:rPr>
          <w:rFonts w:ascii="Times New Roman" w:hAnsi="Times New Roman"/>
          <w:i/>
          <w:szCs w:val="18"/>
        </w:rPr>
        <w:t>Gusa</w:t>
      </w:r>
      <w:r>
        <w:rPr>
          <w:rFonts w:ascii="Times New Roman" w:hAnsi="Times New Roman"/>
          <w:szCs w:val="18"/>
        </w:rPr>
        <w:t>, т. 35—45.</w:t>
      </w:r>
    </w:p>
  </w:footnote>
  <w:footnote w:id="64">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Решение на Съда от 5 юни 2018 г., C-673/16, </w:t>
      </w:r>
      <w:r>
        <w:rPr>
          <w:rFonts w:ascii="Times New Roman" w:hAnsi="Times New Roman"/>
          <w:i/>
          <w:szCs w:val="18"/>
        </w:rPr>
        <w:t>Relu Adrian Coman и други/Inspectoratul General pentru Imigrări и други</w:t>
      </w:r>
      <w:r>
        <w:rPr>
          <w:rFonts w:ascii="Times New Roman" w:hAnsi="Times New Roman"/>
          <w:szCs w:val="18"/>
        </w:rPr>
        <w:t>, ECLI:EU:C:2018:385.</w:t>
      </w:r>
    </w:p>
  </w:footnote>
  <w:footnote w:id="65">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C-673/16, </w:t>
      </w:r>
      <w:r>
        <w:rPr>
          <w:rFonts w:ascii="Times New Roman" w:hAnsi="Times New Roman"/>
          <w:i/>
          <w:szCs w:val="18"/>
        </w:rPr>
        <w:t>Coman</w:t>
      </w:r>
      <w:r>
        <w:rPr>
          <w:rFonts w:ascii="Times New Roman" w:hAnsi="Times New Roman"/>
          <w:szCs w:val="18"/>
        </w:rPr>
        <w:t>, т. 33—36.</w:t>
      </w:r>
    </w:p>
  </w:footnote>
  <w:footnote w:id="66">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C-673/16, </w:t>
      </w:r>
      <w:r>
        <w:rPr>
          <w:rFonts w:ascii="Times New Roman" w:hAnsi="Times New Roman"/>
          <w:i/>
          <w:szCs w:val="18"/>
        </w:rPr>
        <w:t>Coman</w:t>
      </w:r>
      <w:r>
        <w:rPr>
          <w:rFonts w:ascii="Times New Roman" w:hAnsi="Times New Roman"/>
          <w:szCs w:val="18"/>
        </w:rPr>
        <w:t>, т. 38—40, 52—55.</w:t>
      </w:r>
    </w:p>
  </w:footnote>
  <w:footnote w:id="67">
    <w:p>
      <w:pPr>
        <w:pStyle w:val="FootnoteText"/>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Cs w:val="18"/>
        </w:rPr>
        <w:t xml:space="preserve">C-673/16, </w:t>
      </w:r>
      <w:r>
        <w:rPr>
          <w:rFonts w:ascii="Times New Roman" w:hAnsi="Times New Roman"/>
          <w:i/>
          <w:szCs w:val="18"/>
        </w:rPr>
        <w:t>Coman</w:t>
      </w:r>
      <w:r>
        <w:rPr>
          <w:rFonts w:ascii="Times New Roman" w:hAnsi="Times New Roman"/>
          <w:szCs w:val="18"/>
        </w:rPr>
        <w:t>, т. 45.</w:t>
      </w:r>
    </w:p>
  </w:footnote>
  <w:footnote w:id="68">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Решение на Съда от 27 юни 2018 г., C-230/17 </w:t>
      </w:r>
      <w:r>
        <w:rPr>
          <w:rFonts w:ascii="Times New Roman" w:hAnsi="Times New Roman"/>
          <w:i/>
          <w:szCs w:val="18"/>
        </w:rPr>
        <w:t>Erdem Deha Altiner и Isabel Hanna Ravn/Udlændingestyrelsen</w:t>
      </w:r>
      <w:r>
        <w:rPr>
          <w:rFonts w:ascii="Times New Roman" w:hAnsi="Times New Roman"/>
          <w:szCs w:val="18"/>
        </w:rPr>
        <w:t>, ECLI:EU:C:2018:497.</w:t>
      </w:r>
    </w:p>
  </w:footnote>
  <w:footnote w:id="69">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C-230/17 </w:t>
      </w:r>
      <w:r>
        <w:rPr>
          <w:rFonts w:ascii="Times New Roman" w:hAnsi="Times New Roman"/>
          <w:i/>
          <w:szCs w:val="18"/>
        </w:rPr>
        <w:t>Altiner и Ravn</w:t>
      </w:r>
      <w:r>
        <w:rPr>
          <w:rFonts w:ascii="Times New Roman" w:hAnsi="Times New Roman"/>
          <w:szCs w:val="18"/>
        </w:rPr>
        <w:t>, т. 30—34.</w:t>
      </w:r>
    </w:p>
  </w:footnote>
  <w:footnote w:id="7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C-230/17 </w:t>
      </w:r>
      <w:r>
        <w:rPr>
          <w:rFonts w:ascii="Times New Roman" w:hAnsi="Times New Roman"/>
          <w:i/>
        </w:rPr>
        <w:t>Altiner и Ravn</w:t>
      </w:r>
      <w:r>
        <w:rPr>
          <w:rFonts w:ascii="Times New Roman" w:hAnsi="Times New Roman"/>
        </w:rPr>
        <w:t>, т. 35.</w:t>
      </w:r>
    </w:p>
  </w:footnote>
  <w:footnote w:id="7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Решение на Съда от 11 април 2019 г., C-483/17, </w:t>
      </w:r>
      <w:r>
        <w:rPr>
          <w:rFonts w:ascii="Times New Roman" w:hAnsi="Times New Roman"/>
          <w:i/>
        </w:rPr>
        <w:t>Neculai Tarola/Minister for Social Protection</w:t>
      </w:r>
      <w:r>
        <w:rPr>
          <w:rFonts w:ascii="Times New Roman" w:hAnsi="Times New Roman"/>
        </w:rPr>
        <w:t>, ECLI:EU:C:2019:309.</w:t>
      </w:r>
    </w:p>
  </w:footnote>
  <w:footnote w:id="7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C-483/17, </w:t>
      </w:r>
      <w:r>
        <w:rPr>
          <w:rFonts w:ascii="Times New Roman" w:hAnsi="Times New Roman"/>
          <w:i/>
        </w:rPr>
        <w:t>Tarola</w:t>
      </w:r>
      <w:r>
        <w:rPr>
          <w:rFonts w:ascii="Times New Roman" w:hAnsi="Times New Roman"/>
        </w:rPr>
        <w:t>, т. 45—52.</w:t>
      </w:r>
    </w:p>
  </w:footnote>
  <w:footnote w:id="7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C-483/17, </w:t>
      </w:r>
      <w:r>
        <w:rPr>
          <w:rFonts w:ascii="Times New Roman" w:hAnsi="Times New Roman"/>
          <w:i/>
        </w:rPr>
        <w:t>Tarola</w:t>
      </w:r>
      <w:r>
        <w:rPr>
          <w:rFonts w:ascii="Times New Roman" w:hAnsi="Times New Roman"/>
        </w:rPr>
        <w:t>, т. 55—57.</w:t>
      </w:r>
    </w:p>
  </w:footnote>
  <w:footnote w:id="7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Решение на Съда от </w:t>
      </w:r>
      <w:r>
        <w:rPr>
          <w:rFonts w:ascii="Times New Roman" w:hAnsi="Times New Roman"/>
          <w:color w:val="000000"/>
        </w:rPr>
        <w:t>2 </w:t>
      </w:r>
      <w:r>
        <w:rPr>
          <w:rFonts w:ascii="Times New Roman" w:hAnsi="Times New Roman"/>
        </w:rPr>
        <w:t>октомври 2019 г.,</w:t>
      </w:r>
      <w:r>
        <w:rPr>
          <w:rFonts w:ascii="Times New Roman" w:hAnsi="Times New Roman"/>
          <w:color w:val="000000"/>
        </w:rPr>
        <w:t xml:space="preserve"> </w:t>
      </w:r>
      <w:hyperlink r:id="rId17" w:history="1">
        <w:r>
          <w:rPr>
            <w:rFonts w:ascii="Times New Roman" w:hAnsi="Times New Roman"/>
          </w:rPr>
          <w:t xml:space="preserve">C-93/18, </w:t>
        </w:r>
        <w:r>
          <w:rPr>
            <w:rFonts w:ascii="Times New Roman" w:hAnsi="Times New Roman"/>
            <w:i/>
          </w:rPr>
          <w:t>Bajratari</w:t>
        </w:r>
      </w:hyperlink>
      <w:r>
        <w:rPr>
          <w:rFonts w:ascii="Times New Roman" w:hAnsi="Times New Roman"/>
        </w:rPr>
        <w:t>,</w:t>
      </w:r>
      <w:r>
        <w:rPr>
          <w:rFonts w:ascii="Times New Roman" w:hAnsi="Times New Roman"/>
          <w:color w:val="666666"/>
        </w:rPr>
        <w:t xml:space="preserve"> ECLI:EU:C:2019:809</w:t>
      </w:r>
      <w:r>
        <w:rPr>
          <w:rFonts w:ascii="Times New Roman" w:hAnsi="Times New Roman"/>
        </w:rPr>
        <w:t>.</w:t>
      </w:r>
    </w:p>
  </w:footnote>
  <w:footnote w:id="7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8" w:history="1">
        <w:r>
          <w:rPr>
            <w:rFonts w:ascii="Times New Roman" w:hAnsi="Times New Roman"/>
          </w:rPr>
          <w:t xml:space="preserve">C-93/18, </w:t>
        </w:r>
        <w:r>
          <w:rPr>
            <w:rFonts w:ascii="Times New Roman" w:hAnsi="Times New Roman"/>
            <w:i/>
          </w:rPr>
          <w:t>Bajratari</w:t>
        </w:r>
      </w:hyperlink>
      <w:r>
        <w:rPr>
          <w:rFonts w:ascii="Times New Roman" w:hAnsi="Times New Roman"/>
        </w:rPr>
        <w:t>, т. 53.</w:t>
      </w:r>
    </w:p>
  </w:footnote>
  <w:footnote w:id="7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9" w:history="1">
        <w:r>
          <w:rPr>
            <w:rFonts w:ascii="Times New Roman" w:hAnsi="Times New Roman"/>
          </w:rPr>
          <w:t xml:space="preserve">C-93/18, </w:t>
        </w:r>
        <w:r>
          <w:rPr>
            <w:rFonts w:ascii="Times New Roman" w:hAnsi="Times New Roman"/>
            <w:i/>
          </w:rPr>
          <w:t>Bajratari</w:t>
        </w:r>
      </w:hyperlink>
      <w:r>
        <w:rPr>
          <w:rFonts w:ascii="Times New Roman" w:hAnsi="Times New Roman"/>
        </w:rPr>
        <w:t>, т. 52.</w:t>
      </w:r>
    </w:p>
  </w:footnote>
  <w:footnote w:id="7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Решение на Съда от 13 юли 2017 г., C-193/16, </w:t>
      </w:r>
      <w:r>
        <w:rPr>
          <w:rFonts w:ascii="Times New Roman" w:hAnsi="Times New Roman"/>
          <w:i/>
        </w:rPr>
        <w:t>E/Subdelegación del Gobierno en Álava</w:t>
      </w:r>
      <w:r>
        <w:rPr>
          <w:rFonts w:ascii="Times New Roman" w:hAnsi="Times New Roman"/>
        </w:rPr>
        <w:t>, ECLI:EU:C:2017:542.</w:t>
      </w:r>
    </w:p>
  </w:footnote>
  <w:footnote w:id="7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C-193/16 </w:t>
      </w:r>
      <w:r>
        <w:rPr>
          <w:rFonts w:ascii="Times New Roman" w:hAnsi="Times New Roman"/>
          <w:i/>
        </w:rPr>
        <w:t>E/Subdelegación del Gobierno en Álava</w:t>
      </w:r>
      <w:r>
        <w:rPr>
          <w:rFonts w:ascii="Times New Roman" w:hAnsi="Times New Roman"/>
        </w:rPr>
        <w:t>, т. 19—26.</w:t>
      </w:r>
    </w:p>
  </w:footnote>
  <w:footnote w:id="79">
    <w:p>
      <w:pPr>
        <w:pStyle w:val="FootnoteText"/>
        <w:jc w:val="both"/>
        <w:rPr>
          <w:rFonts w:ascii="Times New Roman" w:hAnsi="Times New Roman" w:cs="Times New Roman"/>
          <w:szCs w:val="18"/>
          <w:u w:val="single"/>
        </w:rPr>
      </w:pPr>
      <w:r>
        <w:rPr>
          <w:rStyle w:val="FootnoteReference"/>
          <w:rFonts w:ascii="Times New Roman" w:hAnsi="Times New Roman" w:cs="Times New Roman"/>
          <w:szCs w:val="18"/>
        </w:rPr>
        <w:footnoteRef/>
      </w:r>
      <w:r>
        <w:rPr>
          <w:rFonts w:ascii="Times New Roman" w:hAnsi="Times New Roman"/>
          <w:szCs w:val="18"/>
        </w:rPr>
        <w:t xml:space="preserve"> Решение на Съда от 14 септември 2017 г., C-184/16 </w:t>
      </w:r>
      <w:r>
        <w:rPr>
          <w:rFonts w:ascii="Times New Roman" w:hAnsi="Times New Roman"/>
          <w:i/>
          <w:szCs w:val="18"/>
        </w:rPr>
        <w:t>Ovidiu-Mihăiţă Petrea/Ypourgos Esoterikon kai Dioikitikis Anasygrotisis</w:t>
      </w:r>
      <w:r>
        <w:rPr>
          <w:rFonts w:ascii="Times New Roman" w:hAnsi="Times New Roman"/>
          <w:szCs w:val="18"/>
        </w:rPr>
        <w:t xml:space="preserve">, ECLI:EU:C:2017:684. Части от решението на Съда на Европейския съюз по делото </w:t>
      </w:r>
      <w:r>
        <w:rPr>
          <w:rFonts w:ascii="Times New Roman" w:hAnsi="Times New Roman"/>
          <w:i/>
          <w:szCs w:val="18"/>
        </w:rPr>
        <w:t xml:space="preserve">Petrea </w:t>
      </w:r>
      <w:r>
        <w:rPr>
          <w:rFonts w:ascii="Times New Roman" w:hAnsi="Times New Roman"/>
          <w:szCs w:val="18"/>
        </w:rPr>
        <w:t xml:space="preserve">ще бъдат разгледани в раздел </w:t>
      </w:r>
      <w:r>
        <w:rPr>
          <w:rFonts w:ascii="Times New Roman" w:hAnsi="Times New Roman" w:cs="Times New Roman"/>
          <w:szCs w:val="18"/>
        </w:rPr>
        <w:t>5.2.3</w:t>
      </w:r>
      <w:r>
        <w:rPr>
          <w:rFonts w:ascii="Times New Roman" w:hAnsi="Times New Roman"/>
          <w:szCs w:val="18"/>
        </w:rPr>
        <w:t xml:space="preserve"> от настоящия преглед.</w:t>
      </w:r>
    </w:p>
  </w:footnote>
  <w:footnote w:id="80">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C-184/16, </w:t>
      </w:r>
      <w:r>
        <w:rPr>
          <w:rFonts w:ascii="Times New Roman" w:hAnsi="Times New Roman"/>
          <w:i/>
          <w:szCs w:val="18"/>
        </w:rPr>
        <w:t>Petrea</w:t>
      </w:r>
      <w:r>
        <w:rPr>
          <w:rFonts w:ascii="Times New Roman" w:hAnsi="Times New Roman"/>
          <w:szCs w:val="18"/>
        </w:rPr>
        <w:t>, т. 30—42.</w:t>
      </w:r>
    </w:p>
  </w:footnote>
  <w:footnote w:id="81">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C-184/16, </w:t>
      </w:r>
      <w:r>
        <w:rPr>
          <w:rFonts w:ascii="Times New Roman" w:hAnsi="Times New Roman"/>
          <w:i/>
          <w:szCs w:val="18"/>
        </w:rPr>
        <w:t>Petrea</w:t>
      </w:r>
      <w:r>
        <w:rPr>
          <w:rFonts w:ascii="Times New Roman" w:hAnsi="Times New Roman"/>
          <w:szCs w:val="18"/>
        </w:rPr>
        <w:t>, т. 43—48.</w:t>
      </w:r>
    </w:p>
  </w:footnote>
  <w:footnote w:id="82">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Решение на Съда от 17 април 2018 г., съединени дела C-316/16 и C-424/16, </w:t>
      </w:r>
      <w:r>
        <w:rPr>
          <w:rFonts w:ascii="Times New Roman" w:hAnsi="Times New Roman"/>
          <w:i/>
          <w:szCs w:val="18"/>
        </w:rPr>
        <w:t>B/Land Baden-Württemburg и Secretary of State for the Home Department/Franco Vomero</w:t>
      </w:r>
      <w:r>
        <w:rPr>
          <w:rFonts w:ascii="Times New Roman" w:hAnsi="Times New Roman"/>
          <w:szCs w:val="18"/>
        </w:rPr>
        <w:t>, ECLI:EU:C:2018:256.</w:t>
      </w:r>
    </w:p>
  </w:footnote>
  <w:footnote w:id="83">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Съединени дела C-316/16 и C-424/16, </w:t>
      </w:r>
      <w:r>
        <w:rPr>
          <w:rFonts w:ascii="Times New Roman" w:hAnsi="Times New Roman"/>
          <w:i/>
          <w:szCs w:val="18"/>
        </w:rPr>
        <w:t>B и Vomero</w:t>
      </w:r>
      <w:r>
        <w:rPr>
          <w:rFonts w:ascii="Times New Roman" w:hAnsi="Times New Roman"/>
          <w:szCs w:val="18"/>
        </w:rPr>
        <w:t>, т. 44—55.</w:t>
      </w:r>
    </w:p>
  </w:footnote>
  <w:footnote w:id="84">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Съединени дела C-316/16 и C-424/16, </w:t>
      </w:r>
      <w:r>
        <w:rPr>
          <w:rFonts w:ascii="Times New Roman" w:hAnsi="Times New Roman"/>
          <w:i/>
          <w:szCs w:val="18"/>
        </w:rPr>
        <w:t>B и Vomero</w:t>
      </w:r>
      <w:r>
        <w:rPr>
          <w:rFonts w:ascii="Times New Roman" w:hAnsi="Times New Roman"/>
          <w:szCs w:val="18"/>
        </w:rPr>
        <w:t>, т. 64—65, 85—94.</w:t>
      </w:r>
    </w:p>
  </w:footnote>
  <w:footnote w:id="85">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Съединени дела C-316/16 и C-424/16, </w:t>
      </w:r>
      <w:r>
        <w:rPr>
          <w:rFonts w:ascii="Times New Roman" w:hAnsi="Times New Roman"/>
          <w:i/>
          <w:szCs w:val="18"/>
        </w:rPr>
        <w:t>B и Vomero</w:t>
      </w:r>
      <w:r>
        <w:rPr>
          <w:rFonts w:ascii="Times New Roman" w:hAnsi="Times New Roman"/>
          <w:szCs w:val="18"/>
        </w:rPr>
        <w:t>, т. 66—82.</w:t>
      </w:r>
    </w:p>
  </w:footnote>
  <w:footnote w:id="86">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Съединени дела C-316/16 и C-424/16, </w:t>
      </w:r>
      <w:r>
        <w:rPr>
          <w:rFonts w:ascii="Times New Roman" w:hAnsi="Times New Roman"/>
          <w:i/>
          <w:szCs w:val="18"/>
        </w:rPr>
        <w:t>B и Vomero</w:t>
      </w:r>
      <w:r>
        <w:rPr>
          <w:rFonts w:ascii="Times New Roman" w:hAnsi="Times New Roman"/>
          <w:szCs w:val="18"/>
        </w:rPr>
        <w:t>, т. 83.</w:t>
      </w:r>
    </w:p>
  </w:footnote>
  <w:footnote w:id="87">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Решение на Съда на Европейския съюз от 2 май 2018 г., съединени дела, C-331/16 и C-366/16, </w:t>
      </w:r>
      <w:r>
        <w:rPr>
          <w:rFonts w:ascii="Times New Roman" w:hAnsi="Times New Roman"/>
          <w:i/>
          <w:szCs w:val="18"/>
        </w:rPr>
        <w:t>K/Staatssecretaris van Veligheid en Justitie и HF/Belgische Staat</w:t>
      </w:r>
      <w:r>
        <w:rPr>
          <w:rFonts w:ascii="Times New Roman" w:hAnsi="Times New Roman"/>
          <w:szCs w:val="18"/>
        </w:rPr>
        <w:t>, ECLI:EU:C:2018:296.</w:t>
      </w:r>
    </w:p>
  </w:footnote>
  <w:footnote w:id="88">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Съединени дела C-331/16 и C-366/16, </w:t>
      </w:r>
      <w:r>
        <w:rPr>
          <w:rFonts w:ascii="Times New Roman" w:hAnsi="Times New Roman"/>
          <w:i/>
          <w:szCs w:val="18"/>
        </w:rPr>
        <w:t>K и HF</w:t>
      </w:r>
      <w:r>
        <w:rPr>
          <w:rFonts w:ascii="Times New Roman" w:hAnsi="Times New Roman"/>
          <w:szCs w:val="18"/>
        </w:rPr>
        <w:t>, т. 51.</w:t>
      </w:r>
    </w:p>
  </w:footnote>
  <w:footnote w:id="89">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Съединени дела C-331/16 и C-366/16, </w:t>
      </w:r>
      <w:r>
        <w:rPr>
          <w:rFonts w:ascii="Times New Roman" w:hAnsi="Times New Roman"/>
          <w:i/>
          <w:szCs w:val="18"/>
        </w:rPr>
        <w:t>K, и HF</w:t>
      </w:r>
      <w:r>
        <w:rPr>
          <w:rFonts w:ascii="Times New Roman" w:hAnsi="Times New Roman"/>
          <w:szCs w:val="18"/>
        </w:rPr>
        <w:t>, т. 39—49, 52—60.</w:t>
      </w:r>
    </w:p>
  </w:footnote>
  <w:footnote w:id="90">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Съединени дела C-331/16 и C-366/16, </w:t>
      </w:r>
      <w:r>
        <w:rPr>
          <w:rFonts w:ascii="Times New Roman" w:hAnsi="Times New Roman"/>
          <w:i/>
          <w:szCs w:val="18"/>
        </w:rPr>
        <w:t>K и HF</w:t>
      </w:r>
      <w:r>
        <w:rPr>
          <w:rFonts w:ascii="Times New Roman" w:hAnsi="Times New Roman"/>
          <w:szCs w:val="18"/>
        </w:rPr>
        <w:t>, т. 61—64.</w:t>
      </w:r>
    </w:p>
  </w:footnote>
  <w:footnote w:id="91">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Решение на Съда от 13 септември 2016 г., C-165/14 </w:t>
      </w:r>
      <w:r>
        <w:rPr>
          <w:rFonts w:ascii="Times New Roman" w:hAnsi="Times New Roman"/>
          <w:i/>
          <w:iCs/>
          <w:szCs w:val="18"/>
        </w:rPr>
        <w:t>Аlfredo Rendón Marín/Administración del Estado</w:t>
      </w:r>
      <w:r>
        <w:rPr>
          <w:rFonts w:ascii="Times New Roman" w:hAnsi="Times New Roman"/>
          <w:szCs w:val="18"/>
        </w:rPr>
        <w:t>, ECLI:EU:C:2016:675.</w:t>
      </w:r>
    </w:p>
  </w:footnote>
  <w:footnote w:id="92">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C-165/14 </w:t>
      </w:r>
      <w:r>
        <w:rPr>
          <w:rFonts w:ascii="Times New Roman" w:hAnsi="Times New Roman"/>
          <w:i/>
          <w:szCs w:val="18"/>
        </w:rPr>
        <w:t>Rendón Maríin</w:t>
      </w:r>
      <w:r>
        <w:rPr>
          <w:rFonts w:ascii="Times New Roman" w:hAnsi="Times New Roman"/>
          <w:szCs w:val="18"/>
        </w:rPr>
        <w:t>, т. 63—67, 81—87.</w:t>
      </w:r>
    </w:p>
  </w:footnote>
  <w:footnote w:id="93">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Решение на Съда от 13 септември 2016 г., C-304/14, </w:t>
      </w:r>
      <w:r>
        <w:rPr>
          <w:rFonts w:ascii="Times New Roman" w:hAnsi="Times New Roman"/>
          <w:i/>
          <w:szCs w:val="18"/>
        </w:rPr>
        <w:t>Secretary of State for the Home Department/CS</w:t>
      </w:r>
      <w:r>
        <w:rPr>
          <w:rFonts w:ascii="Times New Roman" w:hAnsi="Times New Roman"/>
          <w:szCs w:val="18"/>
        </w:rPr>
        <w:t>, ECLI:EU:C:2016: 674, т. 41.</w:t>
      </w:r>
    </w:p>
  </w:footnote>
  <w:footnote w:id="94">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Във връзка с произтичащите от член 20 от ДФЕС права на пребиваване, вж. C-165/14 </w:t>
      </w:r>
      <w:r>
        <w:rPr>
          <w:rFonts w:ascii="Times New Roman" w:hAnsi="Times New Roman"/>
          <w:i/>
          <w:szCs w:val="18"/>
        </w:rPr>
        <w:t>Rendón Marín</w:t>
      </w:r>
      <w:r>
        <w:rPr>
          <w:rFonts w:ascii="Times New Roman" w:hAnsi="Times New Roman"/>
          <w:szCs w:val="18"/>
        </w:rPr>
        <w:t xml:space="preserve">, т. 83—86; C-304/14 </w:t>
      </w:r>
      <w:r>
        <w:rPr>
          <w:rFonts w:ascii="Times New Roman" w:hAnsi="Times New Roman"/>
          <w:i/>
          <w:szCs w:val="18"/>
        </w:rPr>
        <w:t>CS</w:t>
      </w:r>
      <w:r>
        <w:rPr>
          <w:rFonts w:ascii="Times New Roman" w:hAnsi="Times New Roman"/>
          <w:szCs w:val="18"/>
        </w:rPr>
        <w:t xml:space="preserve">, т. 36—42; във връзка с произтичащите от член 21 от ДФЕС права на пребиваване, вж. C-165/14 </w:t>
      </w:r>
      <w:r>
        <w:rPr>
          <w:rFonts w:ascii="Times New Roman" w:hAnsi="Times New Roman"/>
          <w:i/>
          <w:szCs w:val="18"/>
        </w:rPr>
        <w:t>Rendón Marín</w:t>
      </w:r>
      <w:r>
        <w:rPr>
          <w:rFonts w:ascii="Times New Roman" w:hAnsi="Times New Roman"/>
          <w:szCs w:val="18"/>
        </w:rPr>
        <w:t>, т. 55—62.</w:t>
      </w:r>
    </w:p>
  </w:footnote>
  <w:footnote w:id="95">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Решение на Съда на Европейския съюз от 10 май 2017 г., C-133/15, </w:t>
      </w:r>
      <w:r>
        <w:rPr>
          <w:rFonts w:ascii="Times New Roman" w:hAnsi="Times New Roman"/>
          <w:i/>
          <w:szCs w:val="18"/>
        </w:rPr>
        <w:t>HC Chavez-Vilchez и други/Raad van bestuur van de Sociale verzekeringsbank и други</w:t>
      </w:r>
      <w:r>
        <w:rPr>
          <w:rFonts w:ascii="Times New Roman" w:hAnsi="Times New Roman"/>
          <w:szCs w:val="18"/>
        </w:rPr>
        <w:t>, ECLI:EU:C:2017:354.</w:t>
      </w:r>
    </w:p>
  </w:footnote>
  <w:footnote w:id="96">
    <w:p>
      <w:pPr>
        <w:pStyle w:val="FootnoteText"/>
      </w:pPr>
      <w:r>
        <w:rPr>
          <w:rStyle w:val="FootnoteReference"/>
        </w:rPr>
        <w:footnoteRef/>
      </w:r>
      <w:r>
        <w:t xml:space="preserve"> </w:t>
      </w:r>
      <w:r>
        <w:rPr>
          <w:rFonts w:ascii="Times New Roman" w:hAnsi="Times New Roman"/>
          <w:szCs w:val="18"/>
        </w:rPr>
        <w:t>Дело C-34/09</w:t>
      </w:r>
    </w:p>
  </w:footnote>
  <w:footnote w:id="97">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C-133/15, </w:t>
      </w:r>
      <w:r>
        <w:rPr>
          <w:rFonts w:ascii="Times New Roman" w:hAnsi="Times New Roman"/>
          <w:i/>
          <w:szCs w:val="18"/>
        </w:rPr>
        <w:t>Chavez-Vilchez и други</w:t>
      </w:r>
      <w:r>
        <w:rPr>
          <w:rFonts w:ascii="Times New Roman" w:hAnsi="Times New Roman"/>
          <w:szCs w:val="18"/>
        </w:rPr>
        <w:t>, т. 70.</w:t>
      </w:r>
    </w:p>
  </w:footnote>
  <w:footnote w:id="98">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C-133/15, </w:t>
      </w:r>
      <w:r>
        <w:rPr>
          <w:rFonts w:ascii="Times New Roman" w:hAnsi="Times New Roman"/>
          <w:i/>
          <w:szCs w:val="18"/>
        </w:rPr>
        <w:t>Chavez-Vilchez и други</w:t>
      </w:r>
      <w:r>
        <w:rPr>
          <w:rFonts w:ascii="Times New Roman" w:hAnsi="Times New Roman"/>
          <w:szCs w:val="18"/>
        </w:rPr>
        <w:t>, т. 71.</w:t>
      </w:r>
    </w:p>
  </w:footnote>
  <w:footnote w:id="99">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C-133/15, </w:t>
      </w:r>
      <w:r>
        <w:rPr>
          <w:rFonts w:ascii="Times New Roman" w:hAnsi="Times New Roman"/>
          <w:i/>
          <w:szCs w:val="18"/>
        </w:rPr>
        <w:t>Chavez-Vilchez и други</w:t>
      </w:r>
      <w:r>
        <w:rPr>
          <w:rFonts w:ascii="Times New Roman" w:hAnsi="Times New Roman"/>
          <w:szCs w:val="18"/>
        </w:rPr>
        <w:t>, т. 68.</w:t>
      </w:r>
    </w:p>
  </w:footnote>
  <w:footnote w:id="100">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C-133/15, </w:t>
      </w:r>
      <w:r>
        <w:rPr>
          <w:rFonts w:ascii="Times New Roman" w:hAnsi="Times New Roman"/>
          <w:i/>
          <w:szCs w:val="18"/>
        </w:rPr>
        <w:t>Chavez-Vilchez и други</w:t>
      </w:r>
      <w:r>
        <w:rPr>
          <w:rFonts w:ascii="Times New Roman" w:hAnsi="Times New Roman"/>
          <w:szCs w:val="18"/>
        </w:rPr>
        <w:t>, т. 71.</w:t>
      </w:r>
    </w:p>
  </w:footnote>
  <w:footnote w:id="101">
    <w:p>
      <w:pPr>
        <w:pStyle w:val="FootnoteText"/>
        <w:jc w:val="both"/>
      </w:pPr>
      <w:r>
        <w:rPr>
          <w:rStyle w:val="FootnoteReference"/>
        </w:rPr>
        <w:footnoteRef/>
      </w:r>
      <w:r>
        <w:rPr>
          <w:rFonts w:ascii="Times New Roman" w:hAnsi="Times New Roman"/>
        </w:rPr>
        <w:t xml:space="preserve"> Решение на Съда от 27 февруари 2020 г., C-836/18, </w:t>
      </w:r>
      <w:r>
        <w:rPr>
          <w:rFonts w:ascii="Times New Roman" w:hAnsi="Times New Roman"/>
          <w:bCs/>
          <w:i/>
          <w:shd w:val="clear" w:color="auto" w:fill="FFFFFF"/>
        </w:rPr>
        <w:t>Subdelegación del Gobierno en Ciudad Real/RH</w:t>
      </w:r>
      <w:r>
        <w:rPr>
          <w:rStyle w:val="Hyperlink"/>
          <w:rFonts w:ascii="Times New Roman" w:hAnsi="Times New Roman"/>
          <w:i/>
          <w:color w:val="auto"/>
        </w:rPr>
        <w:t>,</w:t>
      </w:r>
      <w:r>
        <w:rPr>
          <w:rStyle w:val="Hyperlink"/>
          <w:rFonts w:ascii="Times New Roman" w:hAnsi="Times New Roman"/>
          <w:color w:val="auto"/>
        </w:rPr>
        <w:t xml:space="preserve"> </w:t>
      </w:r>
      <w:r>
        <w:rPr>
          <w:rFonts w:ascii="Times New Roman" w:hAnsi="Times New Roman"/>
          <w:bCs/>
          <w:shd w:val="clear" w:color="auto" w:fill="FFFFFF"/>
        </w:rPr>
        <w:t>ECLI:EU:C:2020:119</w:t>
      </w:r>
    </w:p>
  </w:footnote>
  <w:footnote w:id="102">
    <w:p>
      <w:pPr>
        <w:pStyle w:val="FootnoteText"/>
        <w:jc w:val="both"/>
        <w:rPr>
          <w:rFonts w:ascii="Times New Roman" w:hAnsi="Times New Roman" w:cs="Times New Roman"/>
          <w:i/>
          <w:highlight w:val="yellow"/>
        </w:rPr>
      </w:pPr>
      <w:r>
        <w:rPr>
          <w:rStyle w:val="FootnoteReference"/>
          <w:rFonts w:ascii="Times New Roman" w:hAnsi="Times New Roman" w:cs="Times New Roman"/>
        </w:rPr>
        <w:footnoteRef/>
      </w:r>
      <w:r>
        <w:rPr>
          <w:rFonts w:ascii="Times New Roman" w:hAnsi="Times New Roman"/>
        </w:rPr>
        <w:t xml:space="preserve"> Решение на Съда от 18 юни 2020 г., C-754/18</w:t>
      </w:r>
      <w:r>
        <w:t xml:space="preserve">, </w:t>
      </w:r>
      <w:r>
        <w:rPr>
          <w:rFonts w:ascii="Open Sans" w:hAnsi="Open Sans"/>
          <w:bCs/>
          <w:i/>
          <w:shd w:val="clear" w:color="auto" w:fill="FFFFFF"/>
        </w:rPr>
        <w:t xml:space="preserve">Ryanair Designated Activity Company/Országos Rendőr-főkapitányság, </w:t>
      </w:r>
      <w:r>
        <w:rPr>
          <w:rFonts w:ascii="Open Sans" w:hAnsi="Open Sans"/>
          <w:bCs/>
          <w:shd w:val="clear" w:color="auto" w:fill="FFFFFF"/>
        </w:rPr>
        <w:t>ECLI:EU:C:2020:478</w:t>
      </w:r>
      <w:r>
        <w:t>.</w:t>
      </w:r>
    </w:p>
  </w:footnote>
  <w:footnote w:id="103">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Решение на Съда от 5 септември 2012 г., C-83/11, </w:t>
      </w:r>
      <w:r>
        <w:rPr>
          <w:rFonts w:ascii="Times New Roman" w:hAnsi="Times New Roman"/>
          <w:i/>
          <w:szCs w:val="18"/>
        </w:rPr>
        <w:t>Secretary of State for the Home Department/Muhammad Sazzadur Rahman и други</w:t>
      </w:r>
      <w:r>
        <w:rPr>
          <w:rFonts w:ascii="Times New Roman" w:hAnsi="Times New Roman"/>
          <w:szCs w:val="18"/>
        </w:rPr>
        <w:t>, ECLI:EU:C:2012:519.</w:t>
      </w:r>
    </w:p>
  </w:footnote>
  <w:footnote w:id="104">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Решение на Съда от 12 юли 2018 г., C-89/17, </w:t>
      </w:r>
      <w:r>
        <w:rPr>
          <w:rFonts w:ascii="Times New Roman" w:hAnsi="Times New Roman"/>
          <w:i/>
          <w:szCs w:val="18"/>
        </w:rPr>
        <w:t>Secretary of State for the Home Department/Rozanne Banger</w:t>
      </w:r>
      <w:r>
        <w:rPr>
          <w:rFonts w:ascii="Times New Roman" w:hAnsi="Times New Roman"/>
          <w:szCs w:val="18"/>
        </w:rPr>
        <w:t>, ECLI:EU:C:2018:570.</w:t>
      </w:r>
    </w:p>
  </w:footnote>
  <w:footnote w:id="105">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C-89/17, </w:t>
      </w:r>
      <w:r>
        <w:rPr>
          <w:rFonts w:ascii="Times New Roman" w:hAnsi="Times New Roman"/>
          <w:i/>
          <w:szCs w:val="18"/>
        </w:rPr>
        <w:t>Banger</w:t>
      </w:r>
      <w:r>
        <w:rPr>
          <w:rFonts w:ascii="Times New Roman" w:hAnsi="Times New Roman"/>
          <w:szCs w:val="18"/>
        </w:rPr>
        <w:t>, т. 27—34.</w:t>
      </w:r>
    </w:p>
  </w:footnote>
  <w:footnote w:id="106">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C-89/17, </w:t>
      </w:r>
      <w:r>
        <w:rPr>
          <w:rFonts w:ascii="Times New Roman" w:hAnsi="Times New Roman"/>
          <w:i/>
          <w:szCs w:val="18"/>
        </w:rPr>
        <w:t>Banger</w:t>
      </w:r>
      <w:r>
        <w:rPr>
          <w:rFonts w:ascii="Times New Roman" w:hAnsi="Times New Roman"/>
          <w:szCs w:val="18"/>
        </w:rPr>
        <w:t>, т. 36—41.</w:t>
      </w:r>
    </w:p>
  </w:footnote>
  <w:footnote w:id="107">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C-89/17, </w:t>
      </w:r>
      <w:r>
        <w:rPr>
          <w:rFonts w:ascii="Times New Roman" w:hAnsi="Times New Roman"/>
          <w:i/>
          <w:szCs w:val="18"/>
        </w:rPr>
        <w:t>Banger</w:t>
      </w:r>
      <w:r>
        <w:rPr>
          <w:rFonts w:ascii="Times New Roman" w:hAnsi="Times New Roman"/>
          <w:szCs w:val="18"/>
        </w:rPr>
        <w:t>, т. 42—52.</w:t>
      </w:r>
    </w:p>
  </w:footnote>
  <w:footnote w:id="108">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Решение на Съда от 26 март 2019 г., C-129/18 </w:t>
      </w:r>
      <w:r>
        <w:rPr>
          <w:rFonts w:ascii="Times New Roman" w:hAnsi="Times New Roman"/>
          <w:i/>
          <w:szCs w:val="18"/>
        </w:rPr>
        <w:t>SM/Entry Clearance Officer, UK Visa Section</w:t>
      </w:r>
      <w:r>
        <w:rPr>
          <w:rFonts w:ascii="Times New Roman" w:hAnsi="Times New Roman"/>
          <w:szCs w:val="18"/>
        </w:rPr>
        <w:t>, ECLI:EU:C:2019:248.</w:t>
      </w:r>
    </w:p>
  </w:footnote>
  <w:footnote w:id="109">
    <w:p>
      <w:pPr>
        <w:pStyle w:val="FootnoteText"/>
        <w:jc w:val="both"/>
        <w:rPr>
          <w:rFonts w:ascii="Times New Roman" w:hAnsi="Times New Roman" w:cs="Times New Roman"/>
          <w:szCs w:val="18"/>
        </w:rPr>
      </w:pPr>
      <w:r>
        <w:rPr>
          <w:rFonts w:ascii="Times New Roman" w:hAnsi="Times New Roman" w:cs="Times New Roman"/>
          <w:szCs w:val="18"/>
          <w:lang w:val="en-GB"/>
        </w:rPr>
        <w:footnoteRef/>
      </w:r>
      <w:r>
        <w:rPr>
          <w:rFonts w:ascii="Times New Roman" w:hAnsi="Times New Roman"/>
          <w:szCs w:val="18"/>
          <w:vertAlign w:val="superscript"/>
        </w:rPr>
        <w:t xml:space="preserve"> </w:t>
      </w:r>
      <w:r>
        <w:rPr>
          <w:rFonts w:ascii="Times New Roman" w:hAnsi="Times New Roman"/>
          <w:szCs w:val="18"/>
        </w:rPr>
        <w:t xml:space="preserve">C-129/18, </w:t>
      </w:r>
      <w:r>
        <w:rPr>
          <w:rFonts w:ascii="Times New Roman" w:hAnsi="Times New Roman"/>
          <w:i/>
          <w:szCs w:val="18"/>
        </w:rPr>
        <w:t xml:space="preserve">SM, </w:t>
      </w:r>
      <w:r>
        <w:rPr>
          <w:rFonts w:ascii="Times New Roman" w:hAnsi="Times New Roman"/>
          <w:szCs w:val="18"/>
        </w:rPr>
        <w:t>т. 50—51.</w:t>
      </w:r>
    </w:p>
  </w:footnote>
  <w:footnote w:id="110">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C-129/18, </w:t>
      </w:r>
      <w:r>
        <w:rPr>
          <w:rFonts w:ascii="Times New Roman" w:hAnsi="Times New Roman"/>
          <w:i/>
          <w:szCs w:val="18"/>
        </w:rPr>
        <w:t>SM</w:t>
      </w:r>
      <w:r>
        <w:rPr>
          <w:rFonts w:ascii="Times New Roman" w:hAnsi="Times New Roman"/>
          <w:szCs w:val="18"/>
        </w:rPr>
        <w:t>, т. 52—56.</w:t>
      </w:r>
    </w:p>
  </w:footnote>
  <w:footnote w:id="111">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C-129/18, </w:t>
      </w:r>
      <w:r>
        <w:rPr>
          <w:rFonts w:ascii="Times New Roman" w:hAnsi="Times New Roman"/>
          <w:i/>
          <w:szCs w:val="18"/>
        </w:rPr>
        <w:t>SM</w:t>
      </w:r>
      <w:r>
        <w:rPr>
          <w:rFonts w:ascii="Times New Roman" w:hAnsi="Times New Roman"/>
          <w:szCs w:val="18"/>
        </w:rPr>
        <w:t>, т. 57—59.</w:t>
      </w:r>
    </w:p>
  </w:footnote>
  <w:footnote w:id="112">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C-129/18, </w:t>
      </w:r>
      <w:r>
        <w:rPr>
          <w:rFonts w:ascii="Times New Roman" w:hAnsi="Times New Roman"/>
          <w:i/>
          <w:szCs w:val="18"/>
        </w:rPr>
        <w:t>SM</w:t>
      </w:r>
      <w:r>
        <w:rPr>
          <w:rFonts w:ascii="Times New Roman" w:hAnsi="Times New Roman"/>
          <w:szCs w:val="18"/>
        </w:rPr>
        <w:t>, т. 60—63, 68.</w:t>
      </w:r>
    </w:p>
  </w:footnote>
  <w:footnote w:id="113">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C-129/18, </w:t>
      </w:r>
      <w:r>
        <w:rPr>
          <w:rFonts w:ascii="Times New Roman" w:hAnsi="Times New Roman"/>
          <w:i/>
          <w:szCs w:val="18"/>
        </w:rPr>
        <w:t>SM</w:t>
      </w:r>
      <w:r>
        <w:rPr>
          <w:rFonts w:ascii="Times New Roman" w:hAnsi="Times New Roman"/>
          <w:szCs w:val="18"/>
        </w:rPr>
        <w:t>, т. 64—67.</w:t>
      </w:r>
    </w:p>
  </w:footnote>
  <w:footnote w:id="114">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C-129/18, </w:t>
      </w:r>
      <w:r>
        <w:rPr>
          <w:rFonts w:ascii="Times New Roman" w:hAnsi="Times New Roman"/>
          <w:i/>
          <w:szCs w:val="18"/>
        </w:rPr>
        <w:t>SM</w:t>
      </w:r>
      <w:r>
        <w:rPr>
          <w:rFonts w:ascii="Times New Roman" w:hAnsi="Times New Roman"/>
          <w:szCs w:val="18"/>
        </w:rPr>
        <w:t>, т. 68.</w:t>
      </w:r>
    </w:p>
  </w:footnote>
  <w:footnote w:id="115">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C-129/18, </w:t>
      </w:r>
      <w:r>
        <w:rPr>
          <w:rFonts w:ascii="Times New Roman" w:hAnsi="Times New Roman"/>
          <w:i/>
          <w:szCs w:val="18"/>
        </w:rPr>
        <w:t>SM</w:t>
      </w:r>
      <w:r>
        <w:rPr>
          <w:rFonts w:ascii="Times New Roman" w:hAnsi="Times New Roman"/>
          <w:szCs w:val="18"/>
        </w:rPr>
        <w:t>, т. 69—72.</w:t>
      </w:r>
    </w:p>
  </w:footnote>
  <w:footnote w:id="116">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C-184/16, </w:t>
      </w:r>
      <w:r>
        <w:rPr>
          <w:rFonts w:ascii="Times New Roman" w:hAnsi="Times New Roman"/>
          <w:i/>
          <w:szCs w:val="18"/>
        </w:rPr>
        <w:t>Petrea</w:t>
      </w:r>
      <w:r>
        <w:rPr>
          <w:rFonts w:ascii="Times New Roman" w:hAnsi="Times New Roman"/>
          <w:szCs w:val="18"/>
        </w:rPr>
        <w:t>, т. 50—56.</w:t>
      </w:r>
    </w:p>
  </w:footnote>
  <w:footnote w:id="117">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C-184/16, </w:t>
      </w:r>
      <w:r>
        <w:rPr>
          <w:rFonts w:ascii="Times New Roman" w:hAnsi="Times New Roman"/>
          <w:i/>
          <w:szCs w:val="18"/>
        </w:rPr>
        <w:t>Petrea</w:t>
      </w:r>
      <w:r>
        <w:rPr>
          <w:rFonts w:ascii="Times New Roman" w:hAnsi="Times New Roman"/>
          <w:szCs w:val="18"/>
        </w:rPr>
        <w:t>, т. 57—65.</w:t>
      </w:r>
    </w:p>
  </w:footnote>
  <w:footnote w:id="118">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C-184/16, </w:t>
      </w:r>
      <w:r>
        <w:rPr>
          <w:rFonts w:ascii="Times New Roman" w:hAnsi="Times New Roman"/>
          <w:i/>
          <w:szCs w:val="18"/>
        </w:rPr>
        <w:t>Petrea</w:t>
      </w:r>
      <w:r>
        <w:rPr>
          <w:rFonts w:ascii="Times New Roman" w:hAnsi="Times New Roman"/>
          <w:szCs w:val="18"/>
        </w:rPr>
        <w:t>, т. 66—71.</w:t>
      </w:r>
    </w:p>
  </w:footnote>
  <w:footnote w:id="11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Решение на Съда от 10 септември 2019 г., C-94/18, </w:t>
      </w:r>
      <w:r>
        <w:rPr>
          <w:rFonts w:ascii="Times New Roman" w:hAnsi="Times New Roman"/>
          <w:i/>
        </w:rPr>
        <w:t>Nalini Chenchooliah/Minister for Justice and Equality</w:t>
      </w:r>
      <w:r>
        <w:rPr>
          <w:rFonts w:ascii="Times New Roman" w:hAnsi="Times New Roman"/>
        </w:rPr>
        <w:t>, ECLI:EU:C:2019:693.</w:t>
      </w:r>
    </w:p>
  </w:footnote>
  <w:footnote w:id="12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bCs/>
        </w:rPr>
        <w:t xml:space="preserve">C-94/18, </w:t>
      </w:r>
      <w:r>
        <w:rPr>
          <w:rFonts w:ascii="Times New Roman" w:hAnsi="Times New Roman"/>
          <w:bCs/>
          <w:i/>
        </w:rPr>
        <w:t>Chenchooliah, т.</w:t>
      </w:r>
      <w:r>
        <w:rPr>
          <w:rFonts w:ascii="Times New Roman" w:hAnsi="Times New Roman"/>
          <w:bCs/>
        </w:rPr>
        <w:t> 73—79.</w:t>
      </w:r>
    </w:p>
  </w:footnote>
  <w:footnote w:id="12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bCs/>
        </w:rPr>
        <w:t xml:space="preserve">C-94/18, </w:t>
      </w:r>
      <w:r>
        <w:rPr>
          <w:rFonts w:ascii="Times New Roman" w:hAnsi="Times New Roman"/>
          <w:bCs/>
          <w:i/>
        </w:rPr>
        <w:t>Chenchooliah, т.</w:t>
      </w:r>
      <w:r>
        <w:rPr>
          <w:rFonts w:ascii="Times New Roman" w:hAnsi="Times New Roman"/>
          <w:bCs/>
        </w:rPr>
        <w:t> 73—79.</w:t>
      </w:r>
    </w:p>
  </w:footnote>
  <w:footnote w:id="12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bCs/>
        </w:rPr>
        <w:t xml:space="preserve">C-94/18, </w:t>
      </w:r>
      <w:r>
        <w:rPr>
          <w:rFonts w:ascii="Times New Roman" w:hAnsi="Times New Roman"/>
          <w:bCs/>
          <w:i/>
        </w:rPr>
        <w:t>Chenchooliah, т. </w:t>
      </w:r>
      <w:r>
        <w:rPr>
          <w:rFonts w:ascii="Times New Roman" w:hAnsi="Times New Roman"/>
          <w:bCs/>
        </w:rPr>
        <w:t>80—88.</w:t>
      </w:r>
    </w:p>
  </w:footnote>
  <w:footnote w:id="123">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Решение на Съда от 27 юни 2018 г., C-246/17, </w:t>
      </w:r>
      <w:r>
        <w:rPr>
          <w:rFonts w:ascii="Times New Roman" w:hAnsi="Times New Roman"/>
          <w:i/>
          <w:szCs w:val="18"/>
        </w:rPr>
        <w:t>Ibrahim Diallo/État belge</w:t>
      </w:r>
      <w:r>
        <w:rPr>
          <w:rFonts w:ascii="Times New Roman" w:hAnsi="Times New Roman"/>
          <w:szCs w:val="18"/>
        </w:rPr>
        <w:t>, ECLI:EU:C:2018:499.</w:t>
      </w:r>
    </w:p>
  </w:footnote>
  <w:footnote w:id="124">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C-246/17, </w:t>
      </w:r>
      <w:r>
        <w:rPr>
          <w:rFonts w:ascii="Times New Roman" w:hAnsi="Times New Roman"/>
          <w:i/>
          <w:szCs w:val="18"/>
        </w:rPr>
        <w:t>Diallo</w:t>
      </w:r>
      <w:r>
        <w:rPr>
          <w:rFonts w:ascii="Times New Roman" w:hAnsi="Times New Roman"/>
          <w:szCs w:val="18"/>
        </w:rPr>
        <w:t>, т. 33—42.</w:t>
      </w:r>
    </w:p>
  </w:footnote>
  <w:footnote w:id="125">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C-246/17, </w:t>
      </w:r>
      <w:r>
        <w:rPr>
          <w:rFonts w:ascii="Times New Roman" w:hAnsi="Times New Roman"/>
          <w:i/>
          <w:szCs w:val="18"/>
        </w:rPr>
        <w:t>Diallo</w:t>
      </w:r>
      <w:r>
        <w:rPr>
          <w:rFonts w:ascii="Times New Roman" w:hAnsi="Times New Roman"/>
          <w:szCs w:val="18"/>
        </w:rPr>
        <w:t>, т. 45—56.</w:t>
      </w:r>
    </w:p>
  </w:footnote>
  <w:footnote w:id="126">
    <w:p>
      <w:pPr>
        <w:pStyle w:val="FootnoteText"/>
        <w:jc w:val="both"/>
        <w:rPr>
          <w:rFonts w:ascii="Times New Roman" w:hAnsi="Times New Roman" w:cs="Times New Roman"/>
          <w:szCs w:val="18"/>
        </w:rPr>
      </w:pPr>
      <w:r>
        <w:rPr>
          <w:rStyle w:val="FootnoteReference"/>
          <w:rFonts w:ascii="Times New Roman" w:hAnsi="Times New Roman" w:cs="Times New Roman"/>
          <w:szCs w:val="18"/>
        </w:rPr>
        <w:footnoteRef/>
      </w:r>
      <w:r>
        <w:rPr>
          <w:rFonts w:ascii="Times New Roman" w:hAnsi="Times New Roman"/>
          <w:szCs w:val="18"/>
        </w:rPr>
        <w:t xml:space="preserve"> C-246/17, </w:t>
      </w:r>
      <w:r>
        <w:rPr>
          <w:rFonts w:ascii="Times New Roman" w:hAnsi="Times New Roman"/>
          <w:i/>
          <w:szCs w:val="18"/>
        </w:rPr>
        <w:t>Diallo</w:t>
      </w:r>
      <w:r>
        <w:rPr>
          <w:rFonts w:ascii="Times New Roman" w:hAnsi="Times New Roman"/>
          <w:szCs w:val="18"/>
        </w:rPr>
        <w:t>, т. 58—69.</w:t>
      </w:r>
    </w:p>
  </w:footnote>
  <w:footnote w:id="127">
    <w:p>
      <w:pPr>
        <w:pStyle w:val="FootnoteText"/>
        <w:jc w:val="both"/>
        <w:rPr>
          <w:rFonts w:ascii="Times New Roman" w:hAnsi="Times New Roman" w:cs="Times New Roman"/>
        </w:rPr>
      </w:pPr>
      <w:r>
        <w:rPr>
          <w:rStyle w:val="FootnoteReference"/>
          <w:rFonts w:cs="Calibri Light"/>
          <w:szCs w:val="18"/>
        </w:rPr>
        <w:footnoteRef/>
      </w:r>
      <w:r>
        <w:t xml:space="preserve"> </w:t>
      </w:r>
      <w:r>
        <w:rPr>
          <w:rFonts w:ascii="Times New Roman" w:hAnsi="Times New Roman"/>
        </w:rPr>
        <w:t xml:space="preserve">Решение на Съда от 8 юни 2017 г., C-541/15, </w:t>
      </w:r>
      <w:r>
        <w:rPr>
          <w:rFonts w:ascii="Times New Roman" w:hAnsi="Times New Roman"/>
          <w:i/>
        </w:rPr>
        <w:t>Mircea Florian Freitag</w:t>
      </w:r>
      <w:r>
        <w:rPr>
          <w:rFonts w:ascii="Times New Roman" w:hAnsi="Times New Roman"/>
        </w:rPr>
        <w:t>, ECLI:EU:C:2017:432.</w:t>
      </w:r>
    </w:p>
  </w:footnote>
  <w:footnote w:id="12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C-541/15, </w:t>
      </w:r>
      <w:r>
        <w:rPr>
          <w:rFonts w:ascii="Times New Roman" w:hAnsi="Times New Roman"/>
          <w:i/>
        </w:rPr>
        <w:t>Freitag</w:t>
      </w:r>
      <w:r>
        <w:rPr>
          <w:rFonts w:ascii="Times New Roman" w:hAnsi="Times New Roman"/>
        </w:rPr>
        <w:t>, т. 35—39.</w:t>
      </w:r>
    </w:p>
  </w:footnote>
  <w:footnote w:id="12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Решение на Съда от 25 юли 2018 г., C- 679/16, A, </w:t>
      </w:r>
      <w:r>
        <w:rPr>
          <w:rStyle w:val="outputecli"/>
          <w:rFonts w:ascii="Times New Roman" w:hAnsi="Times New Roman"/>
        </w:rPr>
        <w:t>ECLI:EU:C:2018:601</w:t>
      </w:r>
      <w:r>
        <w:rPr>
          <w:rFonts w:ascii="Times New Roman" w:hAnsi="Times New Roman"/>
        </w:rPr>
        <w:t>.</w:t>
      </w:r>
    </w:p>
  </w:footnote>
  <w:footnote w:id="13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C-679/16, </w:t>
      </w:r>
      <w:r>
        <w:rPr>
          <w:rFonts w:ascii="Times New Roman" w:hAnsi="Times New Roman"/>
          <w:i/>
        </w:rPr>
        <w:t>A</w:t>
      </w:r>
      <w:r>
        <w:rPr>
          <w:rFonts w:ascii="Times New Roman" w:hAnsi="Times New Roman"/>
        </w:rPr>
        <w:t>, т. 58—59.</w:t>
      </w:r>
    </w:p>
  </w:footnote>
  <w:footnote w:id="13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C-679/16, </w:t>
      </w:r>
      <w:r>
        <w:rPr>
          <w:rFonts w:ascii="Times New Roman" w:hAnsi="Times New Roman"/>
          <w:i/>
        </w:rPr>
        <w:t>A</w:t>
      </w:r>
      <w:r>
        <w:rPr>
          <w:rFonts w:ascii="Times New Roman" w:hAnsi="Times New Roman"/>
        </w:rPr>
        <w:t>, т. 60.</w:t>
      </w:r>
    </w:p>
  </w:footnote>
  <w:footnote w:id="13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C-679/16, </w:t>
      </w:r>
      <w:r>
        <w:rPr>
          <w:rFonts w:ascii="Times New Roman" w:hAnsi="Times New Roman"/>
          <w:i/>
        </w:rPr>
        <w:t>A</w:t>
      </w:r>
      <w:r>
        <w:rPr>
          <w:rFonts w:ascii="Times New Roman" w:hAnsi="Times New Roman"/>
        </w:rPr>
        <w:t>, т. 79.</w:t>
      </w:r>
    </w:p>
  </w:footnote>
  <w:footnote w:id="133">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Регламент (ЕС) 2017/458 на Европейския парламент и на Съвета от 15 март 2017 г. за изменение на Регламент (ЕС) 2016/399 по отношение на засилването на проверките в съответните бази данни по външните граници.</w:t>
      </w:r>
    </w:p>
  </w:footnote>
  <w:footnote w:id="134">
    <w:p>
      <w:pPr>
        <w:pStyle w:val="FootnoteText"/>
        <w:jc w:val="both"/>
        <w:rPr>
          <w:rFonts w:ascii="Times New Roman" w:hAnsi="Times New Roman" w:cs="Times New Roman"/>
        </w:rPr>
      </w:pPr>
      <w:r>
        <w:rPr>
          <w:rStyle w:val="FootnoteReference"/>
          <w:rFonts w:ascii="Times New Roman" w:eastAsia="Times New Roman" w:hAnsi="Times New Roman" w:cs="Times New Roman"/>
        </w:rPr>
        <w:footnoteRef/>
      </w:r>
      <w:r>
        <w:rPr>
          <w:rFonts w:ascii="Times New Roman" w:hAnsi="Times New Roman"/>
        </w:rPr>
        <w:t xml:space="preserve"> COM(2016) 790 final.</w:t>
      </w:r>
    </w:p>
  </w:footnote>
  <w:footnote w:id="13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0" w:history="1">
        <w:r>
          <w:rPr>
            <w:rStyle w:val="Hyperlink"/>
            <w:rFonts w:ascii="Times New Roman" w:hAnsi="Times New Roman"/>
          </w:rPr>
          <w:t>https://ec.europa.eu/commission/news/security-union-2017-jun-29_bg</w:t>
        </w:r>
      </w:hyperlink>
      <w:r>
        <w:rPr>
          <w:rFonts w:ascii="Times New Roman" w:hAnsi="Times New Roman"/>
        </w:rPr>
        <w:t xml:space="preserve"> </w:t>
      </w:r>
    </w:p>
  </w:footnote>
  <w:footnote w:id="136">
    <w:p>
      <w:pPr>
        <w:pStyle w:val="FootnoteText"/>
        <w:jc w:val="both"/>
        <w:rPr>
          <w:rFonts w:ascii="Times New Roman" w:hAnsi="Times New Roman" w:cs="Times New Roman"/>
          <w:i/>
          <w:iCs/>
        </w:rPr>
      </w:pPr>
      <w:r>
        <w:rPr>
          <w:rStyle w:val="FootnoteReference"/>
          <w:rFonts w:ascii="Times New Roman" w:hAnsi="Times New Roman" w:cs="Times New Roman"/>
        </w:rPr>
        <w:footnoteRef/>
      </w:r>
      <w:r>
        <w:rPr>
          <w:rFonts w:ascii="Times New Roman" w:hAnsi="Times New Roman"/>
        </w:rPr>
        <w:t xml:space="preserve"> Регламент (ЕС) 2019/1157 на Европейския парламент и на Съвета от 20 юни 2019 година относно повишаване на сигурността на личните карти на гражданите на Съюза и на документите за пребиваване, издавани на гражданите на Съюза и на членовете на техните семейства, които упражняват правото си на свободно движение, </w:t>
      </w:r>
      <w:r>
        <w:rPr>
          <w:rFonts w:ascii="Times New Roman" w:hAnsi="Times New Roman"/>
          <w:i/>
          <w:iCs/>
        </w:rPr>
        <w:t>OВ L 188, 12.7.2019 г., стр. 67—78.</w:t>
      </w:r>
    </w:p>
  </w:footnote>
  <w:footnote w:id="137">
    <w:p>
      <w:pPr>
        <w:pStyle w:val="FootnoteText"/>
        <w:jc w:val="both"/>
        <w:rPr>
          <w:rFonts w:ascii="Times New Roman" w:hAnsi="Times New Roman" w:cs="Times New Roman"/>
        </w:rPr>
      </w:pPr>
      <w:r>
        <w:rPr>
          <w:rStyle w:val="FootnoteReference"/>
          <w:rFonts w:ascii="Times New Roman" w:hAnsi="Times New Roman" w:cs="Times New Roman"/>
        </w:rPr>
        <w:footnoteRef/>
      </w:r>
      <w:hyperlink r:id="rId21" w:history="1">
        <w:r>
          <w:rPr>
            <w:rStyle w:val="Hyperlink"/>
            <w:rFonts w:ascii="Times New Roman" w:hAnsi="Times New Roman"/>
          </w:rPr>
          <w:t>https://ec.europa.eu/info/files/letter-concerning-voter-registration-system-mobile-eu-citizens-united-kingdom_en</w:t>
        </w:r>
      </w:hyperlink>
      <w:r>
        <w:rPr>
          <w:rFonts w:ascii="Times New Roman" w:hAnsi="Times New Roman"/>
        </w:rPr>
        <w:t xml:space="preserve"> </w:t>
      </w:r>
    </w:p>
  </w:footnote>
  <w:footnote w:id="13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2" w:history="1">
        <w:r>
          <w:rPr>
            <w:rStyle w:val="Hyperlink"/>
            <w:rFonts w:ascii="Times New Roman" w:hAnsi="Times New Roman"/>
          </w:rPr>
          <w:t>https://ec.europa.eu/info/files/letter-concerning-difficulties-encountered-voting-romanian-consulate_en</w:t>
        </w:r>
      </w:hyperlink>
      <w:r>
        <w:rPr>
          <w:rFonts w:ascii="Times New Roman" w:hAnsi="Times New Roman"/>
        </w:rPr>
        <w:t xml:space="preserve"> </w:t>
      </w:r>
    </w:p>
  </w:footnote>
  <w:footnote w:id="13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C-502/19 </w:t>
      </w:r>
    </w:p>
  </w:footnote>
  <w:footnote w:id="140">
    <w:p>
      <w:pPr>
        <w:pStyle w:val="FootnoteText"/>
        <w:jc w:val="both"/>
        <w:rPr>
          <w:rFonts w:ascii="Times New Roman" w:hAnsi="Times New Roman" w:cs="Times New Roman"/>
        </w:rPr>
      </w:pPr>
      <w:r>
        <w:rPr>
          <w:rStyle w:val="FootnoteReference"/>
        </w:rPr>
        <w:footnoteRef/>
      </w:r>
      <w:hyperlink r:id="rId23" w:history="1">
        <w:r>
          <w:rPr>
            <w:rStyle w:val="Hyperlink"/>
            <w:rFonts w:ascii="Times New Roman" w:hAnsi="Times New Roman"/>
          </w:rPr>
          <w:t>https://ec.europa.eu/home-affairs/sites/homeaffairs/files/what-is-new/news/news/20170124_eu_citizenship_report_2017_en.pdf</w:t>
        </w:r>
      </w:hyperlink>
    </w:p>
  </w:footnote>
  <w:footnote w:id="14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4" w:history="1">
        <w:r>
          <w:rPr>
            <w:rStyle w:val="Hyperlink"/>
            <w:rFonts w:ascii="Times New Roman" w:hAnsi="Times New Roman"/>
          </w:rPr>
          <w:t>https://www.consilium.europa.eu/media/22130/st09008en17.pdf</w:t>
        </w:r>
      </w:hyperlink>
      <w:r>
        <w:rPr>
          <w:rFonts w:ascii="Times New Roman" w:hAnsi="Times New Roman"/>
        </w:rPr>
        <w:t xml:space="preserve"> </w:t>
      </w:r>
    </w:p>
  </w:footnote>
  <w:footnote w:id="14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5" w:history="1">
        <w:r>
          <w:rPr>
            <w:rStyle w:val="Hyperlink"/>
            <w:rFonts w:ascii="Times New Roman" w:hAnsi="Times New Roman"/>
          </w:rPr>
          <w:t>https://eur-lex.europa.eu/legal-content/bg/TXT/?uri=CELEX:52018DC0044</w:t>
        </w:r>
      </w:hyperlink>
      <w:r>
        <w:rPr>
          <w:rFonts w:ascii="Times New Roman" w:hAnsi="Times New Roman"/>
        </w:rPr>
        <w:t xml:space="preserve"> </w:t>
      </w:r>
    </w:p>
  </w:footnote>
  <w:footnote w:id="14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https://eur-lex.europa.eu/legal-content/BG/TXT/?qid=1561131040319&amp;uri=CELEX:52018DC0637</w:t>
      </w:r>
    </w:p>
  </w:footnote>
  <w:footnote w:id="14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https://eur-lex.europa.eu/legal-content/BG/TXT/PDF/?uri=CELEX:52018DC0638&amp;from=GA</w:t>
      </w:r>
    </w:p>
  </w:footnote>
  <w:footnote w:id="14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https://eur-lex.europa.eu/legal-content/EN/TXT/?qid=1561130736830&amp;uri=CELEX:52018PC0636</w:t>
      </w:r>
    </w:p>
  </w:footnote>
  <w:footnote w:id="14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https://ec.europa.eu/info/policies/justice-and-fundamental-rights/eu-citizenship/electoral-rights/european-cooperation-network-elections_en</w:t>
      </w:r>
    </w:p>
  </w:footnote>
  <w:footnote w:id="14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Експресно проучване на Евробарометър № 485, пролет 2020 г. </w:t>
      </w:r>
    </w:p>
  </w:footnote>
  <w:footnote w:id="14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Директива (EС) 2019/997 на Съвета от 18 юни 2019 г. за временния документ за пътуване на ЕС и за отмяна на Решение 96/409/ОВППС, OВ L 163, 20.6.2019 г., стр. 1—12.</w:t>
      </w:r>
    </w:p>
  </w:footnote>
  <w:footnote w:id="14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Вж. член 55, параграф 1 от ДЕС. </w:t>
      </w:r>
    </w:p>
  </w:footnote>
  <w:footnote w:id="15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Тази разпоредба се прилага във всички институции, органи, служби или агенции на EС в съответствие с тяхната дейност.</w:t>
      </w:r>
    </w:p>
  </w:footnote>
  <w:footnote w:id="15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6" w:history="1">
        <w:r>
          <w:rPr>
            <w:rStyle w:val="Hyperlink"/>
            <w:rFonts w:ascii="Times New Roman" w:hAnsi="Times New Roman"/>
          </w:rPr>
          <w:t>https://www.europarl.europa.eu/petitions/bg/home</w:t>
        </w:r>
      </w:hyperlink>
      <w:r>
        <w:rPr>
          <w:rFonts w:ascii="Times New Roman" w:hAnsi="Times New Roman"/>
        </w:rPr>
        <w:t xml:space="preserve"> </w:t>
      </w:r>
    </w:p>
  </w:footnote>
  <w:footnote w:id="152">
    <w:p>
      <w:pPr>
        <w:pStyle w:val="FootnoteText"/>
      </w:pPr>
      <w:r>
        <w:rPr>
          <w:rStyle w:val="FootnoteReference"/>
        </w:rPr>
        <w:footnoteRef/>
      </w:r>
      <w:r>
        <w:t xml:space="preserve"> </w:t>
      </w:r>
      <w:hyperlink r:id="rId27" w:history="1">
        <w:r>
          <w:rPr>
            <w:rStyle w:val="Hyperlink"/>
            <w:rFonts w:ascii="Times New Roman" w:hAnsi="Times New Roman"/>
          </w:rPr>
          <w:t>https://www.europarl.europa.eu/meetdocs/2014_2019/plmrep/COMMITTEES/PETI/PR/2020/09-03/1197378BG.pdf</w:t>
        </w:r>
      </w:hyperlink>
      <w:r>
        <w:t xml:space="preserve"> </w:t>
      </w:r>
    </w:p>
  </w:footnote>
  <w:footnote w:id="15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8" w:history="1">
        <w:r>
          <w:rPr>
            <w:rStyle w:val="Hyperlink"/>
            <w:rFonts w:ascii="Times New Roman" w:hAnsi="Times New Roman"/>
          </w:rPr>
          <w:t>https://www.ombudsman.europa.eu/bg/special-report/bg/94921</w:t>
        </w:r>
      </w:hyperlink>
      <w:r>
        <w:rPr>
          <w:rFonts w:ascii="Times New Roman" w:hAnsi="Times New Roman"/>
        </w:rPr>
        <w:t xml:space="preserve"> </w:t>
      </w:r>
    </w:p>
  </w:footnote>
  <w:footnote w:id="154">
    <w:p>
      <w:pPr>
        <w:pStyle w:val="FootnoteText"/>
        <w:jc w:val="both"/>
        <w:rPr>
          <w:rFonts w:ascii="Times New Roman" w:hAnsi="Times New Roman" w:cs="Times New Roman"/>
        </w:rPr>
      </w:pPr>
      <w:r>
        <w:rPr>
          <w:rStyle w:val="FootnoteReference"/>
          <w:rFonts w:ascii="Times New Roman" w:hAnsi="Times New Roman" w:cs="Times New Roman"/>
        </w:rPr>
        <w:footnoteRef/>
      </w:r>
      <w:hyperlink r:id="rId29" w:history="1">
        <w:r>
          <w:rPr>
            <w:rStyle w:val="Hyperlink"/>
            <w:rFonts w:ascii="Times New Roman" w:hAnsi="Times New Roman"/>
          </w:rPr>
          <w:t>https://www.ombudsman.europa.eu/en/press-release/bg/89910?utm_source=web_EO&amp;utm_medium=scrollie_organic&amp;utm_campaign=scrollie_25</w:t>
        </w:r>
      </w:hyperlink>
      <w:r>
        <w:rPr>
          <w:rFonts w:ascii="Times New Roman" w:hAnsi="Times New Roman"/>
        </w:rPr>
        <w:t xml:space="preserve"> </w:t>
      </w:r>
    </w:p>
  </w:footnote>
  <w:footnote w:id="15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Регистър на Европейската гражданска инициатива (ЕГИ): </w:t>
      </w:r>
      <w:hyperlink r:id="rId30" w:history="1">
        <w:r>
          <w:rPr>
            <w:rStyle w:val="Hyperlink"/>
            <w:rFonts w:ascii="Times New Roman" w:hAnsi="Times New Roman"/>
          </w:rPr>
          <w:t>https://europa.eu/citizens-initiative/home_bg</w:t>
        </w:r>
      </w:hyperlink>
      <w:r>
        <w:rPr>
          <w:rFonts w:ascii="Times New Roman" w:hAnsi="Times New Roman"/>
        </w:rPr>
        <w:t xml:space="preserve"> </w:t>
      </w:r>
    </w:p>
  </w:footnote>
  <w:footnote w:id="15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31" w:history="1">
        <w:r>
          <w:rPr>
            <w:rStyle w:val="Hyperlink"/>
            <w:rFonts w:ascii="Times New Roman" w:hAnsi="Times New Roman"/>
          </w:rPr>
          <w:t>https://europa.eu/citizens-initiative/initiatives/details/2017/000002_bg</w:t>
        </w:r>
      </w:hyperlink>
      <w:r>
        <w:rPr>
          <w:rFonts w:ascii="Times New Roman" w:hAnsi="Times New Roman"/>
        </w:rPr>
        <w:t xml:space="preserve"> </w:t>
      </w:r>
    </w:p>
  </w:footnote>
  <w:footnote w:id="15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C(2017) 8414 final.</w:t>
      </w:r>
    </w:p>
  </w:footnote>
  <w:footnote w:id="15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COM(2015) 145 final.</w:t>
      </w:r>
    </w:p>
  </w:footnote>
  <w:footnote w:id="15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COM(2017) 482.</w:t>
      </w:r>
    </w:p>
  </w:footnote>
  <w:footnote w:id="16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Регламент (ЕС) 2019/788 на Европейския парламент и на Съвета от 17 април 2019 г. относно европейската гражданска инициатива, ОВ L 130, 17.5.2019 г., стр. 55—81.</w:t>
      </w:r>
    </w:p>
  </w:footnote>
  <w:footnote w:id="16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COM(2018) 157 final. </w:t>
      </w:r>
    </w:p>
  </w:footnote>
  <w:footnote w:id="16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32" w:history="1">
        <w:r>
          <w:rPr>
            <w:rStyle w:val="Hyperlink"/>
            <w:rFonts w:ascii="Times New Roman" w:hAnsi="Times New Roman"/>
          </w:rPr>
          <w:t>https://europa.eu/citizens-initiative/expert-group-meetings_bg</w:t>
        </w:r>
      </w:hyperlink>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B4AD6C0"/>
    <w:lvl w:ilvl="0">
      <w:start w:val="1"/>
      <w:numFmt w:val="bullet"/>
      <w:lvlText w:val=""/>
      <w:lvlJc w:val="left"/>
      <w:pPr>
        <w:tabs>
          <w:tab w:val="num" w:pos="926"/>
        </w:tabs>
        <w:ind w:left="926" w:hanging="360"/>
      </w:pPr>
      <w:rPr>
        <w:rFonts w:ascii="Symbol" w:hAnsi="Symbol" w:hint="default"/>
      </w:rPr>
    </w:lvl>
  </w:abstractNum>
  <w:abstractNum w:abstractNumId="1">
    <w:nsid w:val="19A45675"/>
    <w:multiLevelType w:val="hybridMultilevel"/>
    <w:tmpl w:val="2748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C6011"/>
    <w:multiLevelType w:val="multilevel"/>
    <w:tmpl w:val="54B62B6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upperLetter"/>
      <w:lvlRestart w:val="0"/>
      <w:pStyle w:val="Heading4"/>
      <w:suff w:val="space"/>
      <w:lvlText w:val="%4."/>
      <w:lvlJc w:val="left"/>
      <w:pPr>
        <w:ind w:left="0" w:firstLine="0"/>
      </w:pPr>
      <w:rPr>
        <w:rFonts w:hint="default"/>
      </w:rPr>
    </w:lvl>
    <w:lvl w:ilvl="4">
      <w:start w:val="1"/>
      <w:numFmt w:val="decimal"/>
      <w:pStyle w:val="Heading5"/>
      <w:suff w:val="space"/>
      <w:lvlText w:val="%4.%5."/>
      <w:lvlJc w:val="left"/>
      <w:pPr>
        <w:ind w:left="0" w:firstLine="0"/>
      </w:pPr>
      <w:rPr>
        <w:rFonts w:hint="default"/>
      </w:rPr>
    </w:lvl>
    <w:lvl w:ilvl="5">
      <w:start w:val="1"/>
      <w:numFmt w:val="decimal"/>
      <w:pStyle w:val="Heading6"/>
      <w:suff w:val="space"/>
      <w:lvlText w:val="%4.%5.%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nsid w:val="3DED6C37"/>
    <w:multiLevelType w:val="hybridMultilevel"/>
    <w:tmpl w:val="7BD63C8A"/>
    <w:name w:val="Point4222"/>
    <w:lvl w:ilvl="0" w:tplc="4D38D420">
      <w:start w:val="1"/>
      <w:numFmt w:val="decimal"/>
      <w:lvlText w:val="3.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5AD723D3"/>
    <w:multiLevelType w:val="hybridMultilevel"/>
    <w:tmpl w:val="79E26C10"/>
    <w:lvl w:ilvl="0" w:tplc="A476E9AE">
      <w:start w:val="1"/>
      <w:numFmt w:val="lowerLetter"/>
      <w:lvlText w:val="(%1)"/>
      <w:lvlJc w:val="left"/>
      <w:pPr>
        <w:ind w:left="1584" w:hanging="360"/>
      </w:pPr>
      <w:rPr>
        <w:rFonts w:hint="default"/>
      </w:rPr>
    </w:lvl>
    <w:lvl w:ilvl="1" w:tplc="080C0019" w:tentative="1">
      <w:start w:val="1"/>
      <w:numFmt w:val="lowerLetter"/>
      <w:lvlText w:val="%2."/>
      <w:lvlJc w:val="left"/>
      <w:pPr>
        <w:ind w:left="2304" w:hanging="360"/>
      </w:pPr>
    </w:lvl>
    <w:lvl w:ilvl="2" w:tplc="080C001B" w:tentative="1">
      <w:start w:val="1"/>
      <w:numFmt w:val="lowerRoman"/>
      <w:lvlText w:val="%3."/>
      <w:lvlJc w:val="right"/>
      <w:pPr>
        <w:ind w:left="3024" w:hanging="180"/>
      </w:pPr>
    </w:lvl>
    <w:lvl w:ilvl="3" w:tplc="080C000F" w:tentative="1">
      <w:start w:val="1"/>
      <w:numFmt w:val="decimal"/>
      <w:lvlText w:val="%4."/>
      <w:lvlJc w:val="left"/>
      <w:pPr>
        <w:ind w:left="3744" w:hanging="360"/>
      </w:pPr>
    </w:lvl>
    <w:lvl w:ilvl="4" w:tplc="080C0019" w:tentative="1">
      <w:start w:val="1"/>
      <w:numFmt w:val="lowerLetter"/>
      <w:lvlText w:val="%5."/>
      <w:lvlJc w:val="left"/>
      <w:pPr>
        <w:ind w:left="4464" w:hanging="360"/>
      </w:pPr>
    </w:lvl>
    <w:lvl w:ilvl="5" w:tplc="080C001B" w:tentative="1">
      <w:start w:val="1"/>
      <w:numFmt w:val="lowerRoman"/>
      <w:lvlText w:val="%6."/>
      <w:lvlJc w:val="right"/>
      <w:pPr>
        <w:ind w:left="5184" w:hanging="180"/>
      </w:pPr>
    </w:lvl>
    <w:lvl w:ilvl="6" w:tplc="080C000F" w:tentative="1">
      <w:start w:val="1"/>
      <w:numFmt w:val="decimal"/>
      <w:lvlText w:val="%7."/>
      <w:lvlJc w:val="left"/>
      <w:pPr>
        <w:ind w:left="5904" w:hanging="360"/>
      </w:pPr>
    </w:lvl>
    <w:lvl w:ilvl="7" w:tplc="080C0019" w:tentative="1">
      <w:start w:val="1"/>
      <w:numFmt w:val="lowerLetter"/>
      <w:lvlText w:val="%8."/>
      <w:lvlJc w:val="left"/>
      <w:pPr>
        <w:ind w:left="6624" w:hanging="360"/>
      </w:pPr>
    </w:lvl>
    <w:lvl w:ilvl="8" w:tplc="080C001B" w:tentative="1">
      <w:start w:val="1"/>
      <w:numFmt w:val="lowerRoman"/>
      <w:lvlText w:val="%9."/>
      <w:lvlJc w:val="right"/>
      <w:pPr>
        <w:ind w:left="7344" w:hanging="180"/>
      </w:pPr>
    </w:lvl>
  </w:abstractNum>
  <w:abstractNum w:abstractNumId="5">
    <w:nsid w:val="5EA36AE3"/>
    <w:multiLevelType w:val="hybridMultilevel"/>
    <w:tmpl w:val="33E68DA0"/>
    <w:lvl w:ilvl="0" w:tplc="D012BECE">
      <w:start w:val="1"/>
      <w:numFmt w:val="bullet"/>
      <w:pStyle w:val="Lijstje2"/>
      <w:lvlText w:val=""/>
      <w:lvlJc w:val="left"/>
      <w:pPr>
        <w:ind w:left="2061" w:hanging="360"/>
      </w:pPr>
      <w:rPr>
        <w:rFonts w:ascii="Symbol" w:hAnsi="Symbol" w:hint="default"/>
      </w:rPr>
    </w:lvl>
    <w:lvl w:ilvl="1" w:tplc="EDDCC440">
      <w:start w:val="1"/>
      <w:numFmt w:val="bullet"/>
      <w:pStyle w:val="Lijstje3"/>
      <w:lvlText w:val="o"/>
      <w:lvlJc w:val="left"/>
      <w:pPr>
        <w:ind w:left="1886" w:hanging="360"/>
      </w:pPr>
      <w:rPr>
        <w:rFonts w:ascii="Courier New" w:hAnsi="Courier New" w:cs="Courier New" w:hint="default"/>
      </w:rPr>
    </w:lvl>
    <w:lvl w:ilvl="2" w:tplc="08130005">
      <w:start w:val="1"/>
      <w:numFmt w:val="bullet"/>
      <w:lvlText w:val=""/>
      <w:lvlJc w:val="left"/>
      <w:pPr>
        <w:ind w:left="2606" w:hanging="360"/>
      </w:pPr>
      <w:rPr>
        <w:rFonts w:ascii="Wingdings" w:hAnsi="Wingdings" w:hint="default"/>
      </w:rPr>
    </w:lvl>
    <w:lvl w:ilvl="3" w:tplc="08130001">
      <w:start w:val="1"/>
      <w:numFmt w:val="bullet"/>
      <w:lvlText w:val=""/>
      <w:lvlJc w:val="left"/>
      <w:pPr>
        <w:ind w:left="3326" w:hanging="360"/>
      </w:pPr>
      <w:rPr>
        <w:rFonts w:ascii="Symbol" w:hAnsi="Symbol" w:hint="default"/>
      </w:rPr>
    </w:lvl>
    <w:lvl w:ilvl="4" w:tplc="08130003">
      <w:start w:val="1"/>
      <w:numFmt w:val="bullet"/>
      <w:lvlText w:val="o"/>
      <w:lvlJc w:val="left"/>
      <w:pPr>
        <w:ind w:left="4046" w:hanging="360"/>
      </w:pPr>
      <w:rPr>
        <w:rFonts w:ascii="Courier New" w:hAnsi="Courier New" w:cs="Courier New" w:hint="default"/>
      </w:rPr>
    </w:lvl>
    <w:lvl w:ilvl="5" w:tplc="08130005">
      <w:start w:val="1"/>
      <w:numFmt w:val="bullet"/>
      <w:lvlText w:val=""/>
      <w:lvlJc w:val="left"/>
      <w:pPr>
        <w:ind w:left="4766" w:hanging="360"/>
      </w:pPr>
      <w:rPr>
        <w:rFonts w:ascii="Wingdings" w:hAnsi="Wingdings" w:hint="default"/>
      </w:rPr>
    </w:lvl>
    <w:lvl w:ilvl="6" w:tplc="08130001">
      <w:start w:val="1"/>
      <w:numFmt w:val="bullet"/>
      <w:lvlText w:val=""/>
      <w:lvlJc w:val="left"/>
      <w:pPr>
        <w:ind w:left="5486" w:hanging="360"/>
      </w:pPr>
      <w:rPr>
        <w:rFonts w:ascii="Symbol" w:hAnsi="Symbol" w:hint="default"/>
      </w:rPr>
    </w:lvl>
    <w:lvl w:ilvl="7" w:tplc="08130003">
      <w:start w:val="1"/>
      <w:numFmt w:val="bullet"/>
      <w:lvlText w:val="o"/>
      <w:lvlJc w:val="left"/>
      <w:pPr>
        <w:ind w:left="6206" w:hanging="360"/>
      </w:pPr>
      <w:rPr>
        <w:rFonts w:ascii="Courier New" w:hAnsi="Courier New" w:cs="Courier New" w:hint="default"/>
      </w:rPr>
    </w:lvl>
    <w:lvl w:ilvl="8" w:tplc="08130005">
      <w:start w:val="1"/>
      <w:numFmt w:val="bullet"/>
      <w:lvlText w:val=""/>
      <w:lvlJc w:val="left"/>
      <w:pPr>
        <w:ind w:left="6926" w:hanging="360"/>
      </w:pPr>
      <w:rPr>
        <w:rFonts w:ascii="Wingdings" w:hAnsi="Wingdings" w:hint="default"/>
      </w:rPr>
    </w:lvl>
  </w:abstractNum>
  <w:abstractNum w:abstractNumId="6">
    <w:nsid w:val="6B0905AA"/>
    <w:multiLevelType w:val="hybridMultilevel"/>
    <w:tmpl w:val="FA9E2310"/>
    <w:lvl w:ilvl="0" w:tplc="7DE65CB4">
      <w:start w:val="1"/>
      <w:numFmt w:val="bullet"/>
      <w:lvlText w:val=""/>
      <w:lvlJc w:val="left"/>
      <w:pPr>
        <w:ind w:left="720" w:hanging="360"/>
      </w:pPr>
      <w:rPr>
        <w:rFonts w:ascii="Symbol" w:hAnsi="Symbol" w:hint="default"/>
      </w:rPr>
    </w:lvl>
    <w:lvl w:ilvl="1" w:tplc="F0B4D628">
      <w:start w:val="1"/>
      <w:numFmt w:val="bullet"/>
      <w:lvlText w:val="o"/>
      <w:lvlJc w:val="left"/>
      <w:pPr>
        <w:ind w:left="1440" w:hanging="360"/>
      </w:pPr>
      <w:rPr>
        <w:rFonts w:ascii="Courier New" w:hAnsi="Courier New" w:hint="default"/>
      </w:rPr>
    </w:lvl>
    <w:lvl w:ilvl="2" w:tplc="79D6A0D6">
      <w:start w:val="1"/>
      <w:numFmt w:val="bullet"/>
      <w:lvlText w:val=""/>
      <w:lvlJc w:val="left"/>
      <w:pPr>
        <w:ind w:left="2160" w:hanging="360"/>
      </w:pPr>
      <w:rPr>
        <w:rFonts w:ascii="Wingdings" w:hAnsi="Wingdings" w:hint="default"/>
      </w:rPr>
    </w:lvl>
    <w:lvl w:ilvl="3" w:tplc="CAB62152">
      <w:start w:val="1"/>
      <w:numFmt w:val="bullet"/>
      <w:lvlText w:val=""/>
      <w:lvlJc w:val="left"/>
      <w:pPr>
        <w:ind w:left="2880" w:hanging="360"/>
      </w:pPr>
      <w:rPr>
        <w:rFonts w:ascii="Symbol" w:hAnsi="Symbol" w:hint="default"/>
      </w:rPr>
    </w:lvl>
    <w:lvl w:ilvl="4" w:tplc="B7024922">
      <w:start w:val="1"/>
      <w:numFmt w:val="bullet"/>
      <w:lvlText w:val="o"/>
      <w:lvlJc w:val="left"/>
      <w:pPr>
        <w:ind w:left="3600" w:hanging="360"/>
      </w:pPr>
      <w:rPr>
        <w:rFonts w:ascii="Courier New" w:hAnsi="Courier New" w:hint="default"/>
      </w:rPr>
    </w:lvl>
    <w:lvl w:ilvl="5" w:tplc="28F6DA66">
      <w:start w:val="1"/>
      <w:numFmt w:val="bullet"/>
      <w:lvlText w:val=""/>
      <w:lvlJc w:val="left"/>
      <w:pPr>
        <w:ind w:left="4320" w:hanging="360"/>
      </w:pPr>
      <w:rPr>
        <w:rFonts w:ascii="Wingdings" w:hAnsi="Wingdings" w:hint="default"/>
      </w:rPr>
    </w:lvl>
    <w:lvl w:ilvl="6" w:tplc="3B823BD0">
      <w:start w:val="1"/>
      <w:numFmt w:val="bullet"/>
      <w:lvlText w:val=""/>
      <w:lvlJc w:val="left"/>
      <w:pPr>
        <w:ind w:left="5040" w:hanging="360"/>
      </w:pPr>
      <w:rPr>
        <w:rFonts w:ascii="Symbol" w:hAnsi="Symbol" w:hint="default"/>
      </w:rPr>
    </w:lvl>
    <w:lvl w:ilvl="7" w:tplc="07C8F8C4">
      <w:start w:val="1"/>
      <w:numFmt w:val="bullet"/>
      <w:lvlText w:val="o"/>
      <w:lvlJc w:val="left"/>
      <w:pPr>
        <w:ind w:left="5760" w:hanging="360"/>
      </w:pPr>
      <w:rPr>
        <w:rFonts w:ascii="Courier New" w:hAnsi="Courier New" w:hint="default"/>
      </w:rPr>
    </w:lvl>
    <w:lvl w:ilvl="8" w:tplc="1A8236D0">
      <w:start w:val="1"/>
      <w:numFmt w:val="bullet"/>
      <w:lvlText w:val=""/>
      <w:lvlJc w:val="left"/>
      <w:pPr>
        <w:ind w:left="6480" w:hanging="360"/>
      </w:pPr>
      <w:rPr>
        <w:rFonts w:ascii="Wingdings" w:hAnsi="Wingdings" w:hint="default"/>
      </w:rPr>
    </w:lvl>
  </w:abstractNum>
  <w:abstractNum w:abstractNumId="7">
    <w:nsid w:val="6C1B1AEC"/>
    <w:multiLevelType w:val="hybridMultilevel"/>
    <w:tmpl w:val="303CDAA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4003FE"/>
    <w:multiLevelType w:val="multilevel"/>
    <w:tmpl w:val="47667AB0"/>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D8D539E"/>
    <w:multiLevelType w:val="multilevel"/>
    <w:tmpl w:val="47667AB0"/>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8"/>
  </w:num>
  <w:num w:numId="3">
    <w:abstractNumId w:val="4"/>
  </w:num>
  <w:num w:numId="4">
    <w:abstractNumId w:val="2"/>
  </w:num>
  <w:num w:numId="5">
    <w:abstractNumId w:val="3"/>
  </w:num>
  <w:num w:numId="6">
    <w:abstractNumId w:val="1"/>
  </w:num>
  <w:num w:numId="7">
    <w:abstractNumId w:val="5"/>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AT" w:vendorID="64" w:dllVersion="131078" w:nlCheck="1" w:checkStyle="0"/>
  <w:activeWritingStyle w:appName="MSWord" w:lang="it-IT" w:vendorID="64" w:dllVersion="131078" w:nlCheck="1" w:checkStyle="0"/>
  <w:activeWritingStyle w:appName="MSWord" w:lang="es-ES" w:vendorID="64" w:dllVersion="131078" w:nlCheck="1" w:checkStyle="0"/>
  <w:activeWritingStyle w:appName="MSWord" w:lang="pt-PT" w:vendorID="64" w:dllVersion="131078" w:nlCheck="1" w:checkStyle="0"/>
  <w:activeWritingStyle w:appName="MSWord" w:lang="nl-NL" w:vendorID="64" w:dllVersion="131078" w:nlCheck="1" w:checkStyle="0"/>
  <w:activeWritingStyle w:appName="MSWord" w:lang="nl-BE" w:vendorID="64" w:dllVersion="131078" w:nlCheck="1" w:checkStyle="0"/>
  <w:activeWritingStyle w:appName="MSWord" w:lang="fr-FR" w:vendorID="64" w:dllVersion="131078" w:nlCheck="1" w:checkStyle="0"/>
  <w:revisionView w:markup="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DCE5CD1-15CA-408F-8BC3-4179832F04B8"/>
    <w:docVar w:name="LW_COVERPAGE_TYPE" w:val="1"/>
    <w:docVar w:name="LW_CROSSREFERENCE" w:val="&lt;UNUSED&gt;"/>
    <w:docVar w:name="LW_DocType" w:val="NORMAL"/>
    <w:docVar w:name="LW_EMISSION" w:val="15.12.2020"/>
    <w:docVar w:name="LW_EMISSION_ISODATE" w:val="2020-12-15"/>
    <w:docVar w:name="LW_EMISSION_LOCATION" w:val="BRX"/>
    <w:docVar w:name="LW_EMISSION_PREFIX" w:val="Брюксел, "/>
    <w:docVar w:name="LW_EMISSION_SUFFIX" w:val=" \u1075?."/>
    <w:docVar w:name="LW_ID_DOCTYPE_NONLW" w:val="CP-008"/>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20) 7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Segoe UI Cyr&gt;\u1057?\u1066?\u1043?\u1051?\u1040?\u1057?\u1053?\u1054? \u1063?\u1051?\u1045?\u1053? 25 \u1054?\u1058? \u1044?\u1060?\u1045?\u1057?&lt;/FMT&gt;_x000b_&lt;FMT:Font=Segoe UI Cyr&gt;\u1054?\u1090?\u1085?\u1086?\u1089?\u1085?\u1086? \u1085?\u1072?\u1087?\u1088?\u1077?\u1076?\u1098?\u1082?\u1072? \u1082?\u1098?\u1084? \u1077?\u1092?\u1077?\u1082?\u1090?\u1080?\u1074?\u1085?\u1086? \u1075?\u1088?\u1072?\u1078?\u1076?\u1072?\u1085?\u1089?\u1090?\u1074?\u1086? \u1085?\u1072? \u1045?\u1057? \u1079?\u1072? \u1087?\u1077?\u1088?\u1080?\u1086?\u1076?\u1072? 2016\u8212?2020&lt;/FMT&gt;&lt;FMT:Font=Segoe UI&gt; &lt;/FMT&gt;&lt;FMT:Font=Segoe UI Cyr&gt;\u1075?.&lt;/FMT&gt;"/>
    <w:docVar w:name="LW_TYPE.DOC.CP" w:val="\u1044?\u1054?\u1050?\u1051?\u1040?\u1044? \u1053?\u1040? \u1050?\u1054?\u1052?\u1048?\u1057?\u1048?\u1071?\u1058?\u1040? \u1044?\u1054? \u1045?\u1042?\u1056?\u1054?\u1055?\u1045?\u1049?\u1057?\u1050?\u1048?\u1071? \u1055?\u1040?\u1056?\u1051?\u1040?\u1052?\u1045?\u1053?\u1058?, \u1057?\u1066?\u1042?\u1045?\u1058?\u1040?, \u1045?\u1042?\u1056?\u1054?\u1055?\u1045?\u1049?\u1057?\u1050?\u1048?\u1071? \u1048?\u1050?\u1054?\u1053?\u1054?\u1052?\u1048?\u1063?\u1045?\u1057?\u1050?\u1048? \u1048? \u1057?\u1054?\u1062?\u1048?\u1040?\u1051?\u1045?\u1053? \u1050?\u1054?\u1052?\u1048?\u1058?\u1045?\u1058? \u1048? \u1050?\u1054?\u1052?\u1048?\u1058?\u1045?\u1058?\u1040? \u1053?\u1040? \u1056?\u1045?\u1043?\u1048?\u1054?\u1053?\u1048?\u1058?\u1045?"/>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uiPriority w:val="34"/>
    <w:qFormat/>
    <w:pPr>
      <w:ind w:left="720"/>
      <w:contextualSpacing/>
    </w:pPr>
  </w:style>
  <w:style w:type="paragraph" w:styleId="FootnoteText">
    <w:name w:val="footnote text"/>
    <w:aliases w:val="footnote text,Footnote Text Char Char,Fußnote,single space,FOOTNOTES,fn, Char Char Char,Note de bas de page2,Footnotes Char,footnote text Char,Footnotes,Char Char Char,Char Char Char Char Char Char,footnotes Char Char Char Char Char,Footn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1,Footnote Text Char Char Char,Fußnote Char,single space Char,FOOTNOTES Char,fn Char, Char Char Char Char,Note de bas de page2 Char,Footnotes Char Char,footnote text Char Char,Footnotes Char1,Char Char Char Char"/>
    <w:basedOn w:val="DefaultParagraphFont"/>
    <w:link w:val="FootnoteText"/>
    <w:uiPriority w:val="99"/>
    <w:rPr>
      <w:sz w:val="20"/>
      <w:szCs w:val="20"/>
    </w:rPr>
  </w:style>
  <w:style w:type="character" w:styleId="FootnoteReference">
    <w:name w:val="footnote reference"/>
    <w:aliases w:val="stylish,Footnote Refernece, BVI fnr,BVI fnr,Fußnotenzeichen_Raxen,callout,Footnote Reference Number,SUPERS,Footnote symbol,Footnote,Footnote reference number,Footnote number,Footnote Reference Superscript,note TESI,EN Footnote Referen"/>
    <w:basedOn w:val="DefaultParagraphFo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after="120" w:line="240" w:lineRule="auto"/>
      <w:jc w:val="both"/>
    </w:pPr>
    <w:rPr>
      <w:rFonts w:ascii="Calibri Light" w:eastAsiaTheme="minorEastAsia" w:hAnsi="Calibri Light"/>
      <w:sz w:val="20"/>
      <w:szCs w:val="20"/>
      <w:lang w:eastAsia="zh-CN"/>
    </w:rPr>
  </w:style>
  <w:style w:type="character" w:customStyle="1" w:styleId="CommentTextChar">
    <w:name w:val="Comment Text Char"/>
    <w:basedOn w:val="DefaultParagraphFont"/>
    <w:link w:val="CommentText"/>
    <w:rPr>
      <w:rFonts w:ascii="Calibri Light" w:eastAsiaTheme="minorEastAsia" w:hAnsi="Calibri Light"/>
      <w:sz w:val="20"/>
      <w:szCs w:val="20"/>
      <w:lang w:val="bg-BG" w:eastAsia="zh-CN"/>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jc w:val="left"/>
    </w:pPr>
    <w:rPr>
      <w:rFonts w:asciiTheme="minorHAnsi" w:eastAsiaTheme="minorHAnsi" w:hAnsiTheme="minorHAnsi"/>
      <w:b/>
      <w:bCs/>
      <w:lang w:eastAsia="en-US"/>
    </w:rPr>
  </w:style>
  <w:style w:type="character" w:customStyle="1" w:styleId="CommentSubjectChar">
    <w:name w:val="Comment Subject Char"/>
    <w:basedOn w:val="CommentTextChar"/>
    <w:link w:val="CommentSubject"/>
    <w:uiPriority w:val="99"/>
    <w:semiHidden/>
    <w:rPr>
      <w:rFonts w:ascii="Calibri Light" w:eastAsiaTheme="minorEastAsia" w:hAnsi="Calibri Light"/>
      <w:b/>
      <w:bCs/>
      <w:sz w:val="20"/>
      <w:szCs w:val="20"/>
      <w:lang w:val="bg-BG" w:eastAsia="zh-CN"/>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customStyle="1" w:styleId="c01pointnumerotealtn">
    <w:name w:val="c01pointnumerotealtn"/>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2alineaalta">
    <w:name w:val="c02alineaalta"/>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jstje2">
    <w:name w:val="Lijstje2"/>
    <w:basedOn w:val="ListParagraph"/>
    <w:uiPriority w:val="1"/>
    <w:qFormat/>
    <w:locked/>
    <w:pPr>
      <w:numPr>
        <w:numId w:val="7"/>
      </w:numPr>
      <w:tabs>
        <w:tab w:val="num" w:pos="360"/>
      </w:tabs>
      <w:spacing w:after="200" w:line="240" w:lineRule="auto"/>
      <w:ind w:left="720" w:firstLine="0"/>
      <w:jc w:val="both"/>
    </w:pPr>
    <w:rPr>
      <w:rFonts w:ascii="Verdana" w:eastAsia="Calibri" w:hAnsi="Verdana" w:cs="Times New Roman"/>
      <w:kern w:val="20"/>
      <w:sz w:val="20"/>
      <w:lang w:eastAsia="en-GB"/>
    </w:rPr>
  </w:style>
  <w:style w:type="paragraph" w:customStyle="1" w:styleId="Lijstje3">
    <w:name w:val="Lijstje 3"/>
    <w:basedOn w:val="Lijstje2"/>
    <w:uiPriority w:val="1"/>
    <w:locked/>
    <w:pPr>
      <w:numPr>
        <w:ilvl w:val="1"/>
      </w:numPr>
      <w:tabs>
        <w:tab w:val="num" w:pos="360"/>
        <w:tab w:val="num" w:pos="765"/>
      </w:tabs>
    </w:pPr>
  </w:style>
  <w:style w:type="paragraph" w:customStyle="1" w:styleId="Sub-heading">
    <w:name w:val="Sub-heading"/>
    <w:basedOn w:val="Heading5"/>
    <w:link w:val="Sub-headingChar"/>
    <w:qFormat/>
    <w:pPr>
      <w:keepNext w:val="0"/>
      <w:keepLines w:val="0"/>
      <w:numPr>
        <w:ilvl w:val="0"/>
        <w:numId w:val="0"/>
      </w:numPr>
      <w:spacing w:before="0" w:line="240" w:lineRule="auto"/>
    </w:pPr>
    <w:rPr>
      <w:rFonts w:ascii="Calibri" w:eastAsia="Times New Roman" w:hAnsi="Calibri" w:cs="Times New Roman"/>
      <w:b/>
      <w:bCs/>
      <w:i/>
      <w:iCs/>
      <w:color w:val="4F81BD"/>
      <w:sz w:val="24"/>
      <w:szCs w:val="26"/>
      <w:lang w:eastAsia="fr-FR"/>
    </w:rPr>
  </w:style>
  <w:style w:type="character" w:customStyle="1" w:styleId="Sub-headingChar">
    <w:name w:val="Sub-heading Char"/>
    <w:basedOn w:val="DefaultParagraphFont"/>
    <w:link w:val="Sub-heading"/>
    <w:rPr>
      <w:rFonts w:ascii="Calibri" w:eastAsia="Times New Roman" w:hAnsi="Calibri" w:cs="Times New Roman"/>
      <w:b/>
      <w:bCs/>
      <w:i/>
      <w:iCs/>
      <w:color w:val="4F81BD"/>
      <w:sz w:val="24"/>
      <w:szCs w:val="26"/>
      <w:lang w:val="bg-BG" w:eastAsia="fr-FR"/>
    </w:rPr>
  </w:style>
  <w:style w:type="character" w:customStyle="1" w:styleId="outputecli">
    <w:name w:val="outputecli"/>
    <w:basedOn w:val="DefaultParagraphFont"/>
  </w:style>
  <w:style w:type="paragraph" w:styleId="Revision">
    <w:name w:val="Revision"/>
    <w:hidden/>
    <w:uiPriority w:val="99"/>
    <w:semiHidden/>
    <w:pPr>
      <w:spacing w:after="0" w:line="240" w:lineRule="auto"/>
    </w:pPr>
  </w:style>
  <w:style w:type="paragraph" w:customStyle="1" w:styleId="c41dispositifintroduction">
    <w:name w:val="c41dispositifintroduction"/>
    <w:basedOn w:val="Normal"/>
    <w:uiPriority w:val="99"/>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uiPriority w:val="34"/>
    <w:qFormat/>
    <w:pPr>
      <w:ind w:left="720"/>
      <w:contextualSpacing/>
    </w:pPr>
  </w:style>
  <w:style w:type="paragraph" w:styleId="FootnoteText">
    <w:name w:val="footnote text"/>
    <w:aliases w:val="footnote text,Footnote Text Char Char,Fußnote,single space,FOOTNOTES,fn, Char Char Char,Note de bas de page2,Footnotes Char,footnote text Char,Footnotes,Char Char Char,Char Char Char Char Char Char,footnotes Char Char Char Char Char,Footn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1,Footnote Text Char Char Char,Fußnote Char,single space Char,FOOTNOTES Char,fn Char, Char Char Char Char,Note de bas de page2 Char,Footnotes Char Char,footnote text Char Char,Footnotes Char1,Char Char Char Char"/>
    <w:basedOn w:val="DefaultParagraphFont"/>
    <w:link w:val="FootnoteText"/>
    <w:uiPriority w:val="99"/>
    <w:rPr>
      <w:sz w:val="20"/>
      <w:szCs w:val="20"/>
    </w:rPr>
  </w:style>
  <w:style w:type="character" w:styleId="FootnoteReference">
    <w:name w:val="footnote reference"/>
    <w:aliases w:val="stylish,Footnote Refernece, BVI fnr,BVI fnr,Fußnotenzeichen_Raxen,callout,Footnote Reference Number,SUPERS,Footnote symbol,Footnote,Footnote reference number,Footnote number,Footnote Reference Superscript,note TESI,EN Footnote Referen"/>
    <w:basedOn w:val="DefaultParagraphFo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after="120" w:line="240" w:lineRule="auto"/>
      <w:jc w:val="both"/>
    </w:pPr>
    <w:rPr>
      <w:rFonts w:ascii="Calibri Light" w:eastAsiaTheme="minorEastAsia" w:hAnsi="Calibri Light"/>
      <w:sz w:val="20"/>
      <w:szCs w:val="20"/>
      <w:lang w:eastAsia="zh-CN"/>
    </w:rPr>
  </w:style>
  <w:style w:type="character" w:customStyle="1" w:styleId="CommentTextChar">
    <w:name w:val="Comment Text Char"/>
    <w:basedOn w:val="DefaultParagraphFont"/>
    <w:link w:val="CommentText"/>
    <w:rPr>
      <w:rFonts w:ascii="Calibri Light" w:eastAsiaTheme="minorEastAsia" w:hAnsi="Calibri Light"/>
      <w:sz w:val="20"/>
      <w:szCs w:val="20"/>
      <w:lang w:val="bg-BG" w:eastAsia="zh-CN"/>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jc w:val="left"/>
    </w:pPr>
    <w:rPr>
      <w:rFonts w:asciiTheme="minorHAnsi" w:eastAsiaTheme="minorHAnsi" w:hAnsiTheme="minorHAnsi"/>
      <w:b/>
      <w:bCs/>
      <w:lang w:eastAsia="en-US"/>
    </w:rPr>
  </w:style>
  <w:style w:type="character" w:customStyle="1" w:styleId="CommentSubjectChar">
    <w:name w:val="Comment Subject Char"/>
    <w:basedOn w:val="CommentTextChar"/>
    <w:link w:val="CommentSubject"/>
    <w:uiPriority w:val="99"/>
    <w:semiHidden/>
    <w:rPr>
      <w:rFonts w:ascii="Calibri Light" w:eastAsiaTheme="minorEastAsia" w:hAnsi="Calibri Light"/>
      <w:b/>
      <w:bCs/>
      <w:sz w:val="20"/>
      <w:szCs w:val="20"/>
      <w:lang w:val="bg-BG" w:eastAsia="zh-CN"/>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customStyle="1" w:styleId="c01pointnumerotealtn">
    <w:name w:val="c01pointnumerotealtn"/>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2alineaalta">
    <w:name w:val="c02alineaalta"/>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jstje2">
    <w:name w:val="Lijstje2"/>
    <w:basedOn w:val="ListParagraph"/>
    <w:uiPriority w:val="1"/>
    <w:qFormat/>
    <w:locked/>
    <w:pPr>
      <w:numPr>
        <w:numId w:val="7"/>
      </w:numPr>
      <w:tabs>
        <w:tab w:val="num" w:pos="360"/>
      </w:tabs>
      <w:spacing w:after="200" w:line="240" w:lineRule="auto"/>
      <w:ind w:left="720" w:firstLine="0"/>
      <w:jc w:val="both"/>
    </w:pPr>
    <w:rPr>
      <w:rFonts w:ascii="Verdana" w:eastAsia="Calibri" w:hAnsi="Verdana" w:cs="Times New Roman"/>
      <w:kern w:val="20"/>
      <w:sz w:val="20"/>
      <w:lang w:eastAsia="en-GB"/>
    </w:rPr>
  </w:style>
  <w:style w:type="paragraph" w:customStyle="1" w:styleId="Lijstje3">
    <w:name w:val="Lijstje 3"/>
    <w:basedOn w:val="Lijstje2"/>
    <w:uiPriority w:val="1"/>
    <w:locked/>
    <w:pPr>
      <w:numPr>
        <w:ilvl w:val="1"/>
      </w:numPr>
      <w:tabs>
        <w:tab w:val="num" w:pos="360"/>
        <w:tab w:val="num" w:pos="765"/>
      </w:tabs>
    </w:pPr>
  </w:style>
  <w:style w:type="paragraph" w:customStyle="1" w:styleId="Sub-heading">
    <w:name w:val="Sub-heading"/>
    <w:basedOn w:val="Heading5"/>
    <w:link w:val="Sub-headingChar"/>
    <w:qFormat/>
    <w:pPr>
      <w:keepNext w:val="0"/>
      <w:keepLines w:val="0"/>
      <w:numPr>
        <w:ilvl w:val="0"/>
        <w:numId w:val="0"/>
      </w:numPr>
      <w:spacing w:before="0" w:line="240" w:lineRule="auto"/>
    </w:pPr>
    <w:rPr>
      <w:rFonts w:ascii="Calibri" w:eastAsia="Times New Roman" w:hAnsi="Calibri" w:cs="Times New Roman"/>
      <w:b/>
      <w:bCs/>
      <w:i/>
      <w:iCs/>
      <w:color w:val="4F81BD"/>
      <w:sz w:val="24"/>
      <w:szCs w:val="26"/>
      <w:lang w:eastAsia="fr-FR"/>
    </w:rPr>
  </w:style>
  <w:style w:type="character" w:customStyle="1" w:styleId="Sub-headingChar">
    <w:name w:val="Sub-heading Char"/>
    <w:basedOn w:val="DefaultParagraphFont"/>
    <w:link w:val="Sub-heading"/>
    <w:rPr>
      <w:rFonts w:ascii="Calibri" w:eastAsia="Times New Roman" w:hAnsi="Calibri" w:cs="Times New Roman"/>
      <w:b/>
      <w:bCs/>
      <w:i/>
      <w:iCs/>
      <w:color w:val="4F81BD"/>
      <w:sz w:val="24"/>
      <w:szCs w:val="26"/>
      <w:lang w:val="bg-BG" w:eastAsia="fr-FR"/>
    </w:rPr>
  </w:style>
  <w:style w:type="character" w:customStyle="1" w:styleId="outputecli">
    <w:name w:val="outputecli"/>
    <w:basedOn w:val="DefaultParagraphFont"/>
  </w:style>
  <w:style w:type="paragraph" w:styleId="Revision">
    <w:name w:val="Revision"/>
    <w:hidden/>
    <w:uiPriority w:val="99"/>
    <w:semiHidden/>
    <w:pPr>
      <w:spacing w:after="0" w:line="240" w:lineRule="auto"/>
    </w:pPr>
  </w:style>
  <w:style w:type="paragraph" w:customStyle="1" w:styleId="c41dispositifintroduction">
    <w:name w:val="c41dispositifintroduction"/>
    <w:basedOn w:val="Normal"/>
    <w:uiPriority w:val="99"/>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6308">
      <w:bodyDiv w:val="1"/>
      <w:marLeft w:val="0"/>
      <w:marRight w:val="0"/>
      <w:marTop w:val="0"/>
      <w:marBottom w:val="0"/>
      <w:divBdr>
        <w:top w:val="none" w:sz="0" w:space="0" w:color="auto"/>
        <w:left w:val="none" w:sz="0" w:space="0" w:color="auto"/>
        <w:bottom w:val="none" w:sz="0" w:space="0" w:color="auto"/>
        <w:right w:val="none" w:sz="0" w:space="0" w:color="auto"/>
      </w:divBdr>
    </w:div>
    <w:div w:id="339090972">
      <w:bodyDiv w:val="1"/>
      <w:marLeft w:val="0"/>
      <w:marRight w:val="0"/>
      <w:marTop w:val="0"/>
      <w:marBottom w:val="0"/>
      <w:divBdr>
        <w:top w:val="none" w:sz="0" w:space="0" w:color="auto"/>
        <w:left w:val="none" w:sz="0" w:space="0" w:color="auto"/>
        <w:bottom w:val="none" w:sz="0" w:space="0" w:color="auto"/>
        <w:right w:val="none" w:sz="0" w:space="0" w:color="auto"/>
      </w:divBdr>
    </w:div>
    <w:div w:id="470248284">
      <w:bodyDiv w:val="1"/>
      <w:marLeft w:val="0"/>
      <w:marRight w:val="0"/>
      <w:marTop w:val="0"/>
      <w:marBottom w:val="0"/>
      <w:divBdr>
        <w:top w:val="none" w:sz="0" w:space="0" w:color="auto"/>
        <w:left w:val="none" w:sz="0" w:space="0" w:color="auto"/>
        <w:bottom w:val="none" w:sz="0" w:space="0" w:color="auto"/>
        <w:right w:val="none" w:sz="0" w:space="0" w:color="auto"/>
      </w:divBdr>
    </w:div>
    <w:div w:id="767967982">
      <w:bodyDiv w:val="1"/>
      <w:marLeft w:val="0"/>
      <w:marRight w:val="0"/>
      <w:marTop w:val="0"/>
      <w:marBottom w:val="0"/>
      <w:divBdr>
        <w:top w:val="none" w:sz="0" w:space="0" w:color="auto"/>
        <w:left w:val="none" w:sz="0" w:space="0" w:color="auto"/>
        <w:bottom w:val="none" w:sz="0" w:space="0" w:color="auto"/>
        <w:right w:val="none" w:sz="0" w:space="0" w:color="auto"/>
      </w:divBdr>
    </w:div>
    <w:div w:id="998385149">
      <w:bodyDiv w:val="1"/>
      <w:marLeft w:val="0"/>
      <w:marRight w:val="0"/>
      <w:marTop w:val="0"/>
      <w:marBottom w:val="0"/>
      <w:divBdr>
        <w:top w:val="none" w:sz="0" w:space="0" w:color="auto"/>
        <w:left w:val="none" w:sz="0" w:space="0" w:color="auto"/>
        <w:bottom w:val="none" w:sz="0" w:space="0" w:color="auto"/>
        <w:right w:val="none" w:sz="0" w:space="0" w:color="auto"/>
      </w:divBdr>
    </w:div>
    <w:div w:id="1022249233">
      <w:bodyDiv w:val="1"/>
      <w:marLeft w:val="0"/>
      <w:marRight w:val="0"/>
      <w:marTop w:val="0"/>
      <w:marBottom w:val="0"/>
      <w:divBdr>
        <w:top w:val="none" w:sz="0" w:space="0" w:color="auto"/>
        <w:left w:val="none" w:sz="0" w:space="0" w:color="auto"/>
        <w:bottom w:val="none" w:sz="0" w:space="0" w:color="auto"/>
        <w:right w:val="none" w:sz="0" w:space="0" w:color="auto"/>
      </w:divBdr>
    </w:div>
    <w:div w:id="1085758237">
      <w:bodyDiv w:val="1"/>
      <w:marLeft w:val="0"/>
      <w:marRight w:val="0"/>
      <w:marTop w:val="0"/>
      <w:marBottom w:val="0"/>
      <w:divBdr>
        <w:top w:val="none" w:sz="0" w:space="0" w:color="auto"/>
        <w:left w:val="none" w:sz="0" w:space="0" w:color="auto"/>
        <w:bottom w:val="none" w:sz="0" w:space="0" w:color="auto"/>
        <w:right w:val="none" w:sz="0" w:space="0" w:color="auto"/>
      </w:divBdr>
    </w:div>
    <w:div w:id="1304237368">
      <w:bodyDiv w:val="1"/>
      <w:marLeft w:val="0"/>
      <w:marRight w:val="0"/>
      <w:marTop w:val="0"/>
      <w:marBottom w:val="0"/>
      <w:divBdr>
        <w:top w:val="none" w:sz="0" w:space="0" w:color="auto"/>
        <w:left w:val="none" w:sz="0" w:space="0" w:color="auto"/>
        <w:bottom w:val="none" w:sz="0" w:space="0" w:color="auto"/>
        <w:right w:val="none" w:sz="0" w:space="0" w:color="auto"/>
      </w:divBdr>
    </w:div>
    <w:div w:id="1322081142">
      <w:bodyDiv w:val="1"/>
      <w:marLeft w:val="0"/>
      <w:marRight w:val="0"/>
      <w:marTop w:val="0"/>
      <w:marBottom w:val="0"/>
      <w:divBdr>
        <w:top w:val="none" w:sz="0" w:space="0" w:color="auto"/>
        <w:left w:val="none" w:sz="0" w:space="0" w:color="auto"/>
        <w:bottom w:val="none" w:sz="0" w:space="0" w:color="auto"/>
        <w:right w:val="none" w:sz="0" w:space="0" w:color="auto"/>
      </w:divBdr>
    </w:div>
    <w:div w:id="1564023428">
      <w:bodyDiv w:val="1"/>
      <w:marLeft w:val="0"/>
      <w:marRight w:val="0"/>
      <w:marTop w:val="0"/>
      <w:marBottom w:val="0"/>
      <w:divBdr>
        <w:top w:val="none" w:sz="0" w:space="0" w:color="auto"/>
        <w:left w:val="none" w:sz="0" w:space="0" w:color="auto"/>
        <w:bottom w:val="none" w:sz="0" w:space="0" w:color="auto"/>
        <w:right w:val="none" w:sz="0" w:space="0" w:color="auto"/>
      </w:divBdr>
    </w:div>
    <w:div w:id="2084989338">
      <w:bodyDiv w:val="1"/>
      <w:marLeft w:val="0"/>
      <w:marRight w:val="0"/>
      <w:marTop w:val="0"/>
      <w:marBottom w:val="0"/>
      <w:divBdr>
        <w:top w:val="none" w:sz="0" w:space="0" w:color="auto"/>
        <w:left w:val="none" w:sz="0" w:space="0" w:color="auto"/>
        <w:bottom w:val="none" w:sz="0" w:space="0" w:color="auto"/>
        <w:right w:val="none" w:sz="0" w:space="0" w:color="auto"/>
      </w:divBdr>
    </w:div>
    <w:div w:id="211624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ec.europa.eu/social/main.jsp?catId=1437&amp;langId=b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BG/TXT/HTML/?uri=CELEX:52019DC0406&amp;from=FR" TargetMode="External"/><Relationship Id="rId13" Type="http://schemas.openxmlformats.org/officeDocument/2006/relationships/hyperlink" Target="https://ec.europa.eu/info/investor-citizenship-schemes_bg" TargetMode="External"/><Relationship Id="rId18" Type="http://schemas.openxmlformats.org/officeDocument/2006/relationships/hyperlink" Target="http://curia.europa.eu/juris/document/document.jsf?text=&amp;docid=218484&amp;pageIndex=0&amp;doclang=BG&amp;mode=lst&amp;dir=&amp;occ=first&amp;part=1&amp;cid=612407" TargetMode="External"/><Relationship Id="rId26" Type="http://schemas.openxmlformats.org/officeDocument/2006/relationships/hyperlink" Target="https://www.europarl.europa.eu/petitions/bg/home" TargetMode="External"/><Relationship Id="rId3" Type="http://schemas.openxmlformats.org/officeDocument/2006/relationships/hyperlink" Target="https://ec.europa.eu/info/sites/info/files/report_list_of_actions_2015-19.pdf" TargetMode="External"/><Relationship Id="rId21" Type="http://schemas.openxmlformats.org/officeDocument/2006/relationships/hyperlink" Target="https://ec.europa.eu/info/files/letter-concerning-voter-registration-system-mobile-eu-citizens-united-kingdom_en" TargetMode="External"/><Relationship Id="rId7" Type="http://schemas.openxmlformats.org/officeDocument/2006/relationships/hyperlink" Target="https://eur-lex.europa.eu/legal-content/BG/TXT/?qid=1544112037077&amp;uri=CELEX:52018DC0785" TargetMode="External"/><Relationship Id="rId12" Type="http://schemas.openxmlformats.org/officeDocument/2006/relationships/hyperlink" Target="https://ec.europa.eu/info/sites/info/files/com_2019_12_final_report.pdf" TargetMode="External"/><Relationship Id="rId17" Type="http://schemas.openxmlformats.org/officeDocument/2006/relationships/hyperlink" Target="http://curia.europa.eu/juris/document/document.jsf?text=&amp;docid=218484&amp;pageIndex=0&amp;doclang=BG&amp;mode=lst&amp;dir=&amp;occ=first&amp;part=1&amp;cid=612407" TargetMode="External"/><Relationship Id="rId25" Type="http://schemas.openxmlformats.org/officeDocument/2006/relationships/hyperlink" Target="https://eur-lex.europa.eu/legal-content/bg/TXT/?uri=CELEX:52018DC0044" TargetMode="External"/><Relationship Id="rId2" Type="http://schemas.openxmlformats.org/officeDocument/2006/relationships/hyperlink" Target="https://ec.europa.eu/info/policies/justice-and-fundamental-rights/combatting-discrimination/lesbian-gay-bi-trans-and-intersex-equality/list-actions-advance-lgbti-equality_en" TargetMode="External"/><Relationship Id="rId16" Type="http://schemas.openxmlformats.org/officeDocument/2006/relationships/hyperlink" Target="https://europa.eu/european-union/contact_bg" TargetMode="External"/><Relationship Id="rId20" Type="http://schemas.openxmlformats.org/officeDocument/2006/relationships/hyperlink" Target="https://ec.europa.eu/commission/news/security-union-2017-jun-29_bg" TargetMode="External"/><Relationship Id="rId29" Type="http://schemas.openxmlformats.org/officeDocument/2006/relationships/hyperlink" Target="https://www.ombudsman.europa.eu/bg/press-release/en/89910?utm_source=web_EO&amp;utm_medium=scrollie_organic&amp;utm_campaign=scrollie_25" TargetMode="External"/><Relationship Id="rId1" Type="http://schemas.openxmlformats.org/officeDocument/2006/relationships/hyperlink" Target="https://ec.europa.eu/info/sites/info/files/aid_development_cooperation_fundamental_rights/annual_report_ge_2019_en_1.pdf" TargetMode="External"/><Relationship Id="rId6" Type="http://schemas.openxmlformats.org/officeDocument/2006/relationships/hyperlink" Target="https://ec.europa.eu/newsroom/just/document.cfm?doc_id=55607" TargetMode="External"/><Relationship Id="rId11" Type="http://schemas.openxmlformats.org/officeDocument/2006/relationships/hyperlink" Target="https://ec.europa.eu/social/main.jsp?catId=738&amp;%20langId=en&amp;pubId=8341&amp;furtherPubs=yes" TargetMode="External"/><Relationship Id="rId24" Type="http://schemas.openxmlformats.org/officeDocument/2006/relationships/hyperlink" Target="https://www.consilium.europa.eu/media/22130/st09008en17.pdf" TargetMode="External"/><Relationship Id="rId32" Type="http://schemas.openxmlformats.org/officeDocument/2006/relationships/hyperlink" Target="https://europa.eu/citizens-initiative/expert-group-meetings_bg" TargetMode="External"/><Relationship Id="rId5" Type="http://schemas.openxmlformats.org/officeDocument/2006/relationships/hyperlink" Target="https://ec.europa.eu/newsroom/just/document.cfm?doc_id=55651" TargetMode="External"/><Relationship Id="rId15" Type="http://schemas.openxmlformats.org/officeDocument/2006/relationships/hyperlink" Target="https://ec.europa.eu/internal_market/scoreboard/performance_by_governance_tool/solvit/index_en.htm" TargetMode="External"/><Relationship Id="rId23" Type="http://schemas.openxmlformats.org/officeDocument/2006/relationships/hyperlink" Target="https://ec.europa.eu/home-affairs/sites/homeaffairs/files/what-is-new/news/news/20170124_eu_citizenship_report_2017_en.pdf" TargetMode="External"/><Relationship Id="rId28" Type="http://schemas.openxmlformats.org/officeDocument/2006/relationships/hyperlink" Target="https://www.ombudsman.europa.eu/bg/special-report/bg/94921" TargetMode="External"/><Relationship Id="rId10" Type="http://schemas.openxmlformats.org/officeDocument/2006/relationships/hyperlink" Target="https://eur-lex.europa.eu/legal-content/BG/TXT/?uri=celex:32000L0078" TargetMode="External"/><Relationship Id="rId19" Type="http://schemas.openxmlformats.org/officeDocument/2006/relationships/hyperlink" Target="http://curia.europa.eu/juris/document/document.jsf?text=&amp;docid=218484&amp;pageIndex=0&amp;doclang=BG&amp;mode=lst&amp;dir=&amp;occ=first&amp;part=1&amp;cid=612407" TargetMode="External"/><Relationship Id="rId31" Type="http://schemas.openxmlformats.org/officeDocument/2006/relationships/hyperlink" Target="https://europa.eu/citizens-initiative/initiatives/details/2017/000002_bg" TargetMode="External"/><Relationship Id="rId4" Type="http://schemas.openxmlformats.org/officeDocument/2006/relationships/hyperlink" Target="https://ec.europa.eu/newsroom/just/document.cfm?doc_id=55652" TargetMode="External"/><Relationship Id="rId9" Type="http://schemas.openxmlformats.org/officeDocument/2006/relationships/hyperlink" Target="https://ec.europa.eu/social/main.jsp?catId=1437&amp;langId=bg" TargetMode="External"/><Relationship Id="rId14" Type="http://schemas.openxmlformats.org/officeDocument/2006/relationships/hyperlink" Target="https://curia.europa.eu/jcms/upload/docs/application/pdf/2020-06/qd-ap-20-001-bg-n.pdf" TargetMode="External"/><Relationship Id="rId22" Type="http://schemas.openxmlformats.org/officeDocument/2006/relationships/hyperlink" Target="https://ec.europa.eu/info/files/letter-concerning-difficulties-encountered-voting-romanian-consulate_en" TargetMode="External"/><Relationship Id="rId27" Type="http://schemas.openxmlformats.org/officeDocument/2006/relationships/hyperlink" Target="https://www.europarl.europa.eu/meetdocs/2014_2019/plmrep/COMMITTEES/PETI/PR/2020/09-03/1197378BG.pdf" TargetMode="External"/><Relationship Id="rId30" Type="http://schemas.openxmlformats.org/officeDocument/2006/relationships/hyperlink" Target="https://europa.eu/citizens-initiative/home_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70610A8B9C756743B6BA5471FB5C38B5" ma:contentTypeVersion="0" ma:contentTypeDescription="Create a new document in this library." ma:contentTypeScope="" ma:versionID="aa10f77e458312a700d535427e75a64f">
  <xsd:schema xmlns:xsd="http://www.w3.org/2001/XMLSchema" xmlns:xs="http://www.w3.org/2001/XMLSchema" xmlns:p="http://schemas.microsoft.com/office/2006/metadata/properties" xmlns:ns2="http://schemas.microsoft.com/sharepoint/v3/fields" xmlns:ns3="cd27dc72-3472-4c20-a242-91c7896958dc" targetNamespace="http://schemas.microsoft.com/office/2006/metadata/properties" ma:root="true" ma:fieldsID="e34afa759dd76904ac4e9f98c697d5d4" ns2:_="" ns3:_="">
    <xsd:import namespace="http://schemas.microsoft.com/sharepoint/v3/fields"/>
    <xsd:import namespace="cd27dc72-3472-4c20-a242-91c7896958dc"/>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d27dc72-3472-4c20-a242-91c7896958d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cd27dc72-3472-4c20-a242-91c7896958dc">EN</EC_Collab_DocumentLanguage>
    <EC_Collab_Status xmlns="cd27dc72-3472-4c20-a242-91c7896958dc">Not Started</EC_Collab_Status>
    <_Status xmlns="http://schemas.microsoft.com/sharepoint/v3/fields">Not Started</_Status>
    <EC_Collab_Reference xmlns="cd27dc72-3472-4c20-a242-91c7896958d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98689-0298-4F3F-95A0-9667ECD2BC51}">
  <ds:schemaRefs>
    <ds:schemaRef ds:uri="http://schemas.microsoft.com/sharepoint/v3/contenttype/forms"/>
  </ds:schemaRefs>
</ds:datastoreItem>
</file>

<file path=customXml/itemProps2.xml><?xml version="1.0" encoding="utf-8"?>
<ds:datastoreItem xmlns:ds="http://schemas.openxmlformats.org/officeDocument/2006/customXml" ds:itemID="{9C5AD6EA-B7CE-4042-8B73-D0D8B625B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d27dc72-3472-4c20-a242-91c789695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4ADCA-DC4B-4401-9D2E-3077C4CE0B17}">
  <ds:schemaRefs>
    <ds:schemaRef ds:uri="http://schemas.microsoft.com/office/2006/metadata/properties"/>
    <ds:schemaRef ds:uri="http://schemas.microsoft.com/office/infopath/2007/PartnerControls"/>
    <ds:schemaRef ds:uri="cd27dc72-3472-4c20-a242-91c7896958dc"/>
    <ds:schemaRef ds:uri="http://schemas.microsoft.com/sharepoint/v3/fields"/>
  </ds:schemaRefs>
</ds:datastoreItem>
</file>

<file path=customXml/itemProps4.xml><?xml version="1.0" encoding="utf-8"?>
<ds:datastoreItem xmlns:ds="http://schemas.openxmlformats.org/officeDocument/2006/customXml" ds:itemID="{157F704C-EB7C-4AF0-A92A-36C586DB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9720</Words>
  <Characters>53657</Characters>
  <Application>Microsoft Office Word</Application>
  <DocSecurity>0</DocSecurity>
  <Lines>894</Lines>
  <Paragraphs>161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23</cp:revision>
  <cp:lastPrinted>2020-11-18T18:45:00Z</cp:lastPrinted>
  <dcterms:created xsi:type="dcterms:W3CDTF">2020-12-03T17:42:00Z</dcterms:created>
  <dcterms:modified xsi:type="dcterms:W3CDTF">2020-12-15T06:24:00Z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CP-008</vt:lpwstr>
  </property>
  <property fmtid="{D5CDD505-2E9C-101B-9397-08002B2CF9AE}" pid="7" name="Last edited using">
    <vt:lpwstr>LW 7.0.1, Build 20190916</vt:lpwstr>
  </property>
  <property fmtid="{D5CDD505-2E9C-101B-9397-08002B2CF9AE}" pid="8" name="Created using">
    <vt:lpwstr>LW 7.0.1, Build 20190916</vt:lpwstr>
  </property>
  <property fmtid="{D5CDD505-2E9C-101B-9397-08002B2CF9AE}" pid="9" name="_LW_INVALIDATED__LW_INVALIDATED__LW_INVALIDATED__LW_INVALIDATED__LW_INVALIDATED__LW_INVALIDATED__LW_INVALIDATED__LW_INVALIDATED__LW_INVALIDATED_ContentTypeId">
    <vt:lpwstr>0x010100258AA79CEB83498886A3A086811232500070610A8B9C756743B6BA5471FB5C38B5</vt:lpwstr>
  </property>
  <property fmtid="{D5CDD505-2E9C-101B-9397-08002B2CF9AE}" pid="10" name="_LW_INVALIDATED__LW_INVALIDATED__LW_INVALIDATED__LW_INVALIDATED__LW_INVALIDATED_ContentTypeId">
    <vt:lpwstr>0x010100258AA79CEB83498886A3A086811232500070610A8B9C756743B6BA5471FB5C38B5</vt:lpwstr>
  </property>
  <property fmtid="{D5CDD505-2E9C-101B-9397-08002B2CF9AE}" pid="11" name="_LW_INVALIDATED__LW_INVALIDATED__LW_INVALIDATED__LW_INVALIDATED_ContentTypeId">
    <vt:lpwstr>0x010100258AA79CEB83498886A3A086811232500070610A8B9C756743B6BA5471FB5C38B5</vt:lpwstr>
  </property>
</Properties>
</file>