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5A5FD95-C573-4336-840E-1A9FE8E4AE8C" style="width:450.55pt;height:320.7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color w:val="000000"/>
          <w:sz w:val="24"/>
          <w:szCs w:val="24"/>
        </w:rPr>
      </w:pPr>
      <w:bookmarkStart w:id="1" w:name="_GoBack"/>
      <w:bookmarkEnd w:id="1"/>
      <w:r>
        <w:rPr>
          <w:rFonts w:ascii="Times New Roman" w:hAnsi="Times New Roman"/>
          <w:b/>
          <w:noProof/>
          <w:color w:val="000000"/>
          <w:sz w:val="24"/>
          <w:szCs w:val="24"/>
        </w:rPr>
        <w:lastRenderedPageBreak/>
        <w:t>KOMISIJAS ZIŅOJUMS EIROPAS PARLAMENTAM UN PADOMEI</w:t>
      </w:r>
    </w:p>
    <w:p>
      <w:pPr>
        <w:jc w:val="center"/>
        <w:rPr>
          <w:rFonts w:ascii="Times New Roman" w:hAnsi="Times New Roman" w:cs="Times New Roman"/>
          <w:b/>
          <w:noProof/>
          <w:color w:val="000000"/>
          <w:sz w:val="24"/>
          <w:szCs w:val="24"/>
        </w:rPr>
      </w:pPr>
      <w:r>
        <w:rPr>
          <w:rFonts w:ascii="Times New Roman" w:hAnsi="Times New Roman"/>
          <w:b/>
          <w:noProof/>
          <w:color w:val="000000"/>
          <w:sz w:val="24"/>
          <w:szCs w:val="24"/>
        </w:rPr>
        <w:t>par to, kā tiek īstenota Eiropas Parlamenta un Padomes Regula (EK) Nr. 762/2008 par to, kā dalībvalstis iesniedz statistiku par akvakultūru, un ar ko atceļ Padomes Regulu (EK) Nr. 788/96</w:t>
      </w:r>
    </w:p>
    <w:p>
      <w:pPr>
        <w:jc w:val="center"/>
        <w:rPr>
          <w:rFonts w:ascii="Times New Roman" w:hAnsi="Times New Roman" w:cs="Times New Roman"/>
          <w:b/>
          <w:noProof/>
          <w:sz w:val="24"/>
          <w:szCs w:val="24"/>
          <w:lang w:val="en-GB"/>
        </w:rPr>
      </w:pPr>
    </w:p>
    <w:p>
      <w:pPr>
        <w:pStyle w:val="ListParagraph"/>
        <w:keepNext/>
        <w:numPr>
          <w:ilvl w:val="0"/>
          <w:numId w:val="3"/>
        </w:numPr>
        <w:spacing w:before="240" w:after="240" w:line="240" w:lineRule="auto"/>
        <w:ind w:left="567" w:hanging="567"/>
        <w:jc w:val="both"/>
        <w:outlineLvl w:val="0"/>
        <w:rPr>
          <w:rFonts w:ascii="Times New Roman" w:eastAsia="Times New Roman" w:hAnsi="Times New Roman" w:cs="Times New Roman"/>
          <w:b/>
          <w:smallCaps/>
          <w:noProof/>
          <w:sz w:val="24"/>
          <w:szCs w:val="20"/>
        </w:rPr>
      </w:pPr>
      <w:bookmarkStart w:id="2" w:name="_Toc39845161"/>
      <w:r>
        <w:rPr>
          <w:rFonts w:ascii="Times New Roman" w:hAnsi="Times New Roman"/>
          <w:b/>
          <w:smallCaps/>
          <w:noProof/>
          <w:sz w:val="24"/>
          <w:szCs w:val="20"/>
        </w:rPr>
        <w:t>Pamatinformācija</w:t>
      </w:r>
      <w:bookmarkEnd w:id="2"/>
    </w:p>
    <w:p>
      <w:pPr>
        <w:autoSpaceDE w:val="0"/>
        <w:autoSpaceDN w:val="0"/>
        <w:adjustRightInd w:val="0"/>
        <w:spacing w:before="60" w:after="60" w:line="240" w:lineRule="auto"/>
        <w:jc w:val="both"/>
        <w:rPr>
          <w:rFonts w:ascii="Times New Roman" w:eastAsia="Times New Roman" w:hAnsi="Times New Roman" w:cs="Times New Roman"/>
          <w:noProof/>
          <w:color w:val="000000"/>
          <w:sz w:val="24"/>
          <w:szCs w:val="24"/>
        </w:rPr>
      </w:pPr>
      <w:r>
        <w:rPr>
          <w:rFonts w:ascii="Times New Roman" w:hAnsi="Times New Roman"/>
          <w:noProof/>
          <w:sz w:val="23"/>
          <w:szCs w:val="23"/>
        </w:rPr>
        <w:t>Komisija (</w:t>
      </w:r>
      <w:r>
        <w:rPr>
          <w:rFonts w:ascii="Times New Roman" w:hAnsi="Times New Roman"/>
          <w:i/>
          <w:noProof/>
          <w:sz w:val="23"/>
          <w:szCs w:val="23"/>
        </w:rPr>
        <w:t>Eurostat</w:t>
      </w:r>
      <w:r>
        <w:rPr>
          <w:rFonts w:ascii="Times New Roman" w:hAnsi="Times New Roman"/>
          <w:noProof/>
          <w:sz w:val="23"/>
          <w:szCs w:val="23"/>
        </w:rPr>
        <w:t>) vāc statistiku par akvakultūru saskaņā ar Eiropas Parlamenta un Padomes Regulu (EK) Nr. 762/2008</w:t>
      </w:r>
      <w:r>
        <w:rPr>
          <w:rFonts w:ascii="Times New Roman" w:eastAsia="Times New Roman" w:hAnsi="Times New Roman" w:cs="Times New Roman"/>
          <w:noProof/>
          <w:sz w:val="23"/>
          <w:szCs w:val="23"/>
          <w:vertAlign w:val="superscript"/>
          <w:lang w:val="en-GB" w:eastAsia="fr-BE"/>
        </w:rPr>
        <w:footnoteReference w:id="1"/>
      </w:r>
      <w:r>
        <w:rPr>
          <w:rFonts w:ascii="Times New Roman" w:hAnsi="Times New Roman"/>
          <w:noProof/>
          <w:sz w:val="23"/>
          <w:szCs w:val="23"/>
        </w:rPr>
        <w:t xml:space="preserve">. Regulas 11. pantā ir noteikts, ka reizi trijos gados Komisijai ir </w:t>
      </w:r>
      <w:r>
        <w:rPr>
          <w:rFonts w:ascii="Times New Roman" w:hAnsi="Times New Roman"/>
          <w:noProof/>
          <w:color w:val="000000"/>
          <w:sz w:val="23"/>
          <w:szCs w:val="23"/>
        </w:rPr>
        <w:t>jāiesniedz</w:t>
      </w:r>
      <w:r>
        <w:rPr>
          <w:rFonts w:ascii="Times New Roman" w:hAnsi="Times New Roman"/>
          <w:noProof/>
        </w:rPr>
        <w:t xml:space="preserve"> </w:t>
      </w:r>
      <w:r>
        <w:rPr>
          <w:rFonts w:ascii="Times New Roman" w:hAnsi="Times New Roman"/>
          <w:noProof/>
          <w:sz w:val="23"/>
          <w:szCs w:val="23"/>
        </w:rPr>
        <w:t xml:space="preserve">Eiropas Parlamentam un Padomei ziņojums par apkopotās statistikas kvalitāti un atbilstību. Ziņojumā arī ir jāanalizē datu vākšanas sistēmas izmaksu lietderība un jānorāda labākā prakse, kas varētu samazināt dalībvalstu darba slogu un vairot datu lietderību un kvalitāti. </w:t>
      </w:r>
    </w:p>
    <w:p>
      <w:pPr>
        <w:autoSpaceDE w:val="0"/>
        <w:autoSpaceDN w:val="0"/>
        <w:adjustRightInd w:val="0"/>
        <w:spacing w:after="0" w:line="240" w:lineRule="auto"/>
        <w:rPr>
          <w:rFonts w:ascii="Times New Roman" w:eastAsia="Times New Roman" w:hAnsi="Times New Roman" w:cs="Times New Roman"/>
          <w:noProof/>
          <w:color w:val="000000"/>
          <w:sz w:val="23"/>
          <w:szCs w:val="23"/>
          <w:lang w:val="en-GB" w:eastAsia="fr-BE"/>
        </w:rPr>
      </w:pP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Regula attiecas uz dalībvalstīm, Apvienoto Karalisti pārejas periodā pēc izstāšanās no ES, kā arī Norvēģiju, Islandi un Lihtenšteinu (attiecas uz EEZ). Luksemburgā un Lihtenšteinā nav komerciālu akvakultūras produktu ražotņu, tāpēc tās ir atbrīvotas no pienākuma iesniegt datus.</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Šā ziņojuma pamatā galvenokārt ir dalībvalstu iesniegtie ziņojumi par akvakultūras statistikas kvalitāti. </w:t>
      </w:r>
      <w:r>
        <w:rPr>
          <w:rFonts w:ascii="Times New Roman" w:hAnsi="Times New Roman"/>
          <w:i/>
          <w:noProof/>
          <w:sz w:val="23"/>
          <w:szCs w:val="23"/>
        </w:rPr>
        <w:t>Eurostat</w:t>
      </w:r>
      <w:r>
        <w:rPr>
          <w:rFonts w:ascii="Times New Roman" w:hAnsi="Times New Roman"/>
          <w:noProof/>
          <w:sz w:val="23"/>
          <w:szCs w:val="23"/>
        </w:rPr>
        <w:t xml:space="preserve"> analizēja arī akvakultūras datus par 2017./2018. gadu. Eiropas Statistikas sistēma sniedza informāciju par datu vākšanas kopējām izmaksām. Pamatojoties uz iepriekš minēto, šajā ziņojumā sniegts vispārējs novērtējums par datu savlaicīgumu, pilnīgumu, konsekvenci, pieejamību un konfidencialitāti. Tiek aplūkots arī datu vākšanas procesa radītais slogs un tā izmaksu lietderība.</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Iepriekšējos izvērtējuma ziņojumus par akvakultūras statistiku, kas iesniegti saskaņā ar Regulu (EK) Nr. 762/2008, Komisija pieņēma 2015. gada jūnijā</w:t>
      </w:r>
      <w:r>
        <w:rPr>
          <w:rFonts w:ascii="Times New Roman" w:eastAsia="Times New Roman" w:hAnsi="Times New Roman" w:cs="Times New Roman"/>
          <w:noProof/>
          <w:sz w:val="23"/>
          <w:szCs w:val="23"/>
          <w:vertAlign w:val="superscript"/>
          <w:lang w:val="en-GB" w:eastAsia="fr-BE"/>
        </w:rPr>
        <w:footnoteReference w:id="2"/>
      </w:r>
      <w:r>
        <w:rPr>
          <w:rFonts w:ascii="Times New Roman" w:hAnsi="Times New Roman"/>
          <w:noProof/>
          <w:sz w:val="16"/>
          <w:szCs w:val="16"/>
        </w:rPr>
        <w:t xml:space="preserve"> </w:t>
      </w:r>
      <w:r>
        <w:rPr>
          <w:rFonts w:ascii="Times New Roman" w:hAnsi="Times New Roman"/>
          <w:noProof/>
          <w:sz w:val="23"/>
          <w:szCs w:val="23"/>
        </w:rPr>
        <w:t>(ziņojums par 2011.–2013. gada datiem) un 2017. gada decembrī</w:t>
      </w:r>
      <w:r>
        <w:rPr>
          <w:rFonts w:ascii="Times New Roman" w:eastAsia="Times New Roman" w:hAnsi="Times New Roman" w:cs="Times New Roman"/>
          <w:noProof/>
          <w:sz w:val="23"/>
          <w:szCs w:val="23"/>
          <w:vertAlign w:val="superscript"/>
          <w:lang w:val="en-GB" w:eastAsia="fr-BE"/>
        </w:rPr>
        <w:footnoteReference w:id="3"/>
      </w:r>
      <w:r>
        <w:rPr>
          <w:rFonts w:ascii="Times New Roman" w:hAnsi="Times New Roman"/>
          <w:noProof/>
          <w:sz w:val="16"/>
          <w:szCs w:val="16"/>
        </w:rPr>
        <w:t xml:space="preserve"> </w:t>
      </w:r>
      <w:r>
        <w:rPr>
          <w:rFonts w:ascii="Times New Roman" w:hAnsi="Times New Roman"/>
          <w:noProof/>
          <w:sz w:val="23"/>
          <w:szCs w:val="23"/>
        </w:rPr>
        <w:t>(ziņojums par 2014./2015. gada datiem). Šis ziņojums aptver datus par 2016.–2018. gadu.</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2018. gadā </w:t>
      </w:r>
      <w:r>
        <w:rPr>
          <w:rFonts w:ascii="Times New Roman" w:hAnsi="Times New Roman"/>
          <w:i/>
          <w:noProof/>
          <w:sz w:val="23"/>
          <w:szCs w:val="23"/>
        </w:rPr>
        <w:t>Eurostat</w:t>
      </w:r>
      <w:r>
        <w:rPr>
          <w:rFonts w:ascii="Times New Roman" w:hAnsi="Times New Roman"/>
          <w:noProof/>
          <w:sz w:val="23"/>
          <w:szCs w:val="23"/>
        </w:rPr>
        <w:t xml:space="preserve"> uzsāka projektu “Eiropas zivsaimniecības statistikas datu apkopošanas racionalizēšana un vienkāršošana”. Tas ietver aktuālās statistikas par akvakultūru, nozveju un izkraušanu izvērtēšanu un ietekmes novērtējuma sagatavošanu attiecībā uz turpmākajām politikas iespējām, kā arī iespējamiem nākotnes tiesību aktiem. Izvērtēšana, kurā tika aplūkots arī tas, kā darbojas Regula (EK) Nr. 762/2008 par akvakultūru, tika pabeigta 2019. gadā, savukārt ietekmes novērtējuma sagatavošana tika uzsākta 2020. gadā.</w:t>
      </w:r>
      <w:r>
        <w:rPr>
          <w:rFonts w:ascii="Times New Roman" w:hAnsi="Times New Roman"/>
          <w:noProof/>
          <w:sz w:val="23"/>
          <w:szCs w:val="23"/>
        </w:rPr>
        <w:br w:type="page"/>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4"/>
          <w:szCs w:val="20"/>
        </w:rPr>
      </w:pPr>
      <w:bookmarkStart w:id="3" w:name="_Toc39845162"/>
      <w:r>
        <w:rPr>
          <w:rFonts w:ascii="Times New Roman" w:hAnsi="Times New Roman"/>
          <w:b/>
          <w:smallCaps/>
          <w:noProof/>
          <w:sz w:val="24"/>
          <w:szCs w:val="20"/>
        </w:rPr>
        <w:t>2.</w:t>
      </w:r>
      <w:r>
        <w:rPr>
          <w:noProof/>
        </w:rPr>
        <w:tab/>
      </w:r>
      <w:r>
        <w:rPr>
          <w:rFonts w:ascii="Times New Roman" w:hAnsi="Times New Roman"/>
          <w:b/>
          <w:smallCaps/>
          <w:noProof/>
          <w:sz w:val="24"/>
          <w:szCs w:val="20"/>
        </w:rPr>
        <w:t>Galvenie konstatējumi</w:t>
      </w:r>
      <w:bookmarkEnd w:id="3"/>
    </w:p>
    <w:p>
      <w:pPr>
        <w:keepNext/>
        <w:spacing w:before="240" w:after="240" w:line="240" w:lineRule="auto"/>
        <w:jc w:val="both"/>
        <w:outlineLvl w:val="0"/>
        <w:rPr>
          <w:rFonts w:ascii="Times New Roman" w:eastAsia="Times New Roman" w:hAnsi="Times New Roman" w:cs="Times New Roman"/>
          <w:noProof/>
          <w:sz w:val="23"/>
          <w:szCs w:val="23"/>
        </w:rPr>
      </w:pPr>
      <w:r>
        <w:rPr>
          <w:rFonts w:ascii="Times New Roman" w:hAnsi="Times New Roman"/>
          <w:i/>
          <w:noProof/>
          <w:sz w:val="23"/>
          <w:szCs w:val="23"/>
        </w:rPr>
        <w:t>Eurostat</w:t>
      </w:r>
      <w:r>
        <w:rPr>
          <w:rFonts w:ascii="Times New Roman" w:hAnsi="Times New Roman"/>
          <w:noProof/>
          <w:sz w:val="23"/>
          <w:szCs w:val="23"/>
        </w:rPr>
        <w:t xml:space="preserve"> mērķis ir pastāvīgi uzlabot Eiropas statistikas kvalitāti un pieejamību. </w:t>
      </w:r>
      <w:r>
        <w:rPr>
          <w:rFonts w:ascii="Times New Roman" w:hAnsi="Times New Roman"/>
          <w:i/>
          <w:noProof/>
          <w:sz w:val="23"/>
          <w:szCs w:val="23"/>
        </w:rPr>
        <w:t>Eurostat</w:t>
      </w:r>
      <w:r>
        <w:rPr>
          <w:rFonts w:ascii="Times New Roman" w:hAnsi="Times New Roman"/>
          <w:noProof/>
          <w:sz w:val="23"/>
          <w:szCs w:val="23"/>
        </w:rPr>
        <w:t xml:space="preserve"> ir arī apņēmies samazināt dalībvalstīm un respondentiem radīto slogu. Šajā nolūkā projekta “Eiropas zivsaimniecības statistikas datu apkopošanas racionalizēšana un vienkāršošana” ietvaros tiek aplūkota pašreizējā datu vākšanas prakse un izstrādāta stratēģija, kā uzlabot akvakultūras statistikas atbilstību mērķim. Projekts nodrošina koordināciju, lai panāktu ciešāku saistību ar statistiku, kas savākta saskaņā ar Regulu (ES) 2017/1004</w:t>
      </w:r>
      <w:r>
        <w:rPr>
          <w:rFonts w:ascii="Times New Roman" w:eastAsia="Times New Roman" w:hAnsi="Times New Roman" w:cs="Times New Roman"/>
          <w:noProof/>
          <w:sz w:val="23"/>
          <w:szCs w:val="23"/>
          <w:vertAlign w:val="superscript"/>
          <w:lang w:val="en-GB" w:eastAsia="fr-BE"/>
        </w:rPr>
        <w:footnoteReference w:id="4"/>
      </w:r>
      <w:r>
        <w:rPr>
          <w:rFonts w:ascii="Times New Roman" w:hAnsi="Times New Roman"/>
          <w:noProof/>
          <w:sz w:val="23"/>
          <w:szCs w:val="23"/>
        </w:rPr>
        <w:t>, un labāku saskaņotību ar akvakultūras apsekojumu standarta anketu, kuru ieteikusi Zivsaimniecības statistikas koordinācijas darba grupa</w:t>
      </w:r>
      <w:r>
        <w:rPr>
          <w:rFonts w:ascii="Times New Roman" w:eastAsia="Times New Roman" w:hAnsi="Times New Roman" w:cs="Times New Roman"/>
          <w:noProof/>
          <w:sz w:val="23"/>
          <w:szCs w:val="23"/>
          <w:vertAlign w:val="superscript"/>
          <w:lang w:val="en-GB" w:eastAsia="fr-BE"/>
        </w:rPr>
        <w:footnoteReference w:id="5"/>
      </w:r>
      <w:r>
        <w:rPr>
          <w:rFonts w:ascii="Times New Roman" w:hAnsi="Times New Roman"/>
          <w:noProof/>
          <w:sz w:val="23"/>
          <w:szCs w:val="23"/>
        </w:rPr>
        <w:t>. Pirmais projekta atskaites punkts — pabeigt Eiropas zivsaimniecības statistikas izvērtēšanu — tika sasniegts 2019. gada beigās, kad par šo izvērtēšanu tika sagatavots Komisijas dienestu darba dokuments</w:t>
      </w:r>
      <w:r>
        <w:rPr>
          <w:rFonts w:ascii="Times New Roman" w:eastAsia="Times New Roman" w:hAnsi="Times New Roman" w:cs="Times New Roman"/>
          <w:noProof/>
          <w:sz w:val="23"/>
          <w:szCs w:val="23"/>
          <w:vertAlign w:val="superscript"/>
          <w:lang w:val="en-GB" w:eastAsia="fr-BE"/>
        </w:rPr>
        <w:footnoteReference w:id="6"/>
      </w:r>
      <w:r>
        <w:rPr>
          <w:rFonts w:ascii="Times New Roman" w:hAnsi="Times New Roman"/>
          <w:noProof/>
          <w:sz w:val="23"/>
          <w:szCs w:val="23"/>
        </w:rPr>
        <w:t xml:space="preserve">.  </w:t>
      </w:r>
    </w:p>
    <w:p>
      <w:pPr>
        <w:spacing w:after="240" w:line="240" w:lineRule="auto"/>
        <w:ind w:left="482"/>
        <w:jc w:val="both"/>
        <w:rPr>
          <w:rFonts w:ascii="Times New Roman" w:eastAsia="Times New Roman" w:hAnsi="Times New Roman" w:cs="Times New Roman"/>
          <w:noProof/>
          <w:sz w:val="24"/>
          <w:szCs w:val="20"/>
          <w:lang w:val="en-GB" w:eastAsia="fr-BE"/>
        </w:rPr>
      </w:pP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4" w:name="_Toc39845163"/>
      <w:r>
        <w:rPr>
          <w:rFonts w:ascii="Times New Roman" w:hAnsi="Times New Roman"/>
          <w:b/>
          <w:noProof/>
          <w:sz w:val="24"/>
          <w:szCs w:val="20"/>
        </w:rPr>
        <w:t>2.1.</w:t>
      </w:r>
      <w:r>
        <w:rPr>
          <w:noProof/>
        </w:rPr>
        <w:tab/>
      </w:r>
      <w:r>
        <w:rPr>
          <w:rFonts w:ascii="Times New Roman" w:hAnsi="Times New Roman"/>
          <w:b/>
          <w:noProof/>
          <w:sz w:val="24"/>
          <w:szCs w:val="20"/>
        </w:rPr>
        <w:t>Savlaicīgums un pilnīgums</w:t>
      </w:r>
      <w:bookmarkEnd w:id="4"/>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5" w:name="_Toc39845164"/>
      <w:r>
        <w:rPr>
          <w:rFonts w:ascii="Times New Roman" w:hAnsi="Times New Roman"/>
          <w:i/>
          <w:noProof/>
          <w:sz w:val="24"/>
          <w:szCs w:val="20"/>
        </w:rPr>
        <w:t>2.1.1.</w:t>
      </w:r>
      <w:r>
        <w:rPr>
          <w:noProof/>
        </w:rPr>
        <w:tab/>
      </w:r>
      <w:r>
        <w:rPr>
          <w:rFonts w:ascii="Times New Roman" w:hAnsi="Times New Roman"/>
          <w:i/>
          <w:noProof/>
          <w:sz w:val="24"/>
          <w:szCs w:val="20"/>
        </w:rPr>
        <w:t>Savlaicīgums</w:t>
      </w:r>
      <w:bookmarkEnd w:id="5"/>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Pēdējos gados lielākā daļa dalībvalstu ir ievērojušas datu iesniegšanas termiņus. Tomēr trešdaļa dalībvalstu dažas datu kopas iesūtīja pēc termiņa. Vairumā gadījumu šī kavēšanās bija salīdzinoši neilga. Tomēr </w:t>
      </w:r>
      <w:r>
        <w:rPr>
          <w:rFonts w:ascii="Times New Roman" w:hAnsi="Times New Roman"/>
          <w:i/>
          <w:noProof/>
          <w:sz w:val="23"/>
          <w:szCs w:val="23"/>
        </w:rPr>
        <w:t>Eurostat</w:t>
      </w:r>
      <w:r>
        <w:rPr>
          <w:rFonts w:ascii="Times New Roman" w:hAnsi="Times New Roman"/>
          <w:noProof/>
          <w:sz w:val="23"/>
          <w:szCs w:val="23"/>
        </w:rPr>
        <w:t xml:space="preserve"> ir sācis rīkoties, lai rastu risinājumu sadarbībai ar Franciju un Itāliju, kuras atkārtoti nosūta datus ļoti vēlu, un jo īpaši tas attiecas uz datiem par 2016. pārskata gadu.</w:t>
      </w:r>
    </w:p>
    <w:p>
      <w:pPr>
        <w:spacing w:after="240" w:line="240" w:lineRule="auto"/>
        <w:jc w:val="both"/>
        <w:rPr>
          <w:rFonts w:ascii="Times New Roman" w:eastAsia="Times New Roman" w:hAnsi="Times New Roman" w:cs="Times New Roman"/>
          <w:noProof/>
          <w:sz w:val="23"/>
          <w:szCs w:val="23"/>
        </w:rPr>
      </w:pPr>
      <w:r>
        <w:rPr>
          <w:rFonts w:ascii="Times New Roman" w:hAnsi="Times New Roman"/>
          <w:i/>
          <w:noProof/>
          <w:sz w:val="23"/>
          <w:szCs w:val="23"/>
        </w:rPr>
        <w:t>Eurostat</w:t>
      </w:r>
      <w:r>
        <w:rPr>
          <w:rFonts w:ascii="Times New Roman" w:hAnsi="Times New Roman"/>
          <w:noProof/>
          <w:sz w:val="23"/>
          <w:szCs w:val="23"/>
        </w:rPr>
        <w:t xml:space="preserve"> publicē datus uzreiz pēc to validēšanas. Derīgi dati parasti tiek publicēti </w:t>
      </w:r>
      <w:r>
        <w:rPr>
          <w:rFonts w:ascii="Times New Roman" w:hAnsi="Times New Roman"/>
          <w:i/>
          <w:noProof/>
          <w:sz w:val="23"/>
          <w:szCs w:val="23"/>
        </w:rPr>
        <w:t>Eurostat</w:t>
      </w:r>
      <w:r>
        <w:rPr>
          <w:rFonts w:ascii="Times New Roman" w:hAnsi="Times New Roman"/>
          <w:noProof/>
          <w:sz w:val="23"/>
          <w:szCs w:val="23"/>
        </w:rPr>
        <w:t xml:space="preserve"> publiskajā datubāzē līdz marta beigām nākamajā gadā pēc minētā termiņa. Datus var pārskatīt jebkurā laikā visa gada garumā.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ANO Pārtikas un lauksaimniecības organizācija (</w:t>
      </w:r>
      <w:r>
        <w:rPr>
          <w:rFonts w:ascii="Times New Roman" w:hAnsi="Times New Roman"/>
          <w:i/>
          <w:noProof/>
          <w:sz w:val="23"/>
          <w:szCs w:val="23"/>
        </w:rPr>
        <w:t>FAO</w:t>
      </w:r>
      <w:r>
        <w:rPr>
          <w:rFonts w:ascii="Times New Roman" w:hAnsi="Times New Roman"/>
          <w:noProof/>
          <w:sz w:val="23"/>
          <w:szCs w:val="23"/>
        </w:rPr>
        <w:t>) uzskatīja, ka Regulā (EK) Nr. 762/2008 noteiktie termiņi ir 6 mēnešus par garu, lai šī organizācija varētu apmierināt savas ziņošanas vajadzības, tāpēc notiek paralēla datu vākšana no valstīm.</w:t>
      </w:r>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6" w:name="_Toc39845165"/>
      <w:r>
        <w:rPr>
          <w:rFonts w:ascii="Times New Roman" w:hAnsi="Times New Roman"/>
          <w:i/>
          <w:noProof/>
          <w:sz w:val="24"/>
          <w:szCs w:val="20"/>
        </w:rPr>
        <w:t>2.1.2.</w:t>
      </w:r>
      <w:r>
        <w:rPr>
          <w:noProof/>
        </w:rPr>
        <w:tab/>
      </w:r>
      <w:r>
        <w:rPr>
          <w:rFonts w:ascii="Times New Roman" w:hAnsi="Times New Roman"/>
          <w:i/>
          <w:noProof/>
          <w:sz w:val="24"/>
          <w:szCs w:val="20"/>
        </w:rPr>
        <w:t>Pilnīgums</w:t>
      </w:r>
      <w:bookmarkEnd w:id="6"/>
    </w:p>
    <w:p>
      <w:pPr>
        <w:autoSpaceDE w:val="0"/>
        <w:autoSpaceDN w:val="0"/>
        <w:adjustRightInd w:val="0"/>
        <w:spacing w:after="0"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Galvenā akvakultūras datu kopa (akvakultūras produkcija) bija salīdzinoši pilnīga. Laika gaitā tā ir kļuvusi vēl pilnīgāka. Diemžēl daudzas vērtības joprojām ir konfidenciālas, jo nozare ir ļoti specializēta. </w:t>
      </w:r>
    </w:p>
    <w:p>
      <w:pPr>
        <w:autoSpaceDE w:val="0"/>
        <w:autoSpaceDN w:val="0"/>
        <w:adjustRightInd w:val="0"/>
        <w:spacing w:after="0" w:line="240" w:lineRule="auto"/>
        <w:jc w:val="both"/>
        <w:rPr>
          <w:rFonts w:ascii="Times New Roman" w:eastAsia="Times New Roman" w:hAnsi="Times New Roman" w:cs="Times New Roman"/>
          <w:noProof/>
          <w:color w:val="000000"/>
          <w:sz w:val="23"/>
          <w:szCs w:val="23"/>
          <w:lang w:val="en-GB" w:eastAsia="fr-BE"/>
        </w:rPr>
      </w:pPr>
    </w:p>
    <w:p>
      <w:pPr>
        <w:autoSpaceDE w:val="0"/>
        <w:autoSpaceDN w:val="0"/>
        <w:adjustRightInd w:val="0"/>
        <w:spacing w:after="0"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Datu kopa par akvakultūras nozares struktūru tiek vākta reizi trijos gados, pēdējo reizi — 2017. gadā. Saistībā ar šo datu kopu ir radušās nopietnas bažas par tās izmantojamību, jo paziņotās vienības atkarībā no sugas var būt gan virsmas, gan produkcijas apjomi. Tāpēc šī datu kopa sniedz lietotājiem neskaidru informāciju, jo īpaši tad, ja tiek salīdzināti dati no valstīm, kurās audzē atšķirīgas sugas. Šī datu kopa vēl nav publicēta.</w:t>
      </w:r>
    </w:p>
    <w:p>
      <w:pPr>
        <w:autoSpaceDE w:val="0"/>
        <w:autoSpaceDN w:val="0"/>
        <w:adjustRightInd w:val="0"/>
        <w:spacing w:after="0" w:line="240" w:lineRule="auto"/>
        <w:jc w:val="both"/>
        <w:rPr>
          <w:rFonts w:ascii="Times New Roman" w:eastAsia="Times New Roman" w:hAnsi="Times New Roman" w:cs="Times New Roman"/>
          <w:noProof/>
          <w:color w:val="000000"/>
          <w:sz w:val="23"/>
          <w:szCs w:val="23"/>
          <w:lang w:val="en-GB" w:eastAsia="fr-BE"/>
        </w:rPr>
      </w:pPr>
    </w:p>
    <w:p>
      <w:pPr>
        <w:autoSpaceDE w:val="0"/>
        <w:autoSpaceDN w:val="0"/>
        <w:adjustRightInd w:val="0"/>
        <w:spacing w:after="0"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Attiecībā uz visām akvakultūras produkcijas datu kopām parasti grūtības radīja vienības cenas. Šī problēma tika apspriesta pēdējā Zivsaimniecības statistikas darba grupas sanāksmē, kas notika 2018. gada oktobrī. </w:t>
      </w:r>
    </w:p>
    <w:p>
      <w:pPr>
        <w:autoSpaceDE w:val="0"/>
        <w:autoSpaceDN w:val="0"/>
        <w:adjustRightInd w:val="0"/>
        <w:spacing w:after="0" w:line="240" w:lineRule="auto"/>
        <w:rPr>
          <w:rFonts w:ascii="Times New Roman" w:eastAsia="Times New Roman" w:hAnsi="Times New Roman" w:cs="Times New Roman"/>
          <w:noProof/>
          <w:color w:val="000000"/>
          <w:sz w:val="23"/>
          <w:szCs w:val="23"/>
          <w:lang w:val="en-GB" w:eastAsia="fr-BE"/>
        </w:rPr>
      </w:pPr>
    </w:p>
    <w:p>
      <w:pPr>
        <w:autoSpaceDE w:val="0"/>
        <w:autoSpaceDN w:val="0"/>
        <w:adjustRightInd w:val="0"/>
        <w:spacing w:after="0" w:line="240" w:lineRule="auto"/>
        <w:rPr>
          <w:rFonts w:ascii="Times New Roman" w:eastAsia="Times New Roman" w:hAnsi="Times New Roman" w:cs="Times New Roman"/>
          <w:noProof/>
          <w:color w:val="000000"/>
          <w:sz w:val="23"/>
          <w:szCs w:val="23"/>
          <w:lang w:val="en-GB" w:eastAsia="fr-BE"/>
        </w:rPr>
      </w:pP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7" w:name="_Toc39845166"/>
      <w:r>
        <w:rPr>
          <w:rFonts w:ascii="Times New Roman" w:hAnsi="Times New Roman"/>
          <w:b/>
          <w:noProof/>
          <w:sz w:val="24"/>
          <w:szCs w:val="20"/>
        </w:rPr>
        <w:t>2.2.</w:t>
      </w:r>
      <w:r>
        <w:rPr>
          <w:noProof/>
        </w:rPr>
        <w:tab/>
      </w:r>
      <w:r>
        <w:rPr>
          <w:rFonts w:ascii="Times New Roman" w:hAnsi="Times New Roman"/>
          <w:b/>
          <w:noProof/>
          <w:sz w:val="24"/>
          <w:szCs w:val="20"/>
        </w:rPr>
        <w:t>Konsekvence</w:t>
      </w:r>
      <w:bookmarkEnd w:id="7"/>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8" w:name="_Toc39845167"/>
      <w:r>
        <w:rPr>
          <w:rFonts w:ascii="Times New Roman" w:hAnsi="Times New Roman"/>
          <w:i/>
          <w:noProof/>
          <w:sz w:val="24"/>
          <w:szCs w:val="20"/>
        </w:rPr>
        <w:t>2.2.1.</w:t>
      </w:r>
      <w:r>
        <w:rPr>
          <w:noProof/>
        </w:rPr>
        <w:tab/>
      </w:r>
      <w:r>
        <w:rPr>
          <w:rFonts w:ascii="Times New Roman" w:hAnsi="Times New Roman"/>
          <w:i/>
          <w:noProof/>
          <w:sz w:val="24"/>
          <w:szCs w:val="20"/>
        </w:rPr>
        <w:t>Kvalitāte un precizitāte</w:t>
      </w:r>
      <w:bookmarkEnd w:id="8"/>
    </w:p>
    <w:p>
      <w:pPr>
        <w:spacing w:after="240" w:line="240" w:lineRule="auto"/>
        <w:jc w:val="both"/>
        <w:rPr>
          <w:rFonts w:ascii="Times New Roman" w:eastAsia="Times New Roman" w:hAnsi="Times New Roman" w:cs="Times New Roman"/>
          <w:noProof/>
          <w:sz w:val="23"/>
          <w:szCs w:val="23"/>
        </w:rPr>
      </w:pPr>
      <w:r>
        <w:rPr>
          <w:rFonts w:ascii="Times New Roman" w:hAnsi="Times New Roman"/>
          <w:i/>
          <w:iCs/>
          <w:noProof/>
          <w:sz w:val="23"/>
          <w:szCs w:val="23"/>
        </w:rPr>
        <w:t>Eurostat</w:t>
      </w:r>
      <w:r>
        <w:rPr>
          <w:rFonts w:ascii="Times New Roman" w:hAnsi="Times New Roman"/>
          <w:noProof/>
          <w:sz w:val="23"/>
          <w:szCs w:val="23"/>
        </w:rPr>
        <w:t xml:space="preserve"> ik gadu vāc ziņojumus par akvakultūras statistikas kvalitāti. Šajos ziņojumos, pamatojoties uz valstu pašnovērtējumiem, tiek aprakstītas datu vākšanas metodes un ar šo datu vākšanu saistītie kvalitātes aspekti. </w:t>
      </w:r>
      <w:r>
        <w:rPr>
          <w:rFonts w:ascii="Times New Roman" w:hAnsi="Times New Roman"/>
          <w:i/>
          <w:noProof/>
          <w:sz w:val="23"/>
          <w:szCs w:val="23"/>
        </w:rPr>
        <w:t>Eurostat</w:t>
      </w:r>
      <w:r>
        <w:rPr>
          <w:rFonts w:ascii="Times New Roman" w:hAnsi="Times New Roman"/>
          <w:noProof/>
          <w:sz w:val="23"/>
          <w:szCs w:val="23"/>
        </w:rPr>
        <w:t xml:space="preserve"> izmantoja valstu iesniegtos kvalitātes ziņojumus, lai sagatavotu ES līmeņa kvalitātes ziņojumu</w:t>
      </w:r>
      <w:r>
        <w:rPr>
          <w:rFonts w:ascii="Times New Roman" w:eastAsia="Times New Roman" w:hAnsi="Times New Roman" w:cs="Times New Roman"/>
          <w:noProof/>
          <w:sz w:val="23"/>
          <w:szCs w:val="23"/>
          <w:vertAlign w:val="superscript"/>
          <w:lang w:val="en-GB" w:eastAsia="fr-BE"/>
        </w:rPr>
        <w:footnoteReference w:id="7"/>
      </w:r>
      <w:r>
        <w:rPr>
          <w:rFonts w:ascii="Times New Roman" w:hAnsi="Times New Roman"/>
          <w:noProof/>
          <w:sz w:val="23"/>
          <w:szCs w:val="23"/>
        </w:rPr>
        <w:t xml:space="preserve">. Kopējā kvalitāte ir laba, jo lielākā daļa valstu izmanto skaitīšanas pieeju, kurā vai nu nav neatbildētu jautājumu, vai arī to skaits ir niecīgs.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Vairāk nekā pusē valstu ir izveidota kvalitātes vadības sistēma. Kopš pēdējā ziņojuma kopējā kvalitāte, ko izvērtēja </w:t>
      </w:r>
      <w:r>
        <w:rPr>
          <w:rFonts w:ascii="Times New Roman" w:hAnsi="Times New Roman"/>
          <w:i/>
          <w:noProof/>
          <w:sz w:val="23"/>
          <w:szCs w:val="23"/>
        </w:rPr>
        <w:t>Eurostat</w:t>
      </w:r>
      <w:r>
        <w:rPr>
          <w:rFonts w:ascii="Times New Roman" w:hAnsi="Times New Roman"/>
          <w:noProof/>
          <w:sz w:val="23"/>
          <w:szCs w:val="23"/>
        </w:rPr>
        <w:t>, ir uzlabojusies piecās valstīs. Lielākā daļa uzlabojumu bija vērsti uz savlaicīgumu (septiņās valstīs), precizitāti un ticamību (piecās valstīs). Francijā, kurā tiek veikta skaitīšana, 2018. gadā uzlabojās visi kvalitātes aspekti. Atbilstība uzlabojās vienā valstī, taču saskaņotības un salīdzināmības rādītājus neviena valsts netika uzlabojusi.</w:t>
      </w:r>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9" w:name="_Toc39845168"/>
      <w:r>
        <w:rPr>
          <w:rFonts w:ascii="Times New Roman" w:hAnsi="Times New Roman"/>
          <w:i/>
          <w:noProof/>
          <w:sz w:val="24"/>
          <w:szCs w:val="20"/>
        </w:rPr>
        <w:t>2.2.2.</w:t>
      </w:r>
      <w:r>
        <w:rPr>
          <w:noProof/>
        </w:rPr>
        <w:tab/>
      </w:r>
      <w:r>
        <w:rPr>
          <w:rFonts w:ascii="Times New Roman" w:hAnsi="Times New Roman"/>
          <w:i/>
          <w:noProof/>
          <w:sz w:val="24"/>
          <w:szCs w:val="20"/>
        </w:rPr>
        <w:t>Salīdzināmība</w:t>
      </w:r>
      <w:bookmarkEnd w:id="9"/>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2018. gada oktobrī </w:t>
      </w:r>
      <w:r>
        <w:rPr>
          <w:rFonts w:ascii="Times New Roman" w:hAnsi="Times New Roman"/>
          <w:i/>
          <w:noProof/>
          <w:sz w:val="23"/>
          <w:szCs w:val="23"/>
        </w:rPr>
        <w:t>Eurostat</w:t>
      </w:r>
      <w:r>
        <w:rPr>
          <w:rFonts w:ascii="Times New Roman" w:hAnsi="Times New Roman"/>
          <w:noProof/>
          <w:sz w:val="23"/>
          <w:szCs w:val="23"/>
        </w:rPr>
        <w:t xml:space="preserve"> publicēja rokasgrāmatu par akvakultūras statistiku</w:t>
      </w:r>
      <w:r>
        <w:rPr>
          <w:rFonts w:ascii="Times New Roman" w:eastAsia="Times New Roman" w:hAnsi="Times New Roman" w:cs="Times New Roman"/>
          <w:noProof/>
          <w:sz w:val="23"/>
          <w:szCs w:val="23"/>
          <w:vertAlign w:val="superscript"/>
          <w:lang w:val="en-GB" w:eastAsia="fr-BE"/>
        </w:rPr>
        <w:footnoteReference w:id="8"/>
      </w:r>
      <w:r>
        <w:rPr>
          <w:rFonts w:ascii="Times New Roman" w:hAnsi="Times New Roman"/>
          <w:noProof/>
          <w:sz w:val="23"/>
          <w:szCs w:val="23"/>
        </w:rPr>
        <w:t xml:space="preserve">, un tas ir vēl vairāk uzlabojis valstu iesniegto datu viendabīgumu un tādējādi arī to salīdzināmību. Laikrindu garums (salīdzināmība laikā) dažādās valstīs ir atšķirīgs. Dažās valstīs laikrindas sāka veidot 20. gadsimta 70. gados, savukārt citās — tikai no 2011. gada. Taču attiecībā uz šajā ziņojumā aptverto periodu dati ir salīdzināmi laikā. </w:t>
      </w: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10" w:name="_Toc39845169"/>
      <w:r>
        <w:rPr>
          <w:rFonts w:ascii="Times New Roman" w:hAnsi="Times New Roman"/>
          <w:b/>
          <w:noProof/>
          <w:sz w:val="24"/>
          <w:szCs w:val="20"/>
        </w:rPr>
        <w:t>2.3.</w:t>
      </w:r>
      <w:r>
        <w:rPr>
          <w:noProof/>
        </w:rPr>
        <w:tab/>
      </w:r>
      <w:r>
        <w:rPr>
          <w:rFonts w:ascii="Times New Roman" w:hAnsi="Times New Roman"/>
          <w:b/>
          <w:noProof/>
          <w:sz w:val="24"/>
          <w:szCs w:val="20"/>
        </w:rPr>
        <w:t>Atbilstība</w:t>
      </w:r>
      <w:bookmarkEnd w:id="10"/>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Akvakultūras statistiku plaši izmanto dažādi datu lietotāji. Tā kalpo par pamatu citām datubāzēm</w:t>
      </w:r>
      <w:r>
        <w:rPr>
          <w:rFonts w:ascii="Times New Roman" w:eastAsia="Times New Roman" w:hAnsi="Times New Roman" w:cs="Times New Roman"/>
          <w:noProof/>
          <w:sz w:val="23"/>
          <w:szCs w:val="23"/>
          <w:vertAlign w:val="superscript"/>
          <w:lang w:val="en-GB" w:eastAsia="fr-BE"/>
        </w:rPr>
        <w:footnoteReference w:id="9"/>
      </w:r>
      <w:r>
        <w:rPr>
          <w:rFonts w:ascii="Times New Roman" w:hAnsi="Times New Roman"/>
          <w:noProof/>
          <w:sz w:val="23"/>
          <w:szCs w:val="23"/>
        </w:rPr>
        <w:t xml:space="preserve">, jo īpaši attiecībā uz saldūdens akvakultūru, par kuru nav savāktas un publicētas citas ES līmeņa datu kopas.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Saskaņā ar Regulu (EK) Nr. 762/2008 savāktie dati ir būtiski, lai veidotu pārdomātu un pierādījumos balstītu politiku gan valstu, gan ES līmenī. Dati par ražošanas apjomiem un tendencēm ir nozīmīgi, analizējot akvakultūras nozares attīstību kopējās zivsaimniecības politikas ietvaros. Kvantitatīviem datiem ir galvenā nozīme, izstrādājot dalībvalstu daudzgadu plānus ilgtspējīgai akvakultūrai. Tie politikas veidotājiem un nozarei nodrošina stingru pamatu nozares nākotnes veidošanai.</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Turklāt šie dati ir svarīgs informācijas avots citu organizāciju publikācijām un pakalpojumiem. Eiropas Zivsaimniecības un akvakultūras produktu tirgus novērošanas centrs izmanto Eiropas akvakultūras statistikas datus, izstrādājot savu Eiropas zivsaimniecības un akvakultūras nozares strukturālo analīzi. Pasaules Tirdzniecības organizācija izmanto Eiropas akvakultūras statistiku savam tirdzniecības politikas pārskatam.</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3"/>
          <w:szCs w:val="23"/>
        </w:rPr>
        <w:t xml:space="preserve">Gandrīz visas dalībvalstis apstiprināja, ka arī valsts līmenī ir nepieciešami dati par akvakultūras produkciju. Vairumā gadījumu ar datiem, kas savākti saskaņā ar minēto regulu, varēja pilnībā vai gandrīz pilnībā apmierināt valstu vajadzību pēc datiem. Taču Regulas (EK) Nr. 762/2008 tvērumā neietilpst svarīgi dati par mikroaļģēm, barības resursiem un zivju mazuļiem, produkcijas galamērķiem, ražošanas izmaksām, nodarbinātību un citiem sociālekonomiskajiem mainīgajiem. Sociālekonomiskā informācija saistībā ar akvakultūru tiek vākta saskaņā ar Regulu (ES) 2017/1004. Savukārt dažas dalībvalstis norādīja, ka datu vākšana valsts vajadzībām ir pārāk apgrūtinoša un ka ir jāvāc pārāk detalizēti dati. Lai gan akvakultūras statistika ir atbilstoša, zivsaimniecības statistikas izvērtēšanā arī apstiprinājās, ka ir pieaugusi lietotāju neapmierinātība par datu nepieejamību to konfidencialitātes dēļ. </w:t>
      </w: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11" w:name="_Toc39845170"/>
      <w:r>
        <w:rPr>
          <w:rFonts w:ascii="Times New Roman" w:hAnsi="Times New Roman"/>
          <w:b/>
          <w:noProof/>
          <w:sz w:val="24"/>
          <w:szCs w:val="20"/>
        </w:rPr>
        <w:t>2.4.</w:t>
      </w:r>
      <w:r>
        <w:rPr>
          <w:noProof/>
        </w:rPr>
        <w:tab/>
      </w:r>
      <w:r>
        <w:rPr>
          <w:rFonts w:ascii="Times New Roman" w:hAnsi="Times New Roman"/>
          <w:b/>
          <w:noProof/>
          <w:sz w:val="24"/>
          <w:szCs w:val="20"/>
        </w:rPr>
        <w:t>Pieejamība</w:t>
      </w:r>
      <w:bookmarkEnd w:id="11"/>
    </w:p>
    <w:p>
      <w:pPr>
        <w:keepNext/>
        <w:numPr>
          <w:ilvl w:val="2"/>
          <w:numId w:val="0"/>
        </w:numPr>
        <w:spacing w:after="240" w:line="240" w:lineRule="auto"/>
        <w:ind w:left="426" w:hanging="426"/>
        <w:jc w:val="both"/>
        <w:outlineLvl w:val="2"/>
        <w:rPr>
          <w:rFonts w:ascii="Times New Roman" w:eastAsia="Times New Roman" w:hAnsi="Times New Roman" w:cs="Times New Roman"/>
          <w:i/>
          <w:noProof/>
          <w:sz w:val="24"/>
          <w:szCs w:val="20"/>
        </w:rPr>
      </w:pPr>
      <w:bookmarkStart w:id="12" w:name="_Toc39845171"/>
      <w:r>
        <w:rPr>
          <w:rFonts w:ascii="Times New Roman" w:hAnsi="Times New Roman"/>
          <w:i/>
          <w:noProof/>
          <w:sz w:val="24"/>
          <w:szCs w:val="20"/>
        </w:rPr>
        <w:t>2.4.1.</w:t>
      </w:r>
      <w:r>
        <w:rPr>
          <w:noProof/>
        </w:rPr>
        <w:tab/>
      </w:r>
      <w:r>
        <w:rPr>
          <w:rFonts w:ascii="Times New Roman" w:hAnsi="Times New Roman"/>
          <w:i/>
          <w:noProof/>
          <w:sz w:val="24"/>
          <w:szCs w:val="20"/>
        </w:rPr>
        <w:t>Tiešsaistes datubāze</w:t>
      </w:r>
      <w:bookmarkEnd w:id="12"/>
    </w:p>
    <w:p>
      <w:pPr>
        <w:autoSpaceDE w:val="0"/>
        <w:autoSpaceDN w:val="0"/>
        <w:adjustRightInd w:val="0"/>
        <w:spacing w:after="0" w:line="240" w:lineRule="auto"/>
        <w:rPr>
          <w:rFonts w:ascii="Times New Roman" w:eastAsia="Times New Roman" w:hAnsi="Times New Roman" w:cs="Times New Roman"/>
          <w:noProof/>
          <w:color w:val="000000"/>
          <w:sz w:val="23"/>
          <w:szCs w:val="23"/>
        </w:rPr>
      </w:pPr>
      <w:r>
        <w:rPr>
          <w:rFonts w:ascii="Times New Roman" w:hAnsi="Times New Roman"/>
          <w:i/>
          <w:noProof/>
          <w:color w:val="000000"/>
          <w:sz w:val="23"/>
          <w:szCs w:val="23"/>
        </w:rPr>
        <w:t>Eurostat</w:t>
      </w:r>
      <w:r>
        <w:rPr>
          <w:rFonts w:ascii="Times New Roman" w:hAnsi="Times New Roman"/>
          <w:noProof/>
          <w:color w:val="000000"/>
          <w:sz w:val="23"/>
          <w:szCs w:val="23"/>
        </w:rPr>
        <w:t xml:space="preserve"> publiskā datubāze</w:t>
      </w:r>
      <w:r>
        <w:rPr>
          <w:rFonts w:ascii="Times New Roman" w:eastAsia="Times New Roman" w:hAnsi="Times New Roman" w:cs="Times New Roman"/>
          <w:noProof/>
          <w:color w:val="000000"/>
          <w:sz w:val="23"/>
          <w:szCs w:val="23"/>
          <w:vertAlign w:val="superscript"/>
          <w:lang w:val="en-GB" w:eastAsia="fr-BE"/>
        </w:rPr>
        <w:footnoteReference w:id="10"/>
      </w:r>
      <w:r>
        <w:rPr>
          <w:rFonts w:ascii="Times New Roman" w:hAnsi="Times New Roman"/>
          <w:noProof/>
          <w:color w:val="000000"/>
          <w:sz w:val="23"/>
          <w:szCs w:val="23"/>
        </w:rPr>
        <w:t xml:space="preserve"> nodrošina Eiropas akvakultūras statistiku šādās datu kopās: </w:t>
      </w:r>
    </w:p>
    <w:p>
      <w:pPr>
        <w:numPr>
          <w:ilvl w:val="0"/>
          <w:numId w:val="1"/>
        </w:numPr>
        <w:autoSpaceDE w:val="0"/>
        <w:autoSpaceDN w:val="0"/>
        <w:adjustRightInd w:val="0"/>
        <w:spacing w:after="44"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akvakultūras produkcija, izņemot inkubatoru un zivju mazuļu audzētavu produkciju (fish_aq2a), </w:t>
      </w:r>
    </w:p>
    <w:p>
      <w:pPr>
        <w:numPr>
          <w:ilvl w:val="0"/>
          <w:numId w:val="1"/>
        </w:numPr>
        <w:autoSpaceDE w:val="0"/>
        <w:autoSpaceDN w:val="0"/>
        <w:adjustRightInd w:val="0"/>
        <w:spacing w:after="44"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akvakultūras produkcija — lietošanai pārtikā paredzēti zivju ikri (fish_aq2b), </w:t>
      </w:r>
    </w:p>
    <w:p>
      <w:pPr>
        <w:numPr>
          <w:ilvl w:val="0"/>
          <w:numId w:val="1"/>
        </w:numPr>
        <w:autoSpaceDE w:val="0"/>
        <w:autoSpaceDN w:val="0"/>
        <w:adjustRightInd w:val="0"/>
        <w:spacing w:after="44"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ieguldījums uz zveju balstītā akvakultūrā (fish_aq3), </w:t>
      </w:r>
    </w:p>
    <w:p>
      <w:pPr>
        <w:numPr>
          <w:ilvl w:val="0"/>
          <w:numId w:val="1"/>
        </w:numPr>
        <w:autoSpaceDE w:val="0"/>
        <w:autoSpaceDN w:val="0"/>
        <w:adjustRightInd w:val="0"/>
        <w:spacing w:after="44"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inkubatoru un zivju mazuļu audzētavu produkcija ikru dzīvescikla posmā (fish_aq4a), kā arī </w:t>
      </w:r>
    </w:p>
    <w:p>
      <w:pPr>
        <w:numPr>
          <w:ilvl w:val="0"/>
          <w:numId w:val="1"/>
        </w:numPr>
        <w:autoSpaceDE w:val="0"/>
        <w:autoSpaceDN w:val="0"/>
        <w:adjustRightInd w:val="0"/>
        <w:spacing w:after="0" w:line="240" w:lineRule="auto"/>
        <w:jc w:val="both"/>
        <w:rPr>
          <w:rFonts w:ascii="Times New Roman" w:eastAsia="Times New Roman" w:hAnsi="Times New Roman" w:cs="Times New Roman"/>
          <w:noProof/>
          <w:color w:val="000000"/>
          <w:sz w:val="23"/>
          <w:szCs w:val="23"/>
        </w:rPr>
      </w:pPr>
      <w:r>
        <w:rPr>
          <w:rFonts w:ascii="Times New Roman" w:hAnsi="Times New Roman"/>
          <w:noProof/>
          <w:color w:val="000000"/>
          <w:sz w:val="23"/>
          <w:szCs w:val="23"/>
        </w:rPr>
        <w:t xml:space="preserve">inkubatoru un zivju mazuļu audzētavu produkcija zivju mazuļu dzīvescikla posmā (fish_aq4b). </w:t>
      </w:r>
    </w:p>
    <w:p>
      <w:pPr>
        <w:autoSpaceDE w:val="0"/>
        <w:autoSpaceDN w:val="0"/>
        <w:adjustRightInd w:val="0"/>
        <w:spacing w:after="0" w:line="240" w:lineRule="auto"/>
        <w:rPr>
          <w:rFonts w:ascii="Times New Roman" w:eastAsia="Times New Roman" w:hAnsi="Times New Roman" w:cs="Times New Roman"/>
          <w:noProof/>
          <w:color w:val="000000"/>
          <w:sz w:val="23"/>
          <w:szCs w:val="23"/>
          <w:lang w:val="en-GB" w:eastAsia="fr-BE"/>
        </w:rPr>
      </w:pPr>
    </w:p>
    <w:p>
      <w:pPr>
        <w:keepNext/>
        <w:spacing w:after="240" w:line="240" w:lineRule="auto"/>
        <w:jc w:val="both"/>
        <w:outlineLvl w:val="2"/>
        <w:rPr>
          <w:rFonts w:ascii="Times New Roman" w:eastAsia="Times New Roman" w:hAnsi="Times New Roman" w:cs="Times New Roman"/>
          <w:noProof/>
          <w:sz w:val="24"/>
          <w:szCs w:val="20"/>
        </w:rPr>
      </w:pPr>
      <w:bookmarkStart w:id="13" w:name="_Toc39845172"/>
      <w:r>
        <w:rPr>
          <w:rFonts w:ascii="Times New Roman" w:hAnsi="Times New Roman"/>
          <w:noProof/>
          <w:sz w:val="23"/>
          <w:szCs w:val="23"/>
        </w:rPr>
        <w:t>Turklāt puse dalībvalstu publicē datus valsts tiešsaistes datubāzēs vai kā ikgadējas lejupielādējamas tabulas. Piekļuve šiem resursiem vienmēr tiek nodrošināta bez maksas.</w:t>
      </w:r>
      <w:bookmarkEnd w:id="13"/>
    </w:p>
    <w:p>
      <w:pPr>
        <w:keepNext/>
        <w:numPr>
          <w:ilvl w:val="2"/>
          <w:numId w:val="0"/>
        </w:numPr>
        <w:spacing w:after="240" w:line="240" w:lineRule="auto"/>
        <w:ind w:left="851" w:hanging="851"/>
        <w:jc w:val="both"/>
        <w:outlineLvl w:val="2"/>
        <w:rPr>
          <w:rFonts w:ascii="Times New Roman" w:eastAsia="Times New Roman" w:hAnsi="Times New Roman" w:cs="Times New Roman"/>
          <w:i/>
          <w:noProof/>
          <w:sz w:val="24"/>
          <w:szCs w:val="20"/>
        </w:rPr>
      </w:pPr>
      <w:bookmarkStart w:id="14" w:name="_Toc39845173"/>
      <w:r>
        <w:rPr>
          <w:rFonts w:ascii="Times New Roman" w:hAnsi="Times New Roman"/>
          <w:i/>
          <w:noProof/>
          <w:sz w:val="24"/>
          <w:szCs w:val="20"/>
        </w:rPr>
        <w:t>2.4.2.</w:t>
      </w:r>
      <w:r>
        <w:rPr>
          <w:noProof/>
        </w:rPr>
        <w:tab/>
      </w:r>
      <w:r>
        <w:rPr>
          <w:rFonts w:ascii="Times New Roman" w:hAnsi="Times New Roman"/>
          <w:i/>
          <w:noProof/>
          <w:sz w:val="24"/>
          <w:szCs w:val="20"/>
        </w:rPr>
        <w:t>Publikācijas un datu tabulas</w:t>
      </w:r>
      <w:bookmarkEnd w:id="14"/>
    </w:p>
    <w:p>
      <w:pPr>
        <w:spacing w:after="240" w:line="240" w:lineRule="auto"/>
        <w:jc w:val="both"/>
        <w:rPr>
          <w:rFonts w:ascii="Times New Roman" w:eastAsia="Times New Roman" w:hAnsi="Times New Roman" w:cs="Times New Roman"/>
          <w:noProof/>
          <w:sz w:val="24"/>
          <w:szCs w:val="20"/>
        </w:rPr>
      </w:pPr>
      <w:r>
        <w:rPr>
          <w:rFonts w:ascii="Times New Roman" w:hAnsi="Times New Roman"/>
          <w:i/>
          <w:noProof/>
          <w:sz w:val="24"/>
          <w:szCs w:val="20"/>
        </w:rPr>
        <w:t>Eurostat</w:t>
      </w:r>
      <w:r>
        <w:rPr>
          <w:rFonts w:ascii="Times New Roman" w:hAnsi="Times New Roman"/>
          <w:noProof/>
          <w:sz w:val="24"/>
          <w:szCs w:val="20"/>
        </w:rPr>
        <w:t xml:space="preserve"> datus un rakstus par akvakultūru publicē savā tiešsaistes krājumā </w:t>
      </w:r>
      <w:r>
        <w:rPr>
          <w:rFonts w:ascii="Times New Roman" w:hAnsi="Times New Roman"/>
          <w:i/>
          <w:noProof/>
          <w:sz w:val="24"/>
          <w:szCs w:val="20"/>
        </w:rPr>
        <w:t>Statistics Explained</w:t>
      </w:r>
      <w:r>
        <w:rPr>
          <w:rFonts w:ascii="Times New Roman" w:hAnsi="Times New Roman"/>
          <w:noProof/>
          <w:sz w:val="24"/>
          <w:szCs w:val="20"/>
        </w:rPr>
        <w:t xml:space="preserve"> un statistikas grāmatās</w:t>
      </w:r>
      <w:r>
        <w:rPr>
          <w:rFonts w:ascii="Times New Roman" w:eastAsia="Times New Roman" w:hAnsi="Times New Roman" w:cs="Times New Roman"/>
          <w:noProof/>
          <w:sz w:val="24"/>
          <w:szCs w:val="20"/>
          <w:vertAlign w:val="superscript"/>
          <w:lang w:val="en-GB" w:eastAsia="fr-BE"/>
        </w:rPr>
        <w:footnoteReference w:id="11"/>
      </w:r>
      <w:r>
        <w:rPr>
          <w:rFonts w:ascii="Times New Roman" w:hAnsi="Times New Roman"/>
          <w:noProof/>
          <w:sz w:val="24"/>
          <w:szCs w:val="20"/>
        </w:rPr>
        <w:t>.</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Lielākā daļa dalībvalstu regulāri publicē akvakultūras statistiku dažādos ziņojumos, kurus dažkārt papildina paziņojumi presei.</w:t>
      </w:r>
    </w:p>
    <w:p>
      <w:pPr>
        <w:keepNext/>
        <w:numPr>
          <w:ilvl w:val="2"/>
          <w:numId w:val="0"/>
        </w:numPr>
        <w:spacing w:after="240" w:line="240" w:lineRule="auto"/>
        <w:ind w:left="851" w:hanging="851"/>
        <w:jc w:val="both"/>
        <w:outlineLvl w:val="2"/>
        <w:rPr>
          <w:rFonts w:ascii="Times New Roman" w:eastAsia="Times New Roman" w:hAnsi="Times New Roman" w:cs="Times New Roman"/>
          <w:i/>
          <w:noProof/>
          <w:sz w:val="24"/>
          <w:szCs w:val="20"/>
        </w:rPr>
      </w:pPr>
      <w:bookmarkStart w:id="15" w:name="_Toc39845174"/>
      <w:r>
        <w:rPr>
          <w:rFonts w:ascii="Times New Roman" w:hAnsi="Times New Roman"/>
          <w:i/>
          <w:noProof/>
          <w:sz w:val="24"/>
          <w:szCs w:val="20"/>
        </w:rPr>
        <w:t>2.4.3.</w:t>
      </w:r>
      <w:r>
        <w:rPr>
          <w:noProof/>
        </w:rPr>
        <w:tab/>
      </w:r>
      <w:r>
        <w:rPr>
          <w:rFonts w:ascii="Times New Roman" w:hAnsi="Times New Roman"/>
          <w:i/>
          <w:noProof/>
          <w:sz w:val="24"/>
          <w:szCs w:val="20"/>
        </w:rPr>
        <w:t>Metadati</w:t>
      </w:r>
      <w:bookmarkEnd w:id="15"/>
    </w:p>
    <w:p>
      <w:pPr>
        <w:spacing w:after="240" w:line="240" w:lineRule="auto"/>
        <w:jc w:val="both"/>
        <w:rPr>
          <w:rFonts w:ascii="Times New Roman" w:eastAsia="Times New Roman" w:hAnsi="Times New Roman" w:cs="Times New Roman"/>
          <w:noProof/>
          <w:sz w:val="23"/>
          <w:szCs w:val="23"/>
        </w:rPr>
      </w:pPr>
      <w:r>
        <w:rPr>
          <w:rFonts w:ascii="Times New Roman" w:hAnsi="Times New Roman"/>
          <w:i/>
          <w:noProof/>
          <w:sz w:val="23"/>
          <w:szCs w:val="23"/>
        </w:rPr>
        <w:t>Eurostat</w:t>
      </w:r>
      <w:r>
        <w:rPr>
          <w:rFonts w:ascii="Times New Roman" w:hAnsi="Times New Roman"/>
          <w:noProof/>
          <w:sz w:val="23"/>
          <w:szCs w:val="23"/>
        </w:rPr>
        <w:t xml:space="preserve"> katru gadu apkopo valstu ziņojumus par kvalitāti, kā noteikts Regulas (EK) Nr. 762/2008 VI pielikumā. Šajos ziņojumos tiek sniegta detalizēta informācija par datu kvalitāti un to vākšanā izmantotajām metodēm. Eiropas Statistikas sistēmas (ESS) metadatu apstrādes sistēmā</w:t>
      </w:r>
      <w:r>
        <w:rPr>
          <w:rFonts w:ascii="Times New Roman" w:eastAsia="Times New Roman" w:hAnsi="Times New Roman" w:cs="Times New Roman"/>
          <w:noProof/>
          <w:sz w:val="23"/>
          <w:szCs w:val="23"/>
          <w:vertAlign w:val="superscript"/>
          <w:lang w:val="en-GB" w:eastAsia="fr-BE"/>
        </w:rPr>
        <w:footnoteReference w:id="12"/>
      </w:r>
      <w:r>
        <w:rPr>
          <w:rFonts w:ascii="Times New Roman" w:hAnsi="Times New Roman"/>
          <w:noProof/>
          <w:sz w:val="23"/>
          <w:szCs w:val="23"/>
        </w:rPr>
        <w:t xml:space="preserve"> tiek apkopoti valstu kvalitātes ziņojumi, kas sagatavoti, ievērojot ESS pamatnostādnes.</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3"/>
          <w:szCs w:val="23"/>
        </w:rPr>
        <w:t>Eiropas atsauces metadati, tostarp ES līmeņa kvalitātes ziņojumi par akvakultūras statistiku</w:t>
      </w:r>
      <w:r>
        <w:rPr>
          <w:rFonts w:ascii="Times New Roman" w:eastAsia="Times New Roman" w:hAnsi="Times New Roman" w:cs="Times New Roman"/>
          <w:noProof/>
          <w:sz w:val="23"/>
          <w:szCs w:val="23"/>
          <w:vertAlign w:val="superscript"/>
          <w:lang w:val="en-GB" w:eastAsia="fr-BE"/>
        </w:rPr>
        <w:footnoteReference w:id="13"/>
      </w:r>
      <w:r>
        <w:rPr>
          <w:rFonts w:ascii="Times New Roman" w:hAnsi="Times New Roman"/>
          <w:noProof/>
          <w:sz w:val="23"/>
          <w:szCs w:val="23"/>
        </w:rPr>
        <w:t xml:space="preserve">, tiek publicēti </w:t>
      </w:r>
      <w:r>
        <w:rPr>
          <w:rFonts w:ascii="Times New Roman" w:hAnsi="Times New Roman"/>
          <w:i/>
          <w:noProof/>
          <w:sz w:val="23"/>
          <w:szCs w:val="23"/>
        </w:rPr>
        <w:t>Eurostat</w:t>
      </w:r>
      <w:r>
        <w:rPr>
          <w:rFonts w:ascii="Times New Roman" w:hAnsi="Times New Roman"/>
          <w:noProof/>
          <w:sz w:val="23"/>
          <w:szCs w:val="23"/>
        </w:rPr>
        <w:t xml:space="preserve"> publiskajā datubāzē pie iepriekš uzskaitītajām datu tabulām. Valstis šos metadatus katru gadu pārskata.</w:t>
      </w:r>
    </w:p>
    <w:p>
      <w:pPr>
        <w:keepNext/>
        <w:numPr>
          <w:ilvl w:val="1"/>
          <w:numId w:val="0"/>
        </w:numPr>
        <w:spacing w:after="240" w:line="240" w:lineRule="auto"/>
        <w:ind w:left="426" w:hanging="426"/>
        <w:jc w:val="both"/>
        <w:outlineLvl w:val="1"/>
        <w:rPr>
          <w:rFonts w:ascii="Times New Roman" w:eastAsia="Times New Roman" w:hAnsi="Times New Roman" w:cs="Times New Roman"/>
          <w:b/>
          <w:noProof/>
          <w:sz w:val="24"/>
          <w:szCs w:val="20"/>
        </w:rPr>
      </w:pPr>
      <w:bookmarkStart w:id="16" w:name="_Toc39845175"/>
      <w:r>
        <w:rPr>
          <w:rFonts w:ascii="Times New Roman" w:hAnsi="Times New Roman"/>
          <w:b/>
          <w:noProof/>
          <w:sz w:val="24"/>
          <w:szCs w:val="20"/>
        </w:rPr>
        <w:t>2.5.</w:t>
      </w:r>
      <w:r>
        <w:rPr>
          <w:noProof/>
        </w:rPr>
        <w:tab/>
      </w:r>
      <w:r>
        <w:rPr>
          <w:rFonts w:ascii="Times New Roman" w:hAnsi="Times New Roman"/>
          <w:b/>
          <w:noProof/>
          <w:sz w:val="24"/>
          <w:szCs w:val="20"/>
        </w:rPr>
        <w:t>Datu konfidencialitāte</w:t>
      </w:r>
      <w:bookmarkEnd w:id="16"/>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Vērtējot saskaņā ar Regulu (EK) Nr. 762/2008 savākto akvakultūras statistiku, būtisks trūkums ir lielais konfidenciālo datu lauku skaits. Šāda situācija rodas divu galveno iemeslu dēļ. Pirmkārt, minētajā regulā ir prasīts ievērot ļoti detalizētu datu struktūru, taču tā rezultātā dati ir ļoti sadrumstaloti. Otrkārt, akvakultūras nozare ir ļoti specializēta, jo ir uzņēmumi, kas audzē tikai dažas sugas, izmantojot vienu galveno audzēšanas metodi vai audzēšanas vidi. Tāpēc liels skaits datu par atsevišķām sugām un agregātiem ir konfidenciāli.</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2018. gadā gandrīz puse dalībvalstu saskārās ar datu konfidencialitātes problēmām galvenajā datu kopā par akvakultūras produkciju. Šā iemesla dēļ tika saglabāta ES agregātu konfidencialitāte attiecībā uz lielāko daļu sugu — bieži vien tādēļ, ka dati ir konfidenciāli vienā dalībvalstī. Tomēr par 2016. gadu tika publicēti dati — valsts kopējais produkcijas apjoms un vērtība — par visām dalībvalstīm, savukārt 2017. un 2018. gadā Latvijas dati kļuva konfidenciāli. Datu konfidencialitāte vienā dalībvalstī liedza publicēt ES agregātu par ieguldījumu uz zveju balstītā akvakultūrā. Tika saglabāta konfidencialitāte attiecībā uz datiem par lietošanai pārtikā paredzētu zivju ikru produkcijas apjomu ES mērogā, jo trijās dalībvalstīs tā ir tirgus nišas produkcija, savukārt 2018. gadā Spānijā un Ungārijā par konfidenciālu informāciju kļuva valsts produkcijas apjoms. Vairākās dalībvalstīs konfidenciāli bija dati par inkubatoru un zivju mazuļu audzētavu produkciju.</w:t>
      </w:r>
    </w:p>
    <w:p>
      <w:pPr>
        <w:spacing w:after="240" w:line="240" w:lineRule="auto"/>
        <w:jc w:val="both"/>
        <w:rPr>
          <w:rFonts w:ascii="Times New Roman" w:eastAsia="Times New Roman" w:hAnsi="Times New Roman" w:cs="Times New Roman"/>
          <w:noProof/>
          <w:sz w:val="24"/>
          <w:szCs w:val="20"/>
        </w:rPr>
      </w:pPr>
      <w:r>
        <w:rPr>
          <w:rFonts w:ascii="Times New Roman" w:hAnsi="Times New Roman"/>
          <w:i/>
          <w:noProof/>
          <w:sz w:val="23"/>
          <w:szCs w:val="23"/>
        </w:rPr>
        <w:t>Eurostat</w:t>
      </w:r>
      <w:r>
        <w:rPr>
          <w:rFonts w:ascii="Times New Roman" w:hAnsi="Times New Roman"/>
          <w:noProof/>
          <w:sz w:val="23"/>
          <w:szCs w:val="23"/>
        </w:rPr>
        <w:t xml:space="preserve"> un dalībvalstis ir veltījušas laiku un pūles, lai datu lietotājiem būtu pieejams pēc iespējas lielāks skaits rādītāju, vienlaikus aizsargājot statistikas konfidencialitāti un uzturot procesu pēc iespējas efektīvāku.</w:t>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4"/>
          <w:szCs w:val="20"/>
        </w:rPr>
      </w:pPr>
      <w:bookmarkStart w:id="17" w:name="_Toc39845176"/>
      <w:r>
        <w:rPr>
          <w:rFonts w:ascii="Times New Roman" w:hAnsi="Times New Roman"/>
          <w:b/>
          <w:smallCaps/>
          <w:noProof/>
          <w:sz w:val="24"/>
          <w:szCs w:val="20"/>
        </w:rPr>
        <w:t>3.</w:t>
      </w:r>
      <w:r>
        <w:rPr>
          <w:noProof/>
        </w:rPr>
        <w:tab/>
      </w:r>
      <w:r>
        <w:rPr>
          <w:rFonts w:ascii="Times New Roman" w:hAnsi="Times New Roman"/>
          <w:b/>
          <w:smallCaps/>
          <w:noProof/>
          <w:sz w:val="24"/>
          <w:szCs w:val="20"/>
        </w:rPr>
        <w:t>Slogs un izmaksu lietderība</w:t>
      </w:r>
      <w:bookmarkEnd w:id="17"/>
    </w:p>
    <w:p>
      <w:pPr>
        <w:spacing w:after="240" w:line="240" w:lineRule="auto"/>
        <w:jc w:val="both"/>
        <w:rPr>
          <w:rFonts w:ascii="Times New Roman" w:eastAsia="Times New Roman" w:hAnsi="Times New Roman" w:cs="Times New Roman"/>
          <w:noProof/>
          <w:sz w:val="23"/>
          <w:szCs w:val="23"/>
        </w:rPr>
      </w:pPr>
      <w:r>
        <w:rPr>
          <w:rFonts w:ascii="Times New Roman" w:hAnsi="Times New Roman"/>
          <w:i/>
          <w:noProof/>
          <w:sz w:val="23"/>
          <w:szCs w:val="23"/>
        </w:rPr>
        <w:t>Eurostat</w:t>
      </w:r>
      <w:r>
        <w:rPr>
          <w:rFonts w:ascii="Times New Roman" w:hAnsi="Times New Roman"/>
          <w:noProof/>
          <w:sz w:val="23"/>
          <w:szCs w:val="23"/>
        </w:rPr>
        <w:t xml:space="preserve"> izvērtēja saskaņā ar Regulu (EK) Nr. 762/2008 īstenotās akvakultūras datu vākšanas izmaksu lietderību, izmantojot 2018. gada metodoloģiskos valstu ziņojumus, kā arī statistikas produktu izmaksu analīzi, ko katru gadu veic Eiropas Statistikas sistēma. Izmaksu analīze attiecas uz 2019. gadu, aptverot akvakultūras datu vākšanu par 2017. pārskata gadu. Atbildes attiecībā uz izmaksu analīzi sniedza 24 valstis; naudas izteiksmē vidējās izmaksas ir aptuveni 105 000 EUR gadā. Šīs izmaksas nav iespējams tiešā veidā salīdzināt ar iepriekšējā ziņošanas periodā norādīto summu, jo ne visas valstis izpildīja abus ziņošanas uzdevumus. Gan iepriekšējā, gan pašreizējā ziņošanas uzdevuma ietvaros par izmaksām ziņoja 17 valstis. Šajās valstīs izmaksas bija samazinājušās par 3 %.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Pamatojoties uz atbildēm, kas sniegtas metodoloģiskajos valstu ziņojumos par 2018. gadu, lielākā daļa valstu savas vajadzības nodrošina ar akvakultūras datiem, kas apkopoti saskaņā ar Regulu (EK) Nr. 762/2008. Kopumā 16 valstis vāc datus, veicot skaitīšanu, piecas atvasina attiecīgo datu kopu no administratīviem avotiem, savukārt atlikušās sešas valstis izmanto administratīvos avotus vai ekspertu aplēses. </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Par efektivitātes pieaugumu ziņoja 15 valstis. Tas galvenokārt bija saistīts ar tiešsaistes aptaujām (sešās valstīs), augstāku automatizācijas līmeni (četrās valstīs) un administratīvo datu plašāku izmantojumu (divās valstīs). Slogs tika samazināts 10 valstīs. Visbiežāk slogs tika samazināts, atvieglojot datu nosūtīšanu un izmantojot datus vairākiem mērķiem.</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Saskaņā ar valstu ziņojumos sniegto informāciju var secināt, ka vairāk nekā puse valstu ievāc datus tieši no uzņēmumiem to ražošanas vienību līmenī, savukārt citas valstis izmanto uzņēmuma vadītāju aizpildītas anketas, kurās sniegta informācija par visām to ražotnēm. Datu vākšana uzņēmuma līmenī vienlaikus atvieglo arī ziņošanu saskaņā ar Regulu (EK) Nr. 199/2008</w:t>
      </w:r>
      <w:r>
        <w:rPr>
          <w:rFonts w:ascii="Times New Roman" w:eastAsia="Times New Roman" w:hAnsi="Times New Roman" w:cs="Times New Roman"/>
          <w:noProof/>
          <w:sz w:val="23"/>
          <w:szCs w:val="23"/>
          <w:lang w:val="en-GB" w:eastAsia="fr-BE"/>
        </w:rPr>
        <w:footnoteReference w:id="14"/>
      </w:r>
      <w:r>
        <w:rPr>
          <w:rFonts w:ascii="Times New Roman" w:hAnsi="Times New Roman"/>
          <w:noProof/>
          <w:sz w:val="23"/>
          <w:szCs w:val="23"/>
        </w:rPr>
        <w:t>. Šādu ideju — izpildīt abu regulu prasības viena datu vākšanas uzdevuma ietvaros — būtu vērts izpētīt sīkāk, lai samazinātu dalībvalstu kopējo slogu.</w:t>
      </w:r>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Lai samazinātu Regulas (EK) Nr. 762/2008 radīto slogu, vairākas valstis ierosināja uzlabojumus, jo īpaši attiecībā uz efektīvāku sadarbību ar citām šīs jomas ieinteresētajām personām nolūkā standartizēt datu iesniegšanas prasības un termiņus. Tas galvenokārt attiecas uz </w:t>
      </w:r>
      <w:r>
        <w:rPr>
          <w:rFonts w:ascii="Times New Roman" w:hAnsi="Times New Roman"/>
          <w:i/>
          <w:noProof/>
          <w:sz w:val="23"/>
          <w:szCs w:val="23"/>
        </w:rPr>
        <w:t>FAO</w:t>
      </w:r>
      <w:r>
        <w:rPr>
          <w:rFonts w:ascii="Times New Roman" w:hAnsi="Times New Roman"/>
          <w:noProof/>
          <w:sz w:val="23"/>
          <w:szCs w:val="23"/>
        </w:rPr>
        <w:t xml:space="preserve"> un Datu vākšanas pamatregulu (ES) 2017/1004.</w:t>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4"/>
          <w:szCs w:val="20"/>
        </w:rPr>
      </w:pPr>
      <w:bookmarkStart w:id="18" w:name="_Toc39845177"/>
      <w:r>
        <w:rPr>
          <w:rFonts w:ascii="Times New Roman" w:hAnsi="Times New Roman"/>
          <w:b/>
          <w:smallCaps/>
          <w:noProof/>
          <w:sz w:val="24"/>
          <w:szCs w:val="20"/>
        </w:rPr>
        <w:t>4.</w:t>
      </w:r>
      <w:r>
        <w:rPr>
          <w:noProof/>
        </w:rPr>
        <w:tab/>
      </w:r>
      <w:r>
        <w:rPr>
          <w:rFonts w:ascii="Times New Roman" w:hAnsi="Times New Roman"/>
          <w:b/>
          <w:smallCaps/>
          <w:noProof/>
          <w:sz w:val="24"/>
          <w:szCs w:val="20"/>
        </w:rPr>
        <w:t>Secinājumi</w:t>
      </w:r>
      <w:bookmarkEnd w:id="18"/>
    </w:p>
    <w:p>
      <w:pPr>
        <w:spacing w:before="100" w:beforeAutospacing="1" w:after="100" w:afterAutospacing="1"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Pēdējos gados akvakultūras statistika ir pilnveidota, izveidojot stabilu datu kopumu un nodrošinot savlaicīgus un konsekventus rezultātus, ko izmanto datu lietotāji ne tikai Eiropas un pasaules līmenī, bet arī valsts līmenī. </w:t>
      </w:r>
    </w:p>
    <w:p>
      <w:pPr>
        <w:spacing w:before="100" w:beforeAutospacing="1" w:after="100" w:afterAutospacing="1"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Tomēr apspriedes, kas tika organizētas pēdējās Eiropas zivsaimniecības statistikas izvērtēšanas ietvaros, uzskatāmi parādīja, ka daudzi akvakultūras statistikas lietotāji ir neapmierināti. Tas, iespējams, ir saistīts ar to, ka datu kopā ir ietverts liels skaits konfidenciālu vērtību, kas apgrūtina šīs datu kopas izmantošanu. Konfidenciālie lauki ir saistīti ar Regulā (EK) Nr. 762/2008 noteikto datu nodrošināšanas prasību sīko dalījumu un ar akvakultūras nozares specializēto un koncentrēto struktūru.</w:t>
      </w:r>
    </w:p>
    <w:p>
      <w:pPr>
        <w:spacing w:before="100" w:beforeAutospacing="1" w:after="100" w:afterAutospacing="1"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Dažas dalībvalstis joprojām saskaras ar problēmām saistībā ar to, lai dati tiktu savākti un iesniegti savlaicīgi, ievērojot precizitāti. </w:t>
      </w:r>
      <w:r>
        <w:rPr>
          <w:rFonts w:ascii="Times New Roman" w:hAnsi="Times New Roman"/>
          <w:i/>
          <w:noProof/>
          <w:sz w:val="23"/>
          <w:szCs w:val="23"/>
        </w:rPr>
        <w:t>Eurostat</w:t>
      </w:r>
      <w:r>
        <w:rPr>
          <w:rFonts w:ascii="Times New Roman" w:hAnsi="Times New Roman"/>
          <w:noProof/>
          <w:sz w:val="23"/>
          <w:szCs w:val="23"/>
        </w:rPr>
        <w:t xml:space="preserve"> datu vākšanas pamatnostādnes ir palīdzējušas uzlabot akvakultūras datu vākšanas konsekvenci. </w:t>
      </w:r>
    </w:p>
    <w:p>
      <w:pPr>
        <w:spacing w:before="100" w:beforeAutospacing="1" w:after="100" w:afterAutospacing="1"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 xml:space="preserve">Dažās valstīs slogs tika samazināts un tas nodrošināja izmērāmu efektivitātes pieaugumu. Akvakultūras statistikas sagatavošanas vidējās gada izmaksas par 2017. pārskata gadu bija 105 000 EUR. Tās bija par 3 % zemākas nekā iepriekšējā periodā (valstīm, kas iesniedza izmaksu datus par abiem periodiem). Datu vākšanas izmaksu īpatsvars akvakultūras produkcijas kopējā ekonomiskajā vērtībā bija diezgan neliels. Neefektivitāte joprojām ir aktuāla problēma arī citu datu vākšanas pasākumu kontekstā (proti, saistībā ar </w:t>
      </w:r>
      <w:r>
        <w:rPr>
          <w:rFonts w:ascii="Times New Roman" w:hAnsi="Times New Roman"/>
          <w:i/>
          <w:iCs/>
          <w:noProof/>
          <w:sz w:val="23"/>
          <w:szCs w:val="23"/>
        </w:rPr>
        <w:t>FAO</w:t>
      </w:r>
      <w:r>
        <w:rPr>
          <w:rFonts w:ascii="Times New Roman" w:hAnsi="Times New Roman"/>
          <w:noProof/>
          <w:sz w:val="23"/>
          <w:szCs w:val="23"/>
        </w:rPr>
        <w:t xml:space="preserve"> un Regulu (ES) 2017/1004, ar ko atceļ Regulu (EK) Nr. 199/2008).</w:t>
      </w:r>
    </w:p>
    <w:p>
      <w:pPr>
        <w:keepNext/>
        <w:tabs>
          <w:tab w:val="num" w:pos="482"/>
        </w:tabs>
        <w:spacing w:before="240" w:after="240" w:line="240" w:lineRule="auto"/>
        <w:ind w:left="482" w:hanging="482"/>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szCs w:val="20"/>
        </w:rPr>
        <w:t xml:space="preserve"> </w:t>
      </w:r>
      <w:bookmarkStart w:id="19" w:name="_Toc39845178"/>
      <w:r>
        <w:rPr>
          <w:rFonts w:ascii="Times New Roman" w:hAnsi="Times New Roman"/>
          <w:b/>
          <w:smallCaps/>
          <w:noProof/>
          <w:sz w:val="24"/>
          <w:szCs w:val="20"/>
        </w:rPr>
        <w:t>5.</w:t>
      </w:r>
      <w:r>
        <w:rPr>
          <w:noProof/>
        </w:rPr>
        <w:tab/>
      </w:r>
      <w:r>
        <w:rPr>
          <w:rFonts w:ascii="Times New Roman" w:hAnsi="Times New Roman"/>
          <w:b/>
          <w:smallCaps/>
          <w:noProof/>
          <w:sz w:val="24"/>
          <w:szCs w:val="20"/>
        </w:rPr>
        <w:t>Ieteikumi</w:t>
      </w:r>
      <w:bookmarkEnd w:id="19"/>
    </w:p>
    <w:p>
      <w:pPr>
        <w:spacing w:after="240" w:line="240" w:lineRule="auto"/>
        <w:jc w:val="both"/>
        <w:rPr>
          <w:rFonts w:ascii="Times New Roman" w:eastAsia="Times New Roman" w:hAnsi="Times New Roman" w:cs="Times New Roman"/>
          <w:noProof/>
          <w:sz w:val="23"/>
          <w:szCs w:val="23"/>
        </w:rPr>
      </w:pPr>
      <w:r>
        <w:rPr>
          <w:rFonts w:ascii="Times New Roman" w:hAnsi="Times New Roman"/>
          <w:noProof/>
          <w:sz w:val="23"/>
          <w:szCs w:val="23"/>
        </w:rPr>
        <w:t>Galvenā atziņa attiecībā uz akvakultūras datiem, kas tika gūta zivsaimniecības statistikas izvērtēšanā, ir tāda, ka šie dati ir ļoti nozīmīga un plaši izmantota zivsaimniecības statistikas daļa, taču grūtības rada datu konfidencialitātes aspekti. Neraugoties uz Komisijas (</w:t>
      </w:r>
      <w:r>
        <w:rPr>
          <w:rFonts w:ascii="Times New Roman" w:hAnsi="Times New Roman"/>
          <w:i/>
          <w:noProof/>
          <w:sz w:val="23"/>
          <w:szCs w:val="23"/>
        </w:rPr>
        <w:t>Eurostat</w:t>
      </w:r>
      <w:r>
        <w:rPr>
          <w:rFonts w:ascii="Times New Roman" w:hAnsi="Times New Roman"/>
          <w:noProof/>
          <w:sz w:val="23"/>
          <w:szCs w:val="23"/>
        </w:rPr>
        <w:t>) un dalībvalstu centieniem samazināt konfidenciālo datu apjomu, progress šajā ziņā ir bijis ļoti ierobežots. Tas, ka nozares struktūra ir specializēta, faktiski ir palielinājis konfidenciālo datu apjomu. Lai datu lietotājiem nodrošinātu labākus pakalpojumus, vienīgais risinājums būtu grozīt pašreizējo tiesību aktu vai aizstāt to ar citu aktu, kas ir vairāk vērsts uz produkciju, nosakot mazākas prasības ar to saistītajām strukturālajām dimensijām. Jauns tiesību akts nodrošinātu arī efektivitātes pieaugumu, jo īpaši saskaņojot termiņus ar citu starptautisku organizāciju vajadzībām.</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3"/>
          <w:szCs w:val="23"/>
        </w:rPr>
        <w:t xml:space="preserve">Valstu līmenī būtu vēl vairāk jāveicina elektronisku anketu izmantošana, jo tas palīdz uzlabot datu vākšanas efektivitāti. Labas prakses piemēri ir arī valstīs sagatavotās datu vākšanas pamatnostādnes un izveidotie palīdzības dienesti, kas respondentiem nodrošina individuālu atbalstu. </w:t>
      </w:r>
    </w:p>
    <w:p>
      <w:pPr>
        <w:rPr>
          <w:noProof/>
          <w:lang w:val="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1352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rPr>
          <w:rFonts w:ascii="Times New Roman" w:eastAsia="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Eiropas Parlamenta un Padomes Regula (EK) Nr. 762/2008 (2008. gada 9. jūlijs) par to, kā dalībvalstis iesniedz statistiku par akvakultūru, un ar ko atceļ Padomes Regulu (EK) Nr. 788/96 (OV L 218, 13.8.2008., 1. lpp.).</w:t>
      </w:r>
    </w:p>
    <w:p>
      <w:pPr>
        <w:pStyle w:val="FootnoteText"/>
        <w:ind w:left="426" w:hanging="426"/>
        <w:rPr>
          <w:rFonts w:ascii="Times New Roman" w:hAnsi="Times New Roman" w:cs="Times New Roman"/>
          <w:lang w:val="en-GB"/>
        </w:rPr>
      </w:pPr>
    </w:p>
  </w:footnote>
  <w:footnote w:id="2">
    <w:p>
      <w:pPr>
        <w:pStyle w:val="FootnoteText"/>
        <w:ind w:left="426" w:hanging="426"/>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Komisijas ziņojums Eiropas Parlamentam un Padomei par to, kā tiek īstenota Eiropas Parlamenta un Padomes 2008. gada 9. jūlija Regula (EK) Nr. 762/2008 par to, kā dalībvalstis iesniedz statistiku par akvakultūru, un ar ko atceļ Padomes Regulu (EK) Nr. 788/96; COM(2015) 297 final.</w:t>
      </w:r>
    </w:p>
  </w:footnote>
  <w:footnote w:id="3">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Komisijas ziņojums Eiropas Parlamentam un Padomei par to, kā tiek īstenota Eiropas Parlamenta un Padomes 2008. gada 9. jūlija Regula (EK) Nr. 762/2008 par to, kā dalībvalstis iesniedz statistiku par akvakultūru, un ar ko atceļ Padomes Regulu (EK) Nr. 788/96; COM(2017) 747 final.</w:t>
      </w:r>
    </w:p>
    <w:p>
      <w:pPr>
        <w:pStyle w:val="FootnoteText"/>
        <w:ind w:left="426" w:hanging="426"/>
        <w:rPr>
          <w:rFonts w:ascii="Times New Roman" w:hAnsi="Times New Roman" w:cs="Times New Roman"/>
          <w:lang w:val="en-GB"/>
        </w:rPr>
      </w:pPr>
    </w:p>
  </w:footnote>
  <w:footnote w:id="4">
    <w:p>
      <w:pPr>
        <w:pStyle w:val="FootnoteText"/>
        <w:ind w:left="426" w:hanging="426"/>
        <w:rPr>
          <w:rFonts w:ascii="Times New Roman" w:eastAsia="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Eiropas Parlamenta un Padomes Regula (ES) 2017/1004 (2017. gada 17. maijs) par Savienības sistēmas izveidi datu vākšanai, pārvaldībai un izmantošanai zivsaimniecības nozarē un par atbalstu zinātniskā ieteikuma izstrādei saistībā ar kopējo zivsaimniecības politiku, un ar ko atceļ Padomes Regulu (EK) Nr. 199/2008 u (OV L 157, 20.6.2017., 1. lpp.).</w:t>
      </w:r>
    </w:p>
    <w:p>
      <w:pPr>
        <w:pStyle w:val="FootnoteText"/>
        <w:ind w:left="426" w:hanging="426"/>
        <w:rPr>
          <w:rFonts w:ascii="Times New Roman" w:eastAsia="Times New Roman" w:hAnsi="Times New Roman" w:cs="Times New Roman"/>
          <w:lang w:val="en-GB"/>
        </w:rPr>
      </w:pPr>
    </w:p>
  </w:footnote>
  <w:footnote w:id="5">
    <w:p>
      <w:pPr>
        <w:pStyle w:val="FootnoteText"/>
        <w:ind w:left="426" w:hanging="426"/>
        <w:rPr>
          <w:rFonts w:ascii="Times New Roman" w:eastAsia="Times New Roman" w:hAnsi="Times New Roman" w:cs="Times New Roman"/>
        </w:rPr>
      </w:pPr>
      <w:r>
        <w:rPr>
          <w:rFonts w:ascii="Times New Roman" w:eastAsia="Times New Roman" w:hAnsi="Times New Roman" w:cs="Times New Roman"/>
          <w:vertAlign w:val="superscript"/>
          <w:lang w:val="en-GB"/>
        </w:rPr>
        <w:footnoteRef/>
      </w:r>
      <w:r>
        <w:rPr>
          <w:rFonts w:ascii="Times New Roman" w:hAnsi="Times New Roman"/>
        </w:rPr>
        <w:t xml:space="preserve"> </w:t>
      </w:r>
      <w:r>
        <w:tab/>
      </w:r>
      <w:r>
        <w:rPr>
          <w:rFonts w:ascii="Times New Roman" w:hAnsi="Times New Roman"/>
        </w:rPr>
        <w:t>Zivsaimniecības statistikas koordinācijas darba grupa tika izveidota 1959. gadā ar Apvienoto Nāciju Organizācijas Pārtikas un lauksaimniecības organizācijas (</w:t>
      </w:r>
      <w:r>
        <w:rPr>
          <w:rFonts w:ascii="Times New Roman" w:hAnsi="Times New Roman"/>
          <w:i/>
          <w:iCs/>
        </w:rPr>
        <w:t>FAO</w:t>
      </w:r>
      <w:r>
        <w:rPr>
          <w:rFonts w:ascii="Times New Roman" w:hAnsi="Times New Roman"/>
        </w:rPr>
        <w:t>) konferences Rezolūciju Nr. 23/59, lai koordinētu reģionālo zivsaimniecības struktūru un citu starpvaldību organizāciju zivsaimniecības statistikas programmas. Tās uzdevumi: i) pastāvīgi pārskatīt zivsaimniecības (tostarp akvakultūras) statistikas prasības; ii) pieņemt standarta jēdzienus, definīcijas, klasifikāciju un metodiku zivsaimniecības statistikas vākšanai un apkopošanai; iii) piedāvāt veidus, kā koordinēt un racionalizēt attiecīgo starpvaldību organizāciju darbu statistikas jomā (http://www.fao.org/fishery/cwp/en). Nesen tā ir izstrādājusi akvakultūras apsekojumu standarta anketas projektu kā ieteikumu, kurā norādītas minimālās prasības akvakultūras statistikai.</w:t>
      </w:r>
    </w:p>
    <w:p>
      <w:pPr>
        <w:pStyle w:val="FootnoteText"/>
        <w:ind w:left="426" w:hanging="426"/>
        <w:rPr>
          <w:rFonts w:ascii="Times New Roman" w:eastAsia="Times New Roman" w:hAnsi="Times New Roman" w:cs="Times New Roman"/>
          <w:lang w:val="en-GB"/>
        </w:rPr>
      </w:pPr>
    </w:p>
  </w:footnote>
  <w:footnote w:id="6">
    <w:p>
      <w:pPr>
        <w:pStyle w:val="FootnoteText"/>
        <w:ind w:left="426" w:hanging="426"/>
      </w:pPr>
      <w:r>
        <w:rPr>
          <w:rFonts w:ascii="Times New Roman" w:eastAsia="Times New Roman" w:hAnsi="Times New Roman" w:cs="Times New Roman"/>
          <w:vertAlign w:val="superscript"/>
          <w:lang w:val="en-GB"/>
        </w:rPr>
        <w:footnoteRef/>
      </w:r>
      <w:r>
        <w:rPr>
          <w:rFonts w:ascii="Times New Roman" w:hAnsi="Times New Roman"/>
          <w:vertAlign w:val="superscript"/>
        </w:rPr>
        <w:t xml:space="preserve"> </w:t>
      </w:r>
      <w:r>
        <w:tab/>
      </w:r>
      <w:r>
        <w:rPr>
          <w:rFonts w:ascii="Times New Roman" w:hAnsi="Times New Roman"/>
        </w:rPr>
        <w:t xml:space="preserve">Komisijas dienestu darba dokuments (2019) 425. Pieejams tikai angļu valodā. </w:t>
      </w:r>
    </w:p>
  </w:footnote>
  <w:footnote w:id="7">
    <w:p>
      <w:pPr>
        <w:pStyle w:val="FootnoteText"/>
        <w:ind w:left="426" w:hanging="426"/>
        <w:rPr>
          <w:rFonts w:ascii="Times New Roman" w:hAnsi="Times New Roman" w:cs="Times New Roman"/>
          <w:color w:val="000000"/>
        </w:rPr>
      </w:pPr>
      <w:r>
        <w:rPr>
          <w:rStyle w:val="FootnoteReference"/>
          <w:rFonts w:ascii="Times New Roman" w:hAnsi="Times New Roman" w:cs="Times New Roman"/>
          <w:lang w:val="en-GB"/>
        </w:rPr>
        <w:footnoteRef/>
      </w:r>
      <w:r>
        <w:rPr>
          <w:rStyle w:val="FootnoteReference"/>
          <w:rFonts w:ascii="Times New Roman" w:hAnsi="Times New Roman"/>
        </w:rPr>
        <w:t xml:space="preserve"> </w:t>
      </w:r>
      <w:r>
        <w:tab/>
      </w:r>
      <w:hyperlink r:id="rId1" w:history="1">
        <w:r>
          <w:rPr>
            <w:rStyle w:val="Hyperlink"/>
            <w:rFonts w:ascii="Times New Roman" w:hAnsi="Times New Roman"/>
          </w:rPr>
          <w:t>https://ec.europa.eu/eurostat/cache/metadata/EN/fish_aq_esqrs.htm</w:t>
        </w:r>
      </w:hyperlink>
      <w:r>
        <w:rPr>
          <w:rFonts w:ascii="Times New Roman" w:hAnsi="Times New Roman"/>
          <w:color w:val="000000"/>
        </w:rPr>
        <w:t>. Pieejams tikai angļu valodā.</w:t>
      </w:r>
    </w:p>
    <w:p>
      <w:pPr>
        <w:pStyle w:val="FootnoteText"/>
        <w:ind w:left="426" w:hanging="426"/>
        <w:rPr>
          <w:rFonts w:ascii="Times New Roman" w:hAnsi="Times New Roman" w:cs="Times New Roman"/>
          <w:color w:val="000000"/>
          <w:lang w:val="en-GB"/>
        </w:rPr>
      </w:pPr>
    </w:p>
  </w:footnote>
  <w:footnote w:id="8">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hyperlink r:id="rId2" w:history="1">
        <w:r>
          <w:rPr>
            <w:rStyle w:val="Hyperlink"/>
            <w:rFonts w:ascii="Times New Roman" w:hAnsi="Times New Roman"/>
          </w:rPr>
          <w:t>https://ec.europa.eu/eurostat/cache/metadata/Annexes/fish_aq_esms_an2.pdf</w:t>
        </w:r>
      </w:hyperlink>
      <w:r>
        <w:rPr>
          <w:rStyle w:val="Hyperlink"/>
          <w:rFonts w:ascii="Times New Roman" w:hAnsi="Times New Roman"/>
        </w:rPr>
        <w:t>.</w:t>
      </w:r>
      <w:r>
        <w:rPr>
          <w:rFonts w:ascii="Times New Roman" w:hAnsi="Times New Roman"/>
        </w:rPr>
        <w:t xml:space="preserve"> Pieejams tikai angļu valodā.</w:t>
      </w:r>
    </w:p>
    <w:p>
      <w:pPr>
        <w:pStyle w:val="FootnoteText"/>
        <w:ind w:left="426" w:hanging="426"/>
        <w:rPr>
          <w:rFonts w:ascii="Times New Roman" w:hAnsi="Times New Roman" w:cs="Times New Roman"/>
          <w:lang w:val="en-GB"/>
        </w:rPr>
      </w:pPr>
    </w:p>
  </w:footnote>
  <w:footnote w:id="9">
    <w:p>
      <w:pPr>
        <w:pStyle w:val="NormalWeb"/>
        <w:ind w:left="426" w:hanging="426"/>
        <w:rPr>
          <w:i/>
          <w:sz w:val="20"/>
          <w:szCs w:val="20"/>
        </w:rPr>
      </w:pPr>
      <w:r>
        <w:rPr>
          <w:rStyle w:val="FootnoteReference"/>
          <w:sz w:val="20"/>
          <w:szCs w:val="20"/>
        </w:rPr>
        <w:footnoteRef/>
      </w:r>
      <w:r>
        <w:t xml:space="preserve"> </w:t>
      </w:r>
      <w:r>
        <w:tab/>
      </w:r>
      <w:r>
        <w:rPr>
          <w:sz w:val="20"/>
          <w:szCs w:val="20"/>
        </w:rPr>
        <w:t>Komisijas Īstenošanas lēmums (ES) 2019/909 (2019. gada 18. februāris), ar kuru izveido obligāto pētniecisko uzskaišu sarakstu un nosaka robežvērtības nolūkā īstenot Savienības daudzgadu programmu par zvejniecības un akvakultūras datu vākšanu un pārvaldību (</w:t>
      </w:r>
      <w:r>
        <w:rPr>
          <w:rStyle w:val="Emphasis"/>
          <w:i w:val="0"/>
          <w:sz w:val="20"/>
          <w:szCs w:val="20"/>
        </w:rPr>
        <w:t>OV L 145, 4.6.2019., 21. lpp.</w:t>
      </w:r>
      <w:r>
        <w:rPr>
          <w:sz w:val="20"/>
          <w:szCs w:val="20"/>
        </w:rPr>
        <w:t>).</w:t>
      </w:r>
    </w:p>
    <w:p>
      <w:pPr>
        <w:pStyle w:val="FootnoteText"/>
        <w:rPr>
          <w:lang w:val="en-GB"/>
        </w:rPr>
      </w:pPr>
    </w:p>
    <w:p>
      <w:pPr>
        <w:pStyle w:val="FootnoteText"/>
        <w:rPr>
          <w:lang w:val="en-GB"/>
        </w:rPr>
      </w:pPr>
    </w:p>
  </w:footnote>
  <w:footnote w:id="10">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hyperlink r:id="rId3" w:history="1">
        <w:r>
          <w:rPr>
            <w:rStyle w:val="Hyperlink"/>
            <w:rFonts w:ascii="Times New Roman" w:hAnsi="Times New Roman"/>
          </w:rPr>
          <w:t>http://ec.europa.eu/eurostat/data/database</w:t>
        </w:r>
      </w:hyperlink>
      <w:r>
        <w:t>.</w:t>
      </w:r>
      <w:r>
        <w:rPr>
          <w:rFonts w:ascii="Times New Roman" w:hAnsi="Times New Roman"/>
        </w:rPr>
        <w:t xml:space="preserve"> </w:t>
      </w:r>
    </w:p>
    <w:p>
      <w:pPr>
        <w:pStyle w:val="FootnoteText"/>
        <w:ind w:left="426" w:hanging="426"/>
        <w:rPr>
          <w:rFonts w:ascii="Times New Roman" w:hAnsi="Times New Roman" w:cs="Times New Roman"/>
          <w:lang w:val="en-GB"/>
        </w:rPr>
      </w:pPr>
    </w:p>
  </w:footnote>
  <w:footnote w:id="11">
    <w:p>
      <w:pPr>
        <w:pStyle w:val="FootnoteText"/>
        <w:ind w:left="425" w:hanging="425"/>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Jaunākais izdevums ir “</w:t>
      </w:r>
      <w:r>
        <w:rPr>
          <w:rFonts w:ascii="Times New Roman" w:hAnsi="Times New Roman"/>
          <w:i/>
          <w:iCs/>
        </w:rPr>
        <w:t>Agriculture, forestry and fishery statistics — 2019 edition</w:t>
      </w:r>
      <w:r>
        <w:rPr>
          <w:rFonts w:ascii="Times New Roman" w:hAnsi="Times New Roman"/>
        </w:rPr>
        <w:t xml:space="preserve">” (ISBN: 978-92-76-13193-9). </w:t>
      </w:r>
    </w:p>
    <w:p>
      <w:pPr>
        <w:pStyle w:val="FootnoteText"/>
        <w:ind w:left="425" w:hanging="69"/>
        <w:rPr>
          <w:rStyle w:val="Hyperlink"/>
          <w:rFonts w:ascii="Times New Roman" w:hAnsi="Times New Roman"/>
        </w:rPr>
      </w:pPr>
      <w:r>
        <w:rPr>
          <w:rFonts w:ascii="Times New Roman" w:hAnsi="Times New Roman"/>
        </w:rPr>
        <w:t xml:space="preserve"> </w:t>
      </w:r>
      <w:hyperlink r:id="rId4" w:history="1">
        <w:r>
          <w:rPr>
            <w:rStyle w:val="Hyperlink"/>
            <w:rFonts w:ascii="Times New Roman" w:hAnsi="Times New Roman"/>
          </w:rPr>
          <w:t>https://ec.europa.eu/eurostat/documents/3217494/10317767/KS-FK-19-001-EN-N.pdf/742d3fd2-961e-68c1-47d0-11cf30b11489</w:t>
        </w:r>
      </w:hyperlink>
      <w:r>
        <w:rPr>
          <w:rStyle w:val="Hyperlink"/>
          <w:rFonts w:ascii="Times New Roman" w:hAnsi="Times New Roman"/>
        </w:rPr>
        <w:t xml:space="preserve">. </w:t>
      </w:r>
      <w:r>
        <w:rPr>
          <w:rFonts w:ascii="Times New Roman" w:hAnsi="Times New Roman"/>
        </w:rPr>
        <w:t>Pieejams tikai angļu valodā.</w:t>
      </w:r>
    </w:p>
    <w:p>
      <w:pPr>
        <w:pStyle w:val="FootnoteText"/>
        <w:ind w:left="425" w:hanging="69"/>
        <w:rPr>
          <w:lang w:val="en-GB"/>
        </w:rPr>
      </w:pPr>
    </w:p>
  </w:footnote>
  <w:footnote w:id="12">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hyperlink r:id="rId5" w:history="1">
        <w:r>
          <w:rPr>
            <w:rStyle w:val="Hyperlink"/>
            <w:rFonts w:ascii="Times New Roman" w:hAnsi="Times New Roman"/>
          </w:rPr>
          <w:t>https://webgate.ec.europa.eu/estat/spe/metaconv/</w:t>
        </w:r>
      </w:hyperlink>
      <w:r>
        <w:t>.</w:t>
      </w:r>
    </w:p>
    <w:p>
      <w:pPr>
        <w:pStyle w:val="FootnoteText"/>
        <w:ind w:left="426" w:hanging="426"/>
        <w:rPr>
          <w:rFonts w:ascii="Times New Roman" w:hAnsi="Times New Roman" w:cs="Times New Roman"/>
          <w:lang w:val="en-GB"/>
        </w:rPr>
      </w:pPr>
    </w:p>
  </w:footnote>
  <w:footnote w:id="13">
    <w:p>
      <w:pPr>
        <w:pStyle w:val="FootnoteText"/>
        <w:ind w:left="426" w:hanging="426"/>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tab/>
      </w:r>
      <w:r>
        <w:rPr>
          <w:rFonts w:ascii="Times New Roman" w:hAnsi="Times New Roman"/>
        </w:rPr>
        <w:t>https://ec.europa.eu/eurostat/cache/metadata/EN/fish_aq_esqrs.htm</w:t>
      </w:r>
    </w:p>
    <w:p>
      <w:pPr>
        <w:pStyle w:val="FootnoteText"/>
        <w:rPr>
          <w:lang w:val="en-GB"/>
        </w:rPr>
      </w:pPr>
    </w:p>
  </w:footnote>
  <w:footnote w:id="14">
    <w:p>
      <w:pPr>
        <w:pStyle w:val="NormalWeb"/>
        <w:ind w:left="426" w:hanging="426"/>
        <w:rPr>
          <w:i/>
        </w:rPr>
      </w:pPr>
      <w:r>
        <w:rPr>
          <w:rStyle w:val="FootnoteReference"/>
          <w:sz w:val="20"/>
          <w:szCs w:val="20"/>
        </w:rPr>
        <w:footnoteRef/>
      </w:r>
      <w:r>
        <w:t xml:space="preserve"> </w:t>
      </w:r>
      <w:r>
        <w:tab/>
      </w:r>
      <w:r>
        <w:rPr>
          <w:sz w:val="20"/>
          <w:szCs w:val="20"/>
        </w:rPr>
        <w:t>Padomes Regula (EK) Nr. 199/2008 ir atcelta ar Eiropas Parlamenta un Padomes 2017. gada 17. maija Regulu (ES) 2017/1004 par Savienības sistēmas izveidi datu vākšanai, pārvaldībai un izmantošanai zivsaimniecības nozarē un par atbalstu zinātniskā ieteikuma izstrādei saistībā ar kopējo zivsaimniecības politiku, un ar ko atceļ Padomes Regulu (EK) Nr. 199/2008 (OV L 157, 20.6.2017., 1. lpp.).</w:t>
      </w:r>
    </w:p>
    <w:p>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68E4"/>
    <w:multiLevelType w:val="hybridMultilevel"/>
    <w:tmpl w:val="8B5CD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1C55808"/>
    <w:multiLevelType w:val="hybridMultilevel"/>
    <w:tmpl w:val="171AB7FC"/>
    <w:lvl w:ilvl="0" w:tplc="1B365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233AF"/>
    <w:multiLevelType w:val="hybridMultilevel"/>
    <w:tmpl w:val="1874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5A5FD95-C573-4336-840E-1A9FE8E4AE8C"/>
    <w:docVar w:name="LW_COVERPAGE_TYPE" w:val="1"/>
    <w:docVar w:name="LW_CROSSREFERENCE" w:val="&lt;UNUSED&gt;"/>
    <w:docVar w:name="LW_DocType" w:val="NORMAL"/>
    <w:docVar w:name="LW_EMISSION" w:val="15.12.2020"/>
    <w:docVar w:name="LW_EMISSION_ISODATE" w:val="2020-12-15"/>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8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ar to, k\u257? tiek \u299?stenota Eiropas Parlamenta un Padomes Regula (EK) Nr. 762/2008 par to, k\u257? dal\u299?bvalstis iesniedz statistiku par akvakult\u363?ru, un ar ko atce\u316? Padomes Regulu (EK) Nr. 788/96&lt;/FMT&gt;"/>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NormalWeb">
    <w:name w:val="Normal (Web)"/>
    <w:basedOn w:val="Normal"/>
    <w:uiPriority w:val="99"/>
    <w:semiHidden/>
    <w:unhideWhenUsed/>
    <w:pPr>
      <w:spacing w:after="24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NormalWeb">
    <w:name w:val="Normal (Web)"/>
    <w:basedOn w:val="Normal"/>
    <w:uiPriority w:val="99"/>
    <w:semiHidden/>
    <w:unhideWhenUsed/>
    <w:pPr>
      <w:spacing w:after="24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ata/database" TargetMode="External"/><Relationship Id="rId2" Type="http://schemas.openxmlformats.org/officeDocument/2006/relationships/hyperlink" Target="https://ec.europa.eu/eurostat/cache/metadata/Annexes/fish_aq_esms_an2.pdf" TargetMode="External"/><Relationship Id="rId1" Type="http://schemas.openxmlformats.org/officeDocument/2006/relationships/hyperlink" Target="https://ec.europa.eu/eurostat/cache/metadata/EN/fish_aq_esqrs.htm" TargetMode="External"/><Relationship Id="rId5" Type="http://schemas.openxmlformats.org/officeDocument/2006/relationships/hyperlink" Target="https://webgate.ec.europa.eu/estat/spe/metaconv/" TargetMode="External"/><Relationship Id="rId4" Type="http://schemas.openxmlformats.org/officeDocument/2006/relationships/hyperlink" Target="https://ec.europa.eu/eurostat/documents/3217494/10317767/KS-FK-19-001-EN-N.pdf/742d3fd2-961e-68c1-47d0-11cf30b11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508E-5174-4F33-A45D-66858C92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2210</Words>
  <Characters>14812</Characters>
  <Application>Microsoft Office Word</Application>
  <DocSecurity>0</DocSecurity>
  <Lines>231</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2020-11-20T08:10:00Z</dcterms:created>
  <dcterms:modified xsi:type="dcterms:W3CDTF">2020-12-07T08:01:00Z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