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F00038E3-267A-47EE-B616-68BEA042398C" style="width:450.8pt;height:409.45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1.KONTEKST WNIOSKU</w:t>
      </w:r>
    </w:p>
    <w:p>
      <w:pPr>
        <w:pStyle w:val="Bullet0"/>
        <w:numPr>
          <w:ilvl w:val="0"/>
          <w:numId w:val="10"/>
        </w:numPr>
        <w:rPr>
          <w:b/>
          <w:noProof/>
        </w:rPr>
      </w:pPr>
      <w:r>
        <w:rPr>
          <w:b/>
          <w:noProof/>
        </w:rPr>
        <w:t>Podstawa i cele wniosku</w:t>
      </w:r>
    </w:p>
    <w:p>
      <w:pPr>
        <w:pBdr>
          <w:top w:val="nil"/>
          <w:left w:val="nil"/>
          <w:bottom w:val="nil"/>
          <w:right w:val="nil"/>
          <w:between w:val="nil"/>
          <w:bar w:val="nil"/>
        </w:pBdr>
        <w:spacing w:before="0" w:after="240"/>
        <w:rPr>
          <w:noProof/>
        </w:rPr>
      </w:pPr>
      <w:r>
        <w:rPr>
          <w:noProof/>
        </w:rPr>
        <w:t>Niniejszy wniosek stanowi część pakietu środków umożliwiających i wspierających wykorzystanie potencjału finansów cyfrowych w zakresie innowacyjności i konkurencji przy jednoczesnym ograniczeniu ryzyka. Jest on zgodny z priorytetami Komisji dotyczącymi stworzenia Europy na miarę ery cyfrowej i zbudowania gospodarki gotowej na przyszłość, która będzie przynosić korzyści obywatelom. Pakiet dotyczący finansów cyfrowych obejmuje nową strategię w zakresie finansów cyfrowych dla unijnego sektora finansowego</w:t>
      </w:r>
      <w:r>
        <w:rPr>
          <w:rStyle w:val="FootnoteReference"/>
          <w:noProof/>
        </w:rPr>
        <w:footnoteReference w:id="2"/>
      </w:r>
      <w:r>
        <w:rPr>
          <w:noProof/>
        </w:rPr>
        <w:t>, której celem jest zapewnienie, aby UE była przygotowana na rewolucję cyfrową i przewodziła jej wraz z innowacyjnymi przedsiębiorstwami europejskimi, zapewniając konsumentom i przedsiębiorstwom w Europie dostęp do korzyści wynikających z finansów cyfrowych. Oprócz niniejszego wniosku pakiet zawiera wniosek dotyczący rozporządzenia w sprawie rynków kryptoaktywów</w:t>
      </w:r>
      <w:r>
        <w:rPr>
          <w:rStyle w:val="FootnoteReference"/>
          <w:noProof/>
        </w:rPr>
        <w:footnoteReference w:id="3"/>
      </w:r>
      <w:r>
        <w:rPr>
          <w:noProof/>
        </w:rPr>
        <w:t>, wniosek dotyczący rozporządzenia w sprawie systemu pilotażowego na potrzeby infrastruktur rynkowych opartych na technologii rozproszonego rejestru (DLT)</w:t>
      </w:r>
      <w:r>
        <w:rPr>
          <w:rStyle w:val="FootnoteReference"/>
          <w:noProof/>
        </w:rPr>
        <w:footnoteReference w:id="4"/>
      </w:r>
      <w:r>
        <w:rPr>
          <w:noProof/>
        </w:rPr>
        <w:t>, wniosek dotyczący rozporządzenia w sprawie operacyjnej odporności cyfrowej sektora finansowego</w:t>
      </w:r>
      <w:r>
        <w:rPr>
          <w:rStyle w:val="FootnoteReference"/>
          <w:noProof/>
        </w:rPr>
        <w:footnoteReference w:id="5"/>
      </w:r>
      <w:r>
        <w:rPr>
          <w:noProof/>
        </w:rPr>
        <w:t xml:space="preserve">. </w:t>
      </w:r>
    </w:p>
    <w:p>
      <w:pPr>
        <w:pBdr>
          <w:top w:val="nil"/>
          <w:left w:val="nil"/>
          <w:bottom w:val="nil"/>
          <w:right w:val="nil"/>
          <w:between w:val="nil"/>
          <w:bar w:val="nil"/>
        </w:pBdr>
        <w:spacing w:before="0" w:after="240"/>
        <w:rPr>
          <w:noProof/>
        </w:rPr>
      </w:pPr>
      <w:r>
        <w:rPr>
          <w:noProof/>
        </w:rPr>
        <w:t>Podstawę i cele obu zestawów środków legislacyjnych określono w uzasadnieniu, odpowiednio, wniosku dotyczącego rozporządzenia w sprawie systemu pilotażowego na potrzeby infrastruktur rynkowych opartych na technologii rozproszonego rejestru, wniosku dotyczącego rozporządzenia w sprawie rynków kryptoaktywów oraz wniosku dotyczącego rozporządzenia w sprawie operacyjnej odporności cyfrowej. Konkretną przyczyną niniejszego wniosku dotyczącego dyrektywy jest konieczność ustanowienia tymczasowego wyłączenia w odniesieniu do wielostronnych platform obrotu oraz zmiany lub wyjaśnienia niektórych przepisów obowiązujących obecnie unijnych dyrektyw dotyczących usług finansowych, co ma służyć zapewnieniu pewności prawa w zakresie kryptoaktywów i osiągnięciu celów związanych ze zwiększeniem operacyjnej odporności cyfrowej.</w:t>
      </w:r>
    </w:p>
    <w:p>
      <w:pPr>
        <w:rPr>
          <w:noProof/>
        </w:rPr>
      </w:pPr>
      <w:r>
        <w:rPr>
          <w:noProof/>
        </w:rPr>
        <w:t xml:space="preserve"> </w:t>
      </w:r>
    </w:p>
    <w:p>
      <w:pPr>
        <w:pStyle w:val="Bullet0"/>
        <w:rPr>
          <w:noProof/>
        </w:rPr>
      </w:pPr>
      <w:r>
        <w:rPr>
          <w:b/>
          <w:noProof/>
        </w:rPr>
        <w:t>Spójność z przepisami obowiązującymi w tym obszarze polityki</w:t>
      </w:r>
    </w:p>
    <w:p>
      <w:pPr>
        <w:rPr>
          <w:noProof/>
        </w:rPr>
      </w:pPr>
      <w:r>
        <w:rPr>
          <w:noProof/>
        </w:rPr>
        <w:t xml:space="preserve">Niniejszy wniosek, podobnie jak wnioski dotyczące rozporządzeń, którym towarzyszy, stanowi element szerszych prac prowadzonych na szczeblu europejskim i międzynarodowym, których celem jest (i) zwiększenie cyberbezpieczeństwa usług finansowych oraz wyeliminowanie szerzej pojmowanych elementów ryzyka operacyjnego, a także (ii) zapewnienie jasnych, proporcjonalnych i wspomagających unijnych ram prawnych dotyczących dostawców usług w zakresie kryptoaktywów. </w:t>
      </w:r>
    </w:p>
    <w:p>
      <w:pPr>
        <w:rPr>
          <w:noProof/>
        </w:rPr>
      </w:pPr>
    </w:p>
    <w:p>
      <w:pPr>
        <w:pStyle w:val="Bullet0"/>
        <w:rPr>
          <w:noProof/>
          <w:u w:color="000000"/>
          <w:bdr w:val="nil"/>
        </w:rPr>
      </w:pPr>
      <w:r>
        <w:rPr>
          <w:b/>
          <w:noProof/>
        </w:rPr>
        <w:t>Spójność</w:t>
      </w:r>
      <w:r>
        <w:rPr>
          <w:b/>
          <w:noProof/>
          <w:u w:color="000000"/>
          <w:bdr w:val="nil"/>
        </w:rPr>
        <w:t xml:space="preserve"> z innymi politykami Unii</w:t>
      </w:r>
    </w:p>
    <w:p>
      <w:pPr>
        <w:rPr>
          <w:noProof/>
        </w:rPr>
      </w:pPr>
      <w:r>
        <w:rPr>
          <w:noProof/>
        </w:rPr>
        <w:t>Jak stwierdziła przewodnicząca Ursula von der Leyen w swoich wytycznych politycznych</w:t>
      </w:r>
      <w:r>
        <w:rPr>
          <w:rStyle w:val="FootnoteReference"/>
          <w:noProof/>
        </w:rPr>
        <w:footnoteReference w:id="6"/>
      </w:r>
      <w:r>
        <w:rPr>
          <w:noProof/>
        </w:rPr>
        <w:t>, a także jak określono w komunikacie zatytułowanym „Kształtowanie cyfrowej przyszłości Europy”</w:t>
      </w:r>
      <w:r>
        <w:rPr>
          <w:rStyle w:val="FootnoteReference"/>
          <w:noProof/>
        </w:rPr>
        <w:footnoteReference w:id="7"/>
      </w:r>
      <w:r>
        <w:rPr>
          <w:noProof/>
        </w:rPr>
        <w:t xml:space="preserve">, Europa musi wykorzystać wszystkie możliwości, jakie daje era cyfrowa, a także wzmocnić swoje zdolności przemysłowe i innowacyjne w granicach bezpieczeństwa i norm etycznych. </w:t>
      </w:r>
    </w:p>
    <w:p>
      <w:pPr>
        <w:rPr>
          <w:rFonts w:eastAsia="Arial Unicode MS"/>
          <w:noProof/>
          <w:bdr w:val="none" w:sz="0" w:space="0" w:color="auto" w:frame="1"/>
        </w:rPr>
      </w:pPr>
      <w:r>
        <w:rPr>
          <w:noProof/>
        </w:rPr>
        <w:t xml:space="preserve">Jeżeli chodzi o kryptoaktywa, </w:t>
      </w:r>
      <w:r>
        <w:rPr>
          <w:noProof/>
          <w:bdr w:val="none" w:sz="0" w:space="0" w:color="auto" w:frame="1"/>
        </w:rPr>
        <w:t>niniejszy wniosek jest ściśle powiązany z szerszą polityką Komisji w dziedzinie technologii blockchain, ponieważ kryptoaktywa, będące głównym zastosowaniem technologii blockchain, są nierozerwalnie związane z promowaniem technologii blockchain w całej Europie.</w:t>
      </w:r>
    </w:p>
    <w:p>
      <w:pPr>
        <w:rPr>
          <w:rFonts w:eastAsia="Arial Unicode MS"/>
          <w:noProof/>
          <w:bdr w:val="none" w:sz="0" w:space="0" w:color="auto" w:frame="1"/>
        </w:rPr>
      </w:pPr>
      <w:r>
        <w:rPr>
          <w:noProof/>
        </w:rPr>
        <w:t>Jeżeli chodzi o odporność operacyjną, w europejskiej strategii w zakresie danych</w:t>
      </w:r>
      <w:r>
        <w:rPr>
          <w:rStyle w:val="FootnoteReference"/>
          <w:noProof/>
        </w:rPr>
        <w:footnoteReference w:id="8"/>
      </w:r>
      <w:r>
        <w:rPr>
          <w:noProof/>
        </w:rPr>
        <w:t xml:space="preserve"> określono cztery podstawowe filary – ochrona danych, prawa podstawowe, bezpieczeństwo i cyberbezpieczeństwo – determinujących wzmocnienie pozycji społeczeństwa dzięki wykorzystaniu danych. Ramy legislacyjne zwiększające operacyjną odporność cyfrową unijnych podmiotów finansowych są spójne z tymi celami polityki. Wniosek stanowiłby również wsparcie w zakresie polityki ukierunkowanej na odbudowę w następstwie pandemii COVID-19, gdyż przyczyniłby się do zapewnienia, aby większe uzależnienie od finansów cyfrowych szło w parze z odpornością operacyjną. Oba wnioski stanowią również odpowiedź na wezwania Forum Wysokiego Szczebla ds. Unii Rynków Kapitałowych do </w:t>
      </w:r>
      <w:r>
        <w:rPr>
          <w:noProof/>
          <w:bdr w:val="none" w:sz="0" w:space="0" w:color="auto" w:frame="1"/>
        </w:rPr>
        <w:t>ustanowienia przejrzystych przepisów dotyczących korzystania z kryptoaktywów (zalecenie 7) oraz wprowadzenia nowych przepisów dotyczących odporności cyfrowej (zalecenie 10)</w:t>
      </w:r>
      <w:r>
        <w:rPr>
          <w:rStyle w:val="FootnoteReference"/>
          <w:rFonts w:eastAsia="Arial Unicode MS"/>
          <w:noProof/>
          <w:bdr w:val="none" w:sz="0" w:space="0" w:color="auto" w:frame="1"/>
          <w:lang w:eastAsia="en-GB"/>
        </w:rPr>
        <w:footnoteReference w:id="9"/>
      </w:r>
      <w:r>
        <w:rPr>
          <w:noProof/>
        </w:rPr>
        <w:t>.</w:t>
      </w:r>
      <w:r>
        <w:rPr>
          <w:noProof/>
          <w:bdr w:val="none" w:sz="0" w:space="0" w:color="auto" w:frame="1"/>
        </w:rPr>
        <w:t xml:space="preserve"> </w:t>
      </w:r>
    </w:p>
    <w:p>
      <w:pPr>
        <w:rPr>
          <w:rFonts w:eastAsia="Arial Unicode MS"/>
          <w:noProof/>
          <w:bdr w:val="none" w:sz="0" w:space="0" w:color="auto" w:frame="1"/>
          <w:lang w:eastAsia="en-GB"/>
        </w:rPr>
      </w:pPr>
    </w:p>
    <w:p>
      <w:pPr>
        <w:rPr>
          <w:b/>
          <w:noProof/>
        </w:rPr>
      </w:pPr>
      <w:r>
        <w:rPr>
          <w:b/>
          <w:noProof/>
        </w:rPr>
        <w:t>2.PODSTAWA PRAWNA, POMOCNICZOŚĆ I PROPORCJONALNOŚĆ</w:t>
      </w:r>
    </w:p>
    <w:p>
      <w:pPr>
        <w:pStyle w:val="Bullet0"/>
        <w:rPr>
          <w:noProof/>
          <w:u w:color="000000"/>
          <w:bdr w:val="nil"/>
        </w:rPr>
      </w:pPr>
      <w:r>
        <w:rPr>
          <w:b/>
          <w:noProof/>
        </w:rPr>
        <w:t>Podstawa</w:t>
      </w:r>
      <w:r>
        <w:rPr>
          <w:b/>
          <w:noProof/>
          <w:u w:color="000000"/>
          <w:bdr w:val="nil"/>
        </w:rPr>
        <w:t xml:space="preserve"> prawna</w:t>
      </w:r>
    </w:p>
    <w:p>
      <w:pPr>
        <w:pBdr>
          <w:top w:val="nil"/>
          <w:left w:val="nil"/>
          <w:bottom w:val="nil"/>
          <w:right w:val="nil"/>
          <w:between w:val="nil"/>
          <w:bar w:val="nil"/>
        </w:pBdr>
        <w:spacing w:before="0" w:after="240"/>
        <w:rPr>
          <w:noProof/>
        </w:rPr>
      </w:pPr>
      <w:r>
        <w:rPr>
          <w:noProof/>
        </w:rPr>
        <w:t xml:space="preserve">Podstawą prawną niniejszego wniosku dotyczącego dyrektywy jest art. 53 ust. 1 i art. 114 TFUE. </w:t>
      </w:r>
    </w:p>
    <w:p>
      <w:pPr>
        <w:pStyle w:val="Bullet0"/>
        <w:rPr>
          <w:noProof/>
          <w:u w:color="000000"/>
          <w:bdr w:val="nil"/>
        </w:rPr>
      </w:pPr>
      <w:r>
        <w:rPr>
          <w:b/>
          <w:noProof/>
          <w:u w:color="000000"/>
          <w:bdr w:val="nil"/>
        </w:rPr>
        <w:t xml:space="preserve">Pomocniczość (w przypadku kompetencji niewyłącznych) </w:t>
      </w:r>
    </w:p>
    <w:p>
      <w:pPr>
        <w:pBdr>
          <w:top w:val="nil"/>
          <w:left w:val="nil"/>
          <w:bottom w:val="nil"/>
          <w:right w:val="nil"/>
          <w:between w:val="nil"/>
          <w:bar w:val="nil"/>
        </w:pBdr>
        <w:spacing w:before="0" w:after="240"/>
        <w:rPr>
          <w:rFonts w:eastAsia="Arial Unicode MS"/>
          <w:noProof/>
        </w:rPr>
      </w:pPr>
      <w:r>
        <w:rPr>
          <w:noProof/>
        </w:rPr>
        <w:t xml:space="preserve">Zob. uzasadnienia wniosku dotyczącego rozporządzenia w sprawie rynków kryptoaktywów, wniosku w sprawie systemu tymczasowego na potrzeby infrastruktur rynkowych opartych na DLT oraz wniosku w sprawie operacyjnej odporności cyfrowej. </w:t>
      </w:r>
    </w:p>
    <w:p>
      <w:pPr>
        <w:pStyle w:val="Bullet0"/>
        <w:rPr>
          <w:noProof/>
          <w:u w:color="000000"/>
          <w:bdr w:val="nil"/>
        </w:rPr>
      </w:pPr>
      <w:r>
        <w:rPr>
          <w:b/>
          <w:noProof/>
          <w:u w:color="000000"/>
          <w:bdr w:val="nil"/>
        </w:rPr>
        <w:t>Proporcjonalność</w:t>
      </w:r>
    </w:p>
    <w:p>
      <w:pPr>
        <w:pBdr>
          <w:top w:val="nil"/>
          <w:left w:val="nil"/>
          <w:bottom w:val="nil"/>
          <w:right w:val="nil"/>
          <w:between w:val="nil"/>
          <w:bar w:val="nil"/>
        </w:pBdr>
        <w:spacing w:before="0" w:after="240"/>
        <w:rPr>
          <w:noProof/>
        </w:rPr>
      </w:pPr>
      <w:r>
        <w:rPr>
          <w:noProof/>
        </w:rPr>
        <w:lastRenderedPageBreak/>
        <w:t>Zob. uzasadnienia wniosku dotyczącego rozporządzenia w sprawie rynków kryptoaktywów, wniosku dotyczącego rozporządzenia w sprawie systemu tymczasowego na potrzeby infrastruktur rynkowych opartych na DLT oraz wniosku dotyczącego rozporządzenia w sprawie operacyjnej odporności cyfrowej.</w:t>
      </w:r>
    </w:p>
    <w:p>
      <w:pPr>
        <w:pStyle w:val="Bullet0"/>
        <w:rPr>
          <w:noProof/>
          <w:u w:color="000000"/>
          <w:bdr w:val="nil"/>
        </w:rPr>
      </w:pPr>
      <w:r>
        <w:rPr>
          <w:b/>
          <w:noProof/>
          <w:u w:color="000000"/>
          <w:bdr w:val="nil"/>
        </w:rPr>
        <w:t>Wybór instrumentu</w:t>
      </w:r>
    </w:p>
    <w:p>
      <w:pPr>
        <w:pBdr>
          <w:top w:val="nil"/>
          <w:left w:val="nil"/>
          <w:bottom w:val="nil"/>
          <w:right w:val="nil"/>
          <w:between w:val="nil"/>
          <w:bar w:val="nil"/>
        </w:pBdr>
        <w:spacing w:before="0" w:after="240"/>
        <w:rPr>
          <w:noProof/>
        </w:rPr>
      </w:pPr>
      <w:r>
        <w:rPr>
          <w:noProof/>
        </w:rPr>
        <w:t>Niniejszy wniosek dotyczący dyrektywy towarzyszy wnioskowi dotyczącemu rozporządzenia w sprawie rynków kryptoaktywów, wnioskowi dotyczącemu rozporządzenia w sprawie systemu tymczasowego na potrzeby infrastruktur rynkowych opartych na DLT oraz wnioskowi dotyczącemu rozporządzenia w sprawie operacyjnej odporności cyfrowej. W rozporządzeniach tych określa się kluczowe przepisy dotyczące (i) dostawców usług w zakresie kryptoaktywów, (ii) zasad regulujących system pilotażowy na potrzeby infrastruktur rynkowych opartych na DLT, a także (iii) kluczowych zasad regulujących zarządzanie ryzykiem ICT, zgłaszanie zdarzeń, testowanie i nadzór. Aby osiągnąć cele określone w przedmiotowych rozporządzeniach, należy również ustanowić tymczasowe wyłączenie w odniesieniu do wielostronnych platform obrotu oraz zmienić szereg dyrektyw Parlamentu Europejskiego i Rady przyjętych na podstawie art. 53 ust. 1 i art. 114 TFUE. W ramach niniejszego wniosku dotyczącego dyrektywy należy zatem zmienić te dyrektywy.</w:t>
      </w:r>
    </w:p>
    <w:p>
      <w:pPr>
        <w:pStyle w:val="ManualHeading1"/>
        <w:rPr>
          <w:noProof/>
        </w:rPr>
      </w:pPr>
      <w:r>
        <w:rPr>
          <w:noProof/>
        </w:rPr>
        <w:t>3.</w:t>
      </w:r>
      <w:r>
        <w:rPr>
          <w:noProof/>
        </w:rPr>
        <w:tab/>
        <w:t xml:space="preserve">WYNIKI OCEN </w:t>
      </w:r>
      <w:r>
        <w:rPr>
          <w:i/>
          <w:iCs/>
          <w:noProof/>
        </w:rPr>
        <w:t>EX POST</w:t>
      </w:r>
      <w:r>
        <w:rPr>
          <w:noProof/>
        </w:rPr>
        <w:t>, KONSULTACJI Z ZAINTERESOWANYMI STRONAMI I OCEN SKUTKÓW</w:t>
      </w:r>
    </w:p>
    <w:p>
      <w:pPr>
        <w:pStyle w:val="Bullet0"/>
        <w:rPr>
          <w:noProof/>
          <w:u w:color="000000"/>
          <w:bdr w:val="nil"/>
        </w:rPr>
      </w:pPr>
      <w:r>
        <w:rPr>
          <w:b/>
          <w:noProof/>
          <w:u w:color="000000"/>
          <w:bdr w:val="nil"/>
        </w:rPr>
        <w:t xml:space="preserve">Oceny </w:t>
      </w:r>
      <w:r>
        <w:rPr>
          <w:b/>
          <w:i/>
          <w:iCs/>
          <w:noProof/>
          <w:u w:color="000000"/>
          <w:bdr w:val="nil"/>
        </w:rPr>
        <w:t>ex post</w:t>
      </w:r>
      <w:r>
        <w:rPr>
          <w:b/>
          <w:noProof/>
          <w:u w:color="000000"/>
          <w:bdr w:val="nil"/>
        </w:rPr>
        <w:t>/oceny adekwatności obowiązującego prawodawstwa</w:t>
      </w:r>
    </w:p>
    <w:p>
      <w:pPr>
        <w:pBdr>
          <w:top w:val="nil"/>
          <w:left w:val="nil"/>
          <w:bottom w:val="nil"/>
          <w:right w:val="nil"/>
          <w:between w:val="nil"/>
          <w:bar w:val="nil"/>
        </w:pBdr>
        <w:spacing w:before="0" w:after="240"/>
        <w:rPr>
          <w:noProof/>
        </w:rPr>
      </w:pPr>
      <w:r>
        <w:rPr>
          <w:noProof/>
        </w:rPr>
        <w:t xml:space="preserve">Zob. uzasadnienia wniosku dotyczącego rozporządzenia w sprawie rynków kryptoaktywów, wniosku dotyczącego rozporządzenia w sprawie systemu tymczasowego na potrzeby infrastruktur rynkowych opartych na DLT oraz wniosku dotyczącego rozporządzenia w sprawie operacyjnej odporności cyfrowej.    </w:t>
      </w:r>
    </w:p>
    <w:p>
      <w:pPr>
        <w:pStyle w:val="Bullet0"/>
        <w:rPr>
          <w:noProof/>
          <w:u w:color="000000"/>
          <w:bdr w:val="nil"/>
        </w:rPr>
      </w:pPr>
      <w:r>
        <w:rPr>
          <w:b/>
          <w:noProof/>
          <w:u w:color="000000"/>
          <w:bdr w:val="nil"/>
        </w:rPr>
        <w:t>Konsultacje z zainteresowanymi stronami</w:t>
      </w:r>
    </w:p>
    <w:p>
      <w:pPr>
        <w:pBdr>
          <w:top w:val="nil"/>
          <w:left w:val="nil"/>
          <w:bottom w:val="nil"/>
          <w:right w:val="nil"/>
          <w:between w:val="nil"/>
          <w:bar w:val="nil"/>
        </w:pBdr>
        <w:spacing w:before="0" w:after="240"/>
        <w:rPr>
          <w:noProof/>
        </w:rPr>
      </w:pPr>
      <w:r>
        <w:rPr>
          <w:noProof/>
        </w:rPr>
        <w:t xml:space="preserve">Zob. uzasadnienia wniosku dotyczącego rozporządzenia w sprawie rynków kryptoaktywów, wniosku dotyczącego rozporządzenia w sprawie systemu tymczasowego na potrzeby infrastruktur rynkowych opartych na DLT oraz wniosku dotyczącego rozporządzenia w sprawie operacyjnej odporności cyfrowej.   </w:t>
      </w:r>
    </w:p>
    <w:p>
      <w:pPr>
        <w:pStyle w:val="Bullet0"/>
        <w:rPr>
          <w:noProof/>
          <w:u w:color="000000"/>
          <w:bdr w:val="nil"/>
        </w:rPr>
      </w:pPr>
      <w:r>
        <w:rPr>
          <w:b/>
          <w:noProof/>
          <w:u w:color="000000"/>
          <w:bdr w:val="nil"/>
        </w:rPr>
        <w:t>Gromadzenie i wykorzystanie wiedzy eksperckiej</w:t>
      </w:r>
    </w:p>
    <w:p>
      <w:pPr>
        <w:pBdr>
          <w:top w:val="nil"/>
          <w:left w:val="nil"/>
          <w:bottom w:val="nil"/>
          <w:right w:val="nil"/>
          <w:between w:val="nil"/>
          <w:bar w:val="nil"/>
        </w:pBdr>
        <w:spacing w:before="0" w:after="240"/>
        <w:rPr>
          <w:rFonts w:eastAsia="Arial Unicode MS"/>
          <w:noProof/>
        </w:rPr>
      </w:pPr>
      <w:r>
        <w:rPr>
          <w:noProof/>
        </w:rPr>
        <w:t xml:space="preserve">Zob. uzasadnienia wniosku dotyczącego rozporządzenia w sprawie rynków kryptoaktywów, wniosku dotyczącego rozporządzenia w sprawie systemu tymczasowego na potrzeby infrastruktur rynkowych opartych na DLT oraz wniosku dotyczącego rozporządzenia w sprawie operacyjnej odporności cyfrowej.   </w:t>
      </w:r>
    </w:p>
    <w:p>
      <w:pPr>
        <w:pStyle w:val="Bullet0"/>
        <w:rPr>
          <w:noProof/>
          <w:u w:color="000000"/>
          <w:bdr w:val="nil"/>
        </w:rPr>
      </w:pPr>
      <w:r>
        <w:rPr>
          <w:b/>
          <w:noProof/>
          <w:u w:color="000000"/>
          <w:bdr w:val="nil"/>
        </w:rPr>
        <w:t>Ocena skutków</w:t>
      </w:r>
    </w:p>
    <w:p>
      <w:pPr>
        <w:pBdr>
          <w:top w:val="nil"/>
          <w:left w:val="nil"/>
          <w:bottom w:val="nil"/>
          <w:right w:val="nil"/>
          <w:between w:val="nil"/>
          <w:bar w:val="nil"/>
        </w:pBdr>
        <w:spacing w:before="0" w:after="240"/>
        <w:rPr>
          <w:rFonts w:eastAsia="Arial Unicode MS"/>
          <w:noProof/>
        </w:rPr>
      </w:pPr>
      <w:r>
        <w:rPr>
          <w:noProof/>
        </w:rPr>
        <w:t xml:space="preserve">Zob. uzasadnienia wniosku dotyczącego rozporządzenia w sprawie rynków kryptoaktywów, wniosku dotyczącego rozporządzenia w sprawie systemu tymczasowego na potrzeby infrastruktur rynkowych opartych na DLT oraz wniosku dotyczącego rozporządzenia w sprawie operacyjnej odporności cyfrowej. </w:t>
      </w:r>
    </w:p>
    <w:p>
      <w:pPr>
        <w:pStyle w:val="Bullet0"/>
        <w:rPr>
          <w:noProof/>
          <w:u w:color="000000"/>
          <w:bdr w:val="nil"/>
        </w:rPr>
      </w:pPr>
      <w:r>
        <w:rPr>
          <w:b/>
          <w:noProof/>
          <w:u w:color="000000"/>
          <w:bdr w:val="nil"/>
        </w:rPr>
        <w:t>Sprawność regulacyjna i uproszczenie</w:t>
      </w:r>
    </w:p>
    <w:p>
      <w:pPr>
        <w:pBdr>
          <w:top w:val="nil"/>
          <w:left w:val="nil"/>
          <w:bottom w:val="nil"/>
          <w:right w:val="nil"/>
          <w:between w:val="nil"/>
          <w:bar w:val="nil"/>
        </w:pBdr>
        <w:spacing w:before="0" w:after="240"/>
        <w:rPr>
          <w:noProof/>
        </w:rPr>
      </w:pPr>
      <w:r>
        <w:rPr>
          <w:noProof/>
        </w:rPr>
        <w:lastRenderedPageBreak/>
        <w:t xml:space="preserve">Zob. uzasadnienia wniosku dotyczącego rozporządzenia w sprawie rynków kryptoaktywów, wniosku dotyczącego rozporządzenia w sprawie systemu tymczasowego na potrzeby infrastruktur rynkowych opartych na DLT oraz wniosku dotyczącego rozporządzenia w sprawie operacyjnej odporności cyfrowej.   </w:t>
      </w:r>
    </w:p>
    <w:p>
      <w:pPr>
        <w:pStyle w:val="Bullet0"/>
        <w:rPr>
          <w:noProof/>
          <w:u w:color="000000"/>
          <w:bdr w:val="nil"/>
        </w:rPr>
      </w:pPr>
      <w:r>
        <w:rPr>
          <w:b/>
          <w:noProof/>
          <w:u w:color="000000"/>
          <w:bdr w:val="nil"/>
        </w:rPr>
        <w:t>Prawa podstawowe</w:t>
      </w:r>
    </w:p>
    <w:p>
      <w:pPr>
        <w:pBdr>
          <w:top w:val="nil"/>
          <w:left w:val="nil"/>
          <w:bottom w:val="nil"/>
          <w:right w:val="nil"/>
          <w:between w:val="nil"/>
          <w:bar w:val="nil"/>
        </w:pBdr>
        <w:spacing w:before="0" w:after="240"/>
        <w:rPr>
          <w:noProof/>
        </w:rPr>
      </w:pPr>
      <w:r>
        <w:rPr>
          <w:noProof/>
        </w:rPr>
        <w:t xml:space="preserve">Zob. uzasadnienia wniosku dotyczącego rozporządzenia w sprawie rynków kryptoaktywów, wniosku dotyczącego rozporządzenia w sprawie systemu tymczasowego na potrzeby infrastruktur rynkowych opartych na DLT oraz wniosku dotyczącego rozporządzenia w sprawie operacyjnej odporności cyfrowej. </w:t>
      </w:r>
    </w:p>
    <w:p>
      <w:pPr>
        <w:pStyle w:val="ManualHeading1"/>
        <w:rPr>
          <w:noProof/>
        </w:rPr>
      </w:pPr>
      <w:r>
        <w:rPr>
          <w:noProof/>
        </w:rPr>
        <w:t>4.WPŁYW NA BUDŻET</w:t>
      </w:r>
    </w:p>
    <w:p>
      <w:pPr>
        <w:rPr>
          <w:noProof/>
        </w:rPr>
      </w:pPr>
      <w:r>
        <w:rPr>
          <w:noProof/>
        </w:rPr>
        <w:t xml:space="preserve">Zob. uzasadnienia wniosku dotyczącego rozporządzenia w sprawie rynków kryptoaktywów, wniosku w sprawie systemu tymczasowego na potrzeby infrastruktur rynkowych opartych na DLT oraz wniosku w sprawie operacyjnej odporności cyfrowej. </w:t>
      </w:r>
    </w:p>
    <w:p>
      <w:pPr>
        <w:pStyle w:val="ManualHeading1"/>
        <w:rPr>
          <w:noProof/>
        </w:rPr>
      </w:pPr>
      <w:r>
        <w:rPr>
          <w:noProof/>
        </w:rPr>
        <w:t>5.ELEMENTY FAKULTATYWNE</w:t>
      </w:r>
    </w:p>
    <w:p>
      <w:pPr>
        <w:pStyle w:val="Bullet0"/>
        <w:rPr>
          <w:noProof/>
          <w:u w:color="000000"/>
          <w:bdr w:val="nil"/>
        </w:rPr>
      </w:pPr>
      <w:r>
        <w:rPr>
          <w:b/>
          <w:noProof/>
          <w:u w:color="000000"/>
          <w:bdr w:val="nil"/>
        </w:rPr>
        <w:t>Plany wdrażania oraz uzgodnienia dotyczące monitorowania, oceny i sprawozdawczości</w:t>
      </w:r>
    </w:p>
    <w:p>
      <w:pPr>
        <w:pBdr>
          <w:top w:val="nil"/>
          <w:left w:val="nil"/>
          <w:bottom w:val="nil"/>
          <w:right w:val="nil"/>
          <w:between w:val="nil"/>
          <w:bar w:val="nil"/>
        </w:pBdr>
        <w:spacing w:before="0" w:after="240"/>
        <w:rPr>
          <w:noProof/>
        </w:rPr>
      </w:pPr>
      <w:r>
        <w:rPr>
          <w:noProof/>
        </w:rPr>
        <w:t xml:space="preserve">Zob. uzasadnienia wniosku dotyczącego rozporządzenia w sprawie rynków kryptoaktywów, wniosku dotyczącego rozporządzenia w sprawie systemu tymczasowego na potrzeby infrastruktur rynkowych opartych na DLT oraz wniosku dotyczącego rozporządzenia w sprawie operacyjnej odporności cyfrowej.   </w:t>
      </w:r>
    </w:p>
    <w:p>
      <w:pPr>
        <w:pStyle w:val="Bullet0"/>
        <w:rPr>
          <w:noProof/>
          <w:u w:color="000000"/>
          <w:bdr w:val="nil"/>
        </w:rPr>
      </w:pPr>
      <w:r>
        <w:rPr>
          <w:b/>
          <w:noProof/>
          <w:u w:color="000000"/>
          <w:bdr w:val="nil"/>
        </w:rPr>
        <w:t>Szczegółowe objaśnienia poszczególnych przepisów wniosku</w:t>
      </w:r>
    </w:p>
    <w:p>
      <w:pPr>
        <w:rPr>
          <w:noProof/>
        </w:rPr>
      </w:pPr>
      <w:r>
        <w:rPr>
          <w:noProof/>
        </w:rPr>
        <w:t>Wszystkie artykuły odnoszą się do wniosku dotyczącego rozporządzenia w sprawie operacyjnej odporności cyfrowej i uzupełniają ten wniosek. Zawierają one zmiany poszczególnych wymogów w zakresie ryzyka operacyjnego lub zarządzania ryzykiem przewidzianych w dyrektywach Parlamentu Europejskiego i Rady 2006/43/WE, 2009/65/WE, 2009/138/WE, 2011/61/UE, 2013/36/UE, 2014/65/UE, (UE) 2015/2366 i (UE) 2016/2341, a zmiany te polegają na wprowadzeniu precyzyjnych odniesień w tych przepisach i skutkują osiągnięciem jasność prawa. Ściślej rzecz biorąc:</w:t>
      </w:r>
    </w:p>
    <w:p>
      <w:pPr>
        <w:pStyle w:val="Tiret0"/>
        <w:numPr>
          <w:ilvl w:val="0"/>
          <w:numId w:val="9"/>
        </w:numPr>
        <w:rPr>
          <w:rFonts w:eastAsia="Times New Roman"/>
          <w:noProof/>
          <w:szCs w:val="20"/>
        </w:rPr>
      </w:pPr>
      <w:r>
        <w:rPr>
          <w:noProof/>
        </w:rPr>
        <w:t>W art. 2–4, 6 i 8 zmienia się dyrektywę 2009/65/WE sprawie koordynacji przepisów ustawowych, wykonawczych i administracyjnych odnoszących się do przedsiębiorstw zbiorowego inwestowania w zbywalne papiery wartościowe (UCITS)</w:t>
      </w:r>
      <w:r>
        <w:rPr>
          <w:rStyle w:val="FootnoteReference"/>
          <w:rFonts w:eastAsia="Times New Roman"/>
          <w:noProof/>
          <w:szCs w:val="20"/>
        </w:rPr>
        <w:footnoteReference w:id="10"/>
      </w:r>
      <w:r>
        <w:rPr>
          <w:noProof/>
        </w:rPr>
        <w:t>, dyrektywę 2009/138/WE w sprawie podejmowania i prowadzenia działalności ubezpieczeniowej i reasekuracyjnej (Wypłacalność II)</w:t>
      </w:r>
      <w:r>
        <w:rPr>
          <w:rStyle w:val="FootnoteReference"/>
          <w:rFonts w:eastAsia="Times New Roman"/>
          <w:noProof/>
          <w:szCs w:val="20"/>
        </w:rPr>
        <w:footnoteReference w:id="11"/>
      </w:r>
      <w:r>
        <w:rPr>
          <w:noProof/>
        </w:rPr>
        <w:t xml:space="preserve">, dyrektywę 2011/61/UE w sprawie zarządzających alternatywnymi funduszami inwestycyjnymi </w:t>
      </w:r>
      <w:r>
        <w:rPr>
          <w:noProof/>
        </w:rPr>
        <w:lastRenderedPageBreak/>
        <w:t>(dyrektywa w sprawie ZAFI)</w:t>
      </w:r>
      <w:r>
        <w:rPr>
          <w:rStyle w:val="FootnoteReference"/>
          <w:rFonts w:eastAsia="Times New Roman"/>
          <w:noProof/>
          <w:szCs w:val="20"/>
        </w:rPr>
        <w:footnoteReference w:id="12"/>
      </w:r>
      <w:r>
        <w:rPr>
          <w:noProof/>
        </w:rPr>
        <w:t>, dyrektywę 2014/56/UE w sprawie ustawowych badań rocznych sprawozdań finansowych i skonsolidowanych sprawozdań finansowych</w:t>
      </w:r>
      <w:r>
        <w:rPr>
          <w:rStyle w:val="FootnoteReference"/>
          <w:noProof/>
        </w:rPr>
        <w:footnoteReference w:id="13"/>
      </w:r>
      <w:r>
        <w:rPr>
          <w:noProof/>
        </w:rPr>
        <w:t xml:space="preserve"> oraz dyrektywę (UE) 2016/2341 w sprawie działalności instytucji pracowniczych programów emerytalnych oraz nadzoru nad takimi instytucjami (IORP)</w:t>
      </w:r>
      <w:r>
        <w:rPr>
          <w:rStyle w:val="FootnoteReference"/>
          <w:noProof/>
        </w:rPr>
        <w:footnoteReference w:id="14"/>
      </w:r>
      <w:r>
        <w:rPr>
          <w:noProof/>
        </w:rPr>
        <w:t xml:space="preserve">, a zmiany te polegają na wprowadzeniu w każdej z tych dyrektyw konkretnego odniesienia do rozporządzenia (UE) 2021/xx [akt w sprawie operacyjnej odporności cyfrowej] w zakresie zarządzania systemami i narzędziami ICT przez te podmioty finansowe zgodnie z wymogami przepisów tego rozporządzenia. </w:t>
      </w:r>
    </w:p>
    <w:p>
      <w:pPr>
        <w:pStyle w:val="Tiret0"/>
        <w:numPr>
          <w:ilvl w:val="0"/>
          <w:numId w:val="9"/>
        </w:numPr>
        <w:rPr>
          <w:rFonts w:eastAsia="Times New Roman"/>
          <w:noProof/>
          <w:szCs w:val="20"/>
        </w:rPr>
      </w:pPr>
      <w:r>
        <w:rPr>
          <w:noProof/>
        </w:rPr>
        <w:t>W art. 5 zmienia się wymogi określone w dyrektywie 2013/36/UE („dyrektywa w sprawie wymogów kapitałowych”)</w:t>
      </w:r>
      <w:r>
        <w:rPr>
          <w:rStyle w:val="FootnoteReference"/>
          <w:noProof/>
        </w:rPr>
        <w:footnoteReference w:id="15"/>
      </w:r>
      <w:r>
        <w:rPr>
          <w:noProof/>
        </w:rPr>
        <w:t xml:space="preserve"> dotyczące planów awaryjnych i planów utrzymania ciągłości działania w celu uwzględnienia planów utrzymania ciągłości działania i planów przywrócenia gotowości do pracy po wystąpieniu sytuacji nadzwyczajnej w związku z ICT ustanowionych zgodnie z przepisami określonymi w rozporządzeniu (UE) 2021/xx [akt w sprawie operacyjnej odporności cyfrowej].</w:t>
      </w:r>
    </w:p>
    <w:p>
      <w:pPr>
        <w:pStyle w:val="Tiret0"/>
        <w:rPr>
          <w:rFonts w:eastAsia="Times New Roman"/>
          <w:noProof/>
          <w:szCs w:val="20"/>
        </w:rPr>
      </w:pPr>
      <w:r>
        <w:rPr>
          <w:noProof/>
        </w:rPr>
        <w:t>W art. 6 zmienia się dyrektywę 2014/65/UE w sprawie rynków instrumentów finansowych (MiFID 2) poprzez dodanie odniesień do rozporządzenia (UE) 2021/xx [akt w sprawie operacyjnej odporności cyfrowej] oraz poprzez zmianę przepisów dotyczących ciągłości i regularności świadczenia usług i działalności inwestycyjnych, odporności i wystarczającej zdolności systemów obrotu, skutecznych rozwiązań w zakresie ciągłości działania i zarządzania ryzykiem.</w:t>
      </w:r>
    </w:p>
    <w:p>
      <w:pPr>
        <w:pStyle w:val="Tiret0"/>
        <w:rPr>
          <w:rFonts w:eastAsia="Times New Roman"/>
          <w:noProof/>
          <w:szCs w:val="20"/>
        </w:rPr>
      </w:pPr>
      <w:r>
        <w:rPr>
          <w:noProof/>
        </w:rPr>
        <w:t>W art. 7 zmienia się dyrektywę (UE) 2015/2366 w sprawie usług płatniczych w ramach rynku wewnętrznego (druga dyrektywa w sprawie usług płatniczych)</w:t>
      </w:r>
      <w:r>
        <w:rPr>
          <w:rStyle w:val="FootnoteReference"/>
          <w:noProof/>
        </w:rPr>
        <w:footnoteReference w:id="16"/>
      </w:r>
      <w:r>
        <w:rPr>
          <w:noProof/>
        </w:rPr>
        <w:t>, a konkretnie przepisy dotyczące zezwoleń, poprzez dodanie odniesienia do rozporządzenia (UE) 2021/xx [akt w sprawie operacyjnej odporności cyfrowej]. Ponadto z zakresu zawartych w tej dyrektywie zasad dotyczących zgłaszania incydentów należy wyłączyć zgłaszanie incydentów związanych z ICT, co podlega pełnej harmonizacji w drodze rozporządzenia (UE) 2021/xx [akt w sprawie operacyjnej odporności cyfrowej].</w:t>
      </w:r>
    </w:p>
    <w:p>
      <w:pPr>
        <w:spacing w:before="0" w:after="200" w:line="276" w:lineRule="auto"/>
        <w:rPr>
          <w:noProof/>
        </w:rPr>
      </w:pPr>
      <w:r>
        <w:rPr>
          <w:noProof/>
        </w:rPr>
        <w:t xml:space="preserve">Ponadto art. 6 ust. 1 przyczynia się do dalszego wyjaśnienia prawnej kwalifikacji kryptoaktywów należących do instrumentów finansowych. W tym celu zmienia się definicję terminu „instrument finansowy” w dyrektywie 2014/65/UE w sprawie rynków instrumentów </w:t>
      </w:r>
      <w:r>
        <w:rPr>
          <w:noProof/>
        </w:rPr>
        <w:lastRenderedPageBreak/>
        <w:t xml:space="preserve">finansowych tak, aby w świetle prawa nie było wątpliwości, że takie instrumenty można emitować w oparciu o technologię rozproszonego rejestru. </w:t>
      </w:r>
    </w:p>
    <w:p>
      <w:pPr>
        <w:rPr>
          <w:noProof/>
        </w:rPr>
      </w:pPr>
      <w:r>
        <w:rPr>
          <w:noProof/>
        </w:rPr>
        <w:t>Art. 6 ust. 4 stanowi uzupełnienie wniosku dotyczącego rozporządzenia w sprawie systemu pilotażowego na potrzeby infrastruktur rynkowych opartych na technologii rozproszonego rejestru i zawiera tymczasowe wyłączenie infrastruktur rynkowych opartych na technologii rozproszonego rejestru z zakresu stosowania niektórych przepisów dyrektywy 2014/65/UE w celu umożliwienia im opracowania rozwiązań na potrzeby zawierania i rozliczania transakcji na kryptoaktywach kwalifikujących się jako instrumenty finansowe.</w:t>
      </w:r>
    </w:p>
    <w:p>
      <w:pPr>
        <w:spacing w:before="0" w:after="200" w:line="276" w:lineRule="auto"/>
        <w:jc w:val="left"/>
        <w:rPr>
          <w:noProof/>
        </w:rPr>
      </w:pPr>
      <w:r>
        <w:rPr>
          <w:noProof/>
        </w:rPr>
        <w:br w:type="page"/>
      </w:r>
    </w:p>
    <w:p>
      <w:pPr>
        <w:pStyle w:val="Rfrenceinterinstitutionnelle"/>
        <w:rPr>
          <w:noProof/>
        </w:rPr>
      </w:pPr>
      <w:r>
        <w:rPr>
          <w:noProof/>
        </w:rPr>
        <w:lastRenderedPageBreak/>
        <w:t>2020/0268 (COD)</w:t>
      </w:r>
    </w:p>
    <w:p>
      <w:pPr>
        <w:pStyle w:val="Statut"/>
        <w:rPr>
          <w:noProof/>
        </w:rPr>
      </w:pPr>
      <w:r>
        <w:rPr>
          <w:noProof/>
        </w:rPr>
        <w:t>Wniosek</w:t>
      </w:r>
    </w:p>
    <w:p>
      <w:pPr>
        <w:pStyle w:val="Typedudocument"/>
        <w:rPr>
          <w:noProof/>
        </w:rPr>
      </w:pPr>
      <w:r>
        <w:rPr>
          <w:noProof/>
        </w:rPr>
        <w:t>DYREKTYWA PARLAMENTU EUROPEJSKIEGO I RADY</w:t>
      </w:r>
    </w:p>
    <w:p>
      <w:pPr>
        <w:pStyle w:val="Titreobjet"/>
        <w:rPr>
          <w:noProof/>
        </w:rPr>
      </w:pPr>
      <w:r>
        <w:rPr>
          <w:noProof/>
        </w:rPr>
        <w:t>zmieniająca dyrektywy 2006/43/WE, 2009/65/WE, 2009/138/WE, 2011/61/UE, 2013/36/UE, 2014/65/UE, (UE) 2015/2366 i (UE) 2016/2341</w:t>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53 ust. 1 i art. 114,</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Banku Centralnego</w:t>
      </w:r>
      <w:r>
        <w:rPr>
          <w:rStyle w:val="FootnoteReference"/>
          <w:noProof/>
        </w:rPr>
        <w:footnoteReference w:id="17"/>
      </w:r>
      <w:r>
        <w:rPr>
          <w:noProof/>
        </w:rPr>
        <w:t>,</w:t>
      </w:r>
    </w:p>
    <w:p>
      <w:pPr>
        <w:rPr>
          <w:noProof/>
        </w:rPr>
      </w:pPr>
      <w:r>
        <w:rPr>
          <w:noProof/>
        </w:rPr>
        <w:t>uwzględniając opinię Europejskiego Komitetu Ekonomiczno-Społecznego</w:t>
      </w:r>
      <w:r>
        <w:rPr>
          <w:rStyle w:val="FootnoteReference"/>
          <w:noProof/>
        </w:rPr>
        <w:footnoteReference w:id="18"/>
      </w:r>
      <w:r>
        <w:rPr>
          <w:noProof/>
        </w:rPr>
        <w:t xml:space="preserve">, </w:t>
      </w:r>
    </w:p>
    <w:p>
      <w:pPr>
        <w:rPr>
          <w:noProof/>
          <w:szCs w:val="24"/>
        </w:rPr>
      </w:pPr>
      <w:r>
        <w:rPr>
          <w:noProof/>
        </w:rPr>
        <w:t>stanowiąc zgodnie ze zwykłą procedurą ustawodawczą,</w:t>
      </w:r>
    </w:p>
    <w:p>
      <w:pPr>
        <w:rPr>
          <w:noProof/>
          <w:szCs w:val="24"/>
        </w:rPr>
      </w:pPr>
      <w:r>
        <w:rPr>
          <w:noProof/>
        </w:rPr>
        <w:t>a także mając na uwadze, co następuje:</w:t>
      </w:r>
    </w:p>
    <w:p>
      <w:pPr>
        <w:pStyle w:val="Point0"/>
        <w:rPr>
          <w:noProof/>
        </w:rPr>
      </w:pPr>
      <w:r>
        <w:t>(1)</w:t>
      </w:r>
      <w:r>
        <w:tab/>
      </w:r>
      <w:r>
        <w:rPr>
          <w:noProof/>
        </w:rPr>
        <w:t>Unia musi odpowiednio i kompleksowo uwzględnić ryzyko cyfrowe w odniesieniu do wszystkich podmiotów finansowych w związku ze wzrostem wykorzystania technologii informacyjno-komunikacyjnych (ICT) na potrzeby świadczenia usług finansowych i korzystania z takich usług.</w:t>
      </w:r>
    </w:p>
    <w:p>
      <w:pPr>
        <w:pStyle w:val="Point0"/>
        <w:rPr>
          <w:noProof/>
        </w:rPr>
      </w:pPr>
      <w:r>
        <w:t>(2)</w:t>
      </w:r>
      <w:r>
        <w:tab/>
      </w:r>
      <w:r>
        <w:rPr>
          <w:noProof/>
        </w:rPr>
        <w:t xml:space="preserve">W swojej codziennej działalności podmioty sektora finansowego w dużej mierze wykorzystują technologie cyfrowe, w związku z czym kwestią najwyższej wagi jest zapewnienie odporności operacyjnej ich operacji cyfrowych na ryzyko związane z ICT. Potrzeba zapewnienia odporności stała się jeszcze pilniejsza wraz z rozwojem rynku przełomowych technologii, w szczególności umożliwiających cyfrowe przedstawienia wartości lub praw, które można przenosić i przechowywać w formie elektronicznej z wykorzystaniem technologii rozproszonego rejestru lub podobnej technologii („kryptoaktywa”), oraz rynku usług związanych z takimi aktywami. </w:t>
      </w:r>
    </w:p>
    <w:p>
      <w:pPr>
        <w:pStyle w:val="Point0"/>
        <w:rPr>
          <w:noProof/>
        </w:rPr>
      </w:pPr>
      <w:r>
        <w:t>(3)</w:t>
      </w:r>
      <w:r>
        <w:tab/>
      </w:r>
      <w:r>
        <w:rPr>
          <w:noProof/>
        </w:rPr>
        <w:t>Na szczeblu UE obecnie obowiązują różnorodne i czasem niepełne wymogi dotyczące ryzyka związanego z ICT w sektorze finansowym, obecnie znajdujące się w dyrektywach Parlamentu Europejskiego i Rady</w:t>
      </w:r>
      <w:r>
        <w:rPr>
          <w:rStyle w:val="FootnoteReference"/>
          <w:noProof/>
        </w:rPr>
        <w:t xml:space="preserve"> </w:t>
      </w:r>
      <w:r>
        <w:rPr>
          <w:noProof/>
        </w:rPr>
        <w:t>2006/43/WE</w:t>
      </w:r>
      <w:r>
        <w:rPr>
          <w:rStyle w:val="FootnoteReference"/>
          <w:noProof/>
        </w:rPr>
        <w:footnoteReference w:id="19"/>
      </w:r>
      <w:r>
        <w:rPr>
          <w:noProof/>
        </w:rPr>
        <w:t>, 2009/66/WE</w:t>
      </w:r>
      <w:r>
        <w:rPr>
          <w:rStyle w:val="FootnoteReference"/>
          <w:noProof/>
        </w:rPr>
        <w:footnoteReference w:id="20"/>
      </w:r>
      <w:r>
        <w:rPr>
          <w:noProof/>
        </w:rPr>
        <w:t xml:space="preserve">, </w:t>
      </w:r>
      <w:r>
        <w:rPr>
          <w:noProof/>
        </w:rPr>
        <w:lastRenderedPageBreak/>
        <w:t>2009/138/WE</w:t>
      </w:r>
      <w:r>
        <w:rPr>
          <w:rStyle w:val="FootnoteReference"/>
          <w:noProof/>
        </w:rPr>
        <w:footnoteReference w:id="21"/>
      </w:r>
      <w:r>
        <w:rPr>
          <w:noProof/>
        </w:rPr>
        <w:t>, 2011/61/UE</w:t>
      </w:r>
      <w:r>
        <w:rPr>
          <w:rStyle w:val="FootnoteReference"/>
          <w:noProof/>
        </w:rPr>
        <w:footnoteReference w:id="22"/>
      </w:r>
      <w:r>
        <w:rPr>
          <w:noProof/>
        </w:rPr>
        <w:t>, 2013/36/UE</w:t>
      </w:r>
      <w:r>
        <w:rPr>
          <w:rStyle w:val="FootnoteReference"/>
          <w:noProof/>
        </w:rPr>
        <w:footnoteReference w:id="23"/>
      </w:r>
      <w:r>
        <w:rPr>
          <w:noProof/>
        </w:rPr>
        <w:t>, 2014/65/UE</w:t>
      </w:r>
      <w:r>
        <w:rPr>
          <w:rStyle w:val="FootnoteReference"/>
          <w:noProof/>
        </w:rPr>
        <w:footnoteReference w:id="24"/>
      </w:r>
      <w:r>
        <w:rPr>
          <w:noProof/>
        </w:rPr>
        <w:t>, (UE) 2015/2366</w:t>
      </w:r>
      <w:r>
        <w:rPr>
          <w:rStyle w:val="FootnoteReference"/>
          <w:noProof/>
        </w:rPr>
        <w:footnoteReference w:id="25"/>
      </w:r>
      <w:r>
        <w:rPr>
          <w:noProof/>
        </w:rPr>
        <w:t>, (UE) 2016/2341</w:t>
      </w:r>
      <w:r>
        <w:rPr>
          <w:rStyle w:val="FootnoteReference"/>
          <w:noProof/>
        </w:rPr>
        <w:footnoteReference w:id="26"/>
      </w:r>
      <w:r>
        <w:rPr>
          <w:noProof/>
        </w:rPr>
        <w:t>. W niektórych przypadkach ryzyko związane z ICT uwzględniano wyłącznie w sposób dorozumiany w ramach ryzyka operacyjnego, natomiast w innych przypadkach takie ryzyko w ogóle nie zostało uwzględnione. Należy zaradzić tej sytuacji, dostosowując te akty do rozporządzenia Parlamentu Europejskiego i Rady (UE) 20xx/xx</w:t>
      </w:r>
      <w:r>
        <w:rPr>
          <w:rStyle w:val="FootnoteReference"/>
          <w:noProof/>
        </w:rPr>
        <w:footnoteReference w:id="27"/>
      </w:r>
      <w:r>
        <w:rPr>
          <w:noProof/>
        </w:rPr>
        <w:t xml:space="preserve"> [akt w sprawie operacyjnej odporności cyfrowej]. Niniejsza dyrektywa zawiera zestaw zmian, które wydają się niezbędne do zapewnienia jasności prawa i spójności w zakresie sposobu, w jaki podmioty finansowe – upoważnione i nadzorowane zgodnie z tymi dyrektywami – stosują poszczególne wymogi w zakresie operacyjnej odporności cyfrowej, które są konieczne do prowadzenia działalności przez te podmioty, co gwarantuje sprawne funkcjonowanie rynku wewnętrznego. </w:t>
      </w:r>
    </w:p>
    <w:p>
      <w:pPr>
        <w:pStyle w:val="Point0"/>
        <w:rPr>
          <w:noProof/>
        </w:rPr>
      </w:pPr>
      <w:r>
        <w:t>(4)</w:t>
      </w:r>
      <w:r>
        <w:tab/>
      </w:r>
      <w:r>
        <w:rPr>
          <w:noProof/>
        </w:rPr>
        <w:t xml:space="preserve">W obszarze usług bankowych w dyrektywie 2013/36/UE w sprawie warunków dopuszczenia instytucji kredytowych do działalności oraz nadzoru ostrożnościowego nad instytucjami kredytowymi i firmami inwestycyjnymi obecnie określa się wyłącznie ogólne zasady dotyczące zarządzania wewnętrznego i przepisy dotyczące ryzyka operacyjnego, zawierające wymogi w zakresie planów awaryjnych i planów utrzymania ciągłości działania, które w sposób dorozumiany służą jako podstawa do uwzględnienia zarządzania ryzykiem związanym z ICT. Aby zagwarantować wyraźne uwzględnienie elementów ryzyka związanego ICT, należy jednak zmienić wymogi dotyczące planów awaryjnych i planów utrzymania ciągłości działania w celu uwzględnienia planów utrzymania ciągłości działania i planów przywrócenia gotowości do pracy po wystąpieniu sytuacji nadzwyczajnej również w odniesieniu do ryzyka związanego z ICT, zgodnie z wymogami określonymi w rozporządzeniu (UE) 2021/xx [akt w sprawie operacyjnej odporności cyfrowej]. </w:t>
      </w:r>
    </w:p>
    <w:p>
      <w:pPr>
        <w:pStyle w:val="Point0"/>
        <w:rPr>
          <w:noProof/>
        </w:rPr>
      </w:pPr>
      <w:r>
        <w:t>(5)</w:t>
      </w:r>
      <w:r>
        <w:tab/>
      </w:r>
      <w:r>
        <w:rPr>
          <w:noProof/>
        </w:rPr>
        <w:t xml:space="preserve">W dyrektywie 2014/65/UE w sprawie rynków instrumentów finansowych określono bardziej rygorystyczne zasady dotyczące ICT w odniesieniu do firm inwestycyjnych </w:t>
      </w:r>
      <w:r>
        <w:rPr>
          <w:noProof/>
        </w:rPr>
        <w:lastRenderedPageBreak/>
        <w:t xml:space="preserve">i systemów obrotu wyłączenie wówczas, gdy prowadzą one handel algorytmiczny. Mniej szczegółowe wymogi mają zastosowanie do usług w zakresie udostępniania informacji i repozytoriów transakcji. Dyrektywa ta zawiera ponadto jedynie ograniczone odniesienia do mechanizmów kontroli i zabezpieczeń dotyczących systemów przetwarzania informacji oraz do wykorzystania odpowiednich i proporcjonalnych systemów, zasobów i procedur w celu zapewnienia ciągłości i regularności świadczenia usług biznesowych. Dyrektywę tę należy dostosować do rozporządzenia (UE) 2021/xx [akt w sprawie operacyjnej odporności cyfrowej] w odniesieniu do ciągłości i regularności świadczenia usług i działalności inwestycyjnych, odporności operacyjnej, zdolności systemów obrotu oraz skuteczności rozwiązań w zakresie ciągłości działania i zarządzania ryzykiem. </w:t>
      </w:r>
    </w:p>
    <w:p>
      <w:pPr>
        <w:pStyle w:val="Point0"/>
        <w:rPr>
          <w:noProof/>
        </w:rPr>
      </w:pPr>
      <w:r>
        <w:t>(6)</w:t>
      </w:r>
      <w:r>
        <w:tab/>
      </w:r>
      <w:r>
        <w:rPr>
          <w:noProof/>
        </w:rPr>
        <w:t xml:space="preserve">Obecnie definicja terminu „instrument finansowy” w dyrektywie 2014/65/UE nie zawiera wyraźnego odniesienia do instrumentów finansowych wyemitowanych z wykorzystaniem klasy technologii wspierającej rozproszone rejestrowanie zaszyfrowanych danych („technologia rozproszonego rejestru”, „DLT”). W celu zapewnienia, aby obrót takimi instrumentami finansowymi na rynku był możliwy na podstawie obecnie obowiązujących ram prawnych, należy zmienić definicję zawartą w dyrektywie 2014/65/UE, aby uwzględnić takie instrumenty. </w:t>
      </w:r>
    </w:p>
    <w:p>
      <w:pPr>
        <w:pStyle w:val="Point0"/>
        <w:rPr>
          <w:noProof/>
        </w:rPr>
      </w:pPr>
      <w:r>
        <w:t>(7)</w:t>
      </w:r>
      <w:r>
        <w:tab/>
      </w:r>
      <w:r>
        <w:rPr>
          <w:noProof/>
        </w:rPr>
        <w:t xml:space="preserve">W szczególności, aby zapewnić możliwość rozwoju kryptoaktywów kwalifikujących się jako instrumenty finansowe i DLT przy jednoczesnym zachowaniu wysokiego poziomu stabilności finansowej, integralności rynku, przejrzystości i ochrony inwestorów, warto utworzyć tymczasowy system na potrzeby infrastruktur rynkowych opartych na DLT. Wspomniane tymczasowe ramy prawne powinny umożliwić właściwym organom wydawanie tymczasowych zezwolenie na funkcjonowanie infrastruktur rynkowych opartych na DLT na podstawie alternatywnego zestawu wymogów dotyczących dostępu do takich infrastruktur w porównaniu z wymogami, które w przeciwnym razie miałyby zastosowanie na podstawie unijnych przepisów dotyczących usług finansowych i które mogłyby uniemożliwić tym infrastrukturom opracowywanie rozwiązań na potrzeby zawierania i rozliczania transakcji na kryptoaktywach kwalifikujących się jako instrumenty finansowe. Wspomniane ramy prawne powinny mieć charakter tymczasowy w celu umożliwienia Europejskim Urzędom Nadzoru i właściwym organom krajowym zdobycia doświadczenia w zakresie możliwości i konkretnego ryzyka, jakie stwarzają kryptoaktywa będące przedmiotem obrotu w ramach tych infrastruktur. Niniejsza dyrektywa towarzyszy zatem rozporządzeniu [w sprawie systemu pilotażowego na potrzeby infrastruktur rynkowych opartych na technologii rozproszonego rejestru], wspierając te nowe unijne ramy regulacyjne dotyczące infrastruktur rynkowych opartych na DLT za pomocą ukierunkowanego wyłączenia z zakresu stosowania przepisów szczegółowych unijnego prawodawstwa dotyczącego usług finansowych mających zastosowanie do działalności i usług w odniesieniu do instrumentów finansowych określony w definicji w art. 4 ust. 1 pkt 15 dyrektywy 2014/65/UE, które w przeciwnym przypadku nie zapewniałyby pełnej elastyczności wymaganej w przypadku wdrażania rozwiązań na etapie zawierania transakcji na kryptoaktywach i na późniejszych etapach. </w:t>
      </w:r>
    </w:p>
    <w:p>
      <w:pPr>
        <w:pStyle w:val="Point0"/>
        <w:rPr>
          <w:noProof/>
        </w:rPr>
      </w:pPr>
      <w:r>
        <w:t>(8)</w:t>
      </w:r>
      <w:r>
        <w:tab/>
      </w:r>
      <w:r>
        <w:rPr>
          <w:noProof/>
        </w:rPr>
        <w:t xml:space="preserve">Wielostronna platforma obrotu oparta na DLT powinna być wielostronnym systemem obsługiwanym przez firmę inwestycyjną lub operatora rynku posiadających zezwolenie na mocy dyrektywy 2014/65/UE, która to platforma </w:t>
      </w:r>
      <w:r>
        <w:rPr>
          <w:noProof/>
        </w:rPr>
        <w:lastRenderedPageBreak/>
        <w:t>została objęta specjalnym zezwoleniem wydanym zgodnie z rozporządzeniem Parlamentu Europejskiego i Rady (UE) 20xx/xx</w:t>
      </w:r>
      <w:r>
        <w:rPr>
          <w:rStyle w:val="FootnoteReference"/>
          <w:noProof/>
        </w:rPr>
        <w:footnoteReference w:id="28"/>
      </w:r>
      <w:r>
        <w:rPr>
          <w:noProof/>
        </w:rPr>
        <w:t xml:space="preserve"> [wniosek dotyczący rozporządzenia w sprawie systemu pilotażowego na potrzeby infrastruktur rynkowych opartych na DLT]. Wielostronna platforma obrotu oparta na DLT powinna podlegać wszystkim wymogom mających zastosowanie do wielostronnej platformy obrotu na podstawie tej dyrektywy, chyba że miałaby zostać objęta wyłączeniem przez właściwy organ krajowy zgodnie z niniejszą dyrektywą. Obowiązek korzystania z usług pośrednictwa ustanowiony w dyrektywie 2014/65/UE może stanowić potencjalną barierę regulacyjną utrudniającą rozwój wielostronnej platformy obrotu zbywalnymi papierami wartościowymi emitowanymi w oparciu o DLT. Członkami i uczestnikami tradycyjnych wielostronnych platform obrotu mogą być wyłącznie firmy inwestycyjne, instytucje kredytowe i inne osoby dysponujące odpowiednim poziomem zdolności i kompetencji w zakresie obrotu oraz odpowiednimi uzgodnieniami organizacyjnymi i zasobami. Wielostronna platforma obrotu oparta na DLT powinna mieć możliwość ubiegania się o wyłączenie z takiego obowiązku tak, aby mogła zapewnić inwestorom detalicznym łatwy dostęp do systemu obrotu, pod warunkiem zapewnienia odpowiednich gwarancji pod względem ochrony inwestorów. </w:t>
      </w:r>
    </w:p>
    <w:p>
      <w:pPr>
        <w:pStyle w:val="Point0"/>
        <w:rPr>
          <w:noProof/>
        </w:rPr>
      </w:pPr>
      <w:r>
        <w:t>(9)</w:t>
      </w:r>
      <w:r>
        <w:tab/>
      </w:r>
      <w:r>
        <w:rPr>
          <w:noProof/>
        </w:rPr>
        <w:t xml:space="preserve">W dyrektywie (UE) 2015/2366 w sprawie usług płatniczych określono przepisy szczegółowe dotyczące środków kontroli bezpieczeństwa i ograniczania ryzyka ICT na potrzeby zezwolenia na świadczenie usług płatniczych. Takie zasady dotyczące zezwoleń należy zmienić, aby dostosować je do rozporządzenia (UE) 2021/xx [akt w sprawie operacyjnej odporności cyfrowej]. Ponadto zawarte we wspomnianej dyrektywie zasady dotyczące zgłaszania incydentów nie powinny mieć zastosowania do zgłaszania incydentów związanych z ICT, które podlega pełnej harmonizacji w drodze rozporządzenia (UE) 2021/xx [akt w sprawie operacyjnej odporności cyfrowej]. </w:t>
      </w:r>
    </w:p>
    <w:p>
      <w:pPr>
        <w:pStyle w:val="Point0"/>
        <w:rPr>
          <w:noProof/>
        </w:rPr>
      </w:pPr>
      <w:r>
        <w:t>(10)</w:t>
      </w:r>
      <w:r>
        <w:tab/>
      </w:r>
      <w:r>
        <w:rPr>
          <w:noProof/>
        </w:rPr>
        <w:t>W dyrektywie 2009/138/WE w sprawie podejmowania i prowadzenia działalności ubezpieczeniowej i reasekuracyjnej i dyrektywie (UE) 2016/2341 w sprawie działalności instytucji pracowniczych programów emerytalnych oraz nadzoru nad takimi instytucjami częściowo uwzględniono ryzyko związane z ICT w ich przepisach ogólnych dotyczących zarządzania i zarządzania ryzykiem oraz przewidziano określenie niektórych wymogów w drodze rozporządzeń delegowanych ze szczególnym odniesieniem do ryzyka związanego z ICT albo bez takiego odniesienia. Jeszcze mniej szczegółowe przepisy mają zastosowanie do biegłych rewidentów i firm audytorskich, gdyż dyrektywa Parlamentu Europejskiego i Rady 2014/56/UE</w:t>
      </w:r>
      <w:r>
        <w:rPr>
          <w:rStyle w:val="FootnoteReference"/>
          <w:noProof/>
        </w:rPr>
        <w:footnoteReference w:id="29"/>
      </w:r>
      <w:r>
        <w:rPr>
          <w:noProof/>
        </w:rPr>
        <w:t xml:space="preserve"> zawiera jedynie przepisy ogólne dotyczące organizacji wewnętrznej. Podobnie jedynie bardzo ogólne zasady mają zastosowanie do zarządzających alternatywnymi funduszami inwestycyjnymi i spółek zarządzających podlegających przepisom dyrektywy 2011/61/UE i 2009/65/WE. Dyrektywy te</w:t>
      </w:r>
      <w:r>
        <w:rPr>
          <w:i/>
          <w:noProof/>
        </w:rPr>
        <w:t xml:space="preserve"> </w:t>
      </w:r>
      <w:r>
        <w:rPr>
          <w:noProof/>
        </w:rPr>
        <w:t>należy zatem dostosować do wymogów określonych w rozporządzeniu (UE) 2021/xx [akt w sprawie operacyjnej odporności cyfrowej] w odniesieniu do zarządzania systemami i narzędziami ICT.</w:t>
      </w:r>
    </w:p>
    <w:p>
      <w:pPr>
        <w:pStyle w:val="Point0"/>
        <w:rPr>
          <w:noProof/>
        </w:rPr>
      </w:pPr>
      <w:r>
        <w:lastRenderedPageBreak/>
        <w:t>(11)</w:t>
      </w:r>
      <w:r>
        <w:tab/>
      </w:r>
      <w:r>
        <w:rPr>
          <w:noProof/>
        </w:rPr>
        <w:t>W wielu przypadkach kolejne wymogi dotyczące ICT określono już w aktach delegowanych i wykonawczych przyjętych na podstawie projektów regulacyjnych standardów technicznych i wykonawczych standardów technicznych opracowanych przez właściwy Europejski Urząd Nadzoru. Aby zapewnić jasność prawa co do faktu, że od tej pory podstawą prawną przepisów dotyczących ryzyka związanego z ICT jest wyłącznie rozporządzenie (UE) 2021/xx [akt w sprawie operacyjnej odporności cyfrowej], należy zmienić uprawnienia określone w tych dyrektywach w celu wyjaśnienia, że zakres takich uprawnień nie obejmuje przepisów dotyczących ryzyka związanego z ICT.</w:t>
      </w:r>
    </w:p>
    <w:p>
      <w:pPr>
        <w:pStyle w:val="Point0"/>
        <w:rPr>
          <w:noProof/>
        </w:rPr>
      </w:pPr>
      <w:r>
        <w:t>(12)</w:t>
      </w:r>
      <w:r>
        <w:tab/>
      </w:r>
      <w:r>
        <w:rPr>
          <w:noProof/>
        </w:rPr>
        <w:t xml:space="preserve">Aby zapewnić spójne i jednoczesne stosowanie rozporządzenia 20xx/xx [akt w sprawie operacyjnej odporności cyfrowej] i niniejszej dyrektywy, które razem stanowią nowe ramy dotyczące operacyjnej odporności cyfrowej sektora finansowego, państwa członkowskie powinny stosować przepisy prawa krajowego transponujące niniejszą dyrektywę od daty rozpoczęcia stosowania tego rozporządzenia. </w:t>
      </w:r>
    </w:p>
    <w:p>
      <w:pPr>
        <w:pStyle w:val="Point0"/>
        <w:rPr>
          <w:noProof/>
        </w:rPr>
      </w:pPr>
      <w:r>
        <w:t>(13)</w:t>
      </w:r>
      <w:r>
        <w:tab/>
      </w:r>
      <w:r>
        <w:rPr>
          <w:noProof/>
        </w:rPr>
        <w:t xml:space="preserve">Dyrektywy 2006/43/WE, 2009/66/WE, 2009/138/WE, 2011/61/UE, 2013/36/UE, 2014/65/UE, (UE) 2015/2366 i (UE) 2016/2341 przyjęto na podstawie art. 53 ust. 1 i art. 114 Traktatu o funkcjonowaniu Unii Europejskiej. Zmiany określone w niniejszej dyrektywie należy zawrzeć w jednym akcie ze względu na wzajemne powiązania przedmiotu i celów tych zmian, a ten jeden akt należy przyjąć na podstawie zarówno art. 53 ust. 1, jak i art. 114 Traktatu o funkcjonowaniu Unii Europejskiej. </w:t>
      </w:r>
    </w:p>
    <w:p>
      <w:pPr>
        <w:pStyle w:val="Point0"/>
        <w:rPr>
          <w:noProof/>
        </w:rPr>
      </w:pPr>
      <w:r>
        <w:t>(14)</w:t>
      </w:r>
      <w:r>
        <w:tab/>
      </w:r>
      <w:r>
        <w:rPr>
          <w:noProof/>
        </w:rPr>
        <w:t>Ponieważ cele niniejszej dyrektywy nie mogą zostać osiągnięte w wystarczający sposób przez państwa członkowskie, gdyż wiążą się z harmonizacją polegającą na aktualizacji i zmianie wymogów już zawartych w dyrektywach, natomiast ze względu na ich rozmiary i skutki możliwe jest ich lepsze osiągnięcie na poziomie Unii, może ona podjąć działania zgodnie z zasadą pomocniczości określoną w art. 5 Traktatu o Unii Europejskiej. Zgodnie z zasadą proporcjonalności określoną w tym artykule niniejsze rozporządzenie nie wykracza poza to, co jest konieczne do osiągnięcia tych celów.</w:t>
      </w:r>
    </w:p>
    <w:p>
      <w:pPr>
        <w:pStyle w:val="Point0"/>
        <w:rPr>
          <w:noProof/>
        </w:rPr>
      </w:pPr>
      <w:r>
        <w:t>(15)</w:t>
      </w:r>
      <w:r>
        <w:tab/>
      </w:r>
      <w:r>
        <w:rPr>
          <w:noProof/>
        </w:rPr>
        <w:t>Zgodnie ze wspólną deklaracją polityczną z dnia 28 września 2011 r. państw członkowskich i Komisji dotyczącą dokumentów wyjaśniających</w:t>
      </w:r>
      <w:r>
        <w:rPr>
          <w:rStyle w:val="FootnoteReference"/>
          <w:noProof/>
        </w:rPr>
        <w:footnoteReference w:id="30"/>
      </w:r>
      <w:r>
        <w:rPr>
          <w:noProof/>
        </w:rPr>
        <w:t xml:space="preserve"> państwa członkowskie zobowiązały się do złożenia, w uzasadnionych przypadkach, wraz z powiadomieniem o krajowych środkach wykonawczych co najmniej jednego dokumentu wyjaśniającego związki między elementami dyrektywy a odpowiadającymi im częściami krajowych instrumentów transpozycyjnych. W odniesieniu do niniejszej dyrektywy ustawodawca uznaje, że przekazanie takich dokumentów jest uzasadnione,</w:t>
      </w:r>
    </w:p>
    <w:p>
      <w:pPr>
        <w:pStyle w:val="Formuledadoption"/>
        <w:rPr>
          <w:noProof/>
        </w:rPr>
      </w:pPr>
      <w:r>
        <w:rPr>
          <w:noProof/>
        </w:rPr>
        <w:lastRenderedPageBreak/>
        <w:t xml:space="preserve">PRZYJMUJĄ NINIEJSZĄ DYREKTYWĘ: </w:t>
      </w:r>
    </w:p>
    <w:p>
      <w:pPr>
        <w:pStyle w:val="Titrearticle"/>
        <w:rPr>
          <w:noProof/>
        </w:rPr>
      </w:pPr>
    </w:p>
    <w:p>
      <w:pPr>
        <w:pStyle w:val="Titrearticle"/>
        <w:spacing w:before="120"/>
        <w:rPr>
          <w:noProof/>
        </w:rPr>
      </w:pPr>
      <w:r>
        <w:rPr>
          <w:noProof/>
        </w:rPr>
        <w:t>Artykuł 1</w:t>
      </w:r>
    </w:p>
    <w:p>
      <w:pPr>
        <w:pStyle w:val="Titrearticle"/>
        <w:spacing w:before="120"/>
        <w:rPr>
          <w:b/>
          <w:noProof/>
        </w:rPr>
      </w:pPr>
      <w:r>
        <w:rPr>
          <w:b/>
          <w:noProof/>
        </w:rPr>
        <w:t xml:space="preserve">Zmiany w dyrektywie 2006/43/WE </w:t>
      </w:r>
    </w:p>
    <w:p>
      <w:pPr>
        <w:pStyle w:val="Article"/>
        <w:ind w:firstLine="0"/>
        <w:rPr>
          <w:i/>
          <w:noProof/>
        </w:rPr>
      </w:pPr>
      <w:r>
        <w:rPr>
          <w:noProof/>
        </w:rPr>
        <w:t>Art. 24a ust. 1 lit. b) dyrektywy 2006/43/WE otrzymuje brzmienie:</w:t>
      </w:r>
    </w:p>
    <w:p>
      <w:pPr>
        <w:pStyle w:val="Text2"/>
        <w:rPr>
          <w:noProof/>
        </w:rPr>
      </w:pPr>
      <w:r>
        <w:rPr>
          <w:noProof/>
        </w:rPr>
        <w:t>„b) biegły rewident lub firma audytorska posiadają solidne procedury administracyjne i rachunkowe, mechanizmy wewnętrznej kontroli jakości, skuteczne procedury oceny ryzyka oraz skuteczne rozwiązania w zakresie kontroli i zabezpieczeń na potrzeby zarządzania swoimi systemami i narzędziami ICT zgodnie z art. 6 rozporządzenia Parlamentu Europejskiego i Rady (UE) 2021/xx [akt w sprawie operacyjnej odporności cyfrowej]*.</w:t>
      </w:r>
    </w:p>
    <w:p>
      <w:pPr>
        <w:pStyle w:val="Text2"/>
        <w:rPr>
          <w:noProof/>
        </w:rPr>
      </w:pPr>
      <w:r>
        <w:rPr>
          <w:noProof/>
        </w:rPr>
        <w:t>___________________________________</w:t>
      </w:r>
    </w:p>
    <w:p>
      <w:pPr>
        <w:pStyle w:val="Text2"/>
        <w:rPr>
          <w:noProof/>
        </w:rPr>
      </w:pPr>
      <w:r>
        <w:rPr>
          <w:noProof/>
        </w:rPr>
        <w:t>* [</w:t>
      </w:r>
      <w:r>
        <w:rPr>
          <w:i/>
          <w:noProof/>
        </w:rPr>
        <w:t>pełny tytuł</w:t>
      </w:r>
      <w:r>
        <w:rPr>
          <w:noProof/>
        </w:rPr>
        <w:t>] (Dz.U. L […] z […], s. […]).”.</w:t>
      </w:r>
    </w:p>
    <w:p>
      <w:pPr>
        <w:pStyle w:val="Titrearticle"/>
        <w:spacing w:before="120"/>
        <w:rPr>
          <w:b/>
          <w:noProof/>
        </w:rPr>
      </w:pPr>
    </w:p>
    <w:p>
      <w:pPr>
        <w:pStyle w:val="Titrearticle"/>
        <w:spacing w:before="120"/>
        <w:rPr>
          <w:noProof/>
        </w:rPr>
      </w:pPr>
      <w:r>
        <w:rPr>
          <w:noProof/>
        </w:rPr>
        <w:t xml:space="preserve">Artykuł 2 </w:t>
      </w:r>
    </w:p>
    <w:p>
      <w:pPr>
        <w:pStyle w:val="Titrearticle"/>
        <w:spacing w:before="120"/>
        <w:rPr>
          <w:b/>
          <w:noProof/>
        </w:rPr>
      </w:pPr>
      <w:r>
        <w:rPr>
          <w:b/>
          <w:noProof/>
        </w:rPr>
        <w:t xml:space="preserve">Zmiany w dyrektywie 2009/65/WE </w:t>
      </w:r>
    </w:p>
    <w:p>
      <w:pPr>
        <w:ind w:firstLine="720"/>
        <w:rPr>
          <w:noProof/>
        </w:rPr>
      </w:pPr>
    </w:p>
    <w:p>
      <w:pPr>
        <w:rPr>
          <w:noProof/>
        </w:rPr>
      </w:pPr>
      <w:r>
        <w:rPr>
          <w:noProof/>
        </w:rPr>
        <w:t>W art. 12 dyrektywy 2009/65/WE wprowadza się następujące zmiany:</w:t>
      </w:r>
    </w:p>
    <w:p>
      <w:pPr>
        <w:pStyle w:val="Point0"/>
        <w:rPr>
          <w:noProof/>
        </w:rPr>
      </w:pPr>
      <w:r>
        <w:rPr>
          <w:noProof/>
        </w:rPr>
        <w:t>1)</w:t>
      </w:r>
      <w:r>
        <w:rPr>
          <w:noProof/>
        </w:rPr>
        <w:tab/>
        <w:t xml:space="preserve"> ust. 1 akapit drugi lit. a) otrzymuje brzmienie:</w:t>
      </w:r>
    </w:p>
    <w:p>
      <w:pPr>
        <w:pStyle w:val="Text1"/>
        <w:rPr>
          <w:noProof/>
        </w:rPr>
      </w:pPr>
      <w:r>
        <w:rPr>
          <w:noProof/>
        </w:rPr>
        <w:t>„a) stosowała racjonalne procedury administracyjne i procedury księgowe oraz ustalenia dotyczące zabezpieczenia elektronicznego przetwarzania danych, w tym systemy oparte na technologiach informacyjno-komunikacyjnych, tworzone i zarządzane zgodnie z art. 6 rozporządzenia Parlamentu Europejskiego i Rady (UE) 2021/xx [akt w sprawie operacyjnej odporności cyfrowej]*, a także odpowiednie wewnętrzne mechanizmy kontroli, w tym zasady dotyczące osobistych transakcji dokonywanych przez swoich pracowników lub utrzymywania i zarządzania inwestycjami w instrumenty finansowe w celu inwestowania na rachunek własny, zapewniając przynajmniej, aby każda transakcja, w którą zaangażowane są te UCITS, mogła być odtworzona, dostarczając informacji o jej pochodzeniu, stronach biorących w niej udział, jej charakterze oraz czasie i miejscu jej zawarcia, i aby aktywa UCITS zarządzanych przez spółkę zarządzającą były inwestowane zgodnie z regulaminami funduszy lub dokumentami założycielskimi oraz obowiązującymi przepisami prawnymi;</w:t>
      </w:r>
    </w:p>
    <w:p>
      <w:pPr>
        <w:pStyle w:val="Text3"/>
        <w:rPr>
          <w:noProof/>
        </w:rPr>
      </w:pPr>
      <w:r>
        <w:rPr>
          <w:noProof/>
        </w:rPr>
        <w:t>________________________________</w:t>
      </w:r>
    </w:p>
    <w:p>
      <w:pPr>
        <w:pStyle w:val="Text3"/>
        <w:rPr>
          <w:noProof/>
        </w:rPr>
      </w:pPr>
      <w:r>
        <w:rPr>
          <w:noProof/>
        </w:rPr>
        <w:t>* [</w:t>
      </w:r>
      <w:r>
        <w:rPr>
          <w:i/>
          <w:noProof/>
        </w:rPr>
        <w:t>pełny tytuł</w:t>
      </w:r>
      <w:r>
        <w:rPr>
          <w:noProof/>
        </w:rPr>
        <w:t xml:space="preserve">] (Dz.U. L […] z […], s. […]).”; </w:t>
      </w:r>
    </w:p>
    <w:p>
      <w:pPr>
        <w:pStyle w:val="Point0"/>
        <w:rPr>
          <w:noProof/>
        </w:rPr>
      </w:pPr>
      <w:r>
        <w:rPr>
          <w:noProof/>
        </w:rPr>
        <w:t>2)</w:t>
      </w:r>
      <w:r>
        <w:rPr>
          <w:noProof/>
        </w:rPr>
        <w:tab/>
        <w:t xml:space="preserve"> ust. 3 otrzymuje brzmienie: </w:t>
      </w:r>
    </w:p>
    <w:p>
      <w:pPr>
        <w:pStyle w:val="Text1"/>
        <w:rPr>
          <w:noProof/>
        </w:rPr>
      </w:pPr>
      <w:r>
        <w:rPr>
          <w:noProof/>
        </w:rPr>
        <w:t xml:space="preserve">„3. Bez uszczerbku dla art. 116 Komisja przyjmuje, w formie aktów delegowanych zgodnie z art. 112a, środki określające: </w:t>
      </w:r>
    </w:p>
    <w:p>
      <w:pPr>
        <w:pStyle w:val="Text1"/>
        <w:ind w:left="1984"/>
        <w:rPr>
          <w:noProof/>
        </w:rPr>
      </w:pPr>
      <w:r>
        <w:rPr>
          <w:noProof/>
        </w:rPr>
        <w:t>a)</w:t>
      </w:r>
      <w:r>
        <w:rPr>
          <w:noProof/>
        </w:rPr>
        <w:tab/>
        <w:t>procedury i ustalenia, o których mowa w ust. 1 akapit drugi lit. a) inne niż te związane z zarządzaniem ryzykiem związanym z technologiami informacyjno-komunikacyjnymi;</w:t>
      </w:r>
    </w:p>
    <w:p>
      <w:pPr>
        <w:pStyle w:val="Text1"/>
        <w:ind w:left="1984"/>
        <w:rPr>
          <w:noProof/>
        </w:rPr>
      </w:pPr>
      <w:r>
        <w:rPr>
          <w:noProof/>
        </w:rPr>
        <w:lastRenderedPageBreak/>
        <w:t>b)</w:t>
      </w:r>
      <w:r>
        <w:rPr>
          <w:noProof/>
        </w:rPr>
        <w:tab/>
        <w:t xml:space="preserve"> struktury i wymogi organizacyjne w celu zminimalizowania konfliktów interesów, o których mowa w ust. 1 akapit drugi lit. b).”.</w:t>
      </w:r>
    </w:p>
    <w:p>
      <w:pPr>
        <w:pStyle w:val="Titrearticle"/>
        <w:spacing w:before="120"/>
        <w:rPr>
          <w:b/>
          <w:noProof/>
        </w:rPr>
      </w:pPr>
    </w:p>
    <w:p>
      <w:pPr>
        <w:pStyle w:val="Titrearticle"/>
        <w:spacing w:before="120"/>
        <w:rPr>
          <w:b/>
          <w:noProof/>
        </w:rPr>
      </w:pPr>
      <w:r>
        <w:rPr>
          <w:noProof/>
        </w:rPr>
        <w:t>Artykuł 3</w:t>
      </w:r>
    </w:p>
    <w:p>
      <w:pPr>
        <w:pStyle w:val="Titrearticle"/>
        <w:spacing w:before="120"/>
        <w:rPr>
          <w:b/>
          <w:noProof/>
        </w:rPr>
      </w:pPr>
      <w:r>
        <w:rPr>
          <w:b/>
          <w:noProof/>
        </w:rPr>
        <w:t xml:space="preserve">Zmiany w dyrektywie 2009/138/WE </w:t>
      </w:r>
    </w:p>
    <w:p>
      <w:pPr>
        <w:pStyle w:val="Article"/>
        <w:ind w:firstLine="0"/>
        <w:rPr>
          <w:noProof/>
        </w:rPr>
      </w:pPr>
      <w:r>
        <w:rPr>
          <w:noProof/>
        </w:rPr>
        <w:t xml:space="preserve">W dyrektywie 2009/138/WE wprowadza się następujące zmiany: </w:t>
      </w:r>
    </w:p>
    <w:p>
      <w:pPr>
        <w:pStyle w:val="Point0"/>
        <w:rPr>
          <w:noProof/>
        </w:rPr>
      </w:pPr>
      <w:r>
        <w:rPr>
          <w:noProof/>
        </w:rPr>
        <w:t>1)</w:t>
      </w:r>
      <w:r>
        <w:rPr>
          <w:noProof/>
        </w:rPr>
        <w:tab/>
        <w:t>art. 41 ust. 4 otrzymuje brzmienie:</w:t>
      </w:r>
      <w:r>
        <w:rPr>
          <w:noProof/>
        </w:rPr>
        <w:tab/>
      </w:r>
    </w:p>
    <w:p>
      <w:pPr>
        <w:pStyle w:val="Text1"/>
        <w:rPr>
          <w:noProof/>
        </w:rPr>
      </w:pPr>
      <w:r>
        <w:rPr>
          <w:noProof/>
        </w:rPr>
        <w:t>„4. Zakłady ubezpieczeń i zakłady reasekuracji podejmują rozsądne działania w celu zapewnienia ciągłości i regularności wykonywania swojej działalności, co obejmuje opracowanie planów awaryjnych. W tym celu zakład stosuje odpowiednie i współmierne systemy, zasoby i procedury oraz ustanawia systemy oparte na technologiach informacyjno-komunikacyjnych i zarządza takimi systemami zgodnie z art. 6 rozporządzenia Parlamentu Europejskiego i Rady (UE) 2021/xx [akt w sprawie operacyjnej odporności cyfrowej]*.</w:t>
      </w:r>
    </w:p>
    <w:p>
      <w:pPr>
        <w:pStyle w:val="Text3"/>
        <w:rPr>
          <w:noProof/>
        </w:rPr>
      </w:pPr>
      <w:r>
        <w:rPr>
          <w:noProof/>
        </w:rPr>
        <w:t>____________________________</w:t>
      </w:r>
    </w:p>
    <w:p>
      <w:pPr>
        <w:pStyle w:val="Text3"/>
        <w:rPr>
          <w:noProof/>
        </w:rPr>
      </w:pPr>
      <w:r>
        <w:rPr>
          <w:noProof/>
        </w:rPr>
        <w:t>*</w:t>
      </w:r>
      <w:r>
        <w:rPr>
          <w:noProof/>
        </w:rPr>
        <w:tab/>
        <w:t>[</w:t>
      </w:r>
      <w:r>
        <w:rPr>
          <w:i/>
          <w:noProof/>
        </w:rPr>
        <w:t>pełny tytuł</w:t>
      </w:r>
      <w:r>
        <w:rPr>
          <w:noProof/>
        </w:rPr>
        <w:t>] (Dz.U. L […] z […], s. […]).”;</w:t>
      </w:r>
    </w:p>
    <w:p>
      <w:pPr>
        <w:pStyle w:val="Text3"/>
        <w:rPr>
          <w:noProof/>
        </w:rPr>
      </w:pPr>
    </w:p>
    <w:p>
      <w:pPr>
        <w:pStyle w:val="Point0"/>
        <w:rPr>
          <w:noProof/>
        </w:rPr>
      </w:pPr>
      <w:r>
        <w:rPr>
          <w:noProof/>
        </w:rPr>
        <w:t>2)</w:t>
      </w:r>
      <w:r>
        <w:rPr>
          <w:noProof/>
        </w:rPr>
        <w:tab/>
        <w:t xml:space="preserve">art. 50 ust. 1 lit. a) i b) otrzymuje brzmienie: </w:t>
      </w:r>
    </w:p>
    <w:p>
      <w:pPr>
        <w:pStyle w:val="Text1"/>
        <w:rPr>
          <w:noProof/>
        </w:rPr>
      </w:pPr>
      <w:r>
        <w:rPr>
          <w:noProof/>
        </w:rPr>
        <w:t>„a) elementów systemów, o których mowa w art. 41, 44, 46 i 47, innych niż elementy dotyczące zarządzania ryzykiem związanym z technologiami informacyjno-komunikacyjnymi, oraz obszarów wymienionych w art. 44 ust. 2;</w:t>
      </w:r>
    </w:p>
    <w:p>
      <w:pPr>
        <w:pStyle w:val="Text1"/>
        <w:rPr>
          <w:noProof/>
        </w:rPr>
      </w:pPr>
      <w:r>
        <w:rPr>
          <w:noProof/>
        </w:rPr>
        <w:t xml:space="preserve">b) funkcji, o których mowa w art. 44, 46, 47 i 48, innych niż funkcje związane z zarządzaniem ryzykiem związanym z technologiami informacyjno-komunikacyjnymi.”. </w:t>
      </w:r>
    </w:p>
    <w:p>
      <w:pPr>
        <w:pStyle w:val="Titrearticle"/>
        <w:spacing w:before="120"/>
        <w:rPr>
          <w:noProof/>
        </w:rPr>
      </w:pPr>
    </w:p>
    <w:p>
      <w:pPr>
        <w:pStyle w:val="Titrearticle"/>
        <w:spacing w:before="120"/>
        <w:rPr>
          <w:b/>
          <w:noProof/>
        </w:rPr>
      </w:pPr>
      <w:r>
        <w:rPr>
          <w:noProof/>
        </w:rPr>
        <w:t>Artykuł 4</w:t>
      </w:r>
    </w:p>
    <w:p>
      <w:pPr>
        <w:pStyle w:val="Titrearticle"/>
        <w:spacing w:before="120"/>
        <w:rPr>
          <w:b/>
          <w:noProof/>
        </w:rPr>
      </w:pPr>
      <w:r>
        <w:rPr>
          <w:b/>
          <w:noProof/>
        </w:rPr>
        <w:t xml:space="preserve">Zmiany w dyrektywie 2011/61/UE </w:t>
      </w:r>
    </w:p>
    <w:p>
      <w:pPr>
        <w:pStyle w:val="Article"/>
        <w:ind w:firstLine="0"/>
        <w:rPr>
          <w:noProof/>
        </w:rPr>
      </w:pPr>
      <w:r>
        <w:rPr>
          <w:noProof/>
        </w:rPr>
        <w:t>Art. 18 dyrektywy 2011/61/UE otrzymuje brzmienie:</w:t>
      </w:r>
      <w:r>
        <w:rPr>
          <w:noProof/>
        </w:rPr>
        <w:tab/>
      </w:r>
    </w:p>
    <w:p>
      <w:pPr>
        <w:ind w:left="1440"/>
        <w:jc w:val="center"/>
        <w:rPr>
          <w:i/>
          <w:noProof/>
        </w:rPr>
      </w:pPr>
      <w:r>
        <w:rPr>
          <w:noProof/>
        </w:rPr>
        <w:t>„</w:t>
      </w:r>
      <w:r>
        <w:rPr>
          <w:i/>
          <w:noProof/>
        </w:rPr>
        <w:t>Artykuł 18</w:t>
      </w:r>
    </w:p>
    <w:p>
      <w:pPr>
        <w:ind w:left="1440"/>
        <w:jc w:val="center"/>
        <w:rPr>
          <w:noProof/>
        </w:rPr>
      </w:pPr>
      <w:r>
        <w:rPr>
          <w:b/>
          <w:noProof/>
        </w:rPr>
        <w:t>Zasady ogólne</w:t>
      </w:r>
    </w:p>
    <w:p>
      <w:pPr>
        <w:pStyle w:val="Text1"/>
        <w:rPr>
          <w:noProof/>
        </w:rPr>
      </w:pPr>
      <w:r>
        <w:rPr>
          <w:noProof/>
        </w:rPr>
        <w:t xml:space="preserve">1. Państwa członkowskie wymagają, aby ZAFI stale korzystali z właściwych i odpowiednich zasobów ludzkich i technicznych, które są niezbędne do właściwego zarządzania AFI. </w:t>
      </w:r>
    </w:p>
    <w:p>
      <w:pPr>
        <w:pStyle w:val="Text1"/>
        <w:rPr>
          <w:noProof/>
        </w:rPr>
      </w:pPr>
      <w:r>
        <w:rPr>
          <w:noProof/>
        </w:rPr>
        <w:t xml:space="preserve">W szczególności właściwe organy rodzimego państwa członkowskiego ZAFI, uwzględniając również charakter AFI zarządzanego przez ZAFI, wymagają, aby ZAFI stosował racjonalne procedury administracyjne i księgowe, ustalenia dotyczące kontroli i zabezpieczenia na potrzeby zarządzania systemami opartymi na technologiach informacyjno-komunikacyjnych, zgodnie z wymogami art. 6 [rozporządzenia Parlamentu Europejskiego i Rady (UE) 2021/xx [akt w sprawie operacyjnej odporności cyfrowej]*], a także odpowiednie wewnętrzne mechanizmy </w:t>
      </w:r>
      <w:r>
        <w:rPr>
          <w:noProof/>
        </w:rPr>
        <w:lastRenderedPageBreak/>
        <w:t xml:space="preserve">kontroli, w tym w szczególności zasady dotyczące osobistych transakcji dokonywanych przez swoich pracowników, lub posiadania inwestycji lub zarządzania nimi w celu inwestowania na własny rachunek, zapewniając przynajmniej, aby każda transakcja, w którą zaangażowane są AFI, mogła być odtworzona z dostarczeniem informacji o jej pochodzeniu, stronach biorących w niej udział, jej charakterze oraz czasie i miejscu jej zawarcia, oraz że aktywa AFI zarządzanych przez ZAFI są inwestowane zgodnie z regulaminami lub dokumentami założycielskimi oraz obowiązującymi przepisami. </w:t>
      </w:r>
    </w:p>
    <w:p>
      <w:pPr>
        <w:pStyle w:val="Text1"/>
        <w:rPr>
          <w:noProof/>
        </w:rPr>
      </w:pPr>
      <w:r>
        <w:rPr>
          <w:noProof/>
        </w:rPr>
        <w:t>2. Komisja przyjmuje, w drodze aktów delegowanych zgodnie z art. 56 i z zastrzeżeniem warunków art. 57 i 58, środki określające procedury i ustalenia, o których mowa w ust. 1, inne niż środki dotyczące systemów opartych na technologiach informacyjno-komunikacyjnych.</w:t>
      </w:r>
    </w:p>
    <w:p>
      <w:pPr>
        <w:ind w:left="1440"/>
        <w:rPr>
          <w:noProof/>
        </w:rPr>
      </w:pPr>
      <w:r>
        <w:rPr>
          <w:noProof/>
        </w:rPr>
        <w:t>_________________________________</w:t>
      </w:r>
    </w:p>
    <w:p>
      <w:pPr>
        <w:ind w:left="1440"/>
        <w:rPr>
          <w:noProof/>
        </w:rPr>
      </w:pPr>
      <w:r>
        <w:rPr>
          <w:noProof/>
        </w:rPr>
        <w:t>* [</w:t>
      </w:r>
      <w:r>
        <w:rPr>
          <w:i/>
          <w:noProof/>
        </w:rPr>
        <w:t>pełny tytuł</w:t>
      </w:r>
      <w:r>
        <w:rPr>
          <w:noProof/>
        </w:rPr>
        <w:t xml:space="preserve">] (Dz.U. L […] z […], s. […]).”. </w:t>
      </w:r>
    </w:p>
    <w:p>
      <w:pPr>
        <w:ind w:left="1440"/>
        <w:rPr>
          <w:noProof/>
        </w:rPr>
      </w:pPr>
    </w:p>
    <w:p>
      <w:pPr>
        <w:pStyle w:val="Titrearticle"/>
        <w:spacing w:before="120"/>
        <w:rPr>
          <w:noProof/>
        </w:rPr>
      </w:pPr>
      <w:r>
        <w:rPr>
          <w:noProof/>
        </w:rPr>
        <w:t>Artykuł 5</w:t>
      </w:r>
    </w:p>
    <w:p>
      <w:pPr>
        <w:pStyle w:val="Titrearticle"/>
        <w:spacing w:before="120"/>
        <w:rPr>
          <w:b/>
          <w:noProof/>
        </w:rPr>
      </w:pPr>
      <w:r>
        <w:rPr>
          <w:b/>
          <w:noProof/>
        </w:rPr>
        <w:t xml:space="preserve">Zmiany w dyrektywie 2013/36/UE </w:t>
      </w:r>
    </w:p>
    <w:p>
      <w:pPr>
        <w:pStyle w:val="Article"/>
        <w:ind w:firstLine="0"/>
        <w:rPr>
          <w:noProof/>
        </w:rPr>
      </w:pPr>
      <w:r>
        <w:rPr>
          <w:noProof/>
        </w:rPr>
        <w:t>Art. 85 ust. 2 dyrektywy 2013/36/UE otrzymuje brzmienie:</w:t>
      </w:r>
    </w:p>
    <w:p>
      <w:pPr>
        <w:pStyle w:val="Text1"/>
        <w:pBdr>
          <w:bottom w:val="single" w:sz="12" w:space="1" w:color="auto"/>
        </w:pBdr>
        <w:rPr>
          <w:noProof/>
        </w:rPr>
      </w:pPr>
      <w:r>
        <w:rPr>
          <w:noProof/>
        </w:rPr>
        <w:t>„2. Właściwe organy zapewniają posiadanie przez instytucje odpowiednich planów awaryjnych i planów utrzymania ciągłości działania, w tym planów utrzymania ciągłości działania i planów przywrócenia gotowości do pracy po wystąpieniu sytuacji nadzwyczajnej w odniesieniu do technologii, którą wykorzystują do przekazywania informacji („technologia informacyjno-komunikacyjna”), ustanowionych zgodnie z art. 6 rozporządzenia Parlamentu Europejskiego i Rady (UE) 2021/xx [akt w sprawie operacyjnej odporności cyfrowej]*, aby takie instytucje mogły prowadzić działalność w przypadku poważnego zakłócenia działalności gospodarczej i ograniczyć straty poniesione w wyniku takiego zakłócenia.</w:t>
      </w:r>
    </w:p>
    <w:p>
      <w:pPr>
        <w:pStyle w:val="Text1"/>
        <w:pBdr>
          <w:bottom w:val="single" w:sz="12" w:space="1" w:color="auto"/>
        </w:pBdr>
        <w:rPr>
          <w:noProof/>
        </w:rPr>
      </w:pPr>
    </w:p>
    <w:p>
      <w:pPr>
        <w:pStyle w:val="Text1"/>
        <w:rPr>
          <w:noProof/>
        </w:rPr>
      </w:pPr>
      <w:r>
        <w:rPr>
          <w:noProof/>
        </w:rPr>
        <w:t>*</w:t>
      </w:r>
      <w:r>
        <w:rPr>
          <w:noProof/>
        </w:rPr>
        <w:tab/>
        <w:t>[</w:t>
      </w:r>
      <w:r>
        <w:rPr>
          <w:i/>
          <w:noProof/>
        </w:rPr>
        <w:t>pełny tytuł</w:t>
      </w:r>
      <w:r>
        <w:rPr>
          <w:noProof/>
        </w:rPr>
        <w:t>] (Dz.U. L […] z […], s. […]).”.</w:t>
      </w:r>
    </w:p>
    <w:p>
      <w:pPr>
        <w:pStyle w:val="Titrearticle"/>
        <w:rPr>
          <w:noProof/>
        </w:rPr>
      </w:pPr>
      <w:r>
        <w:rPr>
          <w:noProof/>
        </w:rPr>
        <w:t>Artykuł 6</w:t>
      </w:r>
    </w:p>
    <w:p>
      <w:pPr>
        <w:pStyle w:val="Titrearticle"/>
        <w:spacing w:before="120"/>
        <w:rPr>
          <w:b/>
          <w:noProof/>
        </w:rPr>
      </w:pPr>
      <w:r>
        <w:rPr>
          <w:b/>
          <w:noProof/>
        </w:rPr>
        <w:t xml:space="preserve">Zmiany w dyrektywie 2014/65/UE </w:t>
      </w:r>
    </w:p>
    <w:p>
      <w:pPr>
        <w:pStyle w:val="Article"/>
        <w:ind w:firstLine="0"/>
        <w:rPr>
          <w:noProof/>
        </w:rPr>
      </w:pPr>
      <w:r>
        <w:rPr>
          <w:noProof/>
        </w:rPr>
        <w:t>W dyrektywie 2014/65/UE wprowadza się następujące zmiany:</w:t>
      </w:r>
      <w:r>
        <w:rPr>
          <w:noProof/>
        </w:rPr>
        <w:tab/>
      </w:r>
    </w:p>
    <w:p>
      <w:pPr>
        <w:pStyle w:val="Point0"/>
        <w:rPr>
          <w:noProof/>
        </w:rPr>
      </w:pPr>
      <w:r>
        <w:rPr>
          <w:noProof/>
        </w:rPr>
        <w:t>1)</w:t>
      </w:r>
      <w:r>
        <w:rPr>
          <w:noProof/>
        </w:rPr>
        <w:tab/>
        <w:t xml:space="preserve">art. 4 ust. 1 pkt 15 otrzymuje brzmienie: </w:t>
      </w:r>
    </w:p>
    <w:p>
      <w:pPr>
        <w:pStyle w:val="Text1"/>
        <w:rPr>
          <w:noProof/>
        </w:rPr>
      </w:pPr>
      <w:r>
        <w:rPr>
          <w:noProof/>
        </w:rPr>
        <w:t xml:space="preserve">„»instrument finansowy« oznacza instrumenty określone w załączniku I sekcja C, w tym takie instrumenty wyemitowane za pomocą technologii rozproszonego rejestru;”; </w:t>
      </w:r>
    </w:p>
    <w:p>
      <w:pPr>
        <w:pStyle w:val="Point0"/>
        <w:rPr>
          <w:noProof/>
        </w:rPr>
      </w:pPr>
      <w:r>
        <w:rPr>
          <w:noProof/>
        </w:rPr>
        <w:t>2)</w:t>
      </w:r>
      <w:r>
        <w:rPr>
          <w:noProof/>
        </w:rPr>
        <w:tab/>
        <w:t>w art. 16 wprowadza się następujące zmiany:</w:t>
      </w:r>
    </w:p>
    <w:p>
      <w:pPr>
        <w:pStyle w:val="Point1"/>
        <w:rPr>
          <w:noProof/>
        </w:rPr>
      </w:pPr>
      <w:r>
        <w:rPr>
          <w:noProof/>
        </w:rPr>
        <w:t>a)</w:t>
      </w:r>
      <w:r>
        <w:rPr>
          <w:noProof/>
        </w:rPr>
        <w:tab/>
        <w:t>ust. 4 otrzymuje brzmienie:</w:t>
      </w:r>
    </w:p>
    <w:p>
      <w:pPr>
        <w:pStyle w:val="Text1"/>
        <w:rPr>
          <w:noProof/>
        </w:rPr>
      </w:pPr>
      <w:r>
        <w:rPr>
          <w:noProof/>
        </w:rPr>
        <w:t xml:space="preserve">„4. Firma inwestycyjna podejmuje rozsądne działania mające na celu zapewnienie ciągłości i regularności świadczenia usług inwestycyjnych i prowadzenia </w:t>
      </w:r>
      <w:r>
        <w:rPr>
          <w:noProof/>
        </w:rPr>
        <w:lastRenderedPageBreak/>
        <w:t xml:space="preserve">działalności inwestycyjnej. W związku z tym firma inwestycyjna wprowadza odpowiednie i proporcjonalne systemy, w tym systemy oparte na technologiach informacyjno-komunikacyjnych (ICT) ustanowione i zarządzane zgodnie z art. 6 rozporządzenia Parlamentu Europejskiego i Rady (UE) 2021/xx [akt w sprawie operacyjnej odporności cyfrowej]*, a także odpowiednie i proporcjonalne zasoby i procedury.”; </w:t>
      </w:r>
    </w:p>
    <w:p>
      <w:pPr>
        <w:pStyle w:val="Point1"/>
        <w:rPr>
          <w:noProof/>
        </w:rPr>
      </w:pPr>
      <w:r>
        <w:rPr>
          <w:noProof/>
        </w:rPr>
        <w:t>b)</w:t>
      </w:r>
      <w:r>
        <w:rPr>
          <w:noProof/>
        </w:rPr>
        <w:tab/>
        <w:t>ust. 5 akapity drugi i trzeci otrzymuje brzmienie:</w:t>
      </w:r>
    </w:p>
    <w:p>
      <w:pPr>
        <w:ind w:left="720"/>
        <w:rPr>
          <w:noProof/>
        </w:rPr>
      </w:pPr>
      <w:r>
        <w:rPr>
          <w:noProof/>
        </w:rPr>
        <w:t>„Firma inwestycyjna musi posiadać należyte procedury administracyjne i rachunkowe, mechanizmy kontroli wewnętrznej i skuteczne procedury oceny ryzyka.</w:t>
      </w:r>
    </w:p>
    <w:p>
      <w:pPr>
        <w:ind w:left="720"/>
        <w:rPr>
          <w:noProof/>
        </w:rPr>
      </w:pPr>
      <w:r>
        <w:rPr>
          <w:noProof/>
        </w:rPr>
        <w:t>Bez uszczerbku dla możliwości właściwych organów uzyskania dostępu do komunikacji zgodnie z niniejszą dyrektywą i rozporządzeniem (UE) nr 600/2014 firma inwestycyjna musi posiadać należyte mechanizmy bezpieczeństwa służące zagwarantowaniu – zgodnie z wymogami określonymi w rozporządzeniu Parlamentu Europejskiego i Rady (UE) 2021/xx [akt w sprawie operacyjnej odporności cyfrowej]* – bezpieczeństwa środków przekazu informacji i ich uwierzytelnianiu, minimalizowaniu ryzyka uszkodzenia danych oraz nieuprawnionego dostępu i zapobieganiu wyciekowi informacji, tak aby poufność danych była przez cały czas zapewniona.”;</w:t>
      </w:r>
    </w:p>
    <w:p>
      <w:pPr>
        <w:pStyle w:val="Point0"/>
        <w:rPr>
          <w:noProof/>
        </w:rPr>
      </w:pPr>
      <w:r>
        <w:rPr>
          <w:noProof/>
        </w:rPr>
        <w:t>3)</w:t>
      </w:r>
      <w:r>
        <w:rPr>
          <w:noProof/>
        </w:rPr>
        <w:tab/>
        <w:t>w art. 17 wprowadza się następujące zmiany:</w:t>
      </w:r>
    </w:p>
    <w:p>
      <w:pPr>
        <w:pStyle w:val="Point1"/>
        <w:rPr>
          <w:noProof/>
        </w:rPr>
      </w:pPr>
      <w:r>
        <w:rPr>
          <w:noProof/>
        </w:rPr>
        <w:t>a)</w:t>
      </w:r>
      <w:r>
        <w:rPr>
          <w:noProof/>
        </w:rPr>
        <w:tab/>
        <w:t>ust. 1 otrzymuje brzmienie:</w:t>
      </w:r>
    </w:p>
    <w:p>
      <w:pPr>
        <w:pStyle w:val="Text1"/>
        <w:rPr>
          <w:noProof/>
        </w:rPr>
      </w:pPr>
      <w:r>
        <w:rPr>
          <w:noProof/>
        </w:rPr>
        <w:t>„1. Firma inwestycyjna prowadząca handel algorytmiczny musi posiadać skuteczne systemy i mechanizmy kontroli ryzyka odpowiednie dla prowadzonej działalności, aby zapewnić odporność i wystarczającą wydajność swoich systemów transakcyjnych zgodnie z wymogami określonymi w rozdziale II rozporządzenia (UE) 2021/xx [akt w sprawie operacyjnej odporności cyfrowej]</w:t>
      </w:r>
      <w:r>
        <w:rPr>
          <w:i/>
          <w:noProof/>
        </w:rPr>
        <w:t xml:space="preserve"> </w:t>
      </w:r>
      <w:r>
        <w:rPr>
          <w:noProof/>
        </w:rPr>
        <w:t xml:space="preserve">oraz zapewnić, aby podlegały one odpowiednim progom i limitom transakcyjnym oraz uniemożliwiały wysyłanie błędnych zleceń, a także aby nie dopuścić do sytuacji, w której sposób funkcjonowania systemu mógłby doprowadzić lub przyczynić się do powstania zaburzeń rynkowych. </w:t>
      </w:r>
    </w:p>
    <w:p>
      <w:pPr>
        <w:pStyle w:val="Text1"/>
        <w:rPr>
          <w:noProof/>
        </w:rPr>
      </w:pPr>
      <w:r>
        <w:rPr>
          <w:noProof/>
        </w:rPr>
        <w:t xml:space="preserve">Taka firma musi posiadać również skuteczne systemy i mechanizmy kontroli ryzyka, aby zapewnić uniemożliwienie wykorzystania systemów transakcyjnych do celów sprzecznych z rozporządzeniem (UE) nr 596/2014 lub regulaminem systemu obrotu, do którego jest podłączona. </w:t>
      </w:r>
    </w:p>
    <w:p>
      <w:pPr>
        <w:pStyle w:val="Text1"/>
        <w:rPr>
          <w:noProof/>
        </w:rPr>
      </w:pPr>
      <w:r>
        <w:rPr>
          <w:noProof/>
        </w:rPr>
        <w:t xml:space="preserve">Firma inwestycyjna musi posiadać skuteczne rozwiązania w zakresie ciągłości działania, aby sprostać wszelkim awariom swoich systemów transakcyjnych, w tym plany utrzymania ciągłości działania i plany przywrócenia gotowości do pracy po wystąpieniu sytuacji nadzwyczajnej w odniesieniu do technologii informacyjno-komunikacyjnych ustanowione zgodnie z art. 6 rozporządzenia (UE) 2021/xx [akt w sprawie operacyjnej odporności cyfrowej], oraz zapewnia kompleksowe testowanie i właściwe monitorowanie swoich systemów, aby zapewnić spełnianie przez nie ogólnych wymogów określonych w niniejszym ustępie oraz wszelkich wymogów szczegółowych określonych w rozdziałach II i IV rozporządzenia (UE) 2021/xx [akt w sprawie operacyjnej odporności cyfrowej].”; </w:t>
      </w:r>
    </w:p>
    <w:p>
      <w:pPr>
        <w:pStyle w:val="Point1"/>
        <w:rPr>
          <w:noProof/>
        </w:rPr>
      </w:pPr>
      <w:r>
        <w:rPr>
          <w:noProof/>
        </w:rPr>
        <w:t>b)</w:t>
      </w:r>
      <w:r>
        <w:rPr>
          <w:noProof/>
        </w:rPr>
        <w:tab/>
        <w:t xml:space="preserve"> ust. 7 lit. a) otrzymuje brzmienie: </w:t>
      </w:r>
    </w:p>
    <w:p>
      <w:pPr>
        <w:pStyle w:val="Text1"/>
        <w:rPr>
          <w:noProof/>
        </w:rPr>
      </w:pPr>
      <w:r>
        <w:rPr>
          <w:noProof/>
        </w:rPr>
        <w:t xml:space="preserve">„a) szczegółowych wymogów organizacyjnych określonych w ust. 1–6, innych niż wymogi organizacyjne dotyczące zarządzania ryzykiem związanym z ICT, którym </w:t>
      </w:r>
      <w:r>
        <w:rPr>
          <w:noProof/>
        </w:rPr>
        <w:lastRenderedPageBreak/>
        <w:t xml:space="preserve">powinny podlegać firmy inwestycyjne świadczące różne usługi inwestycyjne, prowadzące różną działalność inwestycyjną, świadczące usługi dodatkowe lub ich kombinację, poprzez które szczegółowe uregulowania wymogów organizacyjnych z ust. 5 ustanawiają wymogi dla bezpośredniego dostępu do rynku oraz dla dostępu sponsorowanego w taki sposób, aby zapewnić przynajmniej równoważność kontroli stosowanych do dostępu sponsorowanego z kontrolami stosowanymi do bezpośredniego dostępu do rynku;”; </w:t>
      </w:r>
    </w:p>
    <w:p>
      <w:pPr>
        <w:pStyle w:val="Point0"/>
        <w:rPr>
          <w:noProof/>
        </w:rPr>
      </w:pPr>
      <w:r>
        <w:rPr>
          <w:noProof/>
        </w:rPr>
        <w:t>4)</w:t>
      </w:r>
      <w:r>
        <w:rPr>
          <w:noProof/>
        </w:rPr>
        <w:tab/>
        <w:t>w art. 19 dodaje się następujący ustęp:</w:t>
      </w:r>
    </w:p>
    <w:p>
      <w:pPr>
        <w:ind w:left="850"/>
        <w:rPr>
          <w:noProof/>
        </w:rPr>
      </w:pPr>
      <w:r>
        <w:rPr>
          <w:noProof/>
        </w:rPr>
        <w:t xml:space="preserve">„3. Jeżeli jednak firma inwestycyjna lub operator rynku obsługują wielostronną platformę obrotu opartą na technologii rozproszonego rejestru („wielostronna platforma obrotu oparta na DLT”), której definicja znajduje się w art. 2 pkt 3 rozporządzenia 20xx/xx [wniosek dotyczący rozporządzenia w sprawie systemu pilotażowego na potrzeby infrastruktur rynkowych opartych na DLT], właściwy organ – na swoich zasadach rządzących dostępem, o których mowa w art. 18 ust. 3 i na okres maksymalnie czterech lat – może zezwolić firmie inwestycyjnej lub operatorowi rynku na dopuszczenie osób fizycznych jako członków lub uczestników wielostronnej platformy obrotu opartej na DLT, pod warunkiem że takie osoby spełniają następujące wymogi:   </w:t>
      </w:r>
    </w:p>
    <w:p>
      <w:pPr>
        <w:pStyle w:val="Point2"/>
        <w:rPr>
          <w:noProof/>
        </w:rPr>
      </w:pPr>
      <w:r>
        <w:rPr>
          <w:noProof/>
        </w:rPr>
        <w:t>a)</w:t>
      </w:r>
      <w:r>
        <w:rPr>
          <w:noProof/>
        </w:rPr>
        <w:tab/>
        <w:t>muszą mieć wystarczająco nieposzlakowaną opinię, posiadać wymagane kwalifikacje i cieszyć się zaufaniem; oraz</w:t>
      </w:r>
    </w:p>
    <w:p>
      <w:pPr>
        <w:pStyle w:val="Point2"/>
        <w:rPr>
          <w:noProof/>
        </w:rPr>
      </w:pPr>
      <w:r>
        <w:rPr>
          <w:noProof/>
        </w:rPr>
        <w:t>b)</w:t>
      </w:r>
      <w:r>
        <w:rPr>
          <w:noProof/>
        </w:rPr>
        <w:tab/>
        <w:t>muszą mieć odpowiedni poziom zdolności, kompetencji i doświadczenia w zakresie obrotu, w tym wiedzę w zakresie obrotu i funkcjonowania technologii rozproszonego rejestru („DLT”).</w:t>
      </w:r>
    </w:p>
    <w:p>
      <w:pPr>
        <w:ind w:left="720"/>
        <w:rPr>
          <w:noProof/>
        </w:rPr>
      </w:pPr>
      <w:r>
        <w:rPr>
          <w:noProof/>
        </w:rPr>
        <w:t xml:space="preserve">Jeżeli właściwy organ przyznaje wyłączenie, o którym mowa w akapicie pierwszym, może on nałożyć dodatkowe środki ochrony inwestorów w celu ochrony osób fizycznych przyjętych w poczet członków lub uczestników wielostronnej platformy obrotu opartej na DLT. Takie środki są proporcjonalne do profilu ryzyka uczestników lub członków.”; </w:t>
      </w:r>
    </w:p>
    <w:p>
      <w:pPr>
        <w:pStyle w:val="Point0"/>
        <w:rPr>
          <w:noProof/>
        </w:rPr>
      </w:pPr>
      <w:r>
        <w:rPr>
          <w:noProof/>
        </w:rPr>
        <w:t>5)</w:t>
      </w:r>
      <w:r>
        <w:rPr>
          <w:noProof/>
        </w:rPr>
        <w:tab/>
        <w:t xml:space="preserve">w art. 47 ust. 1 wprowadza się następujące zmiany: </w:t>
      </w:r>
    </w:p>
    <w:p>
      <w:pPr>
        <w:pStyle w:val="Point1"/>
        <w:rPr>
          <w:noProof/>
        </w:rPr>
      </w:pPr>
      <w:r>
        <w:rPr>
          <w:noProof/>
        </w:rPr>
        <w:t>a)</w:t>
      </w:r>
      <w:r>
        <w:rPr>
          <w:noProof/>
        </w:rPr>
        <w:tab/>
        <w:t xml:space="preserve"> lit. b) otrzymuje brzmienie: </w:t>
      </w:r>
    </w:p>
    <w:p>
      <w:pPr>
        <w:pStyle w:val="Text1"/>
        <w:rPr>
          <w:noProof/>
        </w:rPr>
      </w:pPr>
      <w:r>
        <w:rPr>
          <w:noProof/>
        </w:rPr>
        <w:t>„b) odpowiednich zdolności do zarządzania ryzykiem, na które jest narażony, w tym do zarządzania ryzykiem związanym z systemami i narzędziami ICT zgodnie z art. 6 rozporządzenia (UE) 2021/xx [akt w sprawie operacyjnej odporności cyfrowej]*, wdrażania odpowiednich mechanizmów i systemów na potrzeby ustalenia każdego rodzaju istotnego ryzyka działalności oraz wprowadzenia skutecznych środków ograniczania tego ryzyka.”;</w:t>
      </w:r>
    </w:p>
    <w:p>
      <w:pPr>
        <w:pStyle w:val="Point1"/>
        <w:rPr>
          <w:noProof/>
        </w:rPr>
      </w:pPr>
      <w:r>
        <w:rPr>
          <w:noProof/>
        </w:rPr>
        <w:t>b)</w:t>
      </w:r>
      <w:r>
        <w:rPr>
          <w:noProof/>
        </w:rPr>
        <w:tab/>
        <w:t xml:space="preserve"> uchyla się lit. c);</w:t>
      </w:r>
    </w:p>
    <w:p>
      <w:pPr>
        <w:pStyle w:val="Point0"/>
        <w:rPr>
          <w:noProof/>
        </w:rPr>
      </w:pPr>
      <w:r>
        <w:rPr>
          <w:noProof/>
        </w:rPr>
        <w:t>6)</w:t>
      </w:r>
      <w:r>
        <w:rPr>
          <w:noProof/>
        </w:rPr>
        <w:tab/>
        <w:t xml:space="preserve">w art. 48 wprowadza się następujące zmiany: </w:t>
      </w:r>
    </w:p>
    <w:p>
      <w:pPr>
        <w:pStyle w:val="Point1"/>
        <w:rPr>
          <w:noProof/>
        </w:rPr>
      </w:pPr>
      <w:r>
        <w:rPr>
          <w:noProof/>
        </w:rPr>
        <w:t>a)</w:t>
      </w:r>
      <w:r>
        <w:rPr>
          <w:noProof/>
        </w:rPr>
        <w:tab/>
        <w:t>ust. 1 otrzymuje brzmienie:</w:t>
      </w:r>
    </w:p>
    <w:p>
      <w:pPr>
        <w:pStyle w:val="Text1"/>
        <w:rPr>
          <w:noProof/>
        </w:rPr>
      </w:pPr>
      <w:r>
        <w:rPr>
          <w:noProof/>
        </w:rPr>
        <w:t xml:space="preserve">„1. Państwa członkowskie wymagają, aby rynek regulowany budował swoją odporność operacyjną zgodnie z wymogami określonymi w rozdziale II rozporządzenia (UE) 2021/xx [akt w sprawie operacyjnej odporności cyfrowej] zapewniającą odporność jego systemów transakcyjnych, ich wystarczającą wydajność, aby móc obsłużyć znaczny wolumen zleceń i komunikatów w szczytowych okresach, oraz aby posiadał zdolność do zapewniania prawidłowego </w:t>
      </w:r>
      <w:r>
        <w:rPr>
          <w:noProof/>
        </w:rPr>
        <w:lastRenderedPageBreak/>
        <w:t xml:space="preserve">obrotu w warunkach dużych napięć rynkowych, a także aby przeprowadził pełne testy swoich systemów w celu zapewnienia spełnienia tych warunków oraz objęcie ich skutecznymi planami w zakresie ciągłości działania celem zapewnienia ciągłości świadczenia swoich usług w przypadku wystąpienia jakichkolwiek awarii jego systemów transakcyjnych.”; </w:t>
      </w:r>
    </w:p>
    <w:p>
      <w:pPr>
        <w:pStyle w:val="Point1"/>
        <w:rPr>
          <w:noProof/>
        </w:rPr>
      </w:pPr>
      <w:r>
        <w:rPr>
          <w:noProof/>
        </w:rPr>
        <w:t>b)</w:t>
      </w:r>
      <w:r>
        <w:rPr>
          <w:noProof/>
        </w:rPr>
        <w:tab/>
        <w:t>ust. 6 otrzymuje brzmienie:</w:t>
      </w:r>
    </w:p>
    <w:p>
      <w:pPr>
        <w:pStyle w:val="Text1"/>
        <w:rPr>
          <w:noProof/>
        </w:rPr>
      </w:pPr>
      <w:r>
        <w:rPr>
          <w:noProof/>
        </w:rPr>
        <w:t>„6. Państwa członkowskie wymagają, aby rynek regulowany posiadał skuteczne systemy, procedury i mechanizmy, w tym nakładające na członków lub uczestników obowiązek przeprowadzania odpowiednich testów algorytmów i zapewnienia warunków ułatwiających prowadzenie takich testów – zgodnie z wymogami określonymi w rozdziałach II i IV rozporządzenia (UE) 2021/xx [akt w sprawie operacyjnej odporności cyfrowej] – w celu zapewnienia, aby systemy handlu algorytmicznego nie mogły doprowadzić lub przyczynić się do powstania na rynku zakłóceń obrotu oraz w celu eliminowania wszelkich warunków powodujących zakłócenia obrotu, spowodowanych takimi systemami handlu algorytmicznego, w tym systemy umożliwiające ograniczenie wielkości wskaźnika niewykonanych zleceń do liczby transakcji, które członek lub uczestnik rynku może wprowadzić do systemu, a także aby mógł spowalniać napływ zleceń, w przypadku ryzyka osiągnięcia przez jego system swojej maksymalnej wydajności oraz ograniczać i egzekwować minimalną wielkość zmiany ceny.”;</w:t>
      </w:r>
    </w:p>
    <w:p>
      <w:pPr>
        <w:pStyle w:val="Point1"/>
        <w:rPr>
          <w:noProof/>
        </w:rPr>
      </w:pPr>
      <w:r>
        <w:rPr>
          <w:noProof/>
        </w:rPr>
        <w:t>c)</w:t>
      </w:r>
      <w:r>
        <w:rPr>
          <w:noProof/>
        </w:rPr>
        <w:tab/>
        <w:t xml:space="preserve">w ust. 12 wprowadza się następujące zmiany: </w:t>
      </w:r>
    </w:p>
    <w:p>
      <w:pPr>
        <w:pStyle w:val="Point3"/>
        <w:ind w:firstLine="329"/>
        <w:rPr>
          <w:noProof/>
        </w:rPr>
      </w:pPr>
      <w:r>
        <w:rPr>
          <w:noProof/>
        </w:rPr>
        <w:t>(i) lit. a) otrzymuje brzmienie:</w:t>
      </w:r>
    </w:p>
    <w:p>
      <w:pPr>
        <w:pStyle w:val="Text1"/>
        <w:rPr>
          <w:noProof/>
        </w:rPr>
      </w:pPr>
      <w:r>
        <w:rPr>
          <w:noProof/>
        </w:rPr>
        <w:t>„a) wymogi mające na celu zapewnienie odporności systemów transakcyjnych rynków regulowanych oraz ich odpowiedniej wydajności, z wyjątkiem wymogów związanych operacyjną odpornością cyfrową;”;</w:t>
      </w:r>
    </w:p>
    <w:p>
      <w:pPr>
        <w:pStyle w:val="Point3"/>
        <w:ind w:firstLine="329"/>
        <w:rPr>
          <w:noProof/>
        </w:rPr>
      </w:pPr>
      <w:r>
        <w:rPr>
          <w:noProof/>
        </w:rPr>
        <w:t>(ii) lit. g) otrzymuje brzmienie:</w:t>
      </w:r>
    </w:p>
    <w:p>
      <w:pPr>
        <w:pStyle w:val="Text1"/>
        <w:rPr>
          <w:noProof/>
        </w:rPr>
      </w:pPr>
      <w:r>
        <w:rPr>
          <w:noProof/>
        </w:rPr>
        <w:t>„g) wymogi mające na celu zapewnienie prowadzenia odpowiednich testów algorytmów, innych niż testy operacyjnej odporności cyfrowej, w celu zapewnienia, aby systemy handlu algorytmicznego obejmujące systemy handlu algorytmicznego o wysokiej częstotliwości nie mogły doprowadzić lub przyczynić się do powstania na rynku zakłóceń obrotu.”.</w:t>
      </w:r>
    </w:p>
    <w:p>
      <w:pPr>
        <w:rPr>
          <w:noProof/>
        </w:rPr>
      </w:pPr>
    </w:p>
    <w:p>
      <w:pPr>
        <w:pStyle w:val="Titrearticle"/>
        <w:spacing w:before="120"/>
        <w:rPr>
          <w:noProof/>
        </w:rPr>
      </w:pPr>
      <w:r>
        <w:rPr>
          <w:noProof/>
        </w:rPr>
        <w:t>Artykuł 7</w:t>
      </w:r>
    </w:p>
    <w:p>
      <w:pPr>
        <w:pStyle w:val="Titrearticle"/>
        <w:spacing w:before="120"/>
        <w:rPr>
          <w:b/>
          <w:noProof/>
          <w:szCs w:val="24"/>
          <w:shd w:val="clear" w:color="auto" w:fill="FFFFFF"/>
        </w:rPr>
      </w:pPr>
      <w:r>
        <w:rPr>
          <w:b/>
          <w:noProof/>
          <w:szCs w:val="24"/>
          <w:shd w:val="clear" w:color="auto" w:fill="FFFFFF"/>
        </w:rPr>
        <w:t>Zmiany w dyrektywie (UE) 2015/2366</w:t>
      </w:r>
    </w:p>
    <w:p>
      <w:pPr>
        <w:pStyle w:val="Article"/>
        <w:ind w:firstLine="0"/>
        <w:rPr>
          <w:noProof/>
        </w:rPr>
      </w:pPr>
      <w:r>
        <w:rPr>
          <w:noProof/>
        </w:rPr>
        <w:t>W dyrektywie (UE) 2015/2366 wprowadza się następujące zmiany:</w:t>
      </w:r>
    </w:p>
    <w:p>
      <w:pPr>
        <w:pStyle w:val="Point0"/>
        <w:rPr>
          <w:noProof/>
        </w:rPr>
      </w:pPr>
      <w:r>
        <w:rPr>
          <w:noProof/>
        </w:rPr>
        <w:t>1)</w:t>
      </w:r>
      <w:r>
        <w:rPr>
          <w:noProof/>
        </w:rPr>
        <w:tab/>
        <w:t xml:space="preserve">art. 5 ust. 1 akapit trzeci zdanie pierwsze otrzymuje brzmienie: </w:t>
      </w:r>
    </w:p>
    <w:p>
      <w:pPr>
        <w:pStyle w:val="Text1"/>
        <w:rPr>
          <w:noProof/>
        </w:rPr>
      </w:pPr>
      <w:r>
        <w:rPr>
          <w:noProof/>
        </w:rPr>
        <w:t xml:space="preserve">„Środki kontroli bezpieczeństwa i ograniczania ryzyka, o których mowa w akapicie pierwszym lit. j), wskazują sposób zapewniania wysokiego poziomu bezpieczeństwa technicznego i ochrony danych, w tym w odniesieniu do oprogramowania i systemów informatycznych stosowanych przez wnioskodawcę lub przedsiębiorstwa, którym zleca on w ramach outsourcingu całość lub część swoich operacji, zgodnie z rozdziałem II rozporządzenia Parlamentu Europejskiego i Rady (UE) 2021/xx [akt w sprawie operacyjnej odporności cyfrowej]*. Środki te obejmują również środki bezpieczeństwa określone w art. 95 ust. 1. Środki te uwzględniają </w:t>
      </w:r>
      <w:r>
        <w:rPr>
          <w:noProof/>
        </w:rPr>
        <w:lastRenderedPageBreak/>
        <w:t>wytyczne EUNB dotyczące środków bezpieczeństwa, o których mowa w art. 95 ust. 3, kiedy zostaną one przyjęte.</w:t>
      </w:r>
    </w:p>
    <w:p>
      <w:pPr>
        <w:pStyle w:val="Text1"/>
        <w:rPr>
          <w:noProof/>
        </w:rPr>
      </w:pPr>
      <w:r>
        <w:rPr>
          <w:noProof/>
        </w:rPr>
        <w:t>____________________________</w:t>
      </w:r>
    </w:p>
    <w:p>
      <w:pPr>
        <w:pStyle w:val="Text1"/>
        <w:ind w:left="1984"/>
        <w:rPr>
          <w:noProof/>
        </w:rPr>
      </w:pPr>
      <w:r>
        <w:rPr>
          <w:noProof/>
        </w:rPr>
        <w:t>*</w:t>
      </w:r>
      <w:r>
        <w:rPr>
          <w:noProof/>
        </w:rPr>
        <w:tab/>
        <w:t>[pełny tytuł] (Dz.U. L […] z […], s. […]).”;</w:t>
      </w:r>
    </w:p>
    <w:p>
      <w:pPr>
        <w:pStyle w:val="Point0"/>
        <w:rPr>
          <w:noProof/>
        </w:rPr>
      </w:pPr>
      <w:r>
        <w:rPr>
          <w:noProof/>
        </w:rPr>
        <w:t>2)</w:t>
      </w:r>
      <w:r>
        <w:rPr>
          <w:noProof/>
        </w:rPr>
        <w:tab/>
        <w:t xml:space="preserve">w art. 95 wprowadza się następujące zmiany: </w:t>
      </w:r>
    </w:p>
    <w:p>
      <w:pPr>
        <w:pStyle w:val="Point1"/>
        <w:rPr>
          <w:noProof/>
        </w:rPr>
      </w:pPr>
      <w:r>
        <w:rPr>
          <w:noProof/>
        </w:rPr>
        <w:t>a)</w:t>
      </w:r>
      <w:r>
        <w:rPr>
          <w:noProof/>
        </w:rPr>
        <w:tab/>
        <w:t xml:space="preserve">ust. 1 otrzymuje brzmienie: </w:t>
      </w:r>
    </w:p>
    <w:p>
      <w:pPr>
        <w:pStyle w:val="Text1"/>
        <w:rPr>
          <w:noProof/>
        </w:rPr>
      </w:pPr>
      <w:r>
        <w:rPr>
          <w:noProof/>
        </w:rPr>
        <w:t xml:space="preserve">„1. Państwa członkowskie zapewniają, by dostawcy usług płatniczych ustanawiali ramy obejmujące odpowiednie środki ograniczające ryzyko i mechanizmy kontroli służące zarządzaniu ryzykami operacyjnymi oraz ryzykami dla bezpieczeństwa związanymi z usługami płatniczymi, które świadczą, a także jako część tych ram dostawcy usług płatniczych ustanawiają i utrzymują skuteczne procedury zarządzania incydentami, w tym na potrzeby wykrywania i klasyfikacji poważnych incydentów operacyjnych i incydentów związanych z bezpieczeństwem, przy jednoczesnym uwzględnieniu ryzyka związanego z technologiami informacyjno-komunikacyjnymi zgodnie z rozdziałem II rozporządzenia (UE) 2021/xx [akt w sprawie operacyjnej odporności cyfrowej].”; </w:t>
      </w:r>
    </w:p>
    <w:p>
      <w:pPr>
        <w:pStyle w:val="Point1"/>
        <w:rPr>
          <w:noProof/>
        </w:rPr>
      </w:pPr>
      <w:r>
        <w:rPr>
          <w:noProof/>
        </w:rPr>
        <w:t>b)</w:t>
      </w:r>
      <w:r>
        <w:rPr>
          <w:noProof/>
        </w:rPr>
        <w:tab/>
        <w:t xml:space="preserve">uchyla się ust. 4; </w:t>
      </w:r>
    </w:p>
    <w:p>
      <w:pPr>
        <w:pStyle w:val="Point1"/>
        <w:rPr>
          <w:noProof/>
        </w:rPr>
      </w:pPr>
      <w:r>
        <w:rPr>
          <w:noProof/>
        </w:rPr>
        <w:t>c)</w:t>
      </w:r>
      <w:r>
        <w:rPr>
          <w:noProof/>
        </w:rPr>
        <w:tab/>
        <w:t xml:space="preserve">ust. 5 otrzymuje brzmienie: </w:t>
      </w:r>
    </w:p>
    <w:p>
      <w:pPr>
        <w:pStyle w:val="Text1"/>
        <w:rPr>
          <w:noProof/>
        </w:rPr>
      </w:pPr>
      <w:r>
        <w:rPr>
          <w:noProof/>
        </w:rPr>
        <w:t>„5.</w:t>
      </w:r>
      <w:r>
        <w:rPr>
          <w:noProof/>
        </w:rPr>
        <w:tab/>
        <w:t xml:space="preserve">EUNB wspiera współpracę, w tym wymianę informacji, w dziedzinie ryzyk operacyjnych związanych z usługami płatniczymi, między właściwymi organami oraz między właściwymi organami i EBC.”; </w:t>
      </w:r>
    </w:p>
    <w:p>
      <w:pPr>
        <w:pStyle w:val="Point0"/>
        <w:rPr>
          <w:noProof/>
        </w:rPr>
      </w:pPr>
      <w:r>
        <w:rPr>
          <w:noProof/>
        </w:rPr>
        <w:t>3)</w:t>
      </w:r>
      <w:r>
        <w:rPr>
          <w:noProof/>
        </w:rPr>
        <w:tab/>
        <w:t>w art. 96 wprowadza się następujące zmiany:</w:t>
      </w:r>
    </w:p>
    <w:p>
      <w:pPr>
        <w:pStyle w:val="Point1"/>
        <w:rPr>
          <w:noProof/>
        </w:rPr>
      </w:pPr>
      <w:r>
        <w:rPr>
          <w:noProof/>
        </w:rPr>
        <w:t>a)</w:t>
      </w:r>
      <w:r>
        <w:rPr>
          <w:noProof/>
        </w:rPr>
        <w:tab/>
        <w:t>ust. 1 otrzymuje brzmienie:</w:t>
      </w:r>
    </w:p>
    <w:p>
      <w:pPr>
        <w:pStyle w:val="Text1"/>
        <w:rPr>
          <w:noProof/>
        </w:rPr>
      </w:pPr>
      <w:r>
        <w:rPr>
          <w:noProof/>
        </w:rPr>
        <w:t xml:space="preserve">„1. W przypadku poważnego incydentu operacyjnego lub incydentu związanego z bezpieczeństwem innego niż incydent związany z ICT zgodnie z definicją w art. 3 pkt 6 rozporządzenia (UE) 20xx/xx [akt w sprawie operacyjnej odporności cyfrowej] dostawca usług płatniczych, bez zbędnej zwłoki, powiadamia właściwy organ w swoim państwie członkowskim pochodzenia.”; </w:t>
      </w:r>
    </w:p>
    <w:p>
      <w:pPr>
        <w:pStyle w:val="Point1"/>
        <w:rPr>
          <w:noProof/>
        </w:rPr>
      </w:pPr>
      <w:r>
        <w:rPr>
          <w:noProof/>
        </w:rPr>
        <w:t>b)</w:t>
      </w:r>
      <w:r>
        <w:rPr>
          <w:noProof/>
        </w:rPr>
        <w:tab/>
        <w:t xml:space="preserve">uchyla się ust. 5; </w:t>
      </w:r>
    </w:p>
    <w:p>
      <w:pPr>
        <w:pStyle w:val="Point0"/>
        <w:rPr>
          <w:noProof/>
        </w:rPr>
      </w:pPr>
      <w:r>
        <w:rPr>
          <w:noProof/>
        </w:rPr>
        <w:t>4)</w:t>
      </w:r>
      <w:r>
        <w:rPr>
          <w:noProof/>
        </w:rPr>
        <w:tab/>
        <w:t xml:space="preserve">art. 98 ust. 5 otrzymuje brzmienie: </w:t>
      </w:r>
    </w:p>
    <w:p>
      <w:pPr>
        <w:pStyle w:val="Text1"/>
        <w:rPr>
          <w:noProof/>
        </w:rPr>
      </w:pPr>
      <w:r>
        <w:rPr>
          <w:noProof/>
        </w:rPr>
        <w:t>„5. EUNB, zgodnie z art. 10 rozporządzenia (UE) nr 1093/2010, dokonuje regularnego przeglądu i, w stosownych przypadkach, aktualizuje regulacyjne standardy techniczne w celu, między innymi, uwzględnienia innowacji i postępu technologicznego oraz przepisów rozdziału II rozporządzenia (UE) 2021/xx [akt w sprawie operacyjnej odporności cyfrowej.”.</w:t>
      </w:r>
    </w:p>
    <w:p>
      <w:pPr>
        <w:pStyle w:val="Text1"/>
        <w:ind w:left="1984"/>
        <w:rPr>
          <w:noProof/>
        </w:rPr>
      </w:pPr>
    </w:p>
    <w:p>
      <w:pPr>
        <w:pStyle w:val="Titrearticle"/>
        <w:spacing w:before="120"/>
        <w:rPr>
          <w:noProof/>
        </w:rPr>
      </w:pPr>
      <w:r>
        <w:rPr>
          <w:noProof/>
        </w:rPr>
        <w:t xml:space="preserve">Artykuł 8 </w:t>
      </w:r>
    </w:p>
    <w:p>
      <w:pPr>
        <w:pStyle w:val="Titrearticle"/>
        <w:spacing w:before="120"/>
        <w:rPr>
          <w:b/>
          <w:noProof/>
        </w:rPr>
      </w:pPr>
      <w:r>
        <w:rPr>
          <w:b/>
          <w:noProof/>
        </w:rPr>
        <w:t>Zmiana w dyrektywie (UE) 2016/2341</w:t>
      </w:r>
    </w:p>
    <w:p>
      <w:pPr>
        <w:pStyle w:val="Article"/>
        <w:ind w:firstLine="0"/>
        <w:rPr>
          <w:noProof/>
        </w:rPr>
      </w:pPr>
      <w:r>
        <w:rPr>
          <w:noProof/>
        </w:rPr>
        <w:t>Art. 21 ust. 5 zdanie drugie dyrektywy (UE) 2016/2341 otrzymuje brzmienie:</w:t>
      </w:r>
      <w:r>
        <w:rPr>
          <w:noProof/>
        </w:rPr>
        <w:tab/>
      </w:r>
    </w:p>
    <w:p>
      <w:pPr>
        <w:pStyle w:val="Text1"/>
        <w:rPr>
          <w:noProof/>
        </w:rPr>
      </w:pPr>
      <w:r>
        <w:rPr>
          <w:noProof/>
        </w:rPr>
        <w:t xml:space="preserve">„W tym celu IORP stosują odpowiednie i współmierne systemy, zasoby i procedury oraz ustanawia systemy i narzędzia ICT i zarządza takimi systemami i narzędziami </w:t>
      </w:r>
      <w:r>
        <w:rPr>
          <w:noProof/>
        </w:rPr>
        <w:lastRenderedPageBreak/>
        <w:t>zgodnie z art. 6 rozporządzenia Parlamentu Europejskiego i Rady (UE) 2021/xx [akt w sprawie operacyjnej odporności cyfrowej]*.</w:t>
      </w:r>
    </w:p>
    <w:p>
      <w:pPr>
        <w:pStyle w:val="Text3"/>
        <w:rPr>
          <w:noProof/>
        </w:rPr>
      </w:pPr>
      <w:r>
        <w:rPr>
          <w:noProof/>
        </w:rPr>
        <w:t>_________________________________</w:t>
      </w:r>
    </w:p>
    <w:p>
      <w:pPr>
        <w:pStyle w:val="Text3"/>
        <w:rPr>
          <w:noProof/>
        </w:rPr>
      </w:pPr>
      <w:r>
        <w:rPr>
          <w:noProof/>
        </w:rPr>
        <w:t>* [</w:t>
      </w:r>
      <w:r>
        <w:rPr>
          <w:i/>
          <w:noProof/>
        </w:rPr>
        <w:t>pełny tytuł</w:t>
      </w:r>
      <w:r>
        <w:rPr>
          <w:noProof/>
        </w:rPr>
        <w:t xml:space="preserve">] (Dz.U. L […] z […], s. […]).”. </w:t>
      </w:r>
    </w:p>
    <w:p>
      <w:pPr>
        <w:pStyle w:val="Text1"/>
        <w:rPr>
          <w:noProof/>
        </w:rPr>
      </w:pPr>
    </w:p>
    <w:p>
      <w:pPr>
        <w:pStyle w:val="Titrearticle"/>
        <w:keepLines/>
        <w:rPr>
          <w:noProof/>
        </w:rPr>
      </w:pPr>
      <w:r>
        <w:rPr>
          <w:noProof/>
        </w:rPr>
        <w:t xml:space="preserve">Artykuł 9 </w:t>
      </w:r>
    </w:p>
    <w:p>
      <w:pPr>
        <w:jc w:val="center"/>
        <w:rPr>
          <w:b/>
          <w:i/>
          <w:noProof/>
        </w:rPr>
      </w:pPr>
      <w:r>
        <w:rPr>
          <w:b/>
          <w:i/>
          <w:noProof/>
        </w:rPr>
        <w:t xml:space="preserve">   Transpozycja </w:t>
      </w:r>
    </w:p>
    <w:p>
      <w:pPr>
        <w:ind w:left="3600"/>
        <w:rPr>
          <w:b/>
          <w:noProof/>
        </w:rPr>
      </w:pPr>
    </w:p>
    <w:p>
      <w:pPr>
        <w:pStyle w:val="ManualNumPar1"/>
        <w:rPr>
          <w:noProof/>
        </w:rPr>
      </w:pPr>
      <w:r>
        <w:rPr>
          <w:noProof/>
        </w:rPr>
        <w:t>1. Państwa członkowskie przyjmują i publikują, najpóźniej do dnia [rok po przyjęciu] r., przepisy ustawowe, wykonawcze i administracyjne niezbędne do wykonania niniejszej dyrektywy. Niezwłocznie przekazują Komisji tekst tych przepisów.</w:t>
      </w:r>
    </w:p>
    <w:p>
      <w:pPr>
        <w:pStyle w:val="Text1"/>
        <w:rPr>
          <w:i/>
          <w:noProof/>
        </w:rPr>
      </w:pPr>
      <w:r>
        <w:rPr>
          <w:noProof/>
        </w:rPr>
        <w:t>Państwa członkowskie stosują te przepisy od dnia</w:t>
      </w:r>
      <w:r>
        <w:rPr>
          <w:i/>
          <w:noProof/>
        </w:rPr>
        <w:t xml:space="preserve"> </w:t>
      </w:r>
      <w:r>
        <w:rPr>
          <w:noProof/>
        </w:rPr>
        <w:t>[data wejścia aktu w sprawie operacyjnej odporności cyfrowej/data rozpoczęcia jego stosowania, jeżeli są to inne daty]</w:t>
      </w:r>
      <w:r>
        <w:rPr>
          <w:i/>
          <w:noProof/>
        </w:rPr>
        <w:t>.</w:t>
      </w:r>
    </w:p>
    <w:p>
      <w:pPr>
        <w:pStyle w:val="Text1"/>
        <w:rPr>
          <w:noProof/>
        </w:rPr>
      </w:pPr>
      <w:r>
        <w:rPr>
          <w:noProof/>
        </w:rPr>
        <w:t>Przepisy przyjęte przez państwa członkowskie zawierają odniesienie do niniejszej dyrektywy lub odniesienie takie towarzyszy ich urzędowej publikacji. Metody dokonywania takiego odesłania określane są przez państwa członkowskie.</w:t>
      </w:r>
    </w:p>
    <w:p>
      <w:pPr>
        <w:pStyle w:val="ManualNumPar1"/>
        <w:rPr>
          <w:noProof/>
        </w:rPr>
      </w:pPr>
      <w:r>
        <w:rPr>
          <w:noProof/>
        </w:rPr>
        <w:t>2. Państwa członkowskie przekazują Komisji tekst podstawowych przepisów prawa krajowego przyjętych w dziedzinie objętej niniejszą dyrektywą.</w:t>
      </w:r>
    </w:p>
    <w:p>
      <w:pPr>
        <w:pStyle w:val="Titrearticle"/>
        <w:rPr>
          <w:noProof/>
        </w:rPr>
      </w:pPr>
      <w:r>
        <w:rPr>
          <w:noProof/>
        </w:rPr>
        <w:t xml:space="preserve">Artykuł 10 </w:t>
      </w:r>
    </w:p>
    <w:p>
      <w:pPr>
        <w:jc w:val="center"/>
        <w:rPr>
          <w:b/>
          <w:i/>
          <w:noProof/>
        </w:rPr>
      </w:pPr>
      <w:r>
        <w:rPr>
          <w:b/>
          <w:i/>
          <w:noProof/>
        </w:rPr>
        <w:t xml:space="preserve">Wejście w życie </w:t>
      </w:r>
    </w:p>
    <w:p>
      <w:pPr>
        <w:jc w:val="center"/>
        <w:rPr>
          <w:b/>
          <w:noProof/>
        </w:rPr>
      </w:pPr>
    </w:p>
    <w:p>
      <w:pPr>
        <w:rPr>
          <w:noProof/>
        </w:rPr>
      </w:pPr>
      <w:r>
        <w:rPr>
          <w:noProof/>
        </w:rPr>
        <w:t>Niniejsza dyrektywa wchodzi w życie dwudziestego dnia po jej opublikowaniu w </w:t>
      </w:r>
      <w:r>
        <w:rPr>
          <w:i/>
          <w:noProof/>
        </w:rPr>
        <w:t>Dzienniku Urzędowym Unii Europejskiej</w:t>
      </w:r>
      <w:r>
        <w:rPr>
          <w:noProof/>
        </w:rPr>
        <w:t>.</w:t>
      </w:r>
    </w:p>
    <w:p>
      <w:pPr>
        <w:pStyle w:val="Titrearticle"/>
        <w:rPr>
          <w:noProof/>
        </w:rPr>
      </w:pPr>
      <w:r>
        <w:rPr>
          <w:noProof/>
        </w:rPr>
        <w:t xml:space="preserve">Artykuł 11 </w:t>
      </w:r>
    </w:p>
    <w:p>
      <w:pPr>
        <w:jc w:val="center"/>
        <w:rPr>
          <w:b/>
          <w:noProof/>
        </w:rPr>
      </w:pPr>
      <w:r>
        <w:rPr>
          <w:b/>
          <w:i/>
          <w:noProof/>
        </w:rPr>
        <w:t>Adresaci</w:t>
      </w:r>
    </w:p>
    <w:p>
      <w:pPr>
        <w:rPr>
          <w:noProof/>
        </w:rPr>
      </w:pPr>
    </w:p>
    <w:p>
      <w:pPr>
        <w:keepNext/>
        <w:keepLines/>
        <w:rPr>
          <w:noProof/>
        </w:rPr>
      </w:pPr>
      <w:r>
        <w:rPr>
          <w:noProof/>
        </w:rPr>
        <w:t>Niniejsza dyrektywa skierowana jest do państw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footerReference w:type="default" r:id="rId11"/>
      <w:footerReference w:type="first" r:id="rId12"/>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Komunikat Komisji do Parlamentu Europejskiego, Rady Europejskiej, Rady, Europejskiego Banku Centralnego, Europejskiego Komitetu Ekonomiczno-Społecznego i Komitetu Regionów z dnia 23 września 2020 r. w sprawie strategii dla UE w zakresie finansów cyfrowych, COM(2020) 591. </w:t>
      </w:r>
    </w:p>
  </w:footnote>
  <w:footnote w:id="3">
    <w:p>
      <w:pPr>
        <w:pStyle w:val="FootnoteText"/>
      </w:pPr>
      <w:r>
        <w:rPr>
          <w:rStyle w:val="FootnoteReference"/>
        </w:rPr>
        <w:footnoteRef/>
      </w:r>
      <w:r>
        <w:tab/>
        <w:t>Wniosek dotyczący rozporządzenia Parlamentu Europejskiego i Rady w sprawie rynków kryptoaktywów i zmieniającego dyrektywę (UE) 2019/1937, COM(2020) 593.</w:t>
      </w:r>
    </w:p>
  </w:footnote>
  <w:footnote w:id="4">
    <w:p>
      <w:pPr>
        <w:pStyle w:val="FootnoteText"/>
      </w:pPr>
      <w:r>
        <w:rPr>
          <w:rStyle w:val="FootnoteReference"/>
        </w:rPr>
        <w:footnoteRef/>
      </w:r>
      <w:r>
        <w:tab/>
        <w:t>Wniosek dotyczący rozporządzenia Parlamentu Europejskiego i Rady w sprawie systemu pilotażowego na potrzeby infrastruktur rynkowych opartych na technologii rozproszonego rejestru, COM(2020) 594.</w:t>
      </w:r>
    </w:p>
  </w:footnote>
  <w:footnote w:id="5">
    <w:p>
      <w:pPr>
        <w:pStyle w:val="FootnoteText"/>
      </w:pPr>
      <w:r>
        <w:rPr>
          <w:rStyle w:val="FootnoteReference"/>
        </w:rPr>
        <w:footnoteRef/>
      </w:r>
      <w:r>
        <w:tab/>
        <w:t>Wniosek dotyczący rozporządzenia Parlamentu Europejskiego i Rady w sprawie operacyjnej odporności cyfrowej sektora finansowego i zmieniającego rozporządzenia (WE) nr 1060/2009, (UE) nr 648/2012, (UE) nr 600/2014 oraz (UE) nr 909/2014, COM(2020) 595.</w:t>
      </w:r>
    </w:p>
  </w:footnote>
  <w:footnote w:id="6">
    <w:p>
      <w:pPr>
        <w:pStyle w:val="FootnoteText"/>
      </w:pPr>
      <w:r>
        <w:rPr>
          <w:rStyle w:val="FootnoteReference"/>
        </w:rPr>
        <w:footnoteRef/>
      </w:r>
      <w:r>
        <w:tab/>
        <w:t xml:space="preserve">Przewodnicząca Ursula von der Leyen, </w:t>
      </w:r>
      <w:r>
        <w:rPr>
          <w:i/>
        </w:rPr>
        <w:t>Wytyczne polityczne na następną kadencję Komisji Europejskiej (2019–2024)</w:t>
      </w:r>
      <w:r>
        <w:t xml:space="preserve">, </w:t>
      </w:r>
      <w:hyperlink r:id="rId1" w:history="1">
        <w:r>
          <w:rPr>
            <w:rStyle w:val="Hyperlink"/>
          </w:rPr>
          <w:t>https://ec.europa.eu/commission/sites/beta-political/files/political-guidelines-next-commission_pl.pdf</w:t>
        </w:r>
      </w:hyperlink>
    </w:p>
  </w:footnote>
  <w:footnote w:id="7">
    <w:p>
      <w:pPr>
        <w:pStyle w:val="FootnoteText"/>
      </w:pPr>
      <w:r>
        <w:rPr>
          <w:rStyle w:val="FootnoteReference"/>
        </w:rPr>
        <w:footnoteRef/>
      </w:r>
      <w:r>
        <w:tab/>
        <w:t xml:space="preserve">Komunikat Komisji do Parlamentu Europejskiego, Rady, Europejskiego Komitetu Ekonomiczno-Społecznego i Komitetu Regionów – </w:t>
      </w:r>
      <w:r>
        <w:rPr>
          <w:i/>
        </w:rPr>
        <w:t>Kształtowanie cyfrowej przyszłości Europy</w:t>
      </w:r>
      <w:r>
        <w:t xml:space="preserve">, COM(2020) 67 final. </w:t>
      </w:r>
    </w:p>
  </w:footnote>
  <w:footnote w:id="8">
    <w:p>
      <w:pPr>
        <w:pStyle w:val="FootnoteText"/>
      </w:pPr>
      <w:r>
        <w:rPr>
          <w:rStyle w:val="FootnoteReference"/>
        </w:rPr>
        <w:footnoteRef/>
      </w:r>
      <w:r>
        <w:tab/>
      </w:r>
    </w:p>
  </w:footnote>
  <w:footnote w:id="9">
    <w:p>
      <w:pPr>
        <w:pStyle w:val="FootnoteText"/>
      </w:pPr>
      <w:r>
        <w:rPr>
          <w:rStyle w:val="FootnoteReference"/>
        </w:rPr>
        <w:footnoteRef/>
      </w:r>
      <w:r>
        <w:tab/>
        <w:t xml:space="preserve">Forum Wysokiego Szczebla ds. Unii Rynków Kapitałowych (2020). „A new vision for Europe’s capital markets: final report” [„Nowa wizja europejskich rynków kapitałowych – sprawozdanie końcowe”], </w:t>
      </w:r>
      <w:hyperlink r:id="rId2" w:history="1">
        <w:r>
          <w:rPr>
            <w:rStyle w:val="Hyperlink"/>
          </w:rPr>
          <w:t>https://ec.europa.eu/info/sites/info/files/business_economy_euro/growth_and_investment/documents/200610-cmu-high-level-forum-final-report_en.pdf</w:t>
        </w:r>
      </w:hyperlink>
      <w:r>
        <w:t xml:space="preserve"> </w:t>
      </w:r>
    </w:p>
  </w:footnote>
  <w:footnote w:id="10">
    <w:p>
      <w:pPr>
        <w:pStyle w:val="FootnoteText"/>
      </w:pPr>
      <w:r>
        <w:rPr>
          <w:rStyle w:val="FootnoteReference"/>
        </w:rPr>
        <w:footnoteRef/>
      </w:r>
      <w:r>
        <w:tab/>
        <w:t xml:space="preserve">Dyrektywa Parlamentu Europejskiego i Rady 2009/65/WE z dnia 13 lipca 2009 r. w sprawie koordynacji przepisów ustawowych, wykonawczych i administracyjnych odnoszących się do przedsiębiorstw zbiorowego inwestowania w zbywalne papiery wartościowe (Dz.U. L 302 z 17.11.2009, s. 32). </w:t>
      </w:r>
    </w:p>
  </w:footnote>
  <w:footnote w:id="11">
    <w:p>
      <w:pPr>
        <w:pStyle w:val="FootnoteText"/>
      </w:pPr>
      <w:r>
        <w:rPr>
          <w:rStyle w:val="FootnoteReference"/>
        </w:rPr>
        <w:footnoteRef/>
      </w:r>
      <w:r>
        <w:tab/>
        <w:t>Dyrektywa Parlamentu Europejskiego i Rady 2009/138/WE z dnia 25 listopada 2009 r. w sprawie podejmowania i prowadzenia działalności ubezpieczeniowej i reasekuracyjnej (Dz.U. L 335 z 17.12.2009, s. 1).</w:t>
      </w:r>
    </w:p>
  </w:footnote>
  <w:footnote w:id="12">
    <w:p>
      <w:pPr>
        <w:pStyle w:val="FootnoteText"/>
      </w:pPr>
      <w:r>
        <w:rPr>
          <w:rStyle w:val="FootnoteReference"/>
        </w:rPr>
        <w:footnoteRef/>
      </w:r>
      <w:r>
        <w:tab/>
        <w:t>Dyrektywa Parlamentu Europejskiego i Rady 2011/61/UE z dnia 8 czerwca 2011 r. w sprawie zarządzających alternatywnymi funduszami inwestycyjnymi i zmiany dyrektyw 2003/41/WE i 2009/65/WE oraz rozporządzeń (WE) nr 1060/2009 i (UE) nr 1095/2010 (Dz.U. L 174 z 1.7.2011, s. 1).</w:t>
      </w:r>
    </w:p>
  </w:footnote>
  <w:footnote w:id="13">
    <w:p>
      <w:pPr>
        <w:pStyle w:val="FootnoteText"/>
      </w:pPr>
      <w:r>
        <w:rPr>
          <w:rStyle w:val="FootnoteReference"/>
        </w:rPr>
        <w:footnoteRef/>
      </w:r>
      <w:r>
        <w:tab/>
        <w:t xml:space="preserve">Dyrektywa Parlamentu Europejskiego i Rady 2014/56/UE z dnia 16 kwietnia 2014 r. zmieniająca dyrektywę 2006/43/WE w sprawie ustawowych badań rocznych sprawozdań finansowych i skonsolidowanych sprawozdań finansowych (Dz.U. L 158 z 27.5.2014, s. 196). </w:t>
      </w:r>
    </w:p>
  </w:footnote>
  <w:footnote w:id="14">
    <w:p>
      <w:pPr>
        <w:pStyle w:val="FootnoteText"/>
      </w:pPr>
      <w:r>
        <w:rPr>
          <w:rStyle w:val="FootnoteReference"/>
        </w:rPr>
        <w:footnoteRef/>
      </w:r>
      <w:r>
        <w:tab/>
        <w:t>Dyrektywa Parlamentu Europejskiego i Rady (UE) 2016/2341 z dnia 14 grudnia 2016 r. w sprawie działalności instytucji pracowniczych programów emerytalnych oraz nadzoru nad takimi instytucjami (IORP) (Dz.U. L 354 z 23.12.2016, s. 37).</w:t>
      </w:r>
    </w:p>
  </w:footnote>
  <w:footnote w:id="15">
    <w:p>
      <w:pPr>
        <w:pStyle w:val="FootnoteText"/>
      </w:pPr>
      <w:r>
        <w:rPr>
          <w:rStyle w:val="FootnoteReference"/>
        </w:rPr>
        <w:footnoteRef/>
      </w:r>
      <w:r>
        <w:tab/>
        <w:t>Dyrektywa Parlamentu Europejskiego i Rady 2013/36/UE z dnia 26 czerwca 2013 r. w sprawie warunków dopuszczenia instytucji kredytowych do działalności oraz nadzoru ostrożnościowego nad instytucjami kredytowymi i firmami inwestycyjnymi, zmieniająca dyrektywę 2002/87/WE i uchylająca dyrektywy 2006/48/WE oraz 2006/49/WE (Dz.U. L 176 z 27.6.2013, s. 338).</w:t>
      </w:r>
    </w:p>
  </w:footnote>
  <w:footnote w:id="16">
    <w:p>
      <w:pPr>
        <w:pStyle w:val="FootnoteText"/>
      </w:pPr>
      <w:r>
        <w:rPr>
          <w:rStyle w:val="FootnoteReference"/>
        </w:rPr>
        <w:footnoteRef/>
      </w:r>
      <w:r>
        <w:tab/>
        <w:t>Dyrektywa Parlamentu Europejskiego i Rady (UE) 2015/2366 z dnia 25 listopada 2015 r. w sprawie usług płatniczych w ramach rynku wewnętrznego, zmieniająca dyrektywy 2002/65/WE, 2009/110/WE, 2013/36/UE i rozporządzenie (UE) nr 1093/2010 oraz uchylająca dyrektywę 2007/64/WE (Dz.U. L 337 z 23.12.2015, s. 35).</w:t>
      </w:r>
    </w:p>
  </w:footnote>
  <w:footnote w:id="17">
    <w:p>
      <w:pPr>
        <w:pStyle w:val="FootnoteText"/>
      </w:pPr>
      <w:r>
        <w:rPr>
          <w:rStyle w:val="FootnoteReference"/>
        </w:rPr>
        <w:footnoteRef/>
      </w:r>
      <w:r>
        <w:tab/>
        <w:t>Dz.U. C [...] z [...], s. 1...</w:t>
      </w:r>
    </w:p>
  </w:footnote>
  <w:footnote w:id="18">
    <w:p>
      <w:pPr>
        <w:pStyle w:val="FootnoteText"/>
      </w:pPr>
      <w:r>
        <w:rPr>
          <w:rStyle w:val="FootnoteReference"/>
        </w:rPr>
        <w:footnoteRef/>
      </w:r>
      <w:r>
        <w:tab/>
        <w:t>Dz.U. C […] z […], s. […].</w:t>
      </w:r>
    </w:p>
  </w:footnote>
  <w:footnote w:id="19">
    <w:p>
      <w:pPr>
        <w:pStyle w:val="FootnoteText"/>
        <w:rPr>
          <w:rFonts w:ascii="&amp;quot" w:hAnsi="&amp;quot"/>
          <w:color w:val="444444"/>
        </w:rPr>
      </w:pPr>
      <w:r>
        <w:rPr>
          <w:rStyle w:val="FootnoteReference"/>
        </w:rPr>
        <w:footnoteRef/>
      </w:r>
      <w:r>
        <w:tab/>
        <w:t>Dyrektywa 2006/43/WE Parlamentu Europejskiego i Rady z dnia 17 maja 2006 r. w sprawie ustawowych badań rocznych sprawozdań finansowych i skonsolidowanych sprawozdań finansowych, zmieniająca dyrektywy Rady 78/660/EWG i 83/349/EWG oraz uchylająca dyrektywę Rady 84/253/EWG (Dz.U. L 157 z 9.6.2006, s. 87).</w:t>
      </w:r>
    </w:p>
  </w:footnote>
  <w:footnote w:id="20">
    <w:p>
      <w:pPr>
        <w:pStyle w:val="FootnoteText"/>
        <w:rPr>
          <w:rFonts w:ascii="&amp;quot" w:hAnsi="&amp;quot"/>
          <w:color w:val="444444"/>
        </w:rPr>
      </w:pPr>
      <w:r>
        <w:rPr>
          <w:rStyle w:val="FootnoteReference"/>
        </w:rPr>
        <w:footnoteRef/>
      </w:r>
      <w:r>
        <w:tab/>
        <w:t>Dyrektywa Parlamentu Europejskiego i Rady 2009/65/WE z dnia 13 lipca 2009 r. w sprawie koordynacji przepisów ustawowych, wykonawczych i administracyjnych odnoszących się do przedsiębiorstw zbiorowego inwestowania w zbywalne papiery wartościowe (UCITS) (</w:t>
      </w:r>
      <w:r>
        <w:rPr>
          <w:rStyle w:val="Emphasis"/>
          <w:i w:val="0"/>
        </w:rPr>
        <w:t>Dz.U. L 302 z 17.11.2009, s. 32).</w:t>
      </w:r>
    </w:p>
  </w:footnote>
  <w:footnote w:id="21">
    <w:p>
      <w:pPr>
        <w:pStyle w:val="FootnoteText"/>
        <w:rPr>
          <w:rFonts w:ascii="&amp;quot" w:hAnsi="&amp;quot"/>
          <w:color w:val="444444"/>
        </w:rPr>
      </w:pPr>
      <w:r>
        <w:rPr>
          <w:rStyle w:val="FootnoteReference"/>
        </w:rPr>
        <w:footnoteRef/>
      </w:r>
      <w:r>
        <w:tab/>
        <w:t>Dyrektywa Parlamentu Europejskiego i Rady 2009/138/WE z dnia 25 listopada 2009 r. w sprawie podejmowania i prowadzenia działalności ubezpieczeniowej i reasekuracyjnej (Wypłacalność II) (</w:t>
      </w:r>
      <w:r>
        <w:rPr>
          <w:rStyle w:val="Emphasis"/>
          <w:i w:val="0"/>
        </w:rPr>
        <w:t>Dz.U. L 335 z 17.12.2009, s. 1).</w:t>
      </w:r>
    </w:p>
  </w:footnote>
  <w:footnote w:id="22">
    <w:p>
      <w:pPr>
        <w:pStyle w:val="FootnoteText"/>
        <w:rPr>
          <w:rFonts w:ascii="&amp;quot" w:hAnsi="&amp;quot"/>
          <w:color w:val="444444"/>
        </w:rPr>
      </w:pPr>
      <w:r>
        <w:rPr>
          <w:rStyle w:val="FootnoteReference"/>
        </w:rPr>
        <w:footnoteRef/>
      </w:r>
      <w:r>
        <w:tab/>
        <w:t>Dyrektywa Parlamentu Europejskiego i Rady 2011/61/UE z dnia 8 czerwca 2011 r. w sprawie zarządzających alternatywnymi funduszami inwestycyjnymi i zmiany dyrektyw 2003/41/WE i 2009/65/WE oraz rozporządzeń (WE) nr 1060/2009 i (UE) nr 1095/2010 (</w:t>
      </w:r>
      <w:r>
        <w:rPr>
          <w:rStyle w:val="Emphasis"/>
          <w:i w:val="0"/>
        </w:rPr>
        <w:t>Dz.U. L 174 z 1.7.2011, s. 1).</w:t>
      </w:r>
    </w:p>
  </w:footnote>
  <w:footnote w:id="23">
    <w:p>
      <w:pPr>
        <w:pStyle w:val="FootnoteText"/>
      </w:pPr>
      <w:r>
        <w:rPr>
          <w:rStyle w:val="FootnoteReference"/>
        </w:rPr>
        <w:footnoteRef/>
      </w:r>
      <w:r>
        <w:tab/>
        <w:t>Dyrektywa Parlamentu Europejskiego i Rady 2013/36/UE z dnia 26 czerwca 2013 r. w sprawie warunków dopuszczenia instytucji kredytowych do działalności oraz nadzoru ostrożnościowego nad instytucjami kredytowymi i firmami inwestycyjnymi, zmieniająca dyrektywę 2002/87/WE i uchylająca dyrektywy 2006/48/WE oraz 2006/49/WE (</w:t>
      </w:r>
      <w:r>
        <w:rPr>
          <w:rStyle w:val="Emphasis"/>
          <w:i w:val="0"/>
        </w:rPr>
        <w:t>Dz.U. L 176 z 27.6.2013, s. 338)</w:t>
      </w:r>
      <w:r>
        <w:rPr>
          <w:rStyle w:val="Emphasis"/>
          <w:i w:val="0"/>
          <w:color w:val="444444"/>
        </w:rPr>
        <w:t>.</w:t>
      </w:r>
    </w:p>
  </w:footnote>
  <w:footnote w:id="24">
    <w:p>
      <w:pPr>
        <w:pStyle w:val="FootnoteText"/>
        <w:rPr>
          <w:rFonts w:ascii="&amp;quot" w:hAnsi="&amp;quot"/>
          <w:color w:val="444444"/>
          <w:sz w:val="21"/>
          <w:szCs w:val="21"/>
        </w:rPr>
      </w:pPr>
      <w:r>
        <w:rPr>
          <w:rStyle w:val="FootnoteReference"/>
        </w:rPr>
        <w:footnoteRef/>
      </w:r>
      <w:r>
        <w:tab/>
        <w:t>Dyrektywa Parlamentu Europejskiego i Rady 2014/65/UE z dnia 15 maja 2014 r. w sprawie rynków instrumentów finansowych oraz zmieniająca dyrektywę 2002/92/WE i dyrektywę 2011/61/UE (</w:t>
      </w:r>
      <w:r>
        <w:rPr>
          <w:rStyle w:val="Emphasis"/>
          <w:i w:val="0"/>
        </w:rPr>
        <w:t>Dz.U. L 173 z 12.6.2014, s. 349).</w:t>
      </w:r>
    </w:p>
    <w:p>
      <w:pPr>
        <w:pStyle w:val="FootnoteText"/>
      </w:pPr>
    </w:p>
  </w:footnote>
  <w:footnote w:id="25">
    <w:p>
      <w:pPr>
        <w:pStyle w:val="FootnoteText"/>
        <w:rPr>
          <w:rFonts w:ascii="&amp;quot" w:hAnsi="&amp;quot"/>
          <w:color w:val="444444"/>
        </w:rPr>
      </w:pPr>
      <w:r>
        <w:rPr>
          <w:rStyle w:val="FootnoteReference"/>
        </w:rPr>
        <w:footnoteRef/>
      </w:r>
      <w:r>
        <w:tab/>
        <w:t>Dyrektywa Parlamentu Europejskiego i Rady (UE) 2015/2366 z dnia 25 listopada 2015 r. w sprawie usług płatniczych w ramach rynku wewnętrznego, zmieniająca dyrektywy 2002/65/WE, 2009/110/WE, 2013/36/UE i rozporządzenie (UE) nr 1093/2010 oraz uchylająca dyrektywę 2007/64/WE (</w:t>
      </w:r>
      <w:r>
        <w:rPr>
          <w:rStyle w:val="Emphasis"/>
          <w:i w:val="0"/>
        </w:rPr>
        <w:t>Dz.U. L 337 z 23.12.2015, s. 35).</w:t>
      </w:r>
    </w:p>
  </w:footnote>
  <w:footnote w:id="26">
    <w:p>
      <w:pPr>
        <w:pStyle w:val="FootnoteText"/>
      </w:pPr>
      <w:r>
        <w:rPr>
          <w:rStyle w:val="FootnoteReference"/>
        </w:rPr>
        <w:footnoteRef/>
      </w:r>
      <w:r>
        <w:tab/>
        <w:t>Dyrektywa Parlamentu Europejskiego i Rady (UE) 2016/2341 z dnia 14 grudnia 2016 r. w sprawie działalności instytucji pracowniczych programów emerytalnych oraz nadzoru nad takimi instytucjami (IORP) (</w:t>
      </w:r>
      <w:r>
        <w:rPr>
          <w:rStyle w:val="Emphasis"/>
          <w:i w:val="0"/>
        </w:rPr>
        <w:t>Dz.U. L 354 z 23.12.2016, s. 37).</w:t>
      </w:r>
    </w:p>
  </w:footnote>
  <w:footnote w:id="27">
    <w:p>
      <w:pPr>
        <w:pStyle w:val="FootnoteText"/>
      </w:pPr>
      <w:r>
        <w:rPr>
          <w:rStyle w:val="FootnoteReference"/>
        </w:rPr>
        <w:footnoteRef/>
      </w:r>
      <w:r>
        <w:tab/>
        <w:t>Dz.U. L […] z […], s. […].</w:t>
      </w:r>
    </w:p>
  </w:footnote>
  <w:footnote w:id="28">
    <w:p>
      <w:pPr>
        <w:pStyle w:val="FootnoteText"/>
      </w:pPr>
      <w:r>
        <w:rPr>
          <w:rStyle w:val="FootnoteReference"/>
        </w:rPr>
        <w:footnoteRef/>
      </w:r>
      <w:r>
        <w:tab/>
        <w:t>[pełny tytuł] (Dz.U. L […] z […], s. […]).</w:t>
      </w:r>
    </w:p>
  </w:footnote>
  <w:footnote w:id="29">
    <w:p>
      <w:pPr>
        <w:pStyle w:val="FootnoteText"/>
      </w:pPr>
      <w:r>
        <w:rPr>
          <w:rStyle w:val="FootnoteReference"/>
        </w:rPr>
        <w:footnoteRef/>
      </w:r>
      <w:r>
        <w:tab/>
        <w:t xml:space="preserve">Dyrektywa Parlamentu Europejskiego i Rady 2014/56/UE z dnia 16 kwietnia 2014 r. zmieniająca dyrektywę 2006/43/WE w sprawie ustawowych badań rocznych sprawozdań finansowych i skonsolidowanych sprawozdań finansowych (Dz.U. L 158 z 27.5.2014, s. 196). </w:t>
      </w:r>
    </w:p>
  </w:footnote>
  <w:footnote w:id="30">
    <w:p>
      <w:pPr>
        <w:pStyle w:val="FootnoteText"/>
      </w:pPr>
      <w:r>
        <w:rPr>
          <w:rStyle w:val="FootnoteReference"/>
        </w:rPr>
        <w:footnoteRef/>
      </w:r>
      <w:r>
        <w:tab/>
        <w:t>Dz.U. C 369 z 17.12.2011, s.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75A73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32E8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A4AC6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10AD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47886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15E67E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1"/>
  </w:num>
  <w:num w:numId="4">
    <w:abstractNumId w:val="7"/>
  </w:num>
  <w:num w:numId="5">
    <w:abstractNumId w:val="5"/>
  </w:num>
  <w:num w:numId="6">
    <w:abstractNumId w:val="4"/>
  </w:num>
  <w:num w:numId="7">
    <w:abstractNumId w:val="3"/>
  </w:num>
  <w:num w:numId="8">
    <w:abstractNumId w:val="2"/>
  </w:num>
  <w:num w:numId="9">
    <w:abstractNumId w:val="18"/>
    <w:lvlOverride w:ilvl="0">
      <w:startOverride w:val="1"/>
    </w:lvlOverride>
  </w:num>
  <w:num w:numId="10">
    <w:abstractNumId w:val="14"/>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14 08:12:2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4"/>
    <w:docVar w:name="DQCResult_ModifiedMarkers" w:val="0;0"/>
    <w:docVar w:name="DQCResult_ModifiedNumbering" w:val="0;0"/>
    <w:docVar w:name="DQCResult_Objects" w:val="0;0"/>
    <w:docVar w:name="DQCResult_Sections" w:val="0;1"/>
    <w:docVar w:name="DQCResult_StructureCheck" w:val="0;0"/>
    <w:docVar w:name="DQCResult_SuperfluousWhitespace" w:val="0;31"/>
    <w:docVar w:name="DQCResult_UnknownFonts" w:val="0;0"/>
    <w:docVar w:name="DQCResult_UnknownStyles" w:val="0;7"/>
    <w:docVar w:name="DQCStatus" w:val="Green"/>
    <w:docVar w:name="DQCVersion" w:val="3"/>
    <w:docVar w:name="DQCWithWarnings" w:val="0"/>
    <w:docVar w:name="LW_CORRIGENDUM" w:val="&lt;UNUSED&gt;"/>
    <w:docVar w:name="LW_COVERPAGE_EXISTS" w:val="True"/>
    <w:docVar w:name="LW_COVERPAGE_GUID" w:val="F00038E3-267A-47EE-B616-68BEA042398C"/>
    <w:docVar w:name="LW_COVERPAGE_TYPE" w:val="1"/>
    <w:docVar w:name="LW_CROSSREFERENCE" w:val="{SEC(2020) 309 final} - {SWD(2020) 203 final} - {SWD(2020) 204 final}"/>
    <w:docVar w:name="LW_DocType" w:val="COM"/>
    <w:docVar w:name="LW_EMISSION" w:val="24.9.2020"/>
    <w:docVar w:name="LW_EMISSION_ISODATE" w:val="2020-09-24"/>
    <w:docVar w:name="LW_EMISSION_LOCATION" w:val="BRX"/>
    <w:docVar w:name="LW_EMISSION_PREFIX" w:val="Bruksela, dnia "/>
    <w:docVar w:name="LW_EMISSION_SUFFIX" w:val=" r."/>
    <w:docVar w:name="LW_ID_DOCMODEL" w:val="SJ-024"/>
    <w:docVar w:name="LW_ID_DOCSIGNATURE" w:val="SJ-024"/>
    <w:docVar w:name="LW_ID_DOCSTRUCTURE" w:val="COM/PL/ORG"/>
    <w:docVar w:name="LW_ID_DOCTYPE" w:val="SJ-024"/>
    <w:docVar w:name="LW_ID_EXP.MOTIFS.NEW" w:val="EM_PL_"/>
    <w:docVar w:name="LW_ID_STATUT" w:val="SJ-024"/>
    <w:docVar w:name="LW_INTERETEEE" w:val="(Tekst maj\u261?cy znaczenie dla EOG)"/>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268"/>
    <w:docVar w:name="LW_REF.II.NEW.CP_YEAR" w:val="2020"/>
    <w:docVar w:name="LW_REF.INST.NEW" w:val="COM"/>
    <w:docVar w:name="LW_REF.INST.NEW_ADOPTED" w:val="final"/>
    <w:docVar w:name="LW_REF.INST.NEW_TEXT" w:val="(2020) 5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Wniosek"/>
    <w:docVar w:name="LW_STATUT.CP" w:val="Wniosek"/>
    <w:docVar w:name="LW_SUPERTITRE" w:val="&lt;UNUSED&gt;"/>
    <w:docVar w:name="LW_TITRE.OBJ" w:val="zmieniaj\u261?ca dyrektywy 2006/43/WE, 2009/65/WE, 2009/138/WE, 2011/61/UE, 2013/36/UE, 2014/65/UE, (UE) 2015/2366 i (UE) 2016/2341"/>
    <w:docVar w:name="LW_TITRE.OBJ.CP" w:val="zmieniaj\u261?ca dyrektywy 2006/43/WE, 2009/65/WE, 2009/138/WE, 2011/61/UE, 2013/36/UE, 2014/65/UE, (UE) 2015/2366 i (UE) 2016/2341"/>
    <w:docVar w:name="LW_TYPE.DOC" w:val="DYREKTYWA PARLAMENTU EUROPEJSKIEGO I RADY"/>
    <w:docVar w:name="LW_TYPE.DOC.CP" w:val="DYREKTYW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Number3">
    <w:name w:val="List Number 3"/>
    <w:basedOn w:val="Normal"/>
    <w:uiPriority w:val="99"/>
    <w:semiHidden/>
    <w:unhideWhenUsed/>
    <w:pPr>
      <w:numPr>
        <w:numId w:val="3"/>
      </w:numPr>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Article">
    <w:name w:val="Article"/>
    <w:basedOn w:val="Titrearticle"/>
    <w:pPr>
      <w:ind w:firstLine="720"/>
      <w:jc w:val="both"/>
    </w:pPr>
    <w:rPr>
      <w:i w:val="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EC,No Spacing1"/>
    <w:basedOn w:val="Normal"/>
    <w:link w:val="ListParagraphChar"/>
    <w:uiPriority w:val="34"/>
    <w:qFormat/>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link w:val="ListParagraph"/>
    <w:uiPriority w:val="34"/>
    <w:locked/>
    <w:rPr>
      <w:rFonts w:ascii="Times New Roman" w:hAnsi="Times New Roman" w:cs="Times New Roman"/>
      <w:sz w:val="24"/>
      <w:lang w:val="pl-P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ider">
    <w:name w:val="Consider"/>
    <w:basedOn w:val="Normal"/>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customStyle="1" w:styleId="Tex">
    <w:name w:val="Tex"/>
    <w:basedOn w:val="Point2number"/>
    <w:pPr>
      <w:numPr>
        <w:numId w:val="0"/>
      </w:numPr>
      <w:ind w:left="1984"/>
    </w:pPr>
  </w:style>
  <w:style w:type="paragraph" w:customStyle="1" w:styleId="Text">
    <w:name w:val="Text"/>
    <w:basedOn w:val="Tex"/>
  </w:style>
  <w:style w:type="paragraph" w:customStyle="1" w:styleId="Int">
    <w:name w:val="Int"/>
    <w:basedOn w:val="Titreobjet"/>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Considera">
    <w:name w:val="Considera"/>
    <w:basedOn w:val="Normal"/>
    <w:pPr>
      <w:ind w:left="850"/>
    </w:pPr>
  </w:style>
  <w:style w:type="paragraph" w:customStyle="1" w:styleId="Reci">
    <w:name w:val="Reci"/>
    <w:basedOn w:val="Considera"/>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Number3">
    <w:name w:val="List Number 3"/>
    <w:basedOn w:val="Normal"/>
    <w:uiPriority w:val="99"/>
    <w:semiHidden/>
    <w:unhideWhenUsed/>
    <w:pPr>
      <w:numPr>
        <w:numId w:val="3"/>
      </w:numPr>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Article">
    <w:name w:val="Article"/>
    <w:basedOn w:val="Titrearticle"/>
    <w:pPr>
      <w:ind w:firstLine="720"/>
      <w:jc w:val="both"/>
    </w:pPr>
    <w:rPr>
      <w:i w:val="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EC,No Spacing1"/>
    <w:basedOn w:val="Normal"/>
    <w:link w:val="ListParagraphChar"/>
    <w:uiPriority w:val="34"/>
    <w:qFormat/>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link w:val="ListParagraph"/>
    <w:uiPriority w:val="34"/>
    <w:locked/>
    <w:rPr>
      <w:rFonts w:ascii="Times New Roman" w:hAnsi="Times New Roman" w:cs="Times New Roman"/>
      <w:sz w:val="24"/>
      <w:lang w:val="pl-P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ider">
    <w:name w:val="Consider"/>
    <w:basedOn w:val="Normal"/>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customStyle="1" w:styleId="Tex">
    <w:name w:val="Tex"/>
    <w:basedOn w:val="Point2number"/>
    <w:pPr>
      <w:numPr>
        <w:numId w:val="0"/>
      </w:numPr>
      <w:ind w:left="1984"/>
    </w:pPr>
  </w:style>
  <w:style w:type="paragraph" w:customStyle="1" w:styleId="Text">
    <w:name w:val="Text"/>
    <w:basedOn w:val="Tex"/>
  </w:style>
  <w:style w:type="paragraph" w:customStyle="1" w:styleId="Int">
    <w:name w:val="Int"/>
    <w:basedOn w:val="Titreobjet"/>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Considera">
    <w:name w:val="Considera"/>
    <w:basedOn w:val="Normal"/>
    <w:pPr>
      <w:ind w:left="850"/>
    </w:pPr>
  </w:style>
  <w:style w:type="paragraph" w:customStyle="1" w:styleId="Reci">
    <w:name w:val="Reci"/>
    <w:basedOn w:val="Considera"/>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828">
      <w:bodyDiv w:val="1"/>
      <w:marLeft w:val="0"/>
      <w:marRight w:val="0"/>
      <w:marTop w:val="0"/>
      <w:marBottom w:val="0"/>
      <w:divBdr>
        <w:top w:val="none" w:sz="0" w:space="0" w:color="auto"/>
        <w:left w:val="none" w:sz="0" w:space="0" w:color="auto"/>
        <w:bottom w:val="none" w:sz="0" w:space="0" w:color="auto"/>
        <w:right w:val="none" w:sz="0" w:space="0" w:color="auto"/>
      </w:divBdr>
    </w:div>
    <w:div w:id="55395374">
      <w:bodyDiv w:val="1"/>
      <w:marLeft w:val="0"/>
      <w:marRight w:val="0"/>
      <w:marTop w:val="0"/>
      <w:marBottom w:val="0"/>
      <w:divBdr>
        <w:top w:val="none" w:sz="0" w:space="0" w:color="auto"/>
        <w:left w:val="none" w:sz="0" w:space="0" w:color="auto"/>
        <w:bottom w:val="none" w:sz="0" w:space="0" w:color="auto"/>
        <w:right w:val="none" w:sz="0" w:space="0" w:color="auto"/>
      </w:divBdr>
    </w:div>
    <w:div w:id="139423863">
      <w:bodyDiv w:val="1"/>
      <w:marLeft w:val="0"/>
      <w:marRight w:val="0"/>
      <w:marTop w:val="0"/>
      <w:marBottom w:val="0"/>
      <w:divBdr>
        <w:top w:val="none" w:sz="0" w:space="0" w:color="auto"/>
        <w:left w:val="none" w:sz="0" w:space="0" w:color="auto"/>
        <w:bottom w:val="none" w:sz="0" w:space="0" w:color="auto"/>
        <w:right w:val="none" w:sz="0" w:space="0" w:color="auto"/>
      </w:divBdr>
    </w:div>
    <w:div w:id="219170744">
      <w:bodyDiv w:val="1"/>
      <w:marLeft w:val="0"/>
      <w:marRight w:val="0"/>
      <w:marTop w:val="0"/>
      <w:marBottom w:val="0"/>
      <w:divBdr>
        <w:top w:val="none" w:sz="0" w:space="0" w:color="auto"/>
        <w:left w:val="none" w:sz="0" w:space="0" w:color="auto"/>
        <w:bottom w:val="none" w:sz="0" w:space="0" w:color="auto"/>
        <w:right w:val="none" w:sz="0" w:space="0" w:color="auto"/>
      </w:divBdr>
    </w:div>
    <w:div w:id="264309932">
      <w:bodyDiv w:val="1"/>
      <w:marLeft w:val="0"/>
      <w:marRight w:val="0"/>
      <w:marTop w:val="0"/>
      <w:marBottom w:val="0"/>
      <w:divBdr>
        <w:top w:val="none" w:sz="0" w:space="0" w:color="auto"/>
        <w:left w:val="none" w:sz="0" w:space="0" w:color="auto"/>
        <w:bottom w:val="none" w:sz="0" w:space="0" w:color="auto"/>
        <w:right w:val="none" w:sz="0" w:space="0" w:color="auto"/>
      </w:divBdr>
    </w:div>
    <w:div w:id="436364510">
      <w:bodyDiv w:val="1"/>
      <w:marLeft w:val="0"/>
      <w:marRight w:val="0"/>
      <w:marTop w:val="0"/>
      <w:marBottom w:val="0"/>
      <w:divBdr>
        <w:top w:val="none" w:sz="0" w:space="0" w:color="auto"/>
        <w:left w:val="none" w:sz="0" w:space="0" w:color="auto"/>
        <w:bottom w:val="none" w:sz="0" w:space="0" w:color="auto"/>
        <w:right w:val="none" w:sz="0" w:space="0" w:color="auto"/>
      </w:divBdr>
    </w:div>
    <w:div w:id="608438658">
      <w:bodyDiv w:val="1"/>
      <w:marLeft w:val="0"/>
      <w:marRight w:val="0"/>
      <w:marTop w:val="0"/>
      <w:marBottom w:val="0"/>
      <w:divBdr>
        <w:top w:val="none" w:sz="0" w:space="0" w:color="auto"/>
        <w:left w:val="none" w:sz="0" w:space="0" w:color="auto"/>
        <w:bottom w:val="none" w:sz="0" w:space="0" w:color="auto"/>
        <w:right w:val="none" w:sz="0" w:space="0" w:color="auto"/>
      </w:divBdr>
    </w:div>
    <w:div w:id="836965886">
      <w:bodyDiv w:val="1"/>
      <w:marLeft w:val="0"/>
      <w:marRight w:val="0"/>
      <w:marTop w:val="0"/>
      <w:marBottom w:val="0"/>
      <w:divBdr>
        <w:top w:val="none" w:sz="0" w:space="0" w:color="auto"/>
        <w:left w:val="none" w:sz="0" w:space="0" w:color="auto"/>
        <w:bottom w:val="none" w:sz="0" w:space="0" w:color="auto"/>
        <w:right w:val="none" w:sz="0" w:space="0" w:color="auto"/>
      </w:divBdr>
    </w:div>
    <w:div w:id="972831029">
      <w:bodyDiv w:val="1"/>
      <w:marLeft w:val="0"/>
      <w:marRight w:val="0"/>
      <w:marTop w:val="0"/>
      <w:marBottom w:val="0"/>
      <w:divBdr>
        <w:top w:val="none" w:sz="0" w:space="0" w:color="auto"/>
        <w:left w:val="none" w:sz="0" w:space="0" w:color="auto"/>
        <w:bottom w:val="none" w:sz="0" w:space="0" w:color="auto"/>
        <w:right w:val="none" w:sz="0" w:space="0" w:color="auto"/>
      </w:divBdr>
    </w:div>
    <w:div w:id="1005397850">
      <w:bodyDiv w:val="1"/>
      <w:marLeft w:val="0"/>
      <w:marRight w:val="0"/>
      <w:marTop w:val="0"/>
      <w:marBottom w:val="0"/>
      <w:divBdr>
        <w:top w:val="none" w:sz="0" w:space="0" w:color="auto"/>
        <w:left w:val="none" w:sz="0" w:space="0" w:color="auto"/>
        <w:bottom w:val="none" w:sz="0" w:space="0" w:color="auto"/>
        <w:right w:val="none" w:sz="0" w:space="0" w:color="auto"/>
      </w:divBdr>
    </w:div>
    <w:div w:id="1047487693">
      <w:bodyDiv w:val="1"/>
      <w:marLeft w:val="0"/>
      <w:marRight w:val="0"/>
      <w:marTop w:val="0"/>
      <w:marBottom w:val="0"/>
      <w:divBdr>
        <w:top w:val="none" w:sz="0" w:space="0" w:color="auto"/>
        <w:left w:val="none" w:sz="0" w:space="0" w:color="auto"/>
        <w:bottom w:val="none" w:sz="0" w:space="0" w:color="auto"/>
        <w:right w:val="none" w:sz="0" w:space="0" w:color="auto"/>
      </w:divBdr>
    </w:div>
    <w:div w:id="1082023362">
      <w:bodyDiv w:val="1"/>
      <w:marLeft w:val="0"/>
      <w:marRight w:val="0"/>
      <w:marTop w:val="0"/>
      <w:marBottom w:val="0"/>
      <w:divBdr>
        <w:top w:val="none" w:sz="0" w:space="0" w:color="auto"/>
        <w:left w:val="none" w:sz="0" w:space="0" w:color="auto"/>
        <w:bottom w:val="none" w:sz="0" w:space="0" w:color="auto"/>
        <w:right w:val="none" w:sz="0" w:space="0" w:color="auto"/>
      </w:divBdr>
    </w:div>
    <w:div w:id="1105688399">
      <w:bodyDiv w:val="1"/>
      <w:marLeft w:val="0"/>
      <w:marRight w:val="0"/>
      <w:marTop w:val="0"/>
      <w:marBottom w:val="0"/>
      <w:divBdr>
        <w:top w:val="none" w:sz="0" w:space="0" w:color="auto"/>
        <w:left w:val="none" w:sz="0" w:space="0" w:color="auto"/>
        <w:bottom w:val="none" w:sz="0" w:space="0" w:color="auto"/>
        <w:right w:val="none" w:sz="0" w:space="0" w:color="auto"/>
      </w:divBdr>
    </w:div>
    <w:div w:id="1134371578">
      <w:bodyDiv w:val="1"/>
      <w:marLeft w:val="0"/>
      <w:marRight w:val="0"/>
      <w:marTop w:val="0"/>
      <w:marBottom w:val="0"/>
      <w:divBdr>
        <w:top w:val="none" w:sz="0" w:space="0" w:color="auto"/>
        <w:left w:val="none" w:sz="0" w:space="0" w:color="auto"/>
        <w:bottom w:val="none" w:sz="0" w:space="0" w:color="auto"/>
        <w:right w:val="none" w:sz="0" w:space="0" w:color="auto"/>
      </w:divBdr>
    </w:div>
    <w:div w:id="1761177262">
      <w:bodyDiv w:val="1"/>
      <w:marLeft w:val="0"/>
      <w:marRight w:val="0"/>
      <w:marTop w:val="0"/>
      <w:marBottom w:val="0"/>
      <w:divBdr>
        <w:top w:val="none" w:sz="0" w:space="0" w:color="auto"/>
        <w:left w:val="none" w:sz="0" w:space="0" w:color="auto"/>
        <w:bottom w:val="none" w:sz="0" w:space="0" w:color="auto"/>
        <w:right w:val="none" w:sz="0" w:space="0" w:color="auto"/>
      </w:divBdr>
    </w:div>
    <w:div w:id="1768304568">
      <w:bodyDiv w:val="1"/>
      <w:marLeft w:val="0"/>
      <w:marRight w:val="0"/>
      <w:marTop w:val="0"/>
      <w:marBottom w:val="0"/>
      <w:divBdr>
        <w:top w:val="none" w:sz="0" w:space="0" w:color="auto"/>
        <w:left w:val="none" w:sz="0" w:space="0" w:color="auto"/>
        <w:bottom w:val="none" w:sz="0" w:space="0" w:color="auto"/>
        <w:right w:val="none" w:sz="0" w:space="0" w:color="auto"/>
      </w:divBdr>
    </w:div>
    <w:div w:id="1903249481">
      <w:bodyDiv w:val="1"/>
      <w:marLeft w:val="0"/>
      <w:marRight w:val="0"/>
      <w:marTop w:val="0"/>
      <w:marBottom w:val="0"/>
      <w:divBdr>
        <w:top w:val="none" w:sz="0" w:space="0" w:color="auto"/>
        <w:left w:val="none" w:sz="0" w:space="0" w:color="auto"/>
        <w:bottom w:val="none" w:sz="0" w:space="0" w:color="auto"/>
        <w:right w:val="none" w:sz="0" w:space="0" w:color="auto"/>
      </w:divBdr>
    </w:div>
    <w:div w:id="2042824082">
      <w:bodyDiv w:val="1"/>
      <w:marLeft w:val="0"/>
      <w:marRight w:val="0"/>
      <w:marTop w:val="0"/>
      <w:marBottom w:val="0"/>
      <w:divBdr>
        <w:top w:val="none" w:sz="0" w:space="0" w:color="auto"/>
        <w:left w:val="none" w:sz="0" w:space="0" w:color="auto"/>
        <w:bottom w:val="none" w:sz="0" w:space="0" w:color="auto"/>
        <w:right w:val="none" w:sz="0" w:space="0" w:color="auto"/>
      </w:divBdr>
    </w:div>
    <w:div w:id="2043624857">
      <w:bodyDiv w:val="1"/>
      <w:marLeft w:val="0"/>
      <w:marRight w:val="0"/>
      <w:marTop w:val="0"/>
      <w:marBottom w:val="0"/>
      <w:divBdr>
        <w:top w:val="none" w:sz="0" w:space="0" w:color="auto"/>
        <w:left w:val="none" w:sz="0" w:space="0" w:color="auto"/>
        <w:bottom w:val="none" w:sz="0" w:space="0" w:color="auto"/>
        <w:right w:val="none" w:sz="0" w:space="0" w:color="auto"/>
      </w:divBdr>
    </w:div>
    <w:div w:id="21437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sites/info/files/business_economy_euro/growth_and_investment/documents/200610-cmu-high-level-forum-final-report_en.pdf" TargetMode="External"/><Relationship Id="rId1" Type="http://schemas.openxmlformats.org/officeDocument/2006/relationships/hyperlink" Target="https://ec.europa.eu/commission/sites/beta-political/files/political-guidelines-next-commission_p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4C046-58FE-40B3-AE43-2C5D1B06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20</Pages>
  <Words>5641</Words>
  <Characters>39263</Characters>
  <Application>Microsoft Office Word</Application>
  <DocSecurity>0</DocSecurity>
  <Lines>701</Lines>
  <Paragraphs>222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2020-12-11T10:17:00Z</dcterms:created>
  <dcterms:modified xsi:type="dcterms:W3CDTF">2020-12-14T07:12:00Z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SJ-024</vt:lpwstr>
  </property>
  <property fmtid="{D5CDD505-2E9C-101B-9397-08002B2CF9AE}" pid="7" name="DQCStatus">
    <vt:lpwstr>Green (DQC version 03)</vt:lpwstr>
  </property>
  <property fmtid="{D5CDD505-2E9C-101B-9397-08002B2CF9AE}" pid="8" name="Category">
    <vt:lpwstr>COM/PL/ORG</vt:lpwstr>
  </property>
</Properties>
</file>