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BEAEC49-A8D4-44EC-B9AB-FE8F88563CC1" style="width:450.7pt;height:351.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rPr>
          <w:noProof/>
        </w:rPr>
      </w:pPr>
      <w:r>
        <w:rPr>
          <w:noProof/>
        </w:rPr>
        <w:t>Podľa článku 395 ods. 1 smernice 2006/112/ES z 28. novembra 2006 o spoločnom systéme dane z pridanej hodnoty</w:t>
      </w:r>
      <w:r>
        <w:rPr>
          <w:rStyle w:val="FootnoteReference"/>
          <w:noProof/>
        </w:rPr>
        <w:footnoteReference w:id="2"/>
      </w:r>
      <w:r>
        <w:rPr>
          <w:noProof/>
        </w:rPr>
        <w:t xml:space="preserve"> (ďalej len „smernica o DPH“) môže Rada jednomyseľne na návrh Komisie oprávniť ktorýkoľvek členský štát, aby uplatňoval osobitné opatrenia odchyľujúce sa od ustanovení uvedenej smernice s cieľom zjednodušiť výber DPH alebo zabrániť určitým formám daňových únikov alebo vyhýbaniu sa daňovým povinnostiam.</w:t>
      </w:r>
    </w:p>
    <w:p>
      <w:pPr>
        <w:rPr>
          <w:noProof/>
        </w:rPr>
      </w:pPr>
      <w:r>
        <w:rPr>
          <w:noProof/>
        </w:rPr>
        <w:t>Litva požiadala listom, ktorý Komisia zaevidovala 18. júna 2020, o povolenie uplatňovať od 1. januára 2021 opatrenie odchyľujúce sa od článku 287 smernice o DPH, ktorým sa Litovskej republike umožní oslobodiť od DPH zdaniteľné osoby, ktorých ročný obrat nie je vyšší ako 55 000 EUR. O žiadosti predloženej Litovskou republikou Komisia v súlade s článkom 395 ods. 2 smernice o DPH informovala ostatné členské štáty listami z 10. augusta 2020 a 11. augusta 2020. Listom z 12. augusta 2020 Komisia oznámila Litovskej republike, že má všetky informácie potrebné na posúdenie žiadosti.</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V hlave XII kapitole 1 smernice o DPH sa členským štátom umožňuje, aby uplatňovali osobitné úpravy pre malé podniky vrátane možnosti oslobodiť od dane zdaniteľné osoby, ktorých ročný obrat nepresahuje určitú sumu. Toto oslobodenie od dane znamená, že zdaniteľná osoba nemusí účtovať DPH na svoje dodania, a teda si nemôže odpočítať DPH na svojich vstupoch.</w:t>
      </w:r>
    </w:p>
    <w:p>
      <w:pPr>
        <w:rPr>
          <w:noProof/>
        </w:rPr>
      </w:pPr>
      <w:r>
        <w:rPr>
          <w:noProof/>
        </w:rPr>
        <w:t>Podľa článku 287 bodu 11 smernice o DPH môže Litva oslobodiť od DPH zdaniteľné osoby, ktorých ročný obrat nie je vyšší ako ekvivalent sumy 29 000 EUR v národnej mene pri prepočítacom kurze platnom v deň jej pristúpenia. Litovská republika sa začlenila do eurozóny 1. januára 2015.</w:t>
      </w:r>
    </w:p>
    <w:p>
      <w:pPr>
        <w:pBdr>
          <w:top w:val="nil"/>
          <w:left w:val="nil"/>
          <w:bottom w:val="nil"/>
          <w:right w:val="nil"/>
          <w:between w:val="nil"/>
          <w:bar w:val="nil"/>
        </w:pBdr>
        <w:spacing w:before="0" w:after="240"/>
        <w:rPr>
          <w:noProof/>
        </w:rPr>
      </w:pPr>
      <w:r>
        <w:rPr>
          <w:noProof/>
        </w:rPr>
        <w:t>Predpokladá sa, že opatrením spočívajúcim vo zvýšení limitu, pri presiahnutí ktorého má byť osoba identifikovaná na účely DPH, zo 45 000 EUR na 55 000 EUR, sa zníži administratívna záťaž podnikov oprávnených využívať túto úpravu, a najmä mikropodnikov, keďže sa oslobodia od povinností súvisiacich s DPH v rámci všeobecnej úpravy uplatňovania DPH, ako je vedenie záznamov o DPH alebo podávanie daňových priznaní k DPH.</w:t>
      </w:r>
    </w:p>
    <w:p>
      <w:pPr>
        <w:rPr>
          <w:noProof/>
        </w:rPr>
      </w:pPr>
      <w:r>
        <w:rPr>
          <w:noProof/>
        </w:rPr>
        <w:t>Bude to predstavovať aj zníženie pracovného zaťaženia pre daňové úrady.</w:t>
      </w:r>
    </w:p>
    <w:p>
      <w:pPr>
        <w:rPr>
          <w:noProof/>
        </w:rPr>
      </w:pPr>
      <w:r>
        <w:rPr>
          <w:noProof/>
        </w:rPr>
        <w:t>Podľa litovských orgánov sa vykonala analýza troch faktorov. Prvý faktor, ktorý berie do úvahy osoby registrované ako platitelia DPH, poukazuje na to, že počet platiteľov DPH v Litovskej republike sa od roku 2017 nepretržite zvyšuje a prevažnú väčšinu (približne 90 %) osôb registrovaných ako platitelia na účely DPH a odvádzajúcich DPH do štátneho rozpočtu tvoria osoby, ktoré sa rozhodli pre dobrovoľnú registráciu.</w:t>
      </w:r>
    </w:p>
    <w:p>
      <w:pPr>
        <w:pBdr>
          <w:top w:val="nil"/>
          <w:left w:val="nil"/>
          <w:bottom w:val="nil"/>
          <w:right w:val="nil"/>
          <w:between w:val="nil"/>
          <w:bar w:val="nil"/>
        </w:pBdr>
        <w:spacing w:before="0" w:after="240"/>
        <w:rPr>
          <w:noProof/>
        </w:rPr>
      </w:pPr>
      <w:r>
        <w:rPr>
          <w:noProof/>
        </w:rPr>
        <w:t>Druhý faktor sa týka vplyvu, ktorý by zvýšenie limitu obratu zo 45 000 EUR na 55 000 EUR malo na príjmy štátneho rozpočtu.</w:t>
      </w:r>
      <w:r>
        <w:rPr>
          <w:noProof/>
          <w:szCs w:val="19"/>
        </w:rPr>
        <w:t xml:space="preserve"> </w:t>
      </w:r>
      <w:r>
        <w:rPr>
          <w:noProof/>
        </w:rPr>
        <w:t>Podľa odhadov litovských orgánov by toto zvýšenie viedlo k ďalšiemu zníženiu príjmov z DPH o 6,4 milióna EUR ročne. V súčasnosti predstavuje nevybraná DPH z dôvodu limitu vo výške 45 000 EUR sumu 13,2 milióna EUR ročne (pri minimálnej prahovej hodnote 29 000 EUR). Na porovnanie, celkové príjmy z DPH v roku 2019 predstavovali 3,8 miliardy EUR.</w:t>
      </w:r>
    </w:p>
    <w:p>
      <w:pPr>
        <w:rPr>
          <w:noProof/>
        </w:rPr>
      </w:pPr>
    </w:p>
    <w:p>
      <w:pPr>
        <w:pBdr>
          <w:top w:val="nil"/>
          <w:left w:val="nil"/>
          <w:bottom w:val="nil"/>
          <w:right w:val="nil"/>
          <w:between w:val="nil"/>
          <w:bar w:val="nil"/>
        </w:pBdr>
        <w:spacing w:before="0" w:after="240"/>
        <w:rPr>
          <w:noProof/>
        </w:rPr>
      </w:pPr>
      <w:r>
        <w:rPr>
          <w:noProof/>
        </w:rPr>
        <w:t>Tretí faktor sa týka počtu dotknutých daňovníkov. Litva uvádza, že z celkového počtu daňovníkov, ktorí v roku 2019 vykonávali ekonomickú činnosť v Litve, je pri súčasnom limite 45 000 EUR oprávnených uplatňovať túto úpravu 7 %. Z týchto 7 % je len 1,8 % registrovaných na účely DPH.</w:t>
      </w:r>
    </w:p>
    <w:p>
      <w:pPr>
        <w:pBdr>
          <w:top w:val="nil"/>
          <w:left w:val="nil"/>
          <w:bottom w:val="nil"/>
          <w:right w:val="nil"/>
          <w:between w:val="nil"/>
          <w:bar w:val="nil"/>
        </w:pBdr>
        <w:spacing w:before="0" w:after="240"/>
        <w:rPr>
          <w:noProof/>
        </w:rPr>
      </w:pPr>
      <w:r>
        <w:rPr>
          <w:noProof/>
        </w:rPr>
        <w:t>Na základe informácií, ktoré vnútroštátne orgány zhromaždili v roku 2019, 5 463 daňovníkov má obrat pohybujúci sa od 45 000 EUR do 55 000 EUR. Po zvýšení limitu by všetci títo daňovníci boli oprávnení využívať úpravu pre MSP.</w:t>
      </w:r>
    </w:p>
    <w:p>
      <w:pPr>
        <w:rPr>
          <w:noProof/>
        </w:rPr>
      </w:pPr>
      <w:r>
        <w:rPr>
          <w:noProof/>
        </w:rPr>
        <w:t>Litovské orgány ďalej vysvetľujú, že si za posledné roky všimli, že limit vo výške 45 000 EUR nemal na výber príjmov z DPH nijaký zásadný vplyv.</w:t>
      </w:r>
    </w:p>
    <w:p>
      <w:pPr>
        <w:rPr>
          <w:noProof/>
        </w:rPr>
      </w:pPr>
      <w:r>
        <w:rPr>
          <w:noProof/>
        </w:rPr>
        <w:t>Limit ročného obratu vo výške 55 000 EUR na registráciu na účely DPH by bol prínosný pre malé podniky, najmä pre fyzické osoby pôsobiace v malých podnikoch, poľnohospodárov podliehajúcich systému kompenzačných sadzieb DPH a osoby pôsobiace v oblasti poskytovania služieb koncovým spotrebiteľom a stranám, z čoho by sa odpočítala malá časť DPH, takže možnosť nemusieť sa zaregistrovať na účely DPH až do limitu ročného obratu vo výške 55 000 EUR takýmto osobám výrazne odľahčuje ich administratívne a daňové zaťaženie. Toto opatrenie by pomohlo aj malým podnikom, ktoré tvrdo zasiahla pandémia COVID-19.</w:t>
      </w:r>
    </w:p>
    <w:p>
      <w:pPr>
        <w:pBdr>
          <w:top w:val="nil"/>
          <w:left w:val="nil"/>
          <w:bottom w:val="nil"/>
          <w:right w:val="nil"/>
          <w:between w:val="nil"/>
          <w:bar w:val="nil"/>
        </w:pBdr>
        <w:spacing w:before="0" w:after="240"/>
        <w:rPr>
          <w:rFonts w:eastAsia="Arial Unicode MS"/>
          <w:noProof/>
        </w:rPr>
      </w:pPr>
      <w:r>
        <w:rPr>
          <w:noProof/>
        </w:rPr>
        <w:t>Opatrenie je nepovinné. Malé podniky, ktorých obrat nepresahuje daný limit, budú mať preto stále možnosť uplatniť svoje právo uplatňovať všeobecnú úpravu DPH.</w:t>
      </w:r>
    </w:p>
    <w:p>
      <w:pPr>
        <w:pBdr>
          <w:top w:val="nil"/>
          <w:left w:val="nil"/>
          <w:bottom w:val="nil"/>
          <w:right w:val="nil"/>
          <w:between w:val="nil"/>
          <w:bar w:val="nil"/>
        </w:pBdr>
        <w:spacing w:before="0" w:after="240"/>
        <w:rPr>
          <w:rFonts w:eastAsia="Arial Unicode MS"/>
          <w:noProof/>
        </w:rPr>
      </w:pPr>
      <w:r>
        <w:rPr>
          <w:noProof/>
        </w:rPr>
        <w:t>Výnimky sa zvyčajne udeľujú na obmedzené obdobie tak, aby sa dalo posúdiť, či odchyľujúce sa opatrenie zostáva primerané a účinné. Okrem toho sa nedávno preskúmali ustanovenia článkov 281 až 294 smernice o DPH, pokiaľ ide o osobitnú úpravu pre malé podniky. V novej smernici, ktorou sa stanovujú zjednodušené pravidlá DPH pre malé podniky</w:t>
      </w:r>
      <w:r>
        <w:rPr>
          <w:rStyle w:val="FootnoteReference"/>
          <w:rFonts w:eastAsia="Arial Unicode MS"/>
          <w:noProof/>
        </w:rPr>
        <w:footnoteReference w:id="3"/>
      </w:r>
      <w:r>
        <w:rPr>
          <w:noProof/>
        </w:rPr>
        <w:t>, sa od členských štátov vyžaduje, aby najneskôr do 31. decembra 2024 prijali a uverejnili zákony, iné právne predpisy a správne opatrenia potrebné na dosiahnutie súladu s novými pravidlami. Členské štáty budú musieť uvedené vnútroštátne ustanovenia uplatňovať od 1. januára 2025.</w:t>
      </w:r>
    </w:p>
    <w:p>
      <w:pPr>
        <w:rPr>
          <w:noProof/>
        </w:rPr>
      </w:pPr>
      <w:r>
        <w:rPr>
          <w:noProof/>
        </w:rPr>
        <w:t>Žiada sa preto, aby sa výnimka povolila do 31. decembra 2024.</w:t>
      </w:r>
    </w:p>
    <w:p>
      <w:pPr>
        <w:pBdr>
          <w:top w:val="nil"/>
          <w:left w:val="nil"/>
          <w:bottom w:val="nil"/>
          <w:right w:val="nil"/>
          <w:between w:val="nil"/>
          <w:bar w:val="nil"/>
        </w:pBdr>
        <w:spacing w:before="0" w:after="240"/>
        <w:rPr>
          <w:noProof/>
        </w:rPr>
      </w:pP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Odchyľujúce sa opatrenie je v súlade s koncepciou novej smernice, ktorou sa menia články 281 až 294 smernice o DPH, pokiaľ ide o osobitnú úpravu pre malé podniky, ktorá vyplynula z akčného plánu v oblasti DPH</w:t>
      </w:r>
      <w:r>
        <w:rPr>
          <w:rStyle w:val="FootnoteReference"/>
          <w:rFonts w:eastAsia="Arial Unicode MS"/>
          <w:noProof/>
        </w:rPr>
        <w:footnoteReference w:id="4"/>
      </w:r>
      <w:r>
        <w:rPr>
          <w:noProof/>
        </w:rPr>
        <w:t xml:space="preserve"> a ktorej cieľom je vytvoriť pre tieto podniky modernú, zjednodušenú úpravu. Jeho cieľom je najmä znížiť náklady na dodržiavanie predpisov v oblasti DPH, obmedziť narušenia hospodárskej súťaže na vnútroštátnej úrovni aj na úrovni </w:t>
      </w:r>
      <w:r>
        <w:rPr>
          <w:noProof/>
        </w:rPr>
        <w:lastRenderedPageBreak/>
        <w:t>EÚ, obmedziť negatívny vplyv limitu a uľahčiť dodržiavanie predpisov podnikmi, ako aj monitorovanie zo strany daňových správ.</w:t>
      </w:r>
    </w:p>
    <w:p>
      <w:pPr>
        <w:pBdr>
          <w:top w:val="nil"/>
          <w:left w:val="nil"/>
          <w:bottom w:val="nil"/>
          <w:right w:val="nil"/>
          <w:between w:val="nil"/>
          <w:bar w:val="nil"/>
        </w:pBdr>
        <w:spacing w:before="0" w:after="240"/>
        <w:rPr>
          <w:noProof/>
        </w:rPr>
      </w:pPr>
      <w:r>
        <w:rPr>
          <w:noProof/>
        </w:rPr>
        <w:t>Okrem toho je zvýšenie limitu zo 45 000 EUR na 55 000 EUR v súlade s novou smernicou, keďže tá členským štátom umožňuje stanoviť limit ročného obratu požadovaný na účely oslobodenia od DPH na sumu maximálne 85 000 EUR (alebo jej ekvivalent v národnej mene).</w:t>
      </w:r>
    </w:p>
    <w:p>
      <w:pPr>
        <w:pBdr>
          <w:top w:val="nil"/>
          <w:left w:val="nil"/>
          <w:bottom w:val="nil"/>
          <w:right w:val="nil"/>
          <w:between w:val="nil"/>
          <w:bar w:val="nil"/>
        </w:pBdr>
        <w:spacing w:before="0" w:after="240"/>
        <w:rPr>
          <w:noProof/>
        </w:rPr>
      </w:pPr>
      <w:r>
        <w:rPr>
          <w:noProof/>
        </w:rPr>
        <w:t>Podobné výnimky, ktorými sa od DPH oslobodzujú zdaniteľné osoby, ktorých ročný obrat je nižší ako určitý limit, v súlade s ustanoveniami článkov 285 a 287 smernice o DPH, boli udelené iným členským štátom. Holandsku</w:t>
      </w:r>
      <w:r>
        <w:rPr>
          <w:rStyle w:val="FootnoteReference"/>
          <w:rFonts w:eastAsia="Arial Unicode MS"/>
          <w:noProof/>
        </w:rPr>
        <w:footnoteReference w:id="5"/>
      </w:r>
      <w:r>
        <w:rPr>
          <w:noProof/>
        </w:rPr>
        <w:t xml:space="preserve"> bol povolený limit 25 000 EUR; Taliansku</w:t>
      </w:r>
      <w:r>
        <w:rPr>
          <w:rStyle w:val="FootnoteReference"/>
          <w:noProof/>
        </w:rPr>
        <w:footnoteReference w:id="6"/>
      </w:r>
      <w:r>
        <w:rPr>
          <w:noProof/>
        </w:rPr>
        <w:t xml:space="preserve"> limit 30 000 EUR; Luxembursku</w:t>
      </w:r>
      <w:r>
        <w:rPr>
          <w:rStyle w:val="FootnoteReference"/>
          <w:rFonts w:eastAsia="Arial Unicode MS"/>
          <w:noProof/>
        </w:rPr>
        <w:footnoteReference w:id="7"/>
      </w:r>
      <w:r>
        <w:rPr>
          <w:noProof/>
        </w:rPr>
        <w:t xml:space="preserve"> limit 35 000 EUR; Lotyšsku</w:t>
      </w:r>
      <w:r>
        <w:rPr>
          <w:rStyle w:val="FootnoteReference"/>
          <w:noProof/>
        </w:rPr>
        <w:footnoteReference w:id="8"/>
      </w:r>
      <w:r>
        <w:rPr>
          <w:noProof/>
        </w:rPr>
        <w:t>, Poľsku</w:t>
      </w:r>
      <w:r>
        <w:rPr>
          <w:rStyle w:val="FootnoteReference"/>
          <w:rFonts w:eastAsia="Arial Unicode MS"/>
          <w:noProof/>
        </w:rPr>
        <w:footnoteReference w:id="9"/>
      </w:r>
      <w:r>
        <w:rPr>
          <w:noProof/>
        </w:rPr>
        <w:t xml:space="preserve"> a Estónsku</w:t>
      </w:r>
      <w:r>
        <w:rPr>
          <w:rStyle w:val="FootnoteReference"/>
          <w:rFonts w:eastAsia="Arial Unicode MS"/>
          <w:noProof/>
        </w:rPr>
        <w:footnoteReference w:id="10"/>
      </w:r>
      <w:r>
        <w:rPr>
          <w:noProof/>
        </w:rPr>
        <w:t xml:space="preserve"> bol povolený limit 40 000 EUR; Chorvátsku</w:t>
      </w:r>
      <w:r>
        <w:rPr>
          <w:rStyle w:val="FootnoteReference"/>
          <w:rFonts w:eastAsia="Arial Unicode MS"/>
          <w:noProof/>
        </w:rPr>
        <w:footnoteReference w:id="11"/>
      </w:r>
      <w:r>
        <w:rPr>
          <w:noProof/>
        </w:rPr>
        <w:t xml:space="preserve"> limit 45 000 EUR a Malte</w:t>
      </w:r>
      <w:r>
        <w:rPr>
          <w:rStyle w:val="FootnoteReference"/>
          <w:rFonts w:eastAsia="Arial Unicode MS"/>
          <w:noProof/>
        </w:rPr>
        <w:footnoteReference w:id="12"/>
      </w:r>
      <w:r>
        <w:rPr>
          <w:noProof/>
        </w:rPr>
        <w:t xml:space="preserve"> limit 20 000 EUR; Maďarsku</w:t>
      </w:r>
      <w:r>
        <w:rPr>
          <w:rStyle w:val="FootnoteReference"/>
          <w:rFonts w:eastAsia="Arial Unicode MS"/>
          <w:noProof/>
        </w:rPr>
        <w:footnoteReference w:id="13"/>
      </w:r>
      <w:r>
        <w:rPr>
          <w:noProof/>
        </w:rPr>
        <w:t xml:space="preserve"> limit 48 000 EUR; Slovinsku</w:t>
      </w:r>
      <w:r>
        <w:rPr>
          <w:rStyle w:val="FootnoteReference"/>
          <w:rFonts w:eastAsia="Arial Unicode MS"/>
          <w:noProof/>
        </w:rPr>
        <w:footnoteReference w:id="14"/>
      </w:r>
      <w:r>
        <w:rPr>
          <w:noProof/>
        </w:rPr>
        <w:t xml:space="preserve"> limit 50 000 EUR a Rumunsku</w:t>
      </w:r>
      <w:r>
        <w:rPr>
          <w:rStyle w:val="FootnoteReference"/>
          <w:rFonts w:eastAsia="Arial Unicode MS"/>
          <w:noProof/>
        </w:rPr>
        <w:footnoteReference w:id="15"/>
      </w:r>
      <w:r>
        <w:rPr>
          <w:noProof/>
        </w:rPr>
        <w:t xml:space="preserve"> limit 88 500 EUR.</w:t>
      </w:r>
    </w:p>
    <w:p>
      <w:pPr>
        <w:pBdr>
          <w:top w:val="nil"/>
          <w:left w:val="nil"/>
          <w:bottom w:val="nil"/>
          <w:right w:val="nil"/>
          <w:between w:val="nil"/>
          <w:bar w:val="nil"/>
        </w:pBdr>
        <w:spacing w:before="0" w:after="240"/>
        <w:rPr>
          <w:noProof/>
        </w:rPr>
      </w:pPr>
      <w:r>
        <w:rPr>
          <w:noProof/>
        </w:rPr>
        <w:lastRenderedPageBreak/>
        <w:t>Ako už bolo uvedené, výnimky zo smernice o DPH by mali byť vždy časovo obmedzené, aby sa dali posúdiť ich účinky. Zahrnutie dátumu uplynutia platnosti daného osobitného opatrenia, ktorým je 31. december 2024, ako požaduje Litva, je v súlade s požiadavkami novej smernice o jednoduchších pravidlách DPH pre malé a stredné podniky, ktorá sa uplatňuje od 1. januára 2025.</w:t>
      </w:r>
    </w:p>
    <w:p>
      <w:pPr>
        <w:pBdr>
          <w:top w:val="nil"/>
          <w:left w:val="nil"/>
          <w:bottom w:val="nil"/>
          <w:right w:val="nil"/>
          <w:between w:val="nil"/>
          <w:bar w:val="nil"/>
        </w:pBdr>
        <w:spacing w:before="0" w:after="240"/>
        <w:rPr>
          <w:rFonts w:eastAsia="Arial Unicode MS"/>
          <w:noProof/>
        </w:rPr>
      </w:pPr>
      <w:r>
        <w:rPr>
          <w:noProof/>
        </w:rPr>
        <w:t>Navrhované opatrenie je preto v súlade s ustanoveniami smernice o DPH.</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rPr>
      </w:pPr>
      <w:r>
        <w:rPr>
          <w:noProof/>
        </w:rPr>
        <w:t>Komisia vo svojich ročných pracovných programoch neustále zdôrazňuje potrebu jednoduchších pravidiel pre malé podniky. V tejto súvislosti sa v pracovnom programe Komisie na rok 2020</w:t>
      </w:r>
      <w:r>
        <w:rPr>
          <w:rStyle w:val="FootnoteReference"/>
          <w:rFonts w:eastAsia="Arial Unicode MS"/>
          <w:noProof/>
        </w:rPr>
        <w:footnoteReference w:id="16"/>
      </w:r>
      <w:r>
        <w:rPr>
          <w:noProof/>
        </w:rPr>
        <w:t xml:space="preserve"> uvádza „ osobitná stratégia pre MSP, ktorá malým a stredným podnikom uľahčí podnikanie, rozširovanie a expanziu“. Pokiaľ ide o fiškálne pravidlá, odchyľujúce sa opatrenie je v súlade s týmito cieľmi. Je v súlade najmä s pracovným programom Komisie na rok 2017</w:t>
      </w:r>
      <w:r>
        <w:rPr>
          <w:rStyle w:val="FootnoteReference"/>
          <w:rFonts w:eastAsia="Arial Unicode MS"/>
          <w:noProof/>
        </w:rPr>
        <w:footnoteReference w:id="17"/>
      </w:r>
      <w:r>
        <w:rPr>
          <w:noProof/>
        </w:rPr>
        <w:t>, v ktorom sa osobitne poukázalo na to, že administratívna záťaž spojená s dodržiavaním predpisov v oblasti DPH je pre malé podniky vysoká a že technické inovácie predstavujú nové výzvy pre účinný výber daní, a v ktorom sa zdôraznila potreba zjednodušiť DPH pre menšie spoločnosti.</w:t>
      </w:r>
    </w:p>
    <w:p>
      <w:pPr>
        <w:pBdr>
          <w:top w:val="nil"/>
          <w:left w:val="nil"/>
          <w:bottom w:val="nil"/>
          <w:right w:val="nil"/>
          <w:between w:val="nil"/>
          <w:bar w:val="nil"/>
        </w:pBdr>
        <w:spacing w:before="0" w:after="240"/>
        <w:rPr>
          <w:noProof/>
        </w:rPr>
      </w:pPr>
      <w:r>
        <w:rPr>
          <w:noProof/>
        </w:rPr>
        <w:t>Podobne je dané opatrenie v súlade so stratégiou jednotného trhu z roku 2015</w:t>
      </w:r>
      <w:r>
        <w:rPr>
          <w:rStyle w:val="FootnoteReference"/>
          <w:rFonts w:eastAsia="Arial Unicode MS"/>
          <w:noProof/>
        </w:rPr>
        <w:footnoteReference w:id="18"/>
      </w:r>
      <w:r>
        <w:rPr>
          <w:noProof/>
        </w:rPr>
        <w:t>, v ktorej Komisia vytýčila cieľ podporovať rast malých a stredných podnikov, okrem iného znížením administratívnej záťaže, ktorá im bráni v plnej miere využívať výhody jednotného trhu. Nadväzuje aj na filozofiu oznámenia Komisie z roku 2013 s názvom „Akčný plán pre podnikanie 2020: Opätovné stimulovanie podnikateľského ducha v Európe“</w:t>
      </w:r>
      <w:r>
        <w:rPr>
          <w:rStyle w:val="FootnoteReference"/>
          <w:rFonts w:eastAsia="Arial Unicode MS"/>
          <w:noProof/>
        </w:rPr>
        <w:footnoteReference w:id="19"/>
      </w:r>
      <w:r>
        <w:rPr>
          <w:noProof/>
        </w:rPr>
        <w:t>, v ktorom sa zdôraznila potreba zjednodušiť právne predpisy v oblasti daní pre malé podniky.</w:t>
      </w:r>
    </w:p>
    <w:p>
      <w:pPr>
        <w:pBdr>
          <w:top w:val="nil"/>
          <w:left w:val="nil"/>
          <w:bottom w:val="nil"/>
          <w:right w:val="nil"/>
          <w:between w:val="nil"/>
          <w:bar w:val="nil"/>
        </w:pBdr>
        <w:spacing w:before="0" w:after="240"/>
        <w:rPr>
          <w:rFonts w:eastAsia="Arial Unicode MS"/>
          <w:noProof/>
        </w:rPr>
      </w:pPr>
      <w:r>
        <w:rPr>
          <w:noProof/>
        </w:rPr>
        <w:t>Napokon je dané opatrenie v súlade s politikami EÚ zameranými na malé a stredné podniky, ktoré sú stanovené v oznámení Komisie o začínajúcich podnikoch z roku 2016</w:t>
      </w:r>
      <w:r>
        <w:rPr>
          <w:rStyle w:val="FootnoteReference"/>
          <w:rFonts w:eastAsia="Arial Unicode MS"/>
          <w:noProof/>
        </w:rPr>
        <w:footnoteReference w:id="20"/>
      </w:r>
      <w:r>
        <w:rPr>
          <w:noProof/>
        </w:rPr>
        <w:t xml:space="preserve"> a v oznámení z roku 2008 s názvom Najskôr myslieť v malom – iniciatíva „Small Business Act“ pre Európu</w:t>
      </w:r>
      <w:r>
        <w:rPr>
          <w:rStyle w:val="FootnoteReference"/>
          <w:rFonts w:eastAsia="Arial Unicode MS"/>
          <w:noProof/>
        </w:rPr>
        <w:footnoteReference w:id="21"/>
      </w:r>
      <w:r>
        <w:rPr>
          <w:noProof/>
        </w:rPr>
        <w:t>, v ktorom sa členské štáty vyzvali, aby v návrhoch právnych predpisov zohľadňovali osobitné charakteristické črty MSP, a zjednodušili tak existujúce regulačné prostredie.</w:t>
      </w:r>
    </w:p>
    <w:p>
      <w:pPr>
        <w:pBdr>
          <w:top w:val="nil"/>
          <w:left w:val="nil"/>
          <w:bottom w:val="nil"/>
          <w:right w:val="nil"/>
          <w:between w:val="nil"/>
          <w:bar w:val="nil"/>
        </w:pBdr>
        <w:spacing w:before="0" w:after="240"/>
        <w:rPr>
          <w:noProof/>
        </w:rPr>
      </w:pPr>
      <w:r>
        <w:rPr>
          <w:noProof/>
        </w:rPr>
        <w:t xml:space="preserve"> 2.</w:t>
      </w:r>
      <w:r>
        <w:rPr>
          <w:noProof/>
        </w:rPr>
        <w:tab/>
        <w:t>PRÁVNY ZÁKLAD, SUBSIDIARITA A PROPORCIONALITA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Článok 395 smernice o DPH.</w:t>
      </w:r>
    </w:p>
    <w:p>
      <w:pPr>
        <w:pStyle w:val="ManualHeading2"/>
        <w:rPr>
          <w:noProof/>
          <w:u w:color="000000"/>
          <w:bdr w:val="nil"/>
        </w:rPr>
      </w:pPr>
      <w:r>
        <w:rPr>
          <w:noProof/>
          <w:u w:color="000000"/>
          <w:bdr w:val="nil"/>
        </w:rPr>
        <w:t>•</w:t>
      </w:r>
      <w:r>
        <w:rPr>
          <w:noProof/>
        </w:rPr>
        <w:tab/>
      </w:r>
      <w:r>
        <w:rPr>
          <w:noProof/>
          <w:u w:color="000000"/>
          <w:bdr w:val="nil"/>
        </w:rPr>
        <w:t>Subsidiarita (v prípade inej ako výlučnej právomoci)</w:t>
      </w:r>
    </w:p>
    <w:p>
      <w:pPr>
        <w:pBdr>
          <w:top w:val="nil"/>
          <w:left w:val="nil"/>
          <w:bottom w:val="nil"/>
          <w:right w:val="nil"/>
          <w:between w:val="nil"/>
          <w:bar w:val="nil"/>
        </w:pBdr>
        <w:spacing w:before="0" w:after="240"/>
        <w:rPr>
          <w:rFonts w:eastAsia="Arial Unicode MS"/>
          <w:noProof/>
        </w:rPr>
      </w:pPr>
      <w:r>
        <w:rPr>
          <w:noProof/>
        </w:rPr>
        <w:t>Vzhľadom na ustanovenie smernice o DPH, na ktorom je návrh založený, patrí návrh do výlučnej právomoci Európskej únie. Zásada subsidiarity sa preto neuplatňuje.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Rozhodnutie sa týka povolenia udeleného členskému štátu na základe jeho vlastnej žiadosti a nezakladá sa ním žiadna povinnosť.</w:t>
      </w:r>
    </w:p>
    <w:p>
      <w:pPr>
        <w:pBdr>
          <w:top w:val="nil"/>
          <w:left w:val="nil"/>
          <w:bottom w:val="nil"/>
          <w:right w:val="nil"/>
          <w:between w:val="nil"/>
          <w:bar w:val="nil"/>
        </w:pBdr>
        <w:spacing w:before="0" w:after="240"/>
        <w:rPr>
          <w:rFonts w:eastAsia="Arial Unicode MS"/>
          <w:noProof/>
        </w:rPr>
      </w:pPr>
      <w:r>
        <w:rPr>
          <w:noProof/>
        </w:rPr>
        <w:t>Vzhľadom na obmedzený rozsah pôsobnosti výnimky je osobitné opatrenie úmerné sledovanému cieľu, t. j. zjednodušeniu výberu daní pre malé zdaniteľné osoby a pre daňovú správu.</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pBdr>
          <w:top w:val="nil"/>
          <w:left w:val="nil"/>
          <w:bottom w:val="nil"/>
          <w:right w:val="nil"/>
          <w:between w:val="nil"/>
          <w:bar w:val="nil"/>
        </w:pBdr>
        <w:spacing w:before="0" w:after="240"/>
        <w:rPr>
          <w:noProof/>
        </w:rPr>
      </w:pPr>
      <w:r>
        <w:rPr>
          <w:noProof/>
        </w:rPr>
        <w:t>Navrhovaným nástrojom je vykonávacie rozhodnutie Rady.</w:t>
      </w:r>
    </w:p>
    <w:p>
      <w:pPr>
        <w:pBdr>
          <w:top w:val="nil"/>
          <w:left w:val="nil"/>
          <w:bottom w:val="nil"/>
          <w:right w:val="nil"/>
          <w:between w:val="nil"/>
          <w:bar w:val="nil"/>
        </w:pBdr>
        <w:spacing w:before="0" w:after="240"/>
        <w:rPr>
          <w:rFonts w:eastAsia="Arial Unicode MS"/>
          <w:noProof/>
        </w:rPr>
      </w:pPr>
      <w:r>
        <w:rPr>
          <w:noProof/>
        </w:rPr>
        <w:t>Podľa článku 395 smernice o DPH je výnimka zo spoločných pravidiel DPH možná iba na základe oprávnenia Rady, ktorá koná jednomyseľne na návrh Komisie. Vykonávacie rozhodnutie Rady je najvhodnejším nástrojom, keďže môže byť určené jednotlivému členskému štátu.</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pBdr>
          <w:top w:val="nil"/>
          <w:left w:val="nil"/>
          <w:bottom w:val="nil"/>
          <w:right w:val="nil"/>
          <w:between w:val="nil"/>
          <w:bar w:val="nil"/>
        </w:pBdr>
        <w:spacing w:before="0" w:after="240"/>
        <w:rPr>
          <w:rFonts w:eastAsia="Arial Unicode MS"/>
          <w:noProof/>
        </w:rPr>
      </w:pPr>
      <w:r>
        <w:rPr>
          <w:noProof/>
        </w:rPr>
        <w:t>Nevykonali sa žiadne konzultácie so zainteresovanými stranami. Tento návrh vychádza zo žiadosti predloženej Litvou a týka sa iba tohto členského štátu.</w:t>
      </w:r>
    </w:p>
    <w:p>
      <w:pPr>
        <w:pStyle w:val="ManualHeading2"/>
        <w:rPr>
          <w:rFonts w:eastAsia="Arial Unicode MS"/>
          <w:noProof/>
          <w:u w:color="000000"/>
          <w:bdr w:val="nil"/>
        </w:rPr>
      </w:pPr>
      <w:r>
        <w:rPr>
          <w:noProof/>
          <w:u w:color="000000"/>
          <w:bdr w:val="nil"/>
        </w:rPr>
        <w:t>•</w:t>
      </w:r>
      <w:r>
        <w:rPr>
          <w:noProof/>
        </w:rPr>
        <w:tab/>
      </w:r>
      <w:r>
        <w:rPr>
          <w:noProof/>
          <w:u w:color="000000"/>
          <w:bdr w:val="nil"/>
        </w:rPr>
        <w:t>Získavanie a využívanie expertízy</w:t>
      </w:r>
    </w:p>
    <w:p>
      <w:pPr>
        <w:pBdr>
          <w:top w:val="nil"/>
          <w:left w:val="nil"/>
          <w:bottom w:val="nil"/>
          <w:right w:val="nil"/>
          <w:between w:val="nil"/>
          <w:bar w:val="nil"/>
        </w:pBdr>
        <w:spacing w:before="0" w:after="240"/>
        <w:rPr>
          <w:rFonts w:eastAsia="Arial Unicode MS"/>
          <w:noProof/>
        </w:rPr>
      </w:pPr>
      <w:r>
        <w:rPr>
          <w:noProof/>
        </w:rPr>
        <w:t>Externá expertíza nebola potrebná.</w:t>
      </w:r>
    </w:p>
    <w:p>
      <w:pPr>
        <w:pStyle w:val="ManualHeading2"/>
        <w:rPr>
          <w:rFonts w:eastAsia="Arial Unicode MS"/>
          <w:noProof/>
          <w:u w:color="000000"/>
          <w:bdr w:val="nil"/>
        </w:rPr>
      </w:pPr>
      <w:r>
        <w:rPr>
          <w:noProof/>
          <w:u w:color="000000"/>
          <w:bdr w:val="nil"/>
        </w:rPr>
        <w:t>•</w:t>
      </w:r>
      <w:r>
        <w:rPr>
          <w:noProof/>
        </w:rPr>
        <w:tab/>
      </w:r>
      <w:r>
        <w:rPr>
          <w:noProof/>
          <w:u w:color="000000"/>
          <w:bdr w:val="nil"/>
        </w:rPr>
        <w:t>Posúdenie vplyvu</w:t>
      </w:r>
    </w:p>
    <w:p>
      <w:pPr>
        <w:pBdr>
          <w:top w:val="nil"/>
          <w:left w:val="nil"/>
          <w:bottom w:val="nil"/>
          <w:right w:val="nil"/>
          <w:between w:val="nil"/>
          <w:bar w:val="nil"/>
        </w:pBdr>
        <w:spacing w:before="0" w:after="240"/>
        <w:rPr>
          <w:noProof/>
        </w:rPr>
      </w:pPr>
      <w:r>
        <w:rPr>
          <w:noProof/>
        </w:rPr>
        <w:t>Cieľom návrhu vykonávacieho rozhodnutia Rady je zvýšiť súčasný limit na oslobodenie od dane zo 45 000 EUR na 55 000 EUR. Toto zvýšenie limitu je zjednodušujúcim opatrením, ktorým sa odstraňujú mnohé povinnosti súvisiace s DPH v prípade podnikov s ročným obratom, ktorý nie je vyšší ako 55 000 EUR. Bude preto mať potenciálne priaznivý vplyv na zníženie administratívnej záťaže pre určitý počet zdaniteľných osôb, a následne aj pre finančnú správu.</w:t>
      </w:r>
    </w:p>
    <w:p>
      <w:pPr>
        <w:pBdr>
          <w:top w:val="nil"/>
          <w:left w:val="nil"/>
          <w:bottom w:val="nil"/>
          <w:right w:val="nil"/>
          <w:between w:val="nil"/>
          <w:bar w:val="nil"/>
        </w:pBdr>
        <w:spacing w:before="0" w:after="240"/>
        <w:rPr>
          <w:noProof/>
        </w:rPr>
      </w:pPr>
      <w:r>
        <w:rPr>
          <w:noProof/>
        </w:rPr>
        <w:t>V roku 2019 bolo približne 8 737 zdaniteľných osôb povinných platiť DPH, z ktorých 7 664 bolo na účely DPH zaregistrovaných dobrovoľne, čo predstavuje približne 90 % osôb zaregistrovaných na účely DPH.</w:t>
      </w:r>
    </w:p>
    <w:p>
      <w:pPr>
        <w:pBdr>
          <w:top w:val="nil"/>
          <w:left w:val="nil"/>
          <w:bottom w:val="nil"/>
          <w:right w:val="nil"/>
          <w:between w:val="nil"/>
          <w:bar w:val="nil"/>
        </w:pBdr>
        <w:spacing w:before="0" w:after="240"/>
        <w:rPr>
          <w:noProof/>
        </w:rPr>
      </w:pPr>
      <w:r>
        <w:rPr>
          <w:noProof/>
        </w:rPr>
        <w:t>Na základe informácií, ktoré vnútroštátne orgány zhromaždili v roku 2019, malo 5 463 daňovníkov obrat pohybujúci sa od 45 000 EUR do 55 000 EUR. Po zvýšení limitu by všetci títo daňovníci boli oprávnení využívať úpravu pre MSP.</w:t>
      </w:r>
    </w:p>
    <w:p>
      <w:pPr>
        <w:pBdr>
          <w:top w:val="nil"/>
          <w:left w:val="nil"/>
          <w:bottom w:val="nil"/>
          <w:right w:val="nil"/>
          <w:between w:val="nil"/>
          <w:bar w:val="nil"/>
        </w:pBdr>
        <w:spacing w:before="0" w:after="240"/>
        <w:rPr>
          <w:noProof/>
        </w:rPr>
      </w:pPr>
      <w:r>
        <w:rPr>
          <w:noProof/>
        </w:rPr>
        <w:lastRenderedPageBreak/>
        <w:t>V súčasnosti je 7 % z celkového počtu daňovníkov, ktorí v roku 2019 vykonávali hospodársku činnosť v Litve, oprávnených na úpravu, v rámci ktorej sa uplatňuje limit 45 000 EUR, pričom 1,8 % z nich je zaregistrovaných na účely DPH.</w:t>
      </w:r>
    </w:p>
    <w:p>
      <w:pPr>
        <w:pBdr>
          <w:top w:val="nil"/>
          <w:left w:val="nil"/>
          <w:bottom w:val="nil"/>
          <w:right w:val="nil"/>
          <w:between w:val="nil"/>
          <w:bar w:val="nil"/>
        </w:pBdr>
        <w:spacing w:before="0" w:after="240"/>
        <w:rPr>
          <w:noProof/>
        </w:rPr>
      </w:pPr>
      <w:r>
        <w:rPr>
          <w:noProof/>
        </w:rPr>
        <w:t>Podľa odhadov litovských orgánov by zvýšenie limitu zo 45 000 EUR na 55 000 EUR viedlo k dodatočnému zníženiu príjmov z DPH o 6,4 milióna EUR ročne. V súčasnosti predstavuje nevybraná DPH z dôvodu limitu vo výške 45 000 EUR sumu 13,2 milióna EUR ročne (pri minimálnej prahovej hodnote 29 000 EUR). Na porovnanie, celkové príjmy z DPH v roku 2019 predstavovali 3,8 miliardy EUR.</w:t>
      </w:r>
    </w:p>
    <w:p>
      <w:pPr>
        <w:pBdr>
          <w:top w:val="nil"/>
          <w:left w:val="nil"/>
          <w:bottom w:val="nil"/>
          <w:right w:val="nil"/>
          <w:between w:val="nil"/>
          <w:bar w:val="nil"/>
        </w:pBdr>
        <w:spacing w:before="0" w:after="240"/>
        <w:rPr>
          <w:noProof/>
        </w:rPr>
      </w:pPr>
      <w:r>
        <w:rPr>
          <w:noProof/>
        </w:rPr>
        <w:t>Odchyľujúce sa opatrenie bude pre zdaniteľné osoby nepovinné. Zdaniteľné osoby budú mať možnosť rozhodnúť sa pre všeobecnú úpravu uplatňovania DPH v súlade s článkom 290 smernice 2006/112/ES. Vplyv na rozpočet z hľadiska príjmov z DPH sa odhaduje na 20 miliónov EUR, čo sa považuje za zanedbateľné.</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Základné práva</w:t>
      </w:r>
    </w:p>
    <w:p>
      <w:pPr>
        <w:pBdr>
          <w:top w:val="nil"/>
          <w:left w:val="nil"/>
          <w:bottom w:val="nil"/>
          <w:right w:val="nil"/>
          <w:between w:val="nil"/>
          <w:bar w:val="nil"/>
        </w:pBdr>
        <w:spacing w:before="0" w:after="240"/>
        <w:rPr>
          <w:rFonts w:eastAsia="Arial Unicode MS"/>
          <w:noProof/>
        </w:rPr>
      </w:pPr>
      <w:r>
        <w:rPr>
          <w:noProof/>
        </w:rPr>
        <w:t>Návrh nemá žiadne dôsledky z hľadiska ochrany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Návrh nebude mať negatívny vplyv na rozpočet EÚ, pretože Litva vypočíta kompenzáciu v súlade s článkom 6 nariadenia Rady (EHS, EURATOM) č. 1553/89.</w:t>
      </w:r>
    </w:p>
    <w:p>
      <w:pPr>
        <w:spacing w:before="0" w:after="200" w:line="276" w:lineRule="auto"/>
        <w:jc w:val="left"/>
        <w:rPr>
          <w:rFonts w:eastAsia="Arial Unicode MS"/>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spacing w:before="0" w:after="200" w:line="276" w:lineRule="auto"/>
        <w:jc w:val="left"/>
        <w:rPr>
          <w:rFonts w:eastAsia="Arial Unicode MS"/>
          <w:noProof/>
        </w:rPr>
      </w:pPr>
    </w:p>
    <w:p>
      <w:pPr>
        <w:pStyle w:val="Rfrenceinterinstitutionnelle"/>
        <w:rPr>
          <w:noProof/>
        </w:rPr>
      </w:pPr>
      <w:r>
        <w:rPr>
          <w:noProof/>
        </w:rPr>
        <w:t>2020/0356 (NLE)</w:t>
      </w:r>
    </w:p>
    <w:p>
      <w:pPr>
        <w:pStyle w:val="Statut"/>
        <w:rPr>
          <w:noProof/>
        </w:rPr>
      </w:pPr>
      <w:r>
        <w:rPr>
          <w:noProof/>
        </w:rPr>
        <w:t>Návrh</w:t>
      </w:r>
    </w:p>
    <w:p>
      <w:pPr>
        <w:pStyle w:val="Typedudocument"/>
        <w:rPr>
          <w:noProof/>
        </w:rPr>
      </w:pPr>
      <w:r>
        <w:rPr>
          <w:noProof/>
        </w:rPr>
        <w:t>VYKONÁVACIE ROZHODNUTIE RADY,</w:t>
      </w:r>
    </w:p>
    <w:p>
      <w:pPr>
        <w:pStyle w:val="Titreobjet"/>
        <w:rPr>
          <w:noProof/>
        </w:rPr>
      </w:pPr>
      <w:r>
        <w:rPr>
          <w:noProof/>
        </w:rPr>
        <w:t>ktorým sa Litovskej republike povoľuje uplatňovať opatrenie odchyľujúce sa od článku 287 smernice 2006/112/ES o spoločnom systéme dane z pridanej hodnoty</w:t>
      </w:r>
    </w:p>
    <w:p>
      <w:pPr>
        <w:pStyle w:val="Institutionquiagit"/>
        <w:rPr>
          <w:noProof/>
        </w:rPr>
      </w:pPr>
      <w:r>
        <w:rPr>
          <w:noProof/>
        </w:rPr>
        <w:t>RADA EURÓPSKEJ ÚNIE,</w:t>
      </w:r>
    </w:p>
    <w:p>
      <w:pPr>
        <w:rPr>
          <w:noProof/>
        </w:rPr>
      </w:pPr>
      <w:r>
        <w:rPr>
          <w:noProof/>
        </w:rPr>
        <w:t>so zreteľom na Zmluvu o fungovaní Európskej únie,</w:t>
      </w:r>
    </w:p>
    <w:p>
      <w:pPr>
        <w:rPr>
          <w:noProof/>
        </w:rPr>
      </w:pPr>
      <w:r>
        <w:rPr>
          <w:noProof/>
        </w:rPr>
        <w:t>so zreteľom na smernicu Rady 2006/112/ES z 28. novembra 2006 o spoločnom systéme dane z pridanej hodnoty</w:t>
      </w:r>
      <w:r>
        <w:rPr>
          <w:rStyle w:val="FootnoteReference"/>
          <w:noProof/>
        </w:rPr>
        <w:footnoteReference w:id="22"/>
      </w:r>
      <w:r>
        <w:rPr>
          <w:noProof/>
        </w:rPr>
        <w:t>, a najmä na jej článok 395 ods. 1 prvý pododsek,</w:t>
      </w:r>
    </w:p>
    <w:p>
      <w:pPr>
        <w:rPr>
          <w:noProof/>
        </w:rPr>
      </w:pPr>
      <w:r>
        <w:rPr>
          <w:noProof/>
        </w:rPr>
        <w:t>so zreteľom na návrh Európskej komisie,</w:t>
      </w:r>
    </w:p>
    <w:p>
      <w:pPr>
        <w:rPr>
          <w:noProof/>
        </w:rPr>
      </w:pPr>
      <w:r>
        <w:rPr>
          <w:noProof/>
        </w:rPr>
        <w:t>keďže:</w:t>
      </w:r>
    </w:p>
    <w:p>
      <w:pPr>
        <w:rPr>
          <w:noProof/>
        </w:rPr>
      </w:pPr>
    </w:p>
    <w:p>
      <w:pPr>
        <w:pStyle w:val="ManualConsidrant"/>
        <w:rPr>
          <w:noProof/>
        </w:rPr>
      </w:pPr>
      <w:r>
        <w:t>(1)</w:t>
      </w:r>
      <w:r>
        <w:tab/>
      </w:r>
      <w:r>
        <w:rPr>
          <w:noProof/>
        </w:rPr>
        <w:t>Podľa článku 287 bodu 11 smernice 2006/112/ES môže Litva oslobodiť od dane z pridanej hodnoty (ďalej len „DPH“) zdaniteľné osoby, ktorých ročný obrat nie je vyšší ako ekvivalent sumy 29 000 EUR v národnej mene pri prepočítacom kurze platnom v deň jej pristúpenia. Litva bola podľa vykonávacieho rozhodnutia Rady (EÚ) 2011/335</w:t>
      </w:r>
      <w:r>
        <w:rPr>
          <w:rStyle w:val="FootnoteReference"/>
          <w:noProof/>
        </w:rPr>
        <w:footnoteReference w:id="23"/>
      </w:r>
      <w:r>
        <w:rPr>
          <w:noProof/>
        </w:rPr>
        <w:t xml:space="preserve"> oprávnená uplatňovať osobitné opatrenie odchyľujúce sa od článku 287 smernice 2006/112/ES, ktorým sa až do 31. decembra 2020 od DPH oslobodzujú zdaniteľné osoby s ročným obratom nepresahujúcim 45 000 EUR.</w:t>
      </w:r>
    </w:p>
    <w:p>
      <w:pPr>
        <w:pStyle w:val="ManualConsidrant"/>
        <w:rPr>
          <w:noProof/>
        </w:rPr>
      </w:pPr>
      <w:r>
        <w:t>(2)</w:t>
      </w:r>
      <w:r>
        <w:tab/>
      </w:r>
      <w:r>
        <w:rPr>
          <w:noProof/>
        </w:rPr>
        <w:t>Listom, ktorý Komisia zaevidovala 18. júna 2020, Litva požiadala o povolenie uplatňovať osobitné opatrenie odchyľujúce sa od článku 287 bodu 11 smernice 2006/112/ES (ďalej len „odchyľujúce sa opatrenie“), aby mohla naďalej uplatňovať oslobodenie od dane a zvýšiť limit na toto oslobodenie od dane na 55 000 EUR od 1. januára 2021 do 31. decembra 2024, teda do dňa, ku ktorému majú členské štáty prijať zákony, iné právne predpisy a správne opatrenia potrebné na dosiahnutie súladu so smernicu Rady (EÚ) 2020/285</w:t>
      </w:r>
      <w:r>
        <w:rPr>
          <w:rStyle w:val="FootnoteReference"/>
          <w:noProof/>
        </w:rPr>
        <w:footnoteReference w:id="24"/>
      </w:r>
      <w:r>
        <w:rPr>
          <w:noProof/>
        </w:rPr>
        <w:t>, ktorou sa stanovujú jednoduchšie pravidlá DPH pre malé podniky a ktorou sa okrem iného vypúšťa článok 287 smernice 2006/112/ES s účinnosťou od 1. januára 2025.</w:t>
      </w:r>
    </w:p>
    <w:p>
      <w:pPr>
        <w:pStyle w:val="ManualConsidrant"/>
        <w:rPr>
          <w:noProof/>
        </w:rPr>
      </w:pPr>
      <w:r>
        <w:lastRenderedPageBreak/>
        <w:t>(3)</w:t>
      </w:r>
      <w:r>
        <w:tab/>
      </w:r>
      <w:r>
        <w:rPr>
          <w:noProof/>
        </w:rPr>
        <w:t>Na základe odchyľujúceho sa opatrenia by zdaniteľné osoby, ktorých ročný obrat nie je vyšší ako 55 000 EUR, boli oslobodené od určitých alebo všetkých povinností súvisiacich s DPH uvedených v kapitolách 2 až 6 hlavy XI smernice 2006/112/ES.</w:t>
      </w:r>
    </w:p>
    <w:p>
      <w:pPr>
        <w:pStyle w:val="ManualConsidrant"/>
        <w:rPr>
          <w:noProof/>
        </w:rPr>
      </w:pPr>
      <w:r>
        <w:t>(4)</w:t>
      </w:r>
      <w:r>
        <w:tab/>
      </w:r>
      <w:r>
        <w:rPr>
          <w:noProof/>
        </w:rPr>
        <w:t>Vyšší strop pre osobitnú úpravu pre malé podniky stanovenú v článkoch 281 až 294 smernice 2006/112/ES je zjednodušujúcim opatrením, pretože sa ním môžu výrazne obmedziť povinnosti malých podnikov súvisiace s DPH. Požadovaný limit vo výške 55 000 EUR je v súlade s článkom 284 smernice 2006/112/ES zmenenej smernicou (EÚ) 2020/285.</w:t>
      </w:r>
    </w:p>
    <w:p>
      <w:pPr>
        <w:pStyle w:val="ManualConsidrant"/>
        <w:rPr>
          <w:noProof/>
        </w:rPr>
      </w:pPr>
      <w:r>
        <w:t>(5)</w:t>
      </w:r>
      <w:r>
        <w:tab/>
      </w:r>
      <w:r>
        <w:rPr>
          <w:noProof/>
        </w:rPr>
        <w:t>Komisia v súlade s článkom 395 ods. 2 druhým pododsekom smernice 2006/112/ES informovala ostatné členské štáty o žiadosti Litvy listami z 10. augusta 2020 a 11. augusta 2020. Listom z 12. augusta 2020 Komisia oznámila Litve, že má všetky informácie potrebné na posúdenie žiadosti.</w:t>
      </w:r>
    </w:p>
    <w:p>
      <w:pPr>
        <w:pStyle w:val="ManualConsidrant"/>
        <w:rPr>
          <w:noProof/>
        </w:rPr>
      </w:pPr>
      <w:r>
        <w:t>(6)</w:t>
      </w:r>
      <w:r>
        <w:tab/>
      </w:r>
      <w:r>
        <w:rPr>
          <w:noProof/>
        </w:rPr>
        <w:t>Odchyľujúce sa opatrenie je pre zdaniteľné osoby nepovinné. Zdaniteľné osoby budú mať naďalej možnosť rozhodnúť sa pre všeobecnú úpravu uplatňovania DPH v súlade s článkom 290 smernice 2006/112/ES.</w:t>
      </w:r>
    </w:p>
    <w:p>
      <w:pPr>
        <w:pStyle w:val="ManualConsidrant"/>
        <w:rPr>
          <w:noProof/>
        </w:rPr>
      </w:pPr>
      <w:r>
        <w:t>(7)</w:t>
      </w:r>
      <w:r>
        <w:tab/>
      </w:r>
      <w:r>
        <w:rPr>
          <w:noProof/>
        </w:rPr>
        <w:t>Podľa informácií, ktoré Litva poskytla, bude mať odchyľujúce sa opatrenie len zanedbateľný vplyv na celkovú sumu daňových príjmov vybraných na stupni konečnej spotreby.</w:t>
      </w:r>
    </w:p>
    <w:p>
      <w:pPr>
        <w:pStyle w:val="ManualConsidrant"/>
        <w:rPr>
          <w:noProof/>
        </w:rPr>
      </w:pPr>
      <w:r>
        <w:t>(8)</w:t>
      </w:r>
      <w:r>
        <w:tab/>
      </w:r>
      <w:r>
        <w:rPr>
          <w:noProof/>
        </w:rPr>
        <w:t>Odchyľujúce sa opatrenie nebude mať negatívny vplyv na vlastné zdroje Únie pochádzajúce z DPH, pretože Litva vypočíta kompenzáciu v súlade s článkom 6 nariadenia Rady (EHS, Euratom) č. 1553/89</w:t>
      </w:r>
      <w:r>
        <w:rPr>
          <w:rStyle w:val="FootnoteReference"/>
          <w:noProof/>
        </w:rPr>
        <w:footnoteReference w:id="25"/>
      </w:r>
      <w:r>
        <w:rPr>
          <w:noProof/>
        </w:rPr>
        <w:t>.</w:t>
      </w:r>
    </w:p>
    <w:p>
      <w:pPr>
        <w:pStyle w:val="ManualConsidrant"/>
        <w:rPr>
          <w:noProof/>
        </w:rPr>
      </w:pPr>
      <w:r>
        <w:t>(9)</w:t>
      </w:r>
      <w:r>
        <w:tab/>
      </w:r>
      <w:r>
        <w:rPr>
          <w:noProof/>
        </w:rPr>
        <w:t>Keďže sa očakáva, že zvýšenie limitu povedie k obmedzeniu povinností súvisiacich s DPH, a teda k zníženiu administratívnej záťaže malých podnikov a daňových orgánov, ako aj ich nákladov na dodržiavanie predpisov, a vzhľadom na zanedbateľný vplyv na celkové príjmy pochádzajúce z DPH by sa Litve malo povoliť uplatňovať dané odchyľujúce sa opatrenie.</w:t>
      </w:r>
    </w:p>
    <w:p>
      <w:pPr>
        <w:pStyle w:val="ManualConsidrant"/>
        <w:rPr>
          <w:noProof/>
        </w:rPr>
      </w:pPr>
      <w:r>
        <w:t>(10)</w:t>
      </w:r>
      <w:r>
        <w:tab/>
      </w:r>
      <w:r>
        <w:rPr>
          <w:noProof/>
        </w:rPr>
        <w:t>Povolenie na uplatňovanie odchyľujúceho sa opatrenia by malo byť časovo obmedzené. Toto časové obmedzenie by malo byť dostatočné na to, aby bolo možné vyhodnotiť účinnosť a primeranosť limitu. Okrem toho majú členské štáty v súlade so smernicou (EÚ) 2020/285 do 31. decembra 2024 prijať a uverejniť zákony, iné právne predpisy a správne opatrenia potrebné na dosiahnutie súladu s článkom 1 uvedenej smernice a uvedené ustanovenia uplatňovať od 1. januára 2025. Je preto vhodné povoliť Litve uplatňovať odchyľujúce sa opatrenie do 31. decembra 2024,</w:t>
      </w:r>
    </w:p>
    <w:p>
      <w:pPr>
        <w:rPr>
          <w:noProof/>
        </w:rPr>
      </w:pPr>
    </w:p>
    <w:p>
      <w:pPr>
        <w:pStyle w:val="Formuledadoption"/>
        <w:rPr>
          <w:noProof/>
        </w:rPr>
      </w:pPr>
      <w:r>
        <w:rPr>
          <w:noProof/>
        </w:rPr>
        <w:t>PRIJALA TOTO ROZHODNUTIE:</w:t>
      </w:r>
    </w:p>
    <w:p>
      <w:pPr>
        <w:pStyle w:val="Titrearticle"/>
        <w:rPr>
          <w:noProof/>
        </w:rPr>
      </w:pPr>
      <w:r>
        <w:rPr>
          <w:noProof/>
        </w:rPr>
        <w:t>Článok 1</w:t>
      </w:r>
    </w:p>
    <w:p>
      <w:pPr>
        <w:rPr>
          <w:noProof/>
        </w:rPr>
      </w:pPr>
      <w:r>
        <w:rPr>
          <w:noProof/>
        </w:rPr>
        <w:t>Odchylne od článku 287 bodu 11 smernice 2006/112/ES sa Litve povoľuje oslobodiť od DPH zdaniteľné osoby, ktorých ročný obrat nepresahuje 55 000 EUR.</w:t>
      </w:r>
    </w:p>
    <w:p>
      <w:pPr>
        <w:pStyle w:val="Titrearticle"/>
        <w:rPr>
          <w:noProof/>
        </w:rPr>
      </w:pPr>
      <w:r>
        <w:rPr>
          <w:noProof/>
        </w:rPr>
        <w:lastRenderedPageBreak/>
        <w:t>Článok 2</w:t>
      </w:r>
    </w:p>
    <w:p>
      <w:pPr>
        <w:rPr>
          <w:noProof/>
        </w:rPr>
      </w:pPr>
      <w:r>
        <w:rPr>
          <w:noProof/>
        </w:rPr>
        <w:t>Toto rozhodnutie sa uplatňuje od 1. januára 2021 do 31. decembra 2024.</w:t>
      </w:r>
    </w:p>
    <w:p>
      <w:pPr>
        <w:pStyle w:val="Titrearticle"/>
        <w:rPr>
          <w:noProof/>
        </w:rPr>
      </w:pPr>
      <w:r>
        <w:rPr>
          <w:noProof/>
        </w:rPr>
        <w:t>Článok 3</w:t>
      </w:r>
    </w:p>
    <w:p>
      <w:pPr>
        <w:rPr>
          <w:noProof/>
        </w:rPr>
      </w:pPr>
      <w:r>
        <w:rPr>
          <w:noProof/>
        </w:rPr>
        <w:t>Toto rozhodnutie je určené Litovskej republike.</w:t>
      </w:r>
    </w:p>
    <w:p>
      <w:pPr>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predseda/predsedníčka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 v. EÚ L 347, 11.12.2006, s. 1.</w:t>
      </w:r>
    </w:p>
  </w:footnote>
  <w:footnote w:id="3">
    <w:p>
      <w:pPr>
        <w:pStyle w:val="FootnoteText"/>
      </w:pPr>
      <w:r>
        <w:rPr>
          <w:rStyle w:val="FootnoteReference"/>
        </w:rPr>
        <w:footnoteRef/>
      </w:r>
      <w:r>
        <w:tab/>
        <w:t>Smernica Rady (EÚ) 2020/285 z 18. februára 2020, ktorou sa mení smernica 2006/112/ES o spoločnom systéme dane z pridanej hodnoty, pokiaľ ide o osobitnú úpravu pre malé podniky, a nariadenie (EÚ) č. 904/2010, pokiaľ ide o administratívnu spoluprácu a výmenu informácií na účely monitorovania správneho uplatňovania osobitnej úpravy pre malé podniky (Ú. v. EÚ L 62, 2.3.2020, s. 13).</w:t>
      </w:r>
    </w:p>
  </w:footnote>
  <w:footnote w:id="4">
    <w:p>
      <w:pPr>
        <w:pStyle w:val="FootnoteText"/>
      </w:pPr>
      <w:r>
        <w:rPr>
          <w:rStyle w:val="FootnoteReference"/>
        </w:rPr>
        <w:footnoteRef/>
      </w:r>
      <w:r>
        <w:tab/>
        <w:t>Oznámenie Komisie Európskemu parlamentu, Rade a Hospodárskemu a sociálnemu výboru o akčnom pláne v oblasti DPH – k jednotnému priestoru EÚ v oblasti DPH – čas rozhodnúť sa [COM(2016) 148 final].</w:t>
      </w:r>
    </w:p>
  </w:footnote>
  <w:footnote w:id="5">
    <w:p>
      <w:pPr>
        <w:pStyle w:val="FootnoteText"/>
      </w:pPr>
      <w:r>
        <w:rPr>
          <w:rStyle w:val="FootnoteReference"/>
        </w:rPr>
        <w:footnoteRef/>
      </w:r>
      <w:r>
        <w:tab/>
        <w:t>Vykonávacie rozhodnutie Rady (EÚ) 2018/1904 zo 4. decembra 2018, ktorým sa Holandsku povoľuje zaviesť osobitné opatrenie odchyľujúce sa od článku 285 smernice 2006/112/ES o spoločnom systéme dane z pridanej hodnoty (Ú. v. EÚ L 310, 6.12.2018, s. 25).</w:t>
      </w:r>
    </w:p>
  </w:footnote>
  <w:footnote w:id="6">
    <w:p>
      <w:pPr>
        <w:pStyle w:val="FootnoteText"/>
      </w:pPr>
      <w:r>
        <w:rPr>
          <w:rStyle w:val="FootnoteReference"/>
        </w:rPr>
        <w:footnoteRef/>
      </w:r>
      <w:r>
        <w:tab/>
        <w:t>Vykonávacie rozhodnutie Rady (EÚ) 2016/1988 z 8. novembra 2016, ktorým sa mení vykonávacie rozhodnutie 2013/678/EÚ, ktorým sa Talianskej republike povoľuje naďalej uplatňovať osobitné opatrenie odchyľujúce sa od článku 285 smernice 2006/112/ES o spoločnom systéme dane z pridanej hodnoty (Ú. v. EÚ L 306, 15.11.2016, s. 11 – 12).</w:t>
      </w:r>
    </w:p>
  </w:footnote>
  <w:footnote w:id="7">
    <w:p>
      <w:pPr>
        <w:pStyle w:val="FootnoteText"/>
      </w:pPr>
      <w:r>
        <w:rPr>
          <w:rStyle w:val="FootnoteReference"/>
        </w:rPr>
        <w:footnoteRef/>
      </w:r>
      <w:r>
        <w:tab/>
        <w:t>Vykonávacie rozhodnutie Rady (EÚ) 2019/2210 z 19. decembra 2019, ktorým sa mení vykonávacie rozhodnutie 2013/677/EÚ, ktorým sa Luxembursku povoľuje zaviesť osobitné opatrenie odchyľujúce sa od článku 285 smernice 2006/112/ES o spoločnom systéme dane z pridanej hodnoty (Ú. v. EÚ L 332, 23.12.2019, s. 155).</w:t>
      </w:r>
    </w:p>
  </w:footnote>
  <w:footnote w:id="8">
    <w:p>
      <w:pPr>
        <w:pStyle w:val="FootnoteText"/>
      </w:pPr>
      <w:r>
        <w:rPr>
          <w:rStyle w:val="FootnoteReference"/>
        </w:rPr>
        <w:footnoteRef/>
      </w:r>
      <w:r>
        <w:tab/>
        <w:t>Vykonávacie rozhodnutie Rady (EÚ) 2020/1261 zo 4. septembra 2020, ktorým sa mení vykonávacie rozhodnutie (EÚ) 2017/2408, ktorým sa Lotyšskej republike povoľuje uplatňovať osobitné opatrenie odchyľujúce sa od článku 287 smernice 2006/112/ES o spoločnom systéme dane z pridanej hodnoty (Ú. v. EÚ L 296, 10.9.2020, s. 4 – 5).</w:t>
      </w:r>
    </w:p>
  </w:footnote>
  <w:footnote w:id="9">
    <w:p>
      <w:pPr>
        <w:pStyle w:val="FootnoteText"/>
      </w:pPr>
      <w:r>
        <w:rPr>
          <w:rStyle w:val="FootnoteReference"/>
        </w:rPr>
        <w:footnoteRef/>
      </w:r>
      <w:r>
        <w:tab/>
        <w:t>Vykonávacie rozhodnutie Rady (EÚ) 2018/1919 zo 4. decembra 2018, ktorým sa mení rozhodnutie 2009/790/ES, ktorým sa Poľskej republike povoľuje uplatňovať opatrenie odchyľujúce sa od článku 287 smernice 2006/112/ES o spoločnom systéme dane z pridanej hodnoty (Ú. v. EÚ L 311, 7.12.2018, s. 32).</w:t>
      </w:r>
    </w:p>
  </w:footnote>
  <w:footnote w:id="10">
    <w:p>
      <w:pPr>
        <w:pStyle w:val="FootnoteText"/>
      </w:pPr>
      <w:r>
        <w:rPr>
          <w:rStyle w:val="FootnoteReference"/>
        </w:rPr>
        <w:footnoteRef/>
      </w:r>
      <w:r>
        <w:tab/>
        <w:t>Vykonávacie rozhodnutie Rady (EÚ) 2017/563 z 21. marca 2017, ktorým sa Estónskej republike povoľuje uplatňovať osobitné opatrenie odchyľujúce sa od článku 287 smernice 2006/112/ES o spoločnom systéme dane z pridanej hodnoty (Ú. v. EÚ L 80, 25.3.2017, s. 33).</w:t>
      </w:r>
    </w:p>
  </w:footnote>
  <w:footnote w:id="11">
    <w:p>
      <w:pPr>
        <w:pStyle w:val="FootnoteText"/>
      </w:pPr>
      <w:r>
        <w:rPr>
          <w:rStyle w:val="FootnoteReference"/>
        </w:rPr>
        <w:footnoteRef/>
      </w:r>
      <w:r>
        <w:tab/>
        <w:t>Vykonávacie rozhodnutie Rady (EÚ) 2020/1661 z 3. novembra 2020, ktorým sa mení vykonávacie rozhodnutie (EÚ) 2017/1768, ktorým sa Chorvátskej republike povoľuje zaviesť osobitné opatrenie odchyľujúce sa od článku 287 smernice 2006/112/ES o spoločnom systéme dane z pridanej hodnoty (Ú. v. EÚ L 374, 10.11.2020, s. 4 – 5).</w:t>
      </w:r>
    </w:p>
  </w:footnote>
  <w:footnote w:id="12">
    <w:p>
      <w:pPr>
        <w:pStyle w:val="FootnoteText"/>
      </w:pPr>
      <w:r>
        <w:rPr>
          <w:rStyle w:val="FootnoteReference"/>
        </w:rPr>
        <w:footnoteRef/>
      </w:r>
      <w:r>
        <w:tab/>
        <w:t>Vykonávacie rozhodnutie Rady (EÚ) 2020/1662 z 3. novembra 2020, ktorým sa mení vykonávacie rozhodnutie (EÚ) 2018/279, ktorým sa Malte povoľuje uplatňovať osobitné opatrenie odchyľujúce sa od článku 287 smernice 2006/112/ES o spoločnom systéme dane z pridanej hodnoty (Ú. v. EÚ L 374, 10.9.2020, s. 6 – 7).</w:t>
      </w:r>
    </w:p>
  </w:footnote>
  <w:footnote w:id="13">
    <w:p>
      <w:pPr>
        <w:pStyle w:val="FootnoteText"/>
      </w:pPr>
      <w:r>
        <w:rPr>
          <w:rStyle w:val="FootnoteReference"/>
        </w:rPr>
        <w:footnoteRef/>
      </w:r>
      <w:r>
        <w:tab/>
        <w:t>Vykonávacie rozhodnutie Rady (EÚ) 2018/1490 z 2. októbra 2018, ktorým sa Maďarsku povoľuje zaviesť osobitné opatrenie odchyľujúce sa od článku 287 smernice 2006/112/ES o spoločnom systéme dane z pridanej hodnoty (Ú. v. EÚ L 252, 8.10.2018, s. 38).</w:t>
      </w:r>
    </w:p>
  </w:footnote>
  <w:footnote w:id="14">
    <w:p>
      <w:pPr>
        <w:pStyle w:val="FootnoteText"/>
      </w:pPr>
      <w:r>
        <w:rPr>
          <w:rStyle w:val="FootnoteReference"/>
        </w:rPr>
        <w:footnoteRef/>
      </w:r>
      <w:r>
        <w:tab/>
        <w:t>Vykonávacie rozhodnutie Rady (EÚ) 2018/1700 zo 6. novembra 2018, ktorým sa mení vykonávacie rozhodnutie 2013/54/EÚ, ktorým sa Slovinskej republike povoľuje zaviesť osobitné opatrenie odchyľujúce sa od článku 287 smernice 2006/112/ES o spoločnom systéme dane z pridanej hodnoty (Ú. v. EÚ L 285, 13.11.2018, s. 78).</w:t>
      </w:r>
    </w:p>
  </w:footnote>
  <w:footnote w:id="15">
    <w:p>
      <w:pPr>
        <w:pStyle w:val="FootnoteText"/>
      </w:pPr>
      <w:r>
        <w:rPr>
          <w:rStyle w:val="FootnoteReference"/>
        </w:rPr>
        <w:footnoteRef/>
      </w:r>
      <w:r>
        <w:tab/>
        <w:t>Vykonávacie rozhodnutie Rady (EÚ) 2020/1260 zo 4. septembra 2020, ktorým sa mení vykonávacie rozhodnutie (EÚ) 2017/1855, ktorým sa Rumunsku povoľuje uplatňovať osobitné opatrenie odchyľujúce sa od článku 287 smernice 2006/112/ES o spoločnom systéme dane z pridanej hodnoty (Ú. v. EÚ L 296, 10.9.2020, s. 1 – 3).</w:t>
      </w:r>
    </w:p>
  </w:footnote>
  <w:footnote w:id="16">
    <w:p>
      <w:pPr>
        <w:pStyle w:val="FootnoteText"/>
      </w:pPr>
      <w:r>
        <w:rPr>
          <w:rStyle w:val="FootnoteReference"/>
        </w:rPr>
        <w:footnoteRef/>
      </w:r>
      <w:r>
        <w:tab/>
        <w:t>Oznámenie Komisie Európskemu parlamentu, Rade, Európskemu hospodárskemu a sociálnemu výboru a Výboru regiónov: Pracovný program Komisie na rok 2020 – Ambicióznejšia Únia [COM(2020) 37 final].</w:t>
      </w:r>
    </w:p>
  </w:footnote>
  <w:footnote w:id="17">
    <w:p>
      <w:pPr>
        <w:pStyle w:val="FootnoteText"/>
      </w:pPr>
      <w:r>
        <w:rPr>
          <w:rStyle w:val="FootnoteReference"/>
        </w:rPr>
        <w:footnoteRef/>
      </w:r>
      <w:r>
        <w:tab/>
        <w:t>Oznámenie Komisie Európskemu parlamentu, Rade, Európskemu hospodárskemu a sociálnemu výboru a Výboru regiónov – Pracovný program Komisie na rok 2017 [COM(2016) 710 final].</w:t>
      </w:r>
    </w:p>
  </w:footnote>
  <w:footnote w:id="18">
    <w:p>
      <w:pPr>
        <w:pStyle w:val="FootnoteText"/>
      </w:pPr>
      <w:r>
        <w:rPr>
          <w:rStyle w:val="FootnoteReference"/>
        </w:rPr>
        <w:footnoteRef/>
      </w:r>
      <w:r>
        <w:tab/>
        <w:t>Oznámenie Komisie Európskemu parlamentu, Rade, Európskemu hospodárskemu a sociálnemu výboru a Výboru regiónov – Zlepšovanie jednotného trhu: viac príležitostí pre ľudí a podniky [COM(2015) 550 final].</w:t>
      </w:r>
    </w:p>
  </w:footnote>
  <w:footnote w:id="19">
    <w:p>
      <w:pPr>
        <w:pStyle w:val="FootnoteText"/>
      </w:pPr>
      <w:r>
        <w:rPr>
          <w:rStyle w:val="FootnoteReference"/>
        </w:rPr>
        <w:footnoteRef/>
      </w:r>
      <w:r>
        <w:tab/>
        <w:t>Oznámenie Komisie Európskemu parlamentu, Rade, Európskemu hospodárskemu a sociálnemu výboru a Výboru regiónov – Akčný plán pre podnikanie 2020: Opätovné stimulovanie podnikateľského ducha v Európe [COM(2012) 795 final].</w:t>
      </w:r>
    </w:p>
  </w:footnote>
  <w:footnote w:id="20">
    <w:p>
      <w:pPr>
        <w:pStyle w:val="FootnoteText"/>
      </w:pPr>
      <w:r>
        <w:rPr>
          <w:rStyle w:val="FootnoteReference"/>
        </w:rPr>
        <w:footnoteRef/>
      </w:r>
      <w:r>
        <w:tab/>
        <w:t>Oznámenie Komisie Európskemu parlamentu, Rade, Európskemu hospodárskemu a sociálnemu výboru a Výboru regiónov – Budúci lídri Európy: iniciatíva pre začínajúce a rozširujúce sa podniky [COM(2016) 733 final].</w:t>
      </w:r>
    </w:p>
  </w:footnote>
  <w:footnote w:id="21">
    <w:p>
      <w:pPr>
        <w:pStyle w:val="FootnoteText"/>
      </w:pPr>
      <w:r>
        <w:rPr>
          <w:rStyle w:val="FootnoteReference"/>
        </w:rPr>
        <w:footnoteRef/>
      </w:r>
      <w:r>
        <w:tab/>
        <w:t>Oznámenie Komisie Európskemu parlamentu, Rade, Európskemu hospodárskemu a sociálnemu výboru a Výboru regiónov „Najskôr myslieť v malom“ – Iniciatíva „Small Business Act“ pre Európu [KOM(2008) 394 v konečnom znení].</w:t>
      </w:r>
    </w:p>
  </w:footnote>
  <w:footnote w:id="22">
    <w:p>
      <w:pPr>
        <w:pStyle w:val="FootnoteText"/>
      </w:pPr>
      <w:r>
        <w:rPr>
          <w:rStyle w:val="FootnoteReference"/>
        </w:rPr>
        <w:footnoteRef/>
      </w:r>
      <w:r>
        <w:tab/>
      </w:r>
      <w:r>
        <w:rPr>
          <w:iCs/>
          <w:shd w:val="clear" w:color="auto" w:fill="FFFFFF"/>
        </w:rPr>
        <w:t>Ú. v. EÚ L 347, 11.12.2006, s. 1.</w:t>
      </w:r>
    </w:p>
  </w:footnote>
  <w:footnote w:id="23">
    <w:p>
      <w:pPr>
        <w:pStyle w:val="FootnoteText"/>
      </w:pPr>
      <w:r>
        <w:rPr>
          <w:rStyle w:val="FootnoteReference"/>
        </w:rPr>
        <w:footnoteRef/>
      </w:r>
      <w:r>
        <w:tab/>
      </w:r>
      <w:r>
        <w:rPr>
          <w:color w:val="000000" w:themeColor="text1"/>
          <w:shd w:val="clear" w:color="auto" w:fill="FFFFFF"/>
        </w:rPr>
        <w:t xml:space="preserve">Vykonávacie rozhodnutie Rady 2011/335/EÚ z 30. mája 2011, ktorým sa Litovskej republike povoľuje uplatňovať opatrenie odchyľujúce sa od článku 287 smernice 2006/112/ES o spoločnom systéme dane z pridanej hodnoty </w:t>
      </w:r>
      <w:r>
        <w:rPr>
          <w:color w:val="444444"/>
          <w:shd w:val="clear" w:color="auto" w:fill="FFFFFF"/>
        </w:rPr>
        <w:t>(</w:t>
      </w:r>
      <w:hyperlink r:id="rId1" w:history="1">
        <w:r>
          <w:rPr>
            <w:rStyle w:val="Hyperlink"/>
            <w:color w:val="3366CC"/>
          </w:rPr>
          <w:t>Ú. v. EÚ L 150, 9.6.2011, s. 6</w:t>
        </w:r>
      </w:hyperlink>
      <w:r>
        <w:rPr>
          <w:color w:val="444444"/>
          <w:shd w:val="clear" w:color="auto" w:fill="FFFFFF"/>
        </w:rPr>
        <w:t>)</w:t>
      </w:r>
      <w:r>
        <w:t>.</w:t>
      </w:r>
    </w:p>
  </w:footnote>
  <w:footnote w:id="24">
    <w:p>
      <w:pPr>
        <w:pStyle w:val="FootnoteText"/>
      </w:pPr>
      <w:r>
        <w:rPr>
          <w:rStyle w:val="FootnoteReference"/>
        </w:rPr>
        <w:footnoteRef/>
      </w:r>
      <w:r>
        <w:tab/>
        <w:t>Smernica Rady (EÚ) 2020/285 z 18. februára 2020, ktorou sa mení smernica 2006/112/ES o spoločnom systéme dane z pridanej hodnoty, pokiaľ ide o osobitnú úpravu pre malé podniky, a nariadenie (EÚ) č. 904/2010, pokiaľ ide o administratívnu spoluprácu a výmenu informácií na účely monitorovania správneho uplatňovania osobitnej úpravy pre malé podniky (Ú. v. EÚ L 62, 2.3.2020, s. 13 – 23).</w:t>
      </w:r>
    </w:p>
  </w:footnote>
  <w:footnote w:id="25">
    <w:p>
      <w:pPr>
        <w:pStyle w:val="FootnoteText"/>
      </w:pPr>
      <w:r>
        <w:rPr>
          <w:rStyle w:val="FootnoteReference"/>
        </w:rPr>
        <w:footnoteRef/>
      </w:r>
      <w:r>
        <w:tab/>
        <w:t>Nariadenie Rady (EHS, Euratom) č. 1553/89 z 29. mája 1989 o konečných jednotných dohodách o vyberaní vlastných zdrojov pochádzajúcich z dane z pridanej hodnoty (Ú. v. ES L 155, 7.6.1989, s.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7E27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EA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A69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FE31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7C5A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EE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A4B6C"/>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6A7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ttachedTemplate r:id="rId1"/>
  <w:revisionView w:markup="0"/>
  <w:defaultTabStop w:val="720"/>
  <w:hyphenationZone w:val="283"/>
  <w:characterSpacingControl w:val="doNotCompress"/>
  <w:hdrShapeDefaults>
    <o:shapedefaults v:ext="edit" spidmax="532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1 06:27: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EAEC49-A8D4-44EC-B9AB-FE8F88563CC1"/>
    <w:docVar w:name="LW_COVERPAGE_TYPE" w:val="1"/>
    <w:docVar w:name="LW_CROSSREFERENCE" w:val="&lt;UNUSED&gt;"/>
    <w:docVar w:name="LW_DocType" w:val="COM"/>
    <w:docVar w:name="LW_EMISSION" w:val="17. 12. 2020"/>
    <w:docVar w:name="LW_EMISSION_ISODATE" w:val="2020-12-17"/>
    <w:docVar w:name="LW_EMISSION_LOCATION" w:val="BRX"/>
    <w:docVar w:name="LW_EMISSION_PREFIX" w:val="V Bruseli"/>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356"/>
    <w:docVar w:name="LW_REF.II.NEW.CP_YEAR" w:val="2020"/>
    <w:docVar w:name="LW_REF.INST.NEW" w:val="COM"/>
    <w:docVar w:name="LW_REF.INST.NEW_ADOPTED" w:val="final"/>
    <w:docVar w:name="LW_REF.INST.NEW_TEXT" w:val="(2020)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Litovskej republike povo\u318?uje uplat\u328?ova\u357? opatrenie odchy\u318?ujúce sa od \u269?lánku 287 smernice 2006/112/ES o spolo\u269?nom systéme dane z pridanej hodnoty"/>
    <w:docVar w:name="LW_TYPE.DOC.CP" w:val="VYKONÁVACIE ROZHODNUTIE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4059">
      <w:bodyDiv w:val="1"/>
      <w:marLeft w:val="0"/>
      <w:marRight w:val="0"/>
      <w:marTop w:val="0"/>
      <w:marBottom w:val="0"/>
      <w:divBdr>
        <w:top w:val="none" w:sz="0" w:space="0" w:color="auto"/>
        <w:left w:val="none" w:sz="0" w:space="0" w:color="auto"/>
        <w:bottom w:val="none" w:sz="0" w:space="0" w:color="auto"/>
        <w:right w:val="none" w:sz="0" w:space="0" w:color="auto"/>
      </w:divBdr>
    </w:div>
    <w:div w:id="1374765090">
      <w:bodyDiv w:val="1"/>
      <w:marLeft w:val="0"/>
      <w:marRight w:val="0"/>
      <w:marTop w:val="0"/>
      <w:marBottom w:val="0"/>
      <w:divBdr>
        <w:top w:val="none" w:sz="0" w:space="0" w:color="auto"/>
        <w:left w:val="none" w:sz="0" w:space="0" w:color="auto"/>
        <w:bottom w:val="none" w:sz="0" w:space="0" w:color="auto"/>
        <w:right w:val="none" w:sz="0" w:space="0" w:color="auto"/>
      </w:divBdr>
    </w:div>
    <w:div w:id="1693260943">
      <w:bodyDiv w:val="1"/>
      <w:marLeft w:val="0"/>
      <w:marRight w:val="0"/>
      <w:marTop w:val="0"/>
      <w:marBottom w:val="0"/>
      <w:divBdr>
        <w:top w:val="none" w:sz="0" w:space="0" w:color="auto"/>
        <w:left w:val="none" w:sz="0" w:space="0" w:color="auto"/>
        <w:bottom w:val="none" w:sz="0" w:space="0" w:color="auto"/>
        <w:right w:val="none" w:sz="0" w:space="0" w:color="auto"/>
      </w:divBdr>
    </w:div>
    <w:div w:id="1950969510">
      <w:bodyDiv w:val="1"/>
      <w:marLeft w:val="0"/>
      <w:marRight w:val="0"/>
      <w:marTop w:val="0"/>
      <w:marBottom w:val="0"/>
      <w:divBdr>
        <w:top w:val="none" w:sz="0" w:space="0" w:color="auto"/>
        <w:left w:val="none" w:sz="0" w:space="0" w:color="auto"/>
        <w:bottom w:val="none" w:sz="0" w:space="0" w:color="auto"/>
        <w:right w:val="none" w:sz="0" w:space="0" w:color="auto"/>
      </w:divBdr>
    </w:div>
    <w:div w:id="20493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1:15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E52045-F8A3-4B47-8B1D-C6144A7B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2549</Words>
  <Characters>13947</Characters>
  <Application>Microsoft Office Word</Application>
  <DocSecurity>0</DocSecurity>
  <Lines>249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2020-12-08T16:21:00Z</dcterms:created>
  <dcterms:modified xsi:type="dcterms:W3CDTF">2020-12-11T05:27:00Z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