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F061DE0-2538-42BF-896E-271737D38786" style="width:450.4pt;height:424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ANNEXE 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Position qui sera exprimée par les États membres qui sont membres de la Commission des stupéfiants, agissant conjointement, dans l’intérêt de l’Union, lors de la soixante-quatrième session de ladite Commission qui doit en principe avoir lieu</w:t>
      </w:r>
      <w:r>
        <w:rPr>
          <w:noProof/>
        </w:rPr>
        <w:t xml:space="preserve"> du 12 au 16 avril 2021, </w:t>
      </w:r>
      <w:r>
        <w:rPr>
          <w:noProof/>
          <w:color w:val="000000"/>
          <w:szCs w:val="24"/>
        </w:rPr>
        <w:t>en ce qui concerne les modifications à apporter au champ d’application du contrôle des substances: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l’isotonitazène doit être inscrit au tableau I de la Convention sur les stupéfiants;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le MDMB-4en-PINACA doit être inscrit au tableau II de la Convention sur les substances psychotropes;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le CUMYL-PeGACLONE doit être inscrit au tableau II de la Convention sur les substances psychotropes;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le flubromazolam doit être inscrit au tableau IV de la Convention sur les substances psychotropes;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le clonazolam doit être inscrit au tableau IV de la Convention sur les substances psychotropes;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le diclazépam doit être inscrit au tableau IV de la Convention sur les substances psychotropes;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le 3-MeO-PCP doit être inscrit au tableau II de la Convention sur les substances psychotropes;</w:t>
      </w:r>
    </w:p>
    <w:p>
      <w:pPr>
        <w:pStyle w:val="Point0number"/>
        <w:numPr>
          <w:ilvl w:val="0"/>
          <w:numId w:val="1"/>
        </w:numPr>
        <w:autoSpaceDE w:val="0"/>
        <w:autoSpaceDN w:val="0"/>
        <w:adjustRightInd w:val="0"/>
        <w:spacing w:before="0" w:after="27"/>
        <w:rPr>
          <w:noProof/>
        </w:rPr>
      </w:pPr>
      <w:r>
        <w:rPr>
          <w:noProof/>
        </w:rPr>
        <w:t>la diphénidine doit être inscrite au tableau II de la Convention sur les substances psychotropes.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9C8E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25C1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8A0D5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62854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9D4C4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9641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3CC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6A82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15 15:37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F061DE0-2538-42BF-896E-271737D38786"/>
    <w:docVar w:name="LW_COVERPAGE_TYPE" w:val="1"/>
    <w:docVar w:name="LW_CROSSREFERENCE" w:val="&lt;UNUSED&gt;"/>
    <w:docVar w:name="LW_DocType" w:val="ANNEX"/>
    <w:docVar w:name="LW_EMISSION" w:val="17.12.2020"/>
    <w:docVar w:name="LW_EMISSION_ISODATE" w:val="2020-12-17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relative à la position à exprimer, au nom de l\u8217?Union européenne, lors de la soixante-quatrième session de la Commission des stupéfiants, en ce qui concerne l\u8217?inscription de substances aux tableaux annexés à la Convention unique sur les stupéfiants de 1961, telle que modifiée par le protocole de 1972, et à la Convention sur les substances psychotropes de 1971 "/>
    <w:docVar w:name="LW_OBJETACTEPRINCIPAL.CP" w:val="relative à la position à exprimer, au nom de l\u8217?Union européenne, lors de la soixante-quatrième session de la Commission des stupéfiants, en ce qui concerne l\u8217?inscription de substances aux tableaux annexés à la Convention unique sur les stupéfiants de 1961, telle que modifiée par le protocole de 1972, et à la Convention sur les substances psychotropes de 1971 "/>
    <w:docVar w:name="LW_PART_NBR" w:val="1"/>
    <w:docVar w:name="LW_PART_NBR_TOTAL" w:val="1"/>
    <w:docVar w:name="LW_REF.INST.NEW" w:val="COM"/>
    <w:docVar w:name="LW_REF.INST.NEW_ADOPTED" w:val="final"/>
    <w:docVar w:name="LW_REF.INST.NEW_TEXT" w:val="(2020) 8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proposition de décision du Conseil"/>
    <w:docVar w:name="LW_TYPEACTEPRINCIPAL.CP" w:val="proposition de décision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180</Words>
  <Characters>969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Edith (HOME)</dc:creator>
  <cp:keywords/>
  <dc:description/>
  <cp:lastModifiedBy>WES PDFC Administrator</cp:lastModifiedBy>
  <cp:revision>9</cp:revision>
  <dcterms:created xsi:type="dcterms:W3CDTF">2020-12-07T11:33:00Z</dcterms:created>
  <dcterms:modified xsi:type="dcterms:W3CDTF">2020-12-15T14:37:00Z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