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9DD0100-C80D-4247-AED1-73B06D4A2434"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ind w:left="426" w:hanging="426"/>
        <w:jc w:val="both"/>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Introdução</w:t>
      </w: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A equidade fiscal é um elemento fundamental do recentemente adotado </w:t>
      </w:r>
      <w:r>
        <w:rPr>
          <w:i/>
          <w:noProof/>
        </w:rPr>
        <w:t>plano de ação da Comissão</w:t>
      </w:r>
      <w:r>
        <w:rPr>
          <w:noProof/>
        </w:rPr>
        <w:t xml:space="preserve"> </w:t>
      </w:r>
      <w:r>
        <w:rPr>
          <w:i/>
          <w:noProof/>
        </w:rPr>
        <w:t>para uma tributação justa e simples que apoie a estratégia de recuperação</w:t>
      </w:r>
      <w:r>
        <w:rPr>
          <w:rStyle w:val="FootnoteReference"/>
          <w:noProof/>
        </w:rPr>
        <w:footnoteReference w:id="1"/>
      </w:r>
      <w:r>
        <w:rPr>
          <w:noProof/>
        </w:rPr>
        <w:t xml:space="preserve">. </w:t>
      </w:r>
      <w:r>
        <w:rPr>
          <w:rFonts w:ascii="&amp;quot" w:hAnsi="&amp;quot"/>
          <w:noProof/>
          <w:color w:val="444444"/>
        </w:rPr>
        <w:t xml:space="preserve">Espera-se que todos os contribuintes paguem a sua quota-parte de impostos. Caso não sejam pagos, cabe às autoridades fiscais tomar medidas de recuperação para os cobrar. A competência das autoridades fiscais é, contudo, limitada ao território nacional. Não podem tomar medidas de cobrança noutros países, embora os devedores de impostos possam ter ido para outro país ou dispor de bens noutros países. Por conseguinte, a UE adotou legislação que permite aos Estados-Membros da UE prestarem-se assistência mútua na cobrança dos seus impostos e dos créditos da UE, nos termos do previsto pelo artigo 2.º da diretiva. </w:t>
      </w:r>
    </w:p>
    <w:p>
      <w:pPr>
        <w:pStyle w:val="listparagraph0"/>
        <w:tabs>
          <w:tab w:val="left" w:pos="426"/>
        </w:tabs>
        <w:spacing w:before="0" w:beforeAutospacing="0" w:after="0" w:afterAutospacing="0"/>
        <w:ind w:left="426"/>
        <w:jc w:val="both"/>
        <w:rPr>
          <w:noProof/>
        </w:rPr>
      </w:pPr>
    </w:p>
    <w:p>
      <w:pPr>
        <w:pStyle w:val="listparagraph0"/>
        <w:tabs>
          <w:tab w:val="left" w:pos="426"/>
        </w:tabs>
        <w:spacing w:before="0" w:beforeAutospacing="0" w:after="0" w:afterAutospacing="0"/>
        <w:ind w:left="426"/>
        <w:jc w:val="both"/>
        <w:rPr>
          <w:rFonts w:ascii="&amp;quot" w:hAnsi="&amp;quot"/>
          <w:noProof/>
          <w:color w:val="444444"/>
        </w:rPr>
      </w:pPr>
      <w:r>
        <w:rPr>
          <w:rFonts w:ascii="&amp;quot" w:hAnsi="&amp;quot"/>
          <w:noProof/>
          <w:color w:val="444444"/>
        </w:rPr>
        <w:t xml:space="preserve">O exemplo seguinte ilustra o funcionamento desta assistência em matéria de cobrança: um indivíduo não paga as suas dívidas fiscais no Estado-Membro A. Muda-se para o Estado-Membro B e também possui bens no Estado-Membro C. Neste caso, as autoridades fiscais do Estado-Membro A podem pedir às autoridades fiscais dos Estados-Membros B e C para ajudar na cobrança dos impostos devidos ao Estado-Membro A. </w:t>
      </w:r>
    </w:p>
    <w:p>
      <w:pPr>
        <w:pStyle w:val="listparagraph0"/>
        <w:tabs>
          <w:tab w:val="left" w:pos="426"/>
        </w:tabs>
        <w:spacing w:before="0" w:beforeAutospacing="0" w:after="0" w:afterAutospacing="0"/>
        <w:ind w:left="426"/>
        <w:jc w:val="both"/>
        <w:rPr>
          <w:rFonts w:ascii="&amp;quot" w:hAnsi="&amp;quot"/>
          <w:noProof/>
          <w:color w:val="444444"/>
        </w:rPr>
      </w:pPr>
    </w:p>
    <w:p>
      <w:pPr>
        <w:pStyle w:val="listparagraph0"/>
        <w:tabs>
          <w:tab w:val="left" w:pos="426"/>
        </w:tabs>
        <w:spacing w:before="0" w:beforeAutospacing="0" w:after="0" w:afterAutospacing="0"/>
        <w:ind w:left="426"/>
        <w:jc w:val="both"/>
        <w:rPr>
          <w:noProof/>
        </w:rPr>
      </w:pPr>
      <w:r>
        <w:rPr>
          <w:rFonts w:ascii="&amp;quot" w:hAnsi="&amp;quot"/>
          <w:noProof/>
          <w:color w:val="444444"/>
        </w:rPr>
        <w:t>Deste modo, a assistência mútua em matéria de cobrança permite garantir a equidade e a não discriminação no domínio da fiscalidade: contribui para assegurar que todos pagam os seus impostos e ajuda a evitar a fraude fiscal e as perdas orçamentais para os Estados-Membros e para a UE.</w:t>
      </w:r>
    </w:p>
    <w:p>
      <w:pPr>
        <w:pStyle w:val="ListParagraph"/>
        <w:numPr>
          <w:ilvl w:val="0"/>
          <w:numId w:val="0"/>
        </w:numPr>
        <w:spacing w:after="0" w:line="240" w:lineRule="auto"/>
        <w:ind w:left="426"/>
        <w:jc w:val="both"/>
        <w:rPr>
          <w:rFonts w:ascii="Times New Roman" w:hAnsi="Times New Roman" w:cs="Times New Roman"/>
          <w:noProof/>
          <w:sz w:val="24"/>
          <w:szCs w:val="24"/>
        </w:rPr>
      </w:pPr>
    </w:p>
    <w:p>
      <w:pPr>
        <w:pStyle w:val="ListParagraph"/>
        <w:numPr>
          <w:ilvl w:val="0"/>
          <w:numId w:val="18"/>
        </w:numPr>
        <w:spacing w:after="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O presente relatório apresenta o </w:t>
      </w:r>
      <w:r>
        <w:rPr>
          <w:rFonts w:ascii="Times New Roman" w:hAnsi="Times New Roman"/>
          <w:b/>
          <w:noProof/>
          <w:sz w:val="24"/>
          <w:szCs w:val="24"/>
        </w:rPr>
        <w:t>acompanhamento do Relatório COM(2017)778 da Comissão</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ao Parlamento Europeu e ao Conselho, de 18 de dezembro de 2017, sobre o funcionamento das disposições da Diretiva 2010/24/UE do Conselho</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de 16 de março de 2010, relativa à assistência mútua em matéria de cobrança de créditos respeitantes a impostos, direitos e outras medidas. Nos termos do artigo 27.º, n.º 3, da diretiva em apreço, de cinco em cinco anos, a Comissão deve apresentar um relatório ao Parlamento Europeu e ao Conselho sobre o funcionamento do regime estabelecido pela diretiva. O presente relatório é o segundo elaborado no âmbito desta nova diretiva. Abrange o período 2017-2019.</w:t>
      </w:r>
    </w:p>
    <w:p>
      <w:pPr>
        <w:pStyle w:val="listparagraph0"/>
        <w:spacing w:before="0" w:beforeAutospacing="0" w:after="0" w:afterAutospacing="0"/>
        <w:ind w:left="426" w:hanging="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Em conformidade com as conclusões do relatório anterior, </w:t>
      </w:r>
      <w:r>
        <w:rPr>
          <w:b/>
          <w:noProof/>
        </w:rPr>
        <w:t>foram determinadas as seguintes ações</w:t>
      </w:r>
      <w:r>
        <w:rPr>
          <w:noProof/>
        </w:rPr>
        <w:t>:</w:t>
      </w:r>
    </w:p>
    <w:p>
      <w:pPr>
        <w:pStyle w:val="listparagraph0"/>
        <w:tabs>
          <w:tab w:val="left" w:pos="851"/>
        </w:tabs>
        <w:spacing w:before="0" w:beforeAutospacing="0" w:after="0" w:afterAutospacing="0"/>
        <w:ind w:left="851" w:hanging="426"/>
        <w:jc w:val="both"/>
        <w:rPr>
          <w:noProof/>
        </w:rPr>
      </w:pPr>
      <w:r>
        <w:rPr>
          <w:noProof/>
        </w:rPr>
        <w:t>1)</w:t>
      </w:r>
      <w:r>
        <w:rPr>
          <w:noProof/>
        </w:rPr>
        <w:tab/>
        <w:t>Melhorar a recolha de dados estatísticos relativos à utilização da assistência em matéria de cobrança de impostos, com vista a uma avaliação mais detalhada da eficiência e eficácia da assistência mútua em matéria de cobrança, tendo em conta a necessidade de evitar ou limitar a carga de trabalho adicional para as autoridades fiscais nacionais. Deve também ser dada especial atenção à correspondência entre o volume de trabalho dos pedidos de assistência e os meios administrativos disponíveis no Estado requerido;</w:t>
      </w:r>
    </w:p>
    <w:p>
      <w:pPr>
        <w:pStyle w:val="listparagraph0"/>
        <w:tabs>
          <w:tab w:val="left" w:pos="851"/>
        </w:tabs>
        <w:spacing w:before="0" w:beforeAutospacing="0" w:after="0" w:afterAutospacing="0"/>
        <w:ind w:left="851" w:hanging="426"/>
        <w:jc w:val="both"/>
        <w:rPr>
          <w:noProof/>
        </w:rPr>
      </w:pPr>
      <w:r>
        <w:rPr>
          <w:noProof/>
        </w:rPr>
        <w:t xml:space="preserve">2) </w:t>
      </w:r>
      <w:r>
        <w:rPr>
          <w:noProof/>
        </w:rPr>
        <w:tab/>
        <w:t>Examinar os problemas ao nível de cada Estado-Membro que dificultam o bom funcionamento da assistência mútua em matéria de cobrança, tendo em vista as recomendações ou outras ações para resolver estas questões;</w:t>
      </w:r>
    </w:p>
    <w:p>
      <w:pPr>
        <w:pStyle w:val="listparagraph0"/>
        <w:tabs>
          <w:tab w:val="left" w:pos="851"/>
        </w:tabs>
        <w:spacing w:before="0" w:beforeAutospacing="0" w:after="0" w:afterAutospacing="0"/>
        <w:ind w:left="851" w:hanging="426"/>
        <w:jc w:val="both"/>
        <w:rPr>
          <w:noProof/>
        </w:rPr>
      </w:pPr>
      <w:r>
        <w:rPr>
          <w:noProof/>
        </w:rPr>
        <w:t>3)</w:t>
      </w:r>
      <w:r>
        <w:rPr>
          <w:noProof/>
        </w:rPr>
        <w:tab/>
        <w:t>Examinar as necessidades e as formas de melhorar o funcionamento do sistema de assistência em matéria de cobrança a nível da UE;</w:t>
      </w:r>
    </w:p>
    <w:p>
      <w:pPr>
        <w:pStyle w:val="listparagraph0"/>
        <w:tabs>
          <w:tab w:val="left" w:pos="851"/>
        </w:tabs>
        <w:spacing w:before="0" w:beforeAutospacing="0" w:after="0" w:afterAutospacing="0"/>
        <w:ind w:left="851" w:hanging="426"/>
        <w:jc w:val="both"/>
        <w:rPr>
          <w:noProof/>
        </w:rPr>
      </w:pPr>
      <w:r>
        <w:rPr>
          <w:noProof/>
        </w:rPr>
        <w:t>4)</w:t>
      </w:r>
      <w:r>
        <w:rPr>
          <w:noProof/>
        </w:rPr>
        <w:tab/>
        <w:t>Desenvolver o conhecimento e a sensibilização para a legislação relativa à assistência mútua em matéria de cobrança, tanto por parte das autoridades fiscais nacionais como dos contribuintes;</w:t>
      </w:r>
    </w:p>
    <w:p>
      <w:pPr>
        <w:pStyle w:val="listparagraph0"/>
        <w:tabs>
          <w:tab w:val="left" w:pos="851"/>
        </w:tabs>
        <w:spacing w:before="0" w:beforeAutospacing="0" w:after="0" w:afterAutospacing="0"/>
        <w:ind w:left="851" w:hanging="426"/>
        <w:jc w:val="both"/>
        <w:rPr>
          <w:noProof/>
        </w:rPr>
      </w:pPr>
      <w:r>
        <w:rPr>
          <w:noProof/>
        </w:rPr>
        <w:t>5)</w:t>
      </w:r>
      <w:r>
        <w:rPr>
          <w:noProof/>
        </w:rPr>
        <w:tab/>
        <w:t>Examinar as possibilidades e formas de promover e facilitar a assistência em matéria de cobrança com os países terceiros, tendo em conta a competência e as prioridades da UE.</w:t>
      </w:r>
    </w:p>
    <w:p>
      <w:pPr>
        <w:pStyle w:val="listparagraph0"/>
        <w:tabs>
          <w:tab w:val="left" w:pos="426"/>
        </w:tabs>
        <w:spacing w:before="0" w:beforeAutospacing="0" w:after="0" w:afterAutospacing="0"/>
        <w:ind w:left="426" w:hanging="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No que diz respeito aos três primeiros pontos de ação, foi realizada uma análise mais aprofundada pelo grupo de projeto Fiscalis 110, no qual participaram 13 Estados-Membros</w:t>
      </w:r>
      <w:r>
        <w:rPr>
          <w:rStyle w:val="FootnoteReference"/>
          <w:noProof/>
        </w:rPr>
        <w:footnoteReference w:id="4"/>
      </w:r>
      <w:r>
        <w:rPr>
          <w:noProof/>
        </w:rPr>
        <w:t>. Também foram recolhidas contribuições dos outros Estados-Membros, nomeadamente no que diz respeito às questões problemáticas verificadas a nível nacional.</w:t>
      </w:r>
    </w:p>
    <w:p>
      <w:pPr>
        <w:pStyle w:val="listparagraph0"/>
        <w:tabs>
          <w:tab w:val="left" w:pos="426"/>
        </w:tabs>
        <w:spacing w:before="0" w:beforeAutospacing="0" w:after="0" w:afterAutospacing="0"/>
        <w:ind w:left="426" w:hanging="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O presente relatório apresenta as ações de acompanhamento e inclui uma série de recomendações para melhorias futuras. </w:t>
      </w:r>
    </w:p>
    <w:p>
      <w:pPr>
        <w:pStyle w:val="listparagraph0"/>
        <w:tabs>
          <w:tab w:val="left" w:pos="426"/>
        </w:tabs>
        <w:spacing w:before="0" w:beforeAutospacing="0" w:after="0" w:afterAutospacing="0"/>
        <w:ind w:left="426" w:hanging="426"/>
        <w:jc w:val="both"/>
        <w:rPr>
          <w:noProof/>
        </w:rPr>
      </w:pPr>
    </w:p>
    <w:p>
      <w:pPr>
        <w:pStyle w:val="listparagraph0"/>
        <w:tabs>
          <w:tab w:val="left" w:pos="426"/>
        </w:tabs>
        <w:spacing w:before="0" w:beforeAutospacing="0" w:after="0" w:afterAutospacing="0"/>
        <w:ind w:left="426" w:hanging="426"/>
        <w:jc w:val="both"/>
        <w:rPr>
          <w:noProof/>
        </w:rPr>
      </w:pPr>
    </w:p>
    <w:p>
      <w:pPr>
        <w:rPr>
          <w:rFonts w:ascii="Times New Roman" w:hAnsi="Times New Roman" w:cs="Times New Roman"/>
          <w:b/>
          <w:noProof/>
          <w:sz w:val="24"/>
          <w:szCs w:val="24"/>
        </w:rPr>
      </w:pPr>
      <w:r>
        <w:rPr>
          <w:rFonts w:ascii="Times New Roman" w:hAnsi="Times New Roman"/>
          <w:b/>
          <w:noProof/>
          <w:sz w:val="24"/>
          <w:szCs w:val="24"/>
        </w:rPr>
        <w:t>1. Primeiro ponto de ação: melhorar e automatizar a recolha de dados estatísticos</w:t>
      </w:r>
    </w:p>
    <w:p>
      <w:pPr>
        <w:pStyle w:val="listparagraph0"/>
        <w:tabs>
          <w:tab w:val="left" w:pos="426"/>
        </w:tabs>
        <w:spacing w:before="0" w:beforeAutospacing="0" w:after="0" w:afterAutospacing="0"/>
        <w:ind w:left="426" w:hanging="426"/>
        <w:jc w:val="both"/>
        <w:rPr>
          <w:b/>
          <w:noProof/>
        </w:rPr>
      </w:pPr>
    </w:p>
    <w:p>
      <w:pPr>
        <w:pStyle w:val="ListParagraph"/>
        <w:numPr>
          <w:ilvl w:val="0"/>
          <w:numId w:val="18"/>
        </w:numPr>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Os </w:t>
      </w:r>
      <w:r>
        <w:rPr>
          <w:rFonts w:ascii="Times New Roman" w:hAnsi="Times New Roman"/>
          <w:b/>
          <w:noProof/>
          <w:sz w:val="24"/>
          <w:szCs w:val="24"/>
        </w:rPr>
        <w:t>montantes cobrados</w:t>
      </w:r>
      <w:r>
        <w:rPr>
          <w:rFonts w:ascii="Times New Roman" w:hAnsi="Times New Roman"/>
          <w:noProof/>
          <w:sz w:val="24"/>
          <w:szCs w:val="24"/>
        </w:rPr>
        <w:t xml:space="preserve"> comunicados pelos Estados-Membros requerentes e os Estados-Membros requeridos apresentam algumas diferenças no período 2017-2019.</w:t>
      </w:r>
    </w:p>
    <w:p>
      <w:pPr>
        <w:spacing w:after="120" w:line="240" w:lineRule="auto"/>
        <w:ind w:left="714" w:hanging="288"/>
        <w:rPr>
          <w:rFonts w:ascii="Times New Roman" w:hAnsi="Times New Roman" w:cs="Times New Roman"/>
          <w:i/>
          <w:noProof/>
          <w:sz w:val="24"/>
          <w:szCs w:val="24"/>
        </w:rPr>
      </w:pPr>
      <w:r>
        <w:rPr>
          <w:rFonts w:ascii="Times New Roman" w:hAnsi="Times New Roman"/>
          <w:i/>
          <w:noProof/>
          <w:sz w:val="24"/>
          <w:szCs w:val="24"/>
        </w:rPr>
        <w:t>Quadro 1: panorâmica dos montantes cobrados (2017-2019):</w:t>
      </w:r>
    </w:p>
    <w:tbl>
      <w:tblPr>
        <w:tblStyle w:val="TableGrid"/>
        <w:tblW w:w="0" w:type="auto"/>
        <w:tblInd w:w="468" w:type="dxa"/>
        <w:tblLook w:val="04A0" w:firstRow="1" w:lastRow="0" w:firstColumn="1" w:lastColumn="0" w:noHBand="0" w:noVBand="1"/>
      </w:tblPr>
      <w:tblGrid>
        <w:gridCol w:w="960"/>
        <w:gridCol w:w="3960"/>
        <w:gridCol w:w="3900"/>
      </w:tblGrid>
      <w:tr>
        <w:tc>
          <w:tcPr>
            <w:tcW w:w="960" w:type="dxa"/>
          </w:tcPr>
          <w:p>
            <w:pPr>
              <w:spacing w:before="120" w:after="120"/>
              <w:jc w:val="both"/>
              <w:rPr>
                <w:rFonts w:ascii="Times New Roman" w:hAnsi="Times New Roman" w:cs="Times New Roman"/>
                <w:i/>
                <w:noProof/>
                <w:sz w:val="24"/>
                <w:szCs w:val="24"/>
              </w:rPr>
            </w:pPr>
          </w:p>
        </w:tc>
        <w:tc>
          <w:tcPr>
            <w:tcW w:w="3960" w:type="dxa"/>
            <w:shd w:val="clear" w:color="auto" w:fill="D9D9D9" w:themeFill="background2" w:themeFillShade="D9"/>
            <w:vAlign w:val="center"/>
          </w:tcPr>
          <w:p>
            <w:pPr>
              <w:jc w:val="center"/>
              <w:rPr>
                <w:rFonts w:ascii="Times New Roman" w:hAnsi="Times New Roman" w:cs="Times New Roman"/>
                <w:i/>
                <w:noProof/>
                <w:sz w:val="24"/>
                <w:szCs w:val="24"/>
              </w:rPr>
            </w:pPr>
            <w:r>
              <w:rPr>
                <w:rFonts w:ascii="Times New Roman" w:hAnsi="Times New Roman"/>
                <w:noProof/>
                <w:sz w:val="24"/>
                <w:szCs w:val="24"/>
              </w:rPr>
              <w:t>Cobrados a pedido de outros Estados-Membros antes da dedução dos próprios custos (comunicados pelos Estados-Membros requeridos)</w:t>
            </w:r>
          </w:p>
        </w:tc>
        <w:tc>
          <w:tcPr>
            <w:tcW w:w="3900" w:type="dxa"/>
            <w:shd w:val="clear" w:color="auto" w:fill="D9D9D9" w:themeFill="background2" w:themeFillShade="D9"/>
            <w:vAlign w:val="center"/>
          </w:tcPr>
          <w:p>
            <w:pPr>
              <w:ind w:left="12"/>
              <w:jc w:val="center"/>
              <w:rPr>
                <w:rFonts w:ascii="Times New Roman" w:hAnsi="Times New Roman" w:cs="Times New Roman"/>
                <w:i/>
                <w:noProof/>
                <w:sz w:val="24"/>
                <w:szCs w:val="24"/>
              </w:rPr>
            </w:pPr>
            <w:r>
              <w:rPr>
                <w:rFonts w:ascii="Times New Roman" w:hAnsi="Times New Roman"/>
                <w:noProof/>
                <w:sz w:val="24"/>
                <w:szCs w:val="24"/>
              </w:rPr>
              <w:t>Montantes cobrados através de pedido a outros Estados-Membros (comunicados pelos Estados-Membros requerentes)</w:t>
            </w:r>
          </w:p>
        </w:tc>
      </w:tr>
      <w:tr>
        <w:tc>
          <w:tcPr>
            <w:tcW w:w="960" w:type="dxa"/>
            <w:tcBorders>
              <w:bottom w:val="single" w:sz="4" w:space="0" w:color="auto"/>
            </w:tcBorders>
          </w:tcPr>
          <w:p>
            <w:pPr>
              <w:jc w:val="both"/>
              <w:rPr>
                <w:rFonts w:ascii="Times New Roman" w:hAnsi="Times New Roman" w:cs="Times New Roman"/>
                <w:i/>
                <w:noProof/>
                <w:sz w:val="24"/>
                <w:szCs w:val="24"/>
              </w:rPr>
            </w:pPr>
          </w:p>
        </w:tc>
        <w:tc>
          <w:tcPr>
            <w:tcW w:w="3960" w:type="dxa"/>
            <w:shd w:val="clear" w:color="auto" w:fill="D9D9D9" w:themeFill="background2" w:themeFillShade="D9"/>
          </w:tcPr>
          <w:p>
            <w:pPr>
              <w:jc w:val="center"/>
              <w:rPr>
                <w:rFonts w:ascii="Times New Roman" w:hAnsi="Times New Roman" w:cs="Times New Roman"/>
                <w:i/>
                <w:noProof/>
                <w:sz w:val="24"/>
                <w:szCs w:val="24"/>
              </w:rPr>
            </w:pPr>
            <w:r>
              <w:rPr>
                <w:rFonts w:ascii="Times New Roman" w:hAnsi="Times New Roman"/>
                <w:i/>
                <w:noProof/>
                <w:sz w:val="24"/>
                <w:szCs w:val="24"/>
              </w:rPr>
              <w:t>em EUR</w:t>
            </w:r>
          </w:p>
        </w:tc>
        <w:tc>
          <w:tcPr>
            <w:tcW w:w="3900" w:type="dxa"/>
            <w:shd w:val="clear" w:color="auto" w:fill="D9D9D9" w:themeFill="background2" w:themeFillShade="D9"/>
          </w:tcPr>
          <w:p>
            <w:pPr>
              <w:jc w:val="center"/>
              <w:rPr>
                <w:rFonts w:ascii="Times New Roman" w:hAnsi="Times New Roman" w:cs="Times New Roman"/>
                <w:i/>
                <w:noProof/>
                <w:sz w:val="24"/>
                <w:szCs w:val="24"/>
              </w:rPr>
            </w:pPr>
            <w:r>
              <w:rPr>
                <w:rFonts w:ascii="Times New Roman" w:hAnsi="Times New Roman"/>
                <w:i/>
                <w:noProof/>
                <w:sz w:val="24"/>
                <w:szCs w:val="24"/>
              </w:rPr>
              <w:t>em EUR</w:t>
            </w:r>
          </w:p>
        </w:tc>
      </w:tr>
      <w:tr>
        <w:tc>
          <w:tcPr>
            <w:tcW w:w="960" w:type="dxa"/>
            <w:shd w:val="clear" w:color="auto" w:fill="95BBCC" w:themeFill="background1" w:themeFillShade="BF"/>
            <w:vAlign w:val="center"/>
          </w:tcPr>
          <w:p>
            <w:pPr>
              <w:ind w:left="12"/>
              <w:jc w:val="center"/>
              <w:rPr>
                <w:rFonts w:ascii="Times New Roman" w:hAnsi="Times New Roman" w:cs="Times New Roman"/>
                <w:noProof/>
                <w:sz w:val="24"/>
                <w:szCs w:val="24"/>
              </w:rPr>
            </w:pPr>
            <w:r>
              <w:rPr>
                <w:rFonts w:ascii="Times New Roman" w:hAnsi="Times New Roman"/>
                <w:noProof/>
                <w:sz w:val="24"/>
                <w:szCs w:val="24"/>
              </w:rPr>
              <w:t>2017</w:t>
            </w:r>
          </w:p>
        </w:tc>
        <w:tc>
          <w:tcPr>
            <w:tcW w:w="3960" w:type="dxa"/>
            <w:vAlign w:val="center"/>
          </w:tcPr>
          <w:p>
            <w:pPr>
              <w:ind w:left="12" w:right="1204"/>
              <w:jc w:val="right"/>
              <w:rPr>
                <w:rFonts w:ascii="Times New Roman" w:hAnsi="Times New Roman" w:cs="Times New Roman"/>
                <w:noProof/>
                <w:sz w:val="24"/>
                <w:szCs w:val="24"/>
              </w:rPr>
            </w:pPr>
            <w:r>
              <w:rPr>
                <w:rFonts w:ascii="Times New Roman" w:hAnsi="Times New Roman"/>
                <w:noProof/>
                <w:sz w:val="24"/>
                <w:szCs w:val="24"/>
              </w:rPr>
              <w:t>103 536 690</w:t>
            </w:r>
          </w:p>
        </w:tc>
        <w:tc>
          <w:tcPr>
            <w:tcW w:w="3900" w:type="dxa"/>
            <w:vAlign w:val="center"/>
          </w:tcPr>
          <w:p>
            <w:pPr>
              <w:ind w:left="12" w:right="1276"/>
              <w:jc w:val="right"/>
              <w:rPr>
                <w:rFonts w:ascii="Times New Roman" w:hAnsi="Times New Roman" w:cs="Times New Roman"/>
                <w:noProof/>
                <w:sz w:val="24"/>
                <w:szCs w:val="24"/>
              </w:rPr>
            </w:pPr>
            <w:r>
              <w:rPr>
                <w:rFonts w:ascii="Times New Roman" w:hAnsi="Times New Roman"/>
                <w:noProof/>
                <w:sz w:val="24"/>
                <w:szCs w:val="24"/>
              </w:rPr>
              <w:t>159 544 517</w:t>
            </w:r>
          </w:p>
        </w:tc>
      </w:tr>
      <w:tr>
        <w:tc>
          <w:tcPr>
            <w:tcW w:w="960" w:type="dxa"/>
            <w:shd w:val="clear" w:color="auto" w:fill="95BBCC" w:themeFill="background1" w:themeFillShade="BF"/>
            <w:vAlign w:val="center"/>
          </w:tcPr>
          <w:p>
            <w:pPr>
              <w:ind w:left="12"/>
              <w:jc w:val="center"/>
              <w:rPr>
                <w:rFonts w:ascii="Times New Roman" w:hAnsi="Times New Roman" w:cs="Times New Roman"/>
                <w:noProof/>
                <w:sz w:val="24"/>
                <w:szCs w:val="24"/>
              </w:rPr>
            </w:pPr>
            <w:r>
              <w:rPr>
                <w:rFonts w:ascii="Times New Roman" w:hAnsi="Times New Roman"/>
                <w:noProof/>
                <w:sz w:val="24"/>
                <w:szCs w:val="24"/>
              </w:rPr>
              <w:t>2018</w:t>
            </w:r>
          </w:p>
        </w:tc>
        <w:tc>
          <w:tcPr>
            <w:tcW w:w="3960" w:type="dxa"/>
            <w:vAlign w:val="center"/>
          </w:tcPr>
          <w:p>
            <w:pPr>
              <w:ind w:left="12" w:right="1204"/>
              <w:jc w:val="right"/>
              <w:rPr>
                <w:rFonts w:ascii="Times New Roman" w:hAnsi="Times New Roman" w:cs="Times New Roman"/>
                <w:noProof/>
                <w:sz w:val="24"/>
                <w:szCs w:val="24"/>
              </w:rPr>
            </w:pPr>
            <w:r>
              <w:rPr>
                <w:rFonts w:ascii="Times New Roman" w:hAnsi="Times New Roman"/>
                <w:noProof/>
                <w:sz w:val="24"/>
                <w:szCs w:val="24"/>
              </w:rPr>
              <w:t>86 099 511</w:t>
            </w:r>
          </w:p>
        </w:tc>
        <w:tc>
          <w:tcPr>
            <w:tcW w:w="3900" w:type="dxa"/>
            <w:vAlign w:val="center"/>
          </w:tcPr>
          <w:p>
            <w:pPr>
              <w:ind w:left="12" w:right="1276"/>
              <w:jc w:val="right"/>
              <w:rPr>
                <w:rFonts w:ascii="Times New Roman" w:hAnsi="Times New Roman" w:cs="Times New Roman"/>
                <w:noProof/>
                <w:sz w:val="24"/>
                <w:szCs w:val="24"/>
              </w:rPr>
            </w:pPr>
            <w:r>
              <w:rPr>
                <w:rFonts w:ascii="Times New Roman" w:hAnsi="Times New Roman"/>
                <w:noProof/>
                <w:sz w:val="24"/>
                <w:szCs w:val="24"/>
              </w:rPr>
              <w:t>127 517 949</w:t>
            </w:r>
          </w:p>
        </w:tc>
      </w:tr>
      <w:tr>
        <w:tc>
          <w:tcPr>
            <w:tcW w:w="960" w:type="dxa"/>
            <w:shd w:val="clear" w:color="auto" w:fill="95BBCC" w:themeFill="background1" w:themeFillShade="BF"/>
            <w:vAlign w:val="center"/>
          </w:tcPr>
          <w:p>
            <w:pPr>
              <w:ind w:left="12"/>
              <w:jc w:val="center"/>
              <w:rPr>
                <w:rFonts w:ascii="Times New Roman" w:hAnsi="Times New Roman" w:cs="Times New Roman"/>
                <w:noProof/>
                <w:sz w:val="24"/>
                <w:szCs w:val="24"/>
              </w:rPr>
            </w:pPr>
            <w:r>
              <w:rPr>
                <w:rFonts w:ascii="Times New Roman" w:hAnsi="Times New Roman"/>
                <w:noProof/>
                <w:sz w:val="24"/>
                <w:szCs w:val="24"/>
              </w:rPr>
              <w:t>2019</w:t>
            </w:r>
          </w:p>
        </w:tc>
        <w:tc>
          <w:tcPr>
            <w:tcW w:w="3960" w:type="dxa"/>
            <w:vAlign w:val="center"/>
          </w:tcPr>
          <w:p>
            <w:pPr>
              <w:ind w:left="12" w:right="1204"/>
              <w:jc w:val="right"/>
              <w:rPr>
                <w:rFonts w:ascii="Times New Roman" w:hAnsi="Times New Roman" w:cs="Times New Roman"/>
                <w:noProof/>
                <w:sz w:val="24"/>
                <w:szCs w:val="24"/>
              </w:rPr>
            </w:pPr>
            <w:r>
              <w:rPr>
                <w:rFonts w:ascii="Times New Roman" w:hAnsi="Times New Roman"/>
                <w:noProof/>
                <w:sz w:val="24"/>
                <w:szCs w:val="24"/>
              </w:rPr>
              <w:t>93 304 732</w:t>
            </w:r>
          </w:p>
        </w:tc>
        <w:tc>
          <w:tcPr>
            <w:tcW w:w="3900" w:type="dxa"/>
            <w:vAlign w:val="center"/>
          </w:tcPr>
          <w:p>
            <w:pPr>
              <w:ind w:left="12" w:right="1276"/>
              <w:jc w:val="right"/>
              <w:rPr>
                <w:rFonts w:ascii="Times New Roman" w:hAnsi="Times New Roman" w:cs="Times New Roman"/>
                <w:noProof/>
                <w:sz w:val="24"/>
                <w:szCs w:val="24"/>
              </w:rPr>
            </w:pPr>
            <w:r>
              <w:rPr>
                <w:rFonts w:ascii="Times New Roman" w:hAnsi="Times New Roman"/>
                <w:noProof/>
                <w:sz w:val="24"/>
                <w:szCs w:val="24"/>
              </w:rPr>
              <w:t>106 391 930</w:t>
            </w:r>
          </w:p>
        </w:tc>
      </w:tr>
    </w:tbl>
    <w:p>
      <w:pPr>
        <w:pStyle w:val="ListParagraph"/>
        <w:numPr>
          <w:ilvl w:val="0"/>
          <w:numId w:val="0"/>
        </w:numPr>
        <w:spacing w:after="120" w:line="240" w:lineRule="auto"/>
        <w:ind w:left="720"/>
        <w:rPr>
          <w:noProof/>
        </w:rPr>
      </w:pPr>
    </w:p>
    <w:p>
      <w:pPr>
        <w:pStyle w:val="ListParagraph"/>
        <w:numPr>
          <w:ilvl w:val="0"/>
          <w:numId w:val="0"/>
        </w:numPr>
        <w:spacing w:after="120" w:line="240" w:lineRule="auto"/>
        <w:ind w:left="425"/>
        <w:jc w:val="both"/>
        <w:rPr>
          <w:rFonts w:ascii="Times New Roman" w:hAnsi="Times New Roman" w:cs="Times New Roman"/>
          <w:noProof/>
          <w:sz w:val="24"/>
          <w:szCs w:val="24"/>
        </w:rPr>
      </w:pPr>
      <w:r>
        <w:rPr>
          <w:rFonts w:ascii="Times New Roman" w:hAnsi="Times New Roman"/>
          <w:noProof/>
          <w:sz w:val="24"/>
          <w:szCs w:val="24"/>
        </w:rPr>
        <w:t xml:space="preserve">Os dados acima indicam que, durante o período de três anos, foram cobrados entre 283 milhões de EUR e 393 milhões de EUR. </w:t>
      </w:r>
    </w:p>
    <w:p>
      <w:pPr>
        <w:pStyle w:val="ListParagraph"/>
        <w:numPr>
          <w:ilvl w:val="0"/>
          <w:numId w:val="0"/>
        </w:numPr>
        <w:spacing w:after="120" w:line="240" w:lineRule="auto"/>
        <w:ind w:left="425"/>
        <w:jc w:val="both"/>
        <w:rPr>
          <w:rFonts w:ascii="Times New Roman" w:hAnsi="Times New Roman" w:cs="Times New Roman"/>
          <w:noProof/>
          <w:sz w:val="24"/>
          <w:szCs w:val="24"/>
        </w:rPr>
      </w:pPr>
    </w:p>
    <w:p>
      <w:pPr>
        <w:pStyle w:val="ListParagraph"/>
        <w:numPr>
          <w:ilvl w:val="0"/>
          <w:numId w:val="0"/>
        </w:numPr>
        <w:spacing w:after="120" w:line="240" w:lineRule="auto"/>
        <w:ind w:left="425"/>
        <w:jc w:val="both"/>
        <w:rPr>
          <w:rFonts w:ascii="Times New Roman" w:hAnsi="Times New Roman" w:cs="Times New Roman"/>
          <w:noProof/>
          <w:sz w:val="24"/>
          <w:szCs w:val="24"/>
        </w:rPr>
      </w:pPr>
      <w:r>
        <w:rPr>
          <w:rFonts w:ascii="Times New Roman" w:hAnsi="Times New Roman"/>
          <w:noProof/>
          <w:sz w:val="24"/>
          <w:szCs w:val="24"/>
        </w:rPr>
        <w:t xml:space="preserve">Os montantes nas colunas da esquerda e da direita do quadro acima não têm de corresponder exatamente. Os montantes da coluna da esquerda referem-se aos montantes cobrados antes da dedução dos custos incorridos pelo Estado-Membro requerido (o que normalmente conduziria a um montante mais elevado na coluna da esquerda) e algumas dívidas podem ser pagas diretamente ao Estado-Membro requerente (o que conduz a um montante mais elevado na coluna da direita). No entanto, as discrepâncias entre as colunas são significativas, sobretudo em 2017, embora as diferenças entre os montantes comunicados diminua de ano para ano. Independentemente dessa melhoria, tal levanta questões quanto à exatidão destas estatísticas. </w:t>
      </w:r>
    </w:p>
    <w:p>
      <w:pPr>
        <w:pStyle w:val="ListParagraph"/>
        <w:numPr>
          <w:ilvl w:val="0"/>
          <w:numId w:val="0"/>
        </w:numPr>
        <w:spacing w:after="120" w:line="240" w:lineRule="auto"/>
        <w:ind w:left="425"/>
        <w:jc w:val="both"/>
        <w:rPr>
          <w:rFonts w:ascii="Times New Roman" w:hAnsi="Times New Roman" w:cs="Times New Roman"/>
          <w:noProof/>
          <w:sz w:val="24"/>
          <w:szCs w:val="24"/>
        </w:rPr>
      </w:pPr>
    </w:p>
    <w:p>
      <w:pPr>
        <w:pStyle w:val="ListParagraph"/>
        <w:numPr>
          <w:ilvl w:val="0"/>
          <w:numId w:val="0"/>
        </w:numPr>
        <w:spacing w:after="120" w:line="240" w:lineRule="auto"/>
        <w:ind w:left="425"/>
        <w:jc w:val="both"/>
        <w:rPr>
          <w:rFonts w:ascii="Times New Roman" w:hAnsi="Times New Roman" w:cs="Times New Roman"/>
          <w:noProof/>
          <w:sz w:val="24"/>
          <w:szCs w:val="24"/>
        </w:rPr>
      </w:pPr>
      <w:r>
        <w:rPr>
          <w:rFonts w:ascii="Times New Roman" w:hAnsi="Times New Roman"/>
          <w:noProof/>
          <w:sz w:val="24"/>
          <w:szCs w:val="24"/>
        </w:rPr>
        <w:t>Também podem ser encontradas discrepâncias nos números dos pedidos de assistência comunicados pelos Estados-Membros (ver secção 1.1 do documento de trabalho dos serviços da Comissão que acompanha o presente relatório para mais informações sobre o número de pedidos de assistência).</w:t>
      </w:r>
    </w:p>
    <w:p>
      <w:pPr>
        <w:pStyle w:val="ListParagraph"/>
        <w:numPr>
          <w:ilvl w:val="0"/>
          <w:numId w:val="0"/>
        </w:numPr>
        <w:spacing w:after="120" w:line="240" w:lineRule="auto"/>
        <w:ind w:left="425"/>
        <w:jc w:val="both"/>
        <w:rPr>
          <w:rFonts w:ascii="Times New Roman" w:hAnsi="Times New Roman" w:cs="Times New Roman"/>
          <w:noProof/>
          <w:sz w:val="24"/>
          <w:szCs w:val="24"/>
        </w:rPr>
      </w:pPr>
    </w:p>
    <w:p>
      <w:pPr>
        <w:pStyle w:val="ListParagraph"/>
        <w:numPr>
          <w:ilvl w:val="0"/>
          <w:numId w:val="18"/>
        </w:numPr>
        <w:spacing w:after="120" w:line="240" w:lineRule="auto"/>
        <w:ind w:left="425" w:hanging="426"/>
        <w:jc w:val="both"/>
        <w:rPr>
          <w:rFonts w:ascii="Times New Roman" w:hAnsi="Times New Roman" w:cs="Times New Roman"/>
          <w:noProof/>
          <w:sz w:val="24"/>
          <w:szCs w:val="24"/>
        </w:rPr>
      </w:pPr>
      <w:r>
        <w:rPr>
          <w:rFonts w:ascii="Times New Roman" w:hAnsi="Times New Roman"/>
          <w:noProof/>
          <w:sz w:val="24"/>
          <w:szCs w:val="24"/>
        </w:rPr>
        <w:t xml:space="preserve">A mudança para uma </w:t>
      </w:r>
      <w:r>
        <w:rPr>
          <w:rFonts w:ascii="Times New Roman" w:hAnsi="Times New Roman"/>
          <w:b/>
          <w:noProof/>
          <w:sz w:val="24"/>
          <w:szCs w:val="24"/>
        </w:rPr>
        <w:t>recolha automatizada de dados estatísticos</w:t>
      </w:r>
      <w:r>
        <w:rPr>
          <w:rFonts w:ascii="Times New Roman" w:hAnsi="Times New Roman"/>
          <w:noProof/>
          <w:sz w:val="24"/>
          <w:szCs w:val="24"/>
        </w:rPr>
        <w:t xml:space="preserve"> ajudará a </w:t>
      </w:r>
      <w:r>
        <w:rPr>
          <w:rFonts w:ascii="Times New Roman" w:hAnsi="Times New Roman"/>
          <w:b/>
          <w:noProof/>
          <w:sz w:val="24"/>
          <w:szCs w:val="24"/>
        </w:rPr>
        <w:t>melhorar a fiabilidade</w:t>
      </w:r>
      <w:r>
        <w:rPr>
          <w:rFonts w:ascii="Times New Roman" w:hAnsi="Times New Roman"/>
          <w:noProof/>
          <w:sz w:val="24"/>
          <w:szCs w:val="24"/>
        </w:rPr>
        <w:t xml:space="preserve"> dos dados estatísticos comunicados pelos Estados-Membros. Reduzirá também os encargos administrativos para os Estados-Membros. </w:t>
      </w:r>
    </w:p>
    <w:p>
      <w:pPr>
        <w:pStyle w:val="ListParagraph"/>
        <w:numPr>
          <w:ilvl w:val="0"/>
          <w:numId w:val="0"/>
        </w:numPr>
        <w:spacing w:after="120" w:line="240" w:lineRule="auto"/>
        <w:ind w:left="425"/>
        <w:jc w:val="both"/>
        <w:rPr>
          <w:rFonts w:ascii="Times New Roman" w:hAnsi="Times New Roman" w:cs="Times New Roman"/>
          <w:noProof/>
          <w:sz w:val="24"/>
          <w:szCs w:val="24"/>
        </w:rPr>
      </w:pPr>
    </w:p>
    <w:p>
      <w:pPr>
        <w:pStyle w:val="ListParagraph"/>
        <w:numPr>
          <w:ilvl w:val="0"/>
          <w:numId w:val="18"/>
        </w:numPr>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Além disso, uma recolha automatizada de estatísticas permitirá aos Estados-Membros recolher </w:t>
      </w:r>
      <w:r>
        <w:rPr>
          <w:rFonts w:ascii="Times New Roman" w:hAnsi="Times New Roman"/>
          <w:b/>
          <w:noProof/>
          <w:sz w:val="24"/>
          <w:szCs w:val="24"/>
        </w:rPr>
        <w:t>informações mais pertinentes</w:t>
      </w:r>
      <w:r>
        <w:rPr>
          <w:rFonts w:ascii="Times New Roman" w:hAnsi="Times New Roman"/>
          <w:noProof/>
          <w:sz w:val="24"/>
          <w:szCs w:val="24"/>
        </w:rPr>
        <w:t xml:space="preserve"> acerca do seu real desempenho na assistência em matéria de cobrança de impostos.</w:t>
      </w:r>
    </w:p>
    <w:p>
      <w:pPr>
        <w:pStyle w:val="listparagraph0"/>
        <w:tabs>
          <w:tab w:val="left" w:pos="426"/>
        </w:tabs>
        <w:spacing w:before="0" w:beforeAutospacing="0" w:after="0" w:afterAutospacing="0"/>
        <w:ind w:left="426"/>
        <w:jc w:val="both"/>
        <w:rPr>
          <w:noProof/>
        </w:rPr>
      </w:pPr>
      <w:r>
        <w:rPr>
          <w:noProof/>
        </w:rPr>
        <w:t>O Grupo de Peritos de Cobrança já debateu a possibilidade de os Estados-Membros alargarem a recolha de dados estatísticos – de forma automatizada – aos seguintes elementos:</w:t>
      </w:r>
    </w:p>
    <w:p>
      <w:pPr>
        <w:pStyle w:val="listparagraph0"/>
        <w:numPr>
          <w:ilvl w:val="0"/>
          <w:numId w:val="13"/>
        </w:numPr>
        <w:tabs>
          <w:tab w:val="left" w:pos="426"/>
        </w:tabs>
        <w:spacing w:before="0" w:beforeAutospacing="0" w:after="0" w:afterAutospacing="0"/>
        <w:ind w:left="709" w:hanging="218"/>
        <w:jc w:val="both"/>
        <w:rPr>
          <w:noProof/>
        </w:rPr>
      </w:pPr>
      <w:r>
        <w:rPr>
          <w:noProof/>
        </w:rPr>
        <w:t>o tipo de respostas aos pedidos de cobrança, proporcionando uma indicação da utilidade do pedido e as suas hipóteses de obter a cobrança;</w:t>
      </w:r>
    </w:p>
    <w:p>
      <w:pPr>
        <w:pStyle w:val="listparagraph0"/>
        <w:numPr>
          <w:ilvl w:val="0"/>
          <w:numId w:val="13"/>
        </w:numPr>
        <w:tabs>
          <w:tab w:val="left" w:pos="426"/>
        </w:tabs>
        <w:spacing w:before="0" w:beforeAutospacing="0" w:after="0" w:afterAutospacing="0"/>
        <w:ind w:left="709" w:hanging="218"/>
        <w:jc w:val="both"/>
        <w:rPr>
          <w:noProof/>
        </w:rPr>
      </w:pPr>
      <w:r>
        <w:rPr>
          <w:noProof/>
        </w:rPr>
        <w:t>o número de situações em que os pedidos são revistos pelo Estado-Membro requerente, na sequência de correções, litígios, pagamentos (parciais), etc.;</w:t>
      </w:r>
    </w:p>
    <w:p>
      <w:pPr>
        <w:pStyle w:val="listparagraph0"/>
        <w:numPr>
          <w:ilvl w:val="0"/>
          <w:numId w:val="13"/>
        </w:numPr>
        <w:tabs>
          <w:tab w:val="left" w:pos="426"/>
        </w:tabs>
        <w:spacing w:before="0" w:beforeAutospacing="0" w:after="0" w:afterAutospacing="0"/>
        <w:ind w:left="709" w:hanging="218"/>
        <w:jc w:val="both"/>
        <w:rPr>
          <w:noProof/>
        </w:rPr>
      </w:pPr>
      <w:r>
        <w:rPr>
          <w:noProof/>
        </w:rPr>
        <w:t>a prontidão dos avisos de receção dos pedidos de assistência e a prontidão das primeiras respostas aos pedidos de assistência;</w:t>
      </w:r>
    </w:p>
    <w:p>
      <w:pPr>
        <w:pStyle w:val="listparagraph0"/>
        <w:numPr>
          <w:ilvl w:val="0"/>
          <w:numId w:val="13"/>
        </w:numPr>
        <w:tabs>
          <w:tab w:val="left" w:pos="426"/>
        </w:tabs>
        <w:spacing w:before="0" w:beforeAutospacing="0" w:after="120" w:afterAutospacing="0"/>
        <w:ind w:left="709" w:hanging="218"/>
        <w:jc w:val="both"/>
        <w:rPr>
          <w:noProof/>
        </w:rPr>
      </w:pPr>
      <w:r>
        <w:rPr>
          <w:noProof/>
        </w:rPr>
        <w:t>o número de pedidos de assistência referentes aos reembolsos do IVA a realizar pelo Estado requerido (quando a ação solicitada a esse Estado se limita à apreensão do montante de reembolso do IVA em causa).</w:t>
      </w:r>
    </w:p>
    <w:p>
      <w:pPr>
        <w:pStyle w:val="listparagraph0"/>
        <w:tabs>
          <w:tab w:val="left" w:pos="426"/>
        </w:tabs>
        <w:spacing w:before="0" w:beforeAutospacing="0" w:after="120" w:afterAutospacing="0"/>
        <w:ind w:left="426"/>
        <w:jc w:val="both"/>
        <w:rPr>
          <w:noProof/>
        </w:rPr>
      </w:pPr>
      <w:r>
        <w:rPr>
          <w:noProof/>
        </w:rPr>
        <w:t>A Comissão espera que estas informações adicionais ajudem a melhorar a avaliação do trabalho e a demonstrar mais claramente os esforços envidados pelos Estados-Membros requeridos e requerentes.</w:t>
      </w:r>
    </w:p>
    <w:p>
      <w:pPr>
        <w:pStyle w:val="listparagraph0"/>
        <w:numPr>
          <w:ilvl w:val="0"/>
          <w:numId w:val="18"/>
        </w:numPr>
        <w:tabs>
          <w:tab w:val="left" w:pos="426"/>
        </w:tabs>
        <w:spacing w:before="0" w:beforeAutospacing="0" w:after="0" w:afterAutospacing="0"/>
        <w:ind w:left="426" w:hanging="426"/>
        <w:jc w:val="both"/>
        <w:rPr>
          <w:noProof/>
        </w:rPr>
      </w:pPr>
      <w:r>
        <w:rPr>
          <w:noProof/>
        </w:rPr>
        <w:t>A recolha automatizada dos dados estatísticos acima referidos exige alguns desenvolvimentos informáticos suplementares. Normalmente, estes estariam prontos em 2021 para que a recolha automatizada dessas estatísticas pudesse ser plenamente aplicada pelos Estados-Membros no que diz respeito aos pedidos e respostas enviados a partir de 2022.</w:t>
      </w:r>
    </w:p>
    <w:p>
      <w:pPr>
        <w:pStyle w:val="listparagraph0"/>
        <w:tabs>
          <w:tab w:val="left" w:pos="426"/>
        </w:tabs>
        <w:spacing w:before="0" w:beforeAutospacing="0" w:after="0" w:afterAutospacing="0"/>
        <w:ind w:left="426"/>
        <w:jc w:val="both"/>
        <w:rPr>
          <w:noProof/>
        </w:rPr>
      </w:pPr>
    </w:p>
    <w:p>
      <w:pPr>
        <w:pStyle w:val="ListParagraph"/>
        <w:numPr>
          <w:ilvl w:val="0"/>
          <w:numId w:val="0"/>
        </w:numPr>
        <w:spacing w:after="120" w:line="240" w:lineRule="auto"/>
        <w:ind w:left="426"/>
        <w:jc w:val="both"/>
        <w:rPr>
          <w:rFonts w:ascii="Times New Roman" w:hAnsi="Times New Roman" w:cs="Times New Roman"/>
          <w:noProof/>
        </w:rPr>
      </w:pPr>
    </w:p>
    <w:p>
      <w:pPr>
        <w:tabs>
          <w:tab w:val="left" w:pos="426"/>
        </w:tabs>
        <w:spacing w:after="120" w:line="240" w:lineRule="auto"/>
        <w:ind w:left="425" w:hanging="425"/>
        <w:jc w:val="both"/>
        <w:rPr>
          <w:rFonts w:ascii="Times New Roman" w:hAnsi="Times New Roman" w:cs="Times New Roman"/>
          <w:b/>
          <w:noProof/>
          <w:sz w:val="24"/>
          <w:szCs w:val="24"/>
        </w:rPr>
      </w:pPr>
      <w:r>
        <w:rPr>
          <w:rFonts w:ascii="Times New Roman" w:hAnsi="Times New Roman"/>
          <w:b/>
          <w:noProof/>
          <w:sz w:val="24"/>
          <w:szCs w:val="24"/>
        </w:rPr>
        <w:t>2.</w:t>
      </w:r>
      <w:r>
        <w:rPr>
          <w:noProof/>
        </w:rPr>
        <w:tab/>
      </w:r>
      <w:r>
        <w:rPr>
          <w:rFonts w:ascii="Times New Roman" w:hAnsi="Times New Roman"/>
          <w:b/>
          <w:noProof/>
          <w:sz w:val="24"/>
          <w:szCs w:val="24"/>
        </w:rPr>
        <w:t xml:space="preserve">Segundo ponto de ação: melhorar a legislação e a prática a nível nacional </w:t>
      </w:r>
    </w:p>
    <w:p>
      <w:pPr>
        <w:pStyle w:val="listparagraph0"/>
        <w:tabs>
          <w:tab w:val="left" w:pos="426"/>
        </w:tabs>
        <w:spacing w:before="0" w:beforeAutospacing="0" w:after="0" w:afterAutospacing="0"/>
        <w:ind w:left="426" w:hanging="426"/>
        <w:jc w:val="both"/>
        <w:rPr>
          <w:noProof/>
        </w:rPr>
      </w:pPr>
    </w:p>
    <w:p>
      <w:pPr>
        <w:pStyle w:val="ListParagraph"/>
        <w:numPr>
          <w:ilvl w:val="0"/>
          <w:numId w:val="0"/>
        </w:numPr>
        <w:spacing w:after="120" w:line="240" w:lineRule="auto"/>
        <w:ind w:left="426"/>
        <w:jc w:val="both"/>
        <w:rPr>
          <w:rFonts w:ascii="Times New Roman" w:eastAsia="Calibri" w:hAnsi="Times New Roman" w:cs="Times New Roman"/>
          <w:noProof/>
          <w:sz w:val="24"/>
          <w:szCs w:val="24"/>
        </w:rPr>
      </w:pPr>
    </w:p>
    <w:p>
      <w:pPr>
        <w:pStyle w:val="ListParagraph"/>
        <w:numPr>
          <w:ilvl w:val="0"/>
          <w:numId w:val="18"/>
        </w:numPr>
        <w:spacing w:after="120" w:line="240" w:lineRule="auto"/>
        <w:ind w:left="426" w:hanging="426"/>
        <w:jc w:val="both"/>
        <w:rPr>
          <w:rFonts w:ascii="Times New Roman" w:eastAsia="Calibri" w:hAnsi="Times New Roman" w:cs="Times New Roman"/>
          <w:noProof/>
          <w:sz w:val="24"/>
          <w:szCs w:val="24"/>
        </w:rPr>
      </w:pPr>
      <w:r>
        <w:rPr>
          <w:rFonts w:ascii="Times New Roman" w:hAnsi="Times New Roman"/>
          <w:noProof/>
          <w:sz w:val="24"/>
          <w:szCs w:val="24"/>
        </w:rPr>
        <w:t>Existem diferentes situações em que a cobrança e a execução dos pedidos de assistência em matéria de cobrança devem ser melhoradas a nível nacional:</w:t>
      </w:r>
    </w:p>
    <w:p>
      <w:pPr>
        <w:pStyle w:val="ListParagraph"/>
        <w:numPr>
          <w:ilvl w:val="0"/>
          <w:numId w:val="0"/>
        </w:numPr>
        <w:spacing w:after="120" w:line="240" w:lineRule="auto"/>
        <w:ind w:left="426"/>
        <w:jc w:val="both"/>
        <w:rPr>
          <w:rFonts w:ascii="Times New Roman" w:eastAsia="Calibri" w:hAnsi="Times New Roman" w:cs="Times New Roman"/>
          <w:noProof/>
          <w:sz w:val="24"/>
          <w:szCs w:val="24"/>
        </w:rPr>
      </w:pPr>
    </w:p>
    <w:p>
      <w:pPr>
        <w:spacing w:after="120" w:line="240" w:lineRule="auto"/>
        <w:ind w:left="993" w:hanging="567"/>
        <w:jc w:val="both"/>
        <w:rPr>
          <w:rFonts w:ascii="Times New Roman" w:eastAsia="Calibri" w:hAnsi="Times New Roman" w:cs="Times New Roman"/>
          <w:noProof/>
          <w:sz w:val="24"/>
          <w:szCs w:val="24"/>
        </w:rPr>
      </w:pPr>
      <w:r>
        <w:rPr>
          <w:rFonts w:ascii="Times New Roman" w:hAnsi="Times New Roman"/>
          <w:noProof/>
          <w:sz w:val="24"/>
          <w:szCs w:val="24"/>
        </w:rPr>
        <w:t xml:space="preserve">1a) </w:t>
      </w:r>
      <w:r>
        <w:rPr>
          <w:noProof/>
        </w:rPr>
        <w:tab/>
      </w:r>
      <w:r>
        <w:rPr>
          <w:rFonts w:ascii="Times New Roman" w:hAnsi="Times New Roman"/>
          <w:b/>
          <w:noProof/>
          <w:sz w:val="24"/>
          <w:szCs w:val="24"/>
        </w:rPr>
        <w:t>Casos de ausência de resposta</w:t>
      </w:r>
      <w:r>
        <w:rPr>
          <w:rFonts w:ascii="Times New Roman" w:hAnsi="Times New Roman"/>
          <w:noProof/>
          <w:sz w:val="24"/>
          <w:szCs w:val="24"/>
        </w:rPr>
        <w:t>, evidenciando uma clara falta de cooperação. Incluem casos em que as autoridades requeridas não acusam a receção do pedido de assistência ou não fornecem respostas suplementares ao pedido.</w:t>
      </w:r>
    </w:p>
    <w:p>
      <w:pPr>
        <w:pStyle w:val="ListParagraph"/>
        <w:numPr>
          <w:ilvl w:val="0"/>
          <w:numId w:val="0"/>
        </w:numPr>
        <w:spacing w:after="120" w:line="240" w:lineRule="auto"/>
        <w:ind w:left="993"/>
        <w:jc w:val="both"/>
        <w:rPr>
          <w:rFonts w:ascii="Times New Roman" w:eastAsia="Calibri" w:hAnsi="Times New Roman" w:cs="Times New Roman"/>
          <w:noProof/>
          <w:sz w:val="24"/>
          <w:szCs w:val="24"/>
        </w:rPr>
      </w:pPr>
      <w:r>
        <w:rPr>
          <w:rFonts w:ascii="Times New Roman" w:hAnsi="Times New Roman"/>
          <w:noProof/>
          <w:sz w:val="24"/>
          <w:szCs w:val="24"/>
        </w:rPr>
        <w:t xml:space="preserve">Estas situações afetam a confiança mútua, que é fundamental na assistência em matéria de cobrança de impostos. </w:t>
      </w:r>
    </w:p>
    <w:p>
      <w:pPr>
        <w:pStyle w:val="ListParagraph"/>
        <w:numPr>
          <w:ilvl w:val="0"/>
          <w:numId w:val="0"/>
        </w:numPr>
        <w:spacing w:after="120" w:line="240" w:lineRule="auto"/>
        <w:ind w:left="993" w:hanging="567"/>
        <w:jc w:val="both"/>
        <w:rPr>
          <w:rFonts w:ascii="Times New Roman" w:eastAsia="Calibri" w:hAnsi="Times New Roman" w:cs="Times New Roman"/>
          <w:noProof/>
          <w:sz w:val="24"/>
          <w:szCs w:val="24"/>
        </w:rPr>
      </w:pPr>
    </w:p>
    <w:p>
      <w:pPr>
        <w:spacing w:after="120" w:line="240" w:lineRule="auto"/>
        <w:ind w:left="993" w:hanging="567"/>
        <w:jc w:val="both"/>
        <w:rPr>
          <w:rFonts w:ascii="Times New Roman" w:eastAsia="Calibri" w:hAnsi="Times New Roman" w:cs="Times New Roman"/>
          <w:noProof/>
          <w:sz w:val="24"/>
          <w:szCs w:val="24"/>
        </w:rPr>
      </w:pPr>
      <w:r>
        <w:rPr>
          <w:rFonts w:ascii="Times New Roman" w:hAnsi="Times New Roman"/>
          <w:noProof/>
          <w:sz w:val="24"/>
          <w:szCs w:val="24"/>
        </w:rPr>
        <w:t xml:space="preserve">1b) </w:t>
      </w:r>
      <w:r>
        <w:rPr>
          <w:noProof/>
        </w:rPr>
        <w:tab/>
      </w:r>
      <w:r>
        <w:rPr>
          <w:rFonts w:ascii="Times New Roman" w:hAnsi="Times New Roman"/>
          <w:noProof/>
          <w:sz w:val="24"/>
          <w:szCs w:val="24"/>
        </w:rPr>
        <w:t xml:space="preserve">Outras situações de falta de cooperação, devido a </w:t>
      </w:r>
      <w:r>
        <w:rPr>
          <w:rFonts w:ascii="Times New Roman" w:hAnsi="Times New Roman"/>
          <w:b/>
          <w:noProof/>
          <w:sz w:val="24"/>
          <w:szCs w:val="24"/>
        </w:rPr>
        <w:t>informações insuficientes ou pouco claras e a problemas de comunicação</w:t>
      </w:r>
      <w:r>
        <w:rPr>
          <w:rFonts w:ascii="Times New Roman" w:hAnsi="Times New Roman"/>
          <w:noProof/>
          <w:sz w:val="24"/>
          <w:szCs w:val="24"/>
        </w:rPr>
        <w:t>. Incluem</w:t>
      </w:r>
      <w:r>
        <w:rPr>
          <w:rFonts w:ascii="Times New Roman" w:hAnsi="Times New Roman"/>
          <w:b/>
          <w:noProof/>
          <w:sz w:val="24"/>
          <w:szCs w:val="24"/>
        </w:rPr>
        <w:t xml:space="preserve"> </w:t>
      </w:r>
      <w:r>
        <w:rPr>
          <w:rFonts w:ascii="Times New Roman" w:hAnsi="Times New Roman"/>
          <w:noProof/>
          <w:sz w:val="24"/>
          <w:szCs w:val="24"/>
        </w:rPr>
        <w:t>situações em que as autoridades requerentes não fornecem informações claras acerca do seu pedido (por exemplo, justificação inexistente ou insuficiente para um pedido de cobrança de um crédito antigo; falta de explicação das informações em que o pedido se baseia, embora essas informações fossem úteis para a execução do pedido) ou em que as autoridades requeridas não fornecem informações claras sobre as ações realizadas no Estado-Membro requerido e/ou os problemas que impedem ou dificultam a execução do pedido de assistência.</w:t>
      </w:r>
    </w:p>
    <w:p>
      <w:pPr>
        <w:pStyle w:val="ListParagraph"/>
        <w:numPr>
          <w:ilvl w:val="0"/>
          <w:numId w:val="0"/>
        </w:numPr>
        <w:spacing w:after="120" w:line="240" w:lineRule="auto"/>
        <w:ind w:left="993"/>
        <w:jc w:val="both"/>
        <w:rPr>
          <w:rFonts w:ascii="Times New Roman" w:eastAsia="Calibri" w:hAnsi="Times New Roman" w:cs="Times New Roman"/>
          <w:noProof/>
          <w:sz w:val="24"/>
          <w:szCs w:val="24"/>
        </w:rPr>
      </w:pPr>
      <w:r>
        <w:rPr>
          <w:rFonts w:ascii="Times New Roman" w:hAnsi="Times New Roman"/>
          <w:noProof/>
          <w:sz w:val="24"/>
          <w:szCs w:val="24"/>
        </w:rPr>
        <w:t>Estas situações afetam a eficácia e a eficiência da assistência em matéria de cobrança de impostos. Pedidos e respostas pouco claros causam um encargo administrativo adicional desnecessário para as autoridades em causa. A incerteza também prejudica as decisões do Estado-Membro requerente de tomar outras medidas (por exemplo, ações para instaurar processos de insolvência ou ações para interromper ou suspender o prazo de prescrição).</w:t>
      </w:r>
    </w:p>
    <w:p>
      <w:pPr>
        <w:pStyle w:val="ListParagraph"/>
        <w:numPr>
          <w:ilvl w:val="0"/>
          <w:numId w:val="0"/>
        </w:numPr>
        <w:spacing w:after="120" w:line="240" w:lineRule="auto"/>
        <w:ind w:left="720"/>
        <w:jc w:val="both"/>
        <w:rPr>
          <w:rFonts w:ascii="Times New Roman" w:eastAsia="Calibri" w:hAnsi="Times New Roman" w:cs="Times New Roman"/>
          <w:noProof/>
          <w:sz w:val="24"/>
          <w:szCs w:val="24"/>
        </w:rPr>
      </w:pPr>
    </w:p>
    <w:p>
      <w:pPr>
        <w:spacing w:after="120" w:line="240" w:lineRule="auto"/>
        <w:ind w:left="993" w:hanging="567"/>
        <w:jc w:val="both"/>
        <w:rPr>
          <w:rFonts w:ascii="Times New Roman" w:eastAsia="Calibri" w:hAnsi="Times New Roman" w:cs="Times New Roman"/>
          <w:noProof/>
          <w:sz w:val="24"/>
          <w:szCs w:val="24"/>
        </w:rPr>
      </w:pPr>
      <w:r>
        <w:rPr>
          <w:rFonts w:ascii="Times New Roman" w:hAnsi="Times New Roman"/>
          <w:noProof/>
          <w:sz w:val="24"/>
          <w:szCs w:val="24"/>
        </w:rPr>
        <w:t xml:space="preserve">2a) </w:t>
      </w:r>
      <w:r>
        <w:rPr>
          <w:noProof/>
        </w:rPr>
        <w:tab/>
      </w:r>
      <w:r>
        <w:rPr>
          <w:rFonts w:ascii="Times New Roman" w:hAnsi="Times New Roman"/>
          <w:b/>
          <w:noProof/>
          <w:sz w:val="24"/>
          <w:szCs w:val="24"/>
        </w:rPr>
        <w:t>Aplicação incorreta da Diretiva Cobrança</w:t>
      </w:r>
      <w:r>
        <w:rPr>
          <w:rFonts w:ascii="Times New Roman" w:hAnsi="Times New Roman"/>
          <w:noProof/>
          <w:sz w:val="24"/>
          <w:szCs w:val="24"/>
        </w:rPr>
        <w:t>: situações em que a Diretiva 2010/24 não é corretamente aplicada na legislação e/ou na prática administrativa do Estado-Membro requerido ou situações relacionadas com uma interpretação incorreta da diretiva (ver secções 2.2.1.-2.2.4. do documento de trabalho dos serviços da Comissão que acompanha o presente relatório).</w:t>
      </w:r>
    </w:p>
    <w:p>
      <w:pPr>
        <w:pStyle w:val="ListParagraph"/>
        <w:numPr>
          <w:ilvl w:val="0"/>
          <w:numId w:val="0"/>
        </w:numPr>
        <w:spacing w:after="120" w:line="240" w:lineRule="auto"/>
        <w:ind w:left="993"/>
        <w:jc w:val="both"/>
        <w:rPr>
          <w:rFonts w:ascii="Times New Roman" w:eastAsia="Calibri" w:hAnsi="Times New Roman" w:cs="Times New Roman"/>
          <w:noProof/>
          <w:sz w:val="24"/>
          <w:szCs w:val="24"/>
        </w:rPr>
      </w:pPr>
      <w:r>
        <w:rPr>
          <w:rFonts w:ascii="Times New Roman" w:hAnsi="Times New Roman"/>
          <w:noProof/>
          <w:sz w:val="24"/>
          <w:szCs w:val="24"/>
        </w:rPr>
        <w:t>Estas situações prejudicam seriamente o bom funcionamento do sistema de assistência em matéria de cobrança. Criam confusão desnecessária que, por vezes, conduz a mais interpretações incorretas e a equívocos mútuos.</w:t>
      </w:r>
    </w:p>
    <w:p>
      <w:pPr>
        <w:pStyle w:val="ListParagraph"/>
        <w:numPr>
          <w:ilvl w:val="0"/>
          <w:numId w:val="0"/>
        </w:numPr>
        <w:spacing w:after="120" w:line="240" w:lineRule="auto"/>
        <w:ind w:left="720"/>
        <w:jc w:val="both"/>
        <w:rPr>
          <w:rFonts w:ascii="Times New Roman" w:eastAsia="Calibri" w:hAnsi="Times New Roman" w:cs="Times New Roman"/>
          <w:noProof/>
          <w:sz w:val="24"/>
          <w:szCs w:val="24"/>
        </w:rPr>
      </w:pPr>
    </w:p>
    <w:p>
      <w:pPr>
        <w:spacing w:after="120" w:line="240" w:lineRule="auto"/>
        <w:ind w:left="993" w:hanging="567"/>
        <w:jc w:val="both"/>
        <w:rPr>
          <w:rFonts w:ascii="Times New Roman" w:eastAsia="Calibri" w:hAnsi="Times New Roman" w:cs="Times New Roman"/>
          <w:noProof/>
          <w:sz w:val="24"/>
          <w:szCs w:val="24"/>
        </w:rPr>
      </w:pPr>
      <w:r>
        <w:rPr>
          <w:rFonts w:ascii="Times New Roman" w:hAnsi="Times New Roman"/>
          <w:noProof/>
          <w:sz w:val="24"/>
          <w:szCs w:val="24"/>
        </w:rPr>
        <w:t xml:space="preserve">2b) </w:t>
      </w:r>
      <w:r>
        <w:rPr>
          <w:noProof/>
        </w:rPr>
        <w:tab/>
      </w:r>
      <w:r>
        <w:rPr>
          <w:rFonts w:ascii="Times New Roman" w:hAnsi="Times New Roman"/>
          <w:b/>
          <w:noProof/>
          <w:sz w:val="24"/>
          <w:szCs w:val="24"/>
        </w:rPr>
        <w:t>Legislação ou prática nacional insuficiente</w:t>
      </w:r>
      <w:r>
        <w:rPr>
          <w:rFonts w:ascii="Times New Roman" w:hAnsi="Times New Roman"/>
          <w:noProof/>
          <w:sz w:val="24"/>
          <w:szCs w:val="24"/>
        </w:rPr>
        <w:t>: situações em que o quadro jurídico ou a prática no Estado-Membro requerido não é adequada para prestar assistência em matéria de cobrança a outros Estados-Membros (ver secção 2.2.5. do documento de trabalho dos serviços da Comissão que acompanha o presente relatório).</w:t>
      </w:r>
    </w:p>
    <w:p>
      <w:pPr>
        <w:pStyle w:val="ListParagraph"/>
        <w:numPr>
          <w:ilvl w:val="0"/>
          <w:numId w:val="0"/>
        </w:numPr>
        <w:spacing w:after="120" w:line="240" w:lineRule="auto"/>
        <w:ind w:left="993"/>
        <w:jc w:val="both"/>
        <w:rPr>
          <w:rFonts w:ascii="Times New Roman" w:hAnsi="Times New Roman" w:cs="Times New Roman"/>
          <w:noProof/>
          <w:sz w:val="24"/>
          <w:szCs w:val="24"/>
        </w:rPr>
      </w:pPr>
      <w:r>
        <w:rPr>
          <w:rFonts w:ascii="Times New Roman" w:hAnsi="Times New Roman"/>
          <w:noProof/>
          <w:sz w:val="24"/>
          <w:szCs w:val="24"/>
        </w:rPr>
        <w:t>Se a legislação ou a prática nacional não estiver suficientemente desenvolvida e adaptada às necessidades da assistência internacional em matéria de cobrança, a assistência em matéria de cobrança não pode funcionar de forma adequada. Tais situações podem ser direta ou indiretamente discriminatórias e ter consequências negativas para a cobrança de impostos e para o funcionamento do mercado interno.</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Em geral, pode concluir-se que os Estados-Membros têm de afetar recursos humanos e infraestruturas informáticas suficientes para lidar com os pedidos de assistência em matéria de cobrança recebidos e que devem ser desenvolvidas regras e práticas administrativas nacionais, com vista a proporcionar uma assistência em matéria de cobrança ativa e eficaz.</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A Comissão pretende acompanhar de perto as questões comunicadas. Todos os Estados-Membros em causa foram convidados a apresentar as suas observações e, se necessário, as suas ações de acompanhamento. A análise destas questões por parte da Comissão está em curso, o que pode, em alguns casos, envolver procedimentos de infração em situações de aplicação incorreta da Diretiva Cobrança.</w:t>
      </w:r>
    </w:p>
    <w:p>
      <w:pPr>
        <w:pStyle w:val="listparagraph0"/>
        <w:tabs>
          <w:tab w:val="left" w:pos="426"/>
        </w:tabs>
        <w:spacing w:before="0" w:beforeAutospacing="0" w:after="0" w:afterAutospacing="0"/>
        <w:ind w:left="426"/>
        <w:jc w:val="both"/>
        <w:rPr>
          <w:noProof/>
        </w:rPr>
      </w:pPr>
    </w:p>
    <w:p>
      <w:pPr>
        <w:tabs>
          <w:tab w:val="left" w:pos="426"/>
        </w:tabs>
        <w:spacing w:after="120" w:line="240" w:lineRule="auto"/>
        <w:ind w:left="425" w:hanging="425"/>
        <w:jc w:val="both"/>
        <w:rPr>
          <w:rFonts w:ascii="Times New Roman" w:hAnsi="Times New Roman" w:cs="Times New Roman"/>
          <w:b/>
          <w:noProof/>
          <w:sz w:val="24"/>
          <w:szCs w:val="24"/>
        </w:rPr>
      </w:pPr>
    </w:p>
    <w:p>
      <w:pPr>
        <w:tabs>
          <w:tab w:val="left" w:pos="426"/>
        </w:tabs>
        <w:spacing w:after="120" w:line="240" w:lineRule="auto"/>
        <w:ind w:left="425" w:hanging="425"/>
        <w:jc w:val="both"/>
        <w:rPr>
          <w:rFonts w:ascii="Times New Roman" w:hAnsi="Times New Roman" w:cs="Times New Roman"/>
          <w:b/>
          <w:noProof/>
          <w:sz w:val="24"/>
          <w:szCs w:val="24"/>
        </w:rPr>
      </w:pPr>
      <w:r>
        <w:rPr>
          <w:rFonts w:ascii="Times New Roman" w:hAnsi="Times New Roman"/>
          <w:b/>
          <w:noProof/>
          <w:sz w:val="24"/>
          <w:szCs w:val="24"/>
        </w:rPr>
        <w:t>3.</w:t>
      </w:r>
      <w:r>
        <w:rPr>
          <w:noProof/>
        </w:rPr>
        <w:tab/>
      </w:r>
      <w:r>
        <w:rPr>
          <w:rFonts w:ascii="Times New Roman" w:hAnsi="Times New Roman"/>
          <w:b/>
          <w:noProof/>
          <w:sz w:val="24"/>
          <w:szCs w:val="24"/>
        </w:rPr>
        <w:t>Terceiro ponto de ação: melhorar o funcionamento da assistência em matéria de cobrança a nível da UE</w:t>
      </w:r>
    </w:p>
    <w:p>
      <w:pPr>
        <w:tabs>
          <w:tab w:val="left" w:pos="709"/>
          <w:tab w:val="left" w:pos="1134"/>
        </w:tabs>
        <w:spacing w:after="120" w:line="240" w:lineRule="auto"/>
        <w:ind w:left="709" w:hanging="709"/>
        <w:jc w:val="both"/>
        <w:rPr>
          <w:rFonts w:ascii="Cambria" w:hAnsi="Cambria" w:cs="EUAlbertina"/>
          <w:noProof/>
          <w:lang w:eastAsia="en-GB"/>
        </w:rPr>
      </w:pPr>
    </w:p>
    <w:p>
      <w:pPr>
        <w:pStyle w:val="ListParagraph"/>
        <w:numPr>
          <w:ilvl w:val="0"/>
          <w:numId w:val="18"/>
        </w:numPr>
        <w:tabs>
          <w:tab w:val="left" w:pos="284"/>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O Relatório COM(2017)778 da Comissão concluiu que melhorar os diferentes aspetos jurídicos e técnicos do funcionamento do sistema de assistência em matéria de cobrança de impostos da UE é algo que pode ser perspetivado (ver secção 4.3. desse relatório).</w:t>
      </w:r>
    </w:p>
    <w:p>
      <w:pPr>
        <w:pStyle w:val="ListParagraph"/>
        <w:numPr>
          <w:ilvl w:val="0"/>
          <w:numId w:val="0"/>
        </w:numPr>
        <w:tabs>
          <w:tab w:val="left" w:pos="284"/>
        </w:tabs>
        <w:spacing w:after="120" w:line="240" w:lineRule="auto"/>
        <w:ind w:left="426"/>
        <w:jc w:val="both"/>
        <w:rPr>
          <w:rFonts w:ascii="Times New Roman" w:hAnsi="Times New Roman" w:cs="Times New Roman"/>
          <w:noProof/>
          <w:sz w:val="24"/>
          <w:szCs w:val="24"/>
        </w:rPr>
      </w:pPr>
    </w:p>
    <w:p>
      <w:pPr>
        <w:pStyle w:val="ListParagraph"/>
        <w:numPr>
          <w:ilvl w:val="0"/>
          <w:numId w:val="18"/>
        </w:numPr>
        <w:tabs>
          <w:tab w:val="left" w:pos="284"/>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Foram formuladas pelos Estados-Membros algumas ideias para melhorar o quadro da UE no contexto da avaliação realizada em 2017</w:t>
      </w:r>
      <w:r>
        <w:rPr>
          <w:rStyle w:val="FootnoteReference"/>
          <w:rFonts w:ascii="Times New Roman" w:hAnsi="Times New Roman" w:cs="Times New Roman"/>
          <w:noProof/>
          <w:sz w:val="24"/>
          <w:szCs w:val="24"/>
        </w:rPr>
        <w:footnoteReference w:id="5"/>
      </w:r>
      <w:r>
        <w:rPr>
          <w:noProof/>
        </w:rPr>
        <w:t>.</w:t>
      </w:r>
      <w:r>
        <w:rPr>
          <w:rFonts w:ascii="Times New Roman" w:hAnsi="Times New Roman"/>
          <w:noProof/>
          <w:sz w:val="24"/>
          <w:szCs w:val="24"/>
        </w:rPr>
        <w:t xml:space="preserve"> O grupo de projeto Fiscalis 110 realizou algumas análises adicionais a uma série de sugestões para melhorar a eficiência das disposições relativas à assistência em matéria de cobrança. A síntese abaixo apresenta os principais elementos. </w:t>
      </w:r>
    </w:p>
    <w:p>
      <w:pPr>
        <w:pStyle w:val="ListParagraph"/>
        <w:numPr>
          <w:ilvl w:val="0"/>
          <w:numId w:val="0"/>
        </w:numPr>
        <w:tabs>
          <w:tab w:val="left" w:pos="284"/>
        </w:tabs>
        <w:spacing w:after="120" w:line="240" w:lineRule="auto"/>
        <w:ind w:left="426"/>
        <w:jc w:val="both"/>
        <w:rPr>
          <w:rFonts w:ascii="Times New Roman" w:hAnsi="Times New Roman" w:cs="Times New Roman"/>
          <w:noProof/>
          <w:sz w:val="24"/>
          <w:szCs w:val="24"/>
        </w:rPr>
      </w:pPr>
    </w:p>
    <w:p>
      <w:pPr>
        <w:pStyle w:val="ListParagraph"/>
        <w:numPr>
          <w:ilvl w:val="0"/>
          <w:numId w:val="18"/>
        </w:numPr>
        <w:tabs>
          <w:tab w:val="left" w:pos="284"/>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Uma das principais preocupações diz respeito à </w:t>
      </w:r>
      <w:r>
        <w:rPr>
          <w:rFonts w:ascii="Times New Roman" w:hAnsi="Times New Roman"/>
          <w:b/>
          <w:noProof/>
          <w:sz w:val="24"/>
          <w:szCs w:val="24"/>
        </w:rPr>
        <w:t>troca de informações</w:t>
      </w:r>
      <w:r>
        <w:rPr>
          <w:rFonts w:ascii="Times New Roman" w:hAnsi="Times New Roman"/>
          <w:noProof/>
          <w:sz w:val="24"/>
          <w:szCs w:val="24"/>
        </w:rPr>
        <w:t>. Esta poderia ser melhorada, nomeadamente:</w:t>
      </w:r>
    </w:p>
    <w:p>
      <w:pPr>
        <w:pStyle w:val="ListParagraph"/>
        <w:numPr>
          <w:ilvl w:val="0"/>
          <w:numId w:val="0"/>
        </w:numPr>
        <w:tabs>
          <w:tab w:val="left" w:pos="284"/>
        </w:tabs>
        <w:spacing w:after="120" w:line="240" w:lineRule="auto"/>
        <w:ind w:left="709" w:hanging="283"/>
        <w:jc w:val="both"/>
        <w:rPr>
          <w:rFonts w:ascii="Times New Roman" w:hAnsi="Times New Roman" w:cs="Times New Roman"/>
          <w:noProof/>
          <w:sz w:val="24"/>
          <w:szCs w:val="24"/>
        </w:rPr>
      </w:pPr>
      <w:r>
        <w:rPr>
          <w:rFonts w:ascii="Times New Roman" w:hAnsi="Times New Roman"/>
          <w:noProof/>
          <w:sz w:val="24"/>
          <w:szCs w:val="24"/>
        </w:rPr>
        <w:t xml:space="preserve">– </w:t>
      </w:r>
      <w:r>
        <w:rPr>
          <w:noProof/>
        </w:rPr>
        <w:tab/>
      </w:r>
      <w:r>
        <w:rPr>
          <w:rFonts w:ascii="Times New Roman" w:hAnsi="Times New Roman"/>
          <w:noProof/>
          <w:sz w:val="24"/>
          <w:szCs w:val="24"/>
        </w:rPr>
        <w:t>permitindo mais flexibilidade no que diz respeito à utilização do formulário de pedido para a troca de informações;</w:t>
      </w:r>
    </w:p>
    <w:p>
      <w:pPr>
        <w:pStyle w:val="ListParagraph"/>
        <w:numPr>
          <w:ilvl w:val="0"/>
          <w:numId w:val="0"/>
        </w:numPr>
        <w:tabs>
          <w:tab w:val="left" w:pos="284"/>
        </w:tabs>
        <w:spacing w:after="120" w:line="240" w:lineRule="auto"/>
        <w:ind w:left="709" w:hanging="283"/>
        <w:jc w:val="both"/>
        <w:rPr>
          <w:rFonts w:ascii="Times New Roman" w:hAnsi="Times New Roman" w:cs="Times New Roman"/>
          <w:noProof/>
          <w:sz w:val="24"/>
          <w:szCs w:val="24"/>
        </w:rPr>
      </w:pPr>
      <w:r>
        <w:rPr>
          <w:rFonts w:ascii="Times New Roman" w:hAnsi="Times New Roman"/>
          <w:noProof/>
          <w:sz w:val="24"/>
          <w:szCs w:val="24"/>
        </w:rPr>
        <w:t xml:space="preserve">– </w:t>
      </w:r>
      <w:r>
        <w:rPr>
          <w:noProof/>
        </w:rPr>
        <w:tab/>
      </w:r>
      <w:r>
        <w:rPr>
          <w:rFonts w:ascii="Times New Roman" w:hAnsi="Times New Roman"/>
          <w:noProof/>
          <w:sz w:val="24"/>
          <w:szCs w:val="24"/>
        </w:rPr>
        <w:t>alargando a troca de informações sem pedido e o rápido acesso às informações.</w:t>
      </w:r>
    </w:p>
    <w:p>
      <w:pPr>
        <w:pStyle w:val="ListParagraph"/>
        <w:numPr>
          <w:ilvl w:val="0"/>
          <w:numId w:val="0"/>
        </w:numPr>
        <w:tabs>
          <w:tab w:val="left" w:pos="284"/>
        </w:tabs>
        <w:spacing w:after="120" w:line="240" w:lineRule="auto"/>
        <w:ind w:left="426"/>
        <w:jc w:val="both"/>
        <w:rPr>
          <w:rFonts w:ascii="Times New Roman" w:hAnsi="Times New Roman" w:cs="Times New Roman"/>
          <w:noProof/>
          <w:sz w:val="24"/>
          <w:szCs w:val="24"/>
        </w:rPr>
      </w:pPr>
    </w:p>
    <w:p>
      <w:pPr>
        <w:pStyle w:val="ListParagraph"/>
        <w:numPr>
          <w:ilvl w:val="0"/>
          <w:numId w:val="18"/>
        </w:numPr>
        <w:tabs>
          <w:tab w:val="left" w:pos="284"/>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No passado, a assistência em matéria de cobrança só era concedida para impostos existentes em ambos os Estados-Membros em causa. Esta </w:t>
      </w:r>
      <w:r>
        <w:rPr>
          <w:rFonts w:ascii="Times New Roman" w:hAnsi="Times New Roman"/>
          <w:b/>
          <w:noProof/>
          <w:sz w:val="24"/>
          <w:szCs w:val="24"/>
        </w:rPr>
        <w:t>abordagem espelho</w:t>
      </w:r>
      <w:r>
        <w:rPr>
          <w:rFonts w:ascii="Times New Roman" w:hAnsi="Times New Roman"/>
          <w:noProof/>
          <w:sz w:val="24"/>
          <w:szCs w:val="24"/>
        </w:rPr>
        <w:t xml:space="preserve"> foi abandonada em 2010, quando a Diretiva 2010/24 alargou o âmbito de aplicação aos créditos respeitantes a «todos os impostos e direitos, independentemente da sua natureza». A abordagem espelho – que exige uma similaridade entre os impostos do Estado-Membro requerente e do Estado-Membro requerido – foi, no entanto, mantida para os seguintes elementos:</w:t>
      </w:r>
    </w:p>
    <w:p>
      <w:pPr>
        <w:pStyle w:val="ListParagraph"/>
        <w:numPr>
          <w:ilvl w:val="0"/>
          <w:numId w:val="0"/>
        </w:numPr>
        <w:tabs>
          <w:tab w:val="left" w:pos="284"/>
        </w:tabs>
        <w:spacing w:after="120" w:line="240" w:lineRule="auto"/>
        <w:ind w:left="720" w:hanging="294"/>
        <w:jc w:val="both"/>
        <w:rPr>
          <w:rFonts w:ascii="Times New Roman" w:hAnsi="Times New Roman" w:cs="Times New Roman"/>
          <w:noProof/>
          <w:sz w:val="24"/>
          <w:szCs w:val="24"/>
        </w:rPr>
      </w:pPr>
      <w:r>
        <w:rPr>
          <w:rFonts w:ascii="Times New Roman" w:hAnsi="Times New Roman"/>
          <w:noProof/>
          <w:sz w:val="24"/>
          <w:szCs w:val="24"/>
        </w:rPr>
        <w:t xml:space="preserve">– </w:t>
      </w:r>
      <w:r>
        <w:rPr>
          <w:noProof/>
        </w:rPr>
        <w:tab/>
      </w:r>
      <w:r>
        <w:rPr>
          <w:rFonts w:ascii="Times New Roman" w:hAnsi="Times New Roman"/>
          <w:noProof/>
          <w:sz w:val="24"/>
          <w:szCs w:val="24"/>
        </w:rPr>
        <w:t xml:space="preserve">aquando da execução de um pedido de </w:t>
      </w:r>
      <w:r>
        <w:rPr>
          <w:rFonts w:ascii="Times New Roman" w:hAnsi="Times New Roman"/>
          <w:b/>
          <w:noProof/>
          <w:sz w:val="24"/>
          <w:szCs w:val="24"/>
        </w:rPr>
        <w:t>assistência em matéria de cobrança ou de um pedido de medidas cautelares</w:t>
      </w:r>
      <w:r>
        <w:rPr>
          <w:rFonts w:ascii="Times New Roman" w:hAnsi="Times New Roman"/>
          <w:noProof/>
          <w:sz w:val="24"/>
          <w:szCs w:val="24"/>
        </w:rPr>
        <w:t>, o Estado-Membro requerido deve fazer uso das suas próprias competências e procedimentos aplicáveis ao mesmo ou, na sua ausência, a impostos ou direitos similares (com o imposto sobre o rendimento como solução de recurso) (artigo 13.º, n.º 1, da Diretiva 2010/24);</w:t>
      </w:r>
    </w:p>
    <w:p>
      <w:pPr>
        <w:pStyle w:val="ListParagraph"/>
        <w:numPr>
          <w:ilvl w:val="0"/>
          <w:numId w:val="0"/>
        </w:numPr>
        <w:tabs>
          <w:tab w:val="left" w:pos="284"/>
        </w:tabs>
        <w:spacing w:after="120" w:line="240" w:lineRule="auto"/>
        <w:ind w:left="720" w:hanging="294"/>
        <w:jc w:val="both"/>
        <w:rPr>
          <w:rFonts w:ascii="Times New Roman" w:hAnsi="Times New Roman" w:cs="Times New Roman"/>
          <w:noProof/>
          <w:sz w:val="24"/>
          <w:szCs w:val="24"/>
        </w:rPr>
      </w:pPr>
      <w:r>
        <w:rPr>
          <w:rFonts w:ascii="Times New Roman" w:hAnsi="Times New Roman"/>
          <w:noProof/>
          <w:sz w:val="24"/>
          <w:szCs w:val="24"/>
        </w:rPr>
        <w:t xml:space="preserve">– </w:t>
      </w:r>
      <w:r>
        <w:rPr>
          <w:noProof/>
        </w:rPr>
        <w:tab/>
      </w:r>
      <w:r>
        <w:rPr>
          <w:rFonts w:ascii="Times New Roman" w:hAnsi="Times New Roman"/>
          <w:noProof/>
          <w:sz w:val="24"/>
          <w:szCs w:val="24"/>
        </w:rPr>
        <w:t xml:space="preserve">aquando do envio de pedidos de assistência, os Estados-Membros têm de ter em conta a repartição interna de competências dos Estados-Membros requeridos para a cobrança das categorias específicas de impostos em relação aos quais é solicitada a assistência em matéria de cobrança. Por conseguinte, foi criado um </w:t>
      </w:r>
      <w:r>
        <w:rPr>
          <w:rFonts w:ascii="Times New Roman" w:hAnsi="Times New Roman"/>
          <w:b/>
          <w:noProof/>
          <w:sz w:val="24"/>
          <w:szCs w:val="24"/>
        </w:rPr>
        <w:t>sistema de 13 caixas de correio</w:t>
      </w:r>
      <w:r>
        <w:rPr>
          <w:rFonts w:ascii="Times New Roman" w:hAnsi="Times New Roman"/>
          <w:noProof/>
          <w:sz w:val="24"/>
          <w:szCs w:val="24"/>
        </w:rPr>
        <w:t>, cuja utilização pode diferir de um Estado-Membro para outro, dependendo da repartição interna de competências dos Estados-Membros para as categorias de impostos;</w:t>
      </w:r>
    </w:p>
    <w:p>
      <w:pPr>
        <w:pStyle w:val="ListParagraph"/>
        <w:numPr>
          <w:ilvl w:val="0"/>
          <w:numId w:val="0"/>
        </w:numPr>
        <w:tabs>
          <w:tab w:val="left" w:pos="284"/>
        </w:tabs>
        <w:spacing w:after="120" w:line="240" w:lineRule="auto"/>
        <w:ind w:left="720" w:hanging="294"/>
        <w:jc w:val="both"/>
        <w:rPr>
          <w:rFonts w:ascii="Times New Roman" w:hAnsi="Times New Roman" w:cs="Times New Roman"/>
          <w:noProof/>
          <w:sz w:val="24"/>
          <w:szCs w:val="24"/>
        </w:rPr>
      </w:pPr>
      <w:r>
        <w:rPr>
          <w:rFonts w:ascii="Times New Roman" w:hAnsi="Times New Roman"/>
          <w:noProof/>
          <w:sz w:val="24"/>
          <w:szCs w:val="24"/>
        </w:rPr>
        <w:t xml:space="preserve">– </w:t>
      </w:r>
      <w:r>
        <w:rPr>
          <w:noProof/>
        </w:rPr>
        <w:tab/>
      </w:r>
      <w:r>
        <w:rPr>
          <w:rFonts w:ascii="Times New Roman" w:hAnsi="Times New Roman"/>
          <w:noProof/>
          <w:sz w:val="24"/>
          <w:szCs w:val="24"/>
        </w:rPr>
        <w:t xml:space="preserve">quando a </w:t>
      </w:r>
      <w:r>
        <w:rPr>
          <w:rFonts w:ascii="Times New Roman" w:hAnsi="Times New Roman"/>
          <w:b/>
          <w:noProof/>
          <w:sz w:val="24"/>
          <w:szCs w:val="24"/>
        </w:rPr>
        <w:t>suspensão, interrupção ou prorrogação dos prazos de prescrição</w:t>
      </w:r>
      <w:r>
        <w:rPr>
          <w:rFonts w:ascii="Times New Roman" w:hAnsi="Times New Roman"/>
          <w:noProof/>
          <w:sz w:val="24"/>
          <w:szCs w:val="24"/>
        </w:rPr>
        <w:t xml:space="preserve"> é aplicada, uma vez que o artigo 19.º, n.º 2, da Diretiva 2010/24 tem em conta se a legislação de ambos os Estados-Membros prevê um efeito correspondente.</w:t>
      </w:r>
    </w:p>
    <w:p>
      <w:pPr>
        <w:pStyle w:val="ListParagraph"/>
        <w:numPr>
          <w:ilvl w:val="0"/>
          <w:numId w:val="0"/>
        </w:numPr>
        <w:tabs>
          <w:tab w:val="left" w:pos="284"/>
        </w:tabs>
        <w:spacing w:after="120" w:line="240" w:lineRule="auto"/>
        <w:ind w:left="720" w:hanging="294"/>
        <w:jc w:val="both"/>
        <w:rPr>
          <w:rFonts w:ascii="Times New Roman" w:hAnsi="Times New Roman" w:cs="Times New Roman"/>
          <w:noProof/>
          <w:sz w:val="24"/>
          <w:szCs w:val="24"/>
        </w:rPr>
      </w:pPr>
    </w:p>
    <w:p>
      <w:pPr>
        <w:pStyle w:val="ListParagraph"/>
        <w:numPr>
          <w:ilvl w:val="0"/>
          <w:numId w:val="18"/>
        </w:numPr>
        <w:tabs>
          <w:tab w:val="left" w:pos="284"/>
        </w:tabs>
        <w:spacing w:after="120" w:line="240" w:lineRule="auto"/>
        <w:ind w:left="426" w:hanging="426"/>
        <w:jc w:val="both"/>
        <w:rPr>
          <w:rFonts w:ascii="Times New Roman" w:hAnsi="Times New Roman" w:cs="Times New Roman"/>
          <w:noProof/>
          <w:sz w:val="24"/>
          <w:szCs w:val="24"/>
        </w:rPr>
      </w:pPr>
      <w:r>
        <w:rPr>
          <w:rFonts w:ascii="Times New Roman" w:hAnsi="Times New Roman"/>
          <w:b/>
          <w:noProof/>
          <w:sz w:val="24"/>
          <w:szCs w:val="24"/>
        </w:rPr>
        <w:t>Deve ser considerada a simplificação das regras acima</w:t>
      </w:r>
      <w:r>
        <w:rPr>
          <w:rFonts w:ascii="Times New Roman" w:hAnsi="Times New Roman"/>
          <w:noProof/>
          <w:sz w:val="24"/>
          <w:szCs w:val="24"/>
        </w:rPr>
        <w:t>, pelo menos a título facultativo. Tal facilitaria o possível (facultativo) alargamento do âmbito de aplicação a outros créditos públicos para os quais não existe, atualmente, nenhum quadro de assistência em matéria de cobrança. Na verdade, vários Estados-Membros solicitaram repetidamente um novo alargamento do âmbito de aplicação da assistência em matéria de cobrança a outros créditos públicos, para os quais não existe, atualmente, outra base jurídica.</w:t>
      </w:r>
    </w:p>
    <w:p>
      <w:pPr>
        <w:pStyle w:val="ListParagraph"/>
        <w:numPr>
          <w:ilvl w:val="0"/>
          <w:numId w:val="0"/>
        </w:numPr>
        <w:tabs>
          <w:tab w:val="left" w:pos="284"/>
        </w:tabs>
        <w:spacing w:after="120" w:line="240" w:lineRule="auto"/>
        <w:ind w:left="426"/>
        <w:jc w:val="both"/>
        <w:rPr>
          <w:rFonts w:ascii="Times New Roman" w:hAnsi="Times New Roman" w:cs="Times New Roman"/>
          <w:noProof/>
          <w:sz w:val="24"/>
          <w:szCs w:val="24"/>
        </w:rPr>
      </w:pPr>
    </w:p>
    <w:p>
      <w:pPr>
        <w:pStyle w:val="ListParagraph"/>
        <w:numPr>
          <w:ilvl w:val="0"/>
          <w:numId w:val="18"/>
        </w:numPr>
        <w:tabs>
          <w:tab w:val="left" w:pos="284"/>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Também deve ser dada atenção às formas de lidar com a </w:t>
      </w:r>
      <w:r>
        <w:rPr>
          <w:rFonts w:ascii="Times New Roman" w:hAnsi="Times New Roman"/>
          <w:b/>
          <w:noProof/>
          <w:sz w:val="24"/>
          <w:szCs w:val="24"/>
        </w:rPr>
        <w:t>digitalização das transações e dos ativos</w:t>
      </w:r>
      <w:r>
        <w:rPr>
          <w:rFonts w:ascii="Times New Roman" w:hAnsi="Times New Roman"/>
          <w:noProof/>
          <w:sz w:val="24"/>
          <w:szCs w:val="24"/>
        </w:rPr>
        <w:t>, que se somam aos problemas de cobrança existentes, como:</w:t>
      </w:r>
    </w:p>
    <w:p>
      <w:pPr>
        <w:pStyle w:val="ListParagraph"/>
        <w:numPr>
          <w:ilvl w:val="0"/>
          <w:numId w:val="0"/>
        </w:numPr>
        <w:tabs>
          <w:tab w:val="left" w:pos="284"/>
        </w:tabs>
        <w:spacing w:after="120" w:line="240" w:lineRule="auto"/>
        <w:ind w:left="709" w:hanging="283"/>
        <w:jc w:val="both"/>
        <w:rPr>
          <w:rFonts w:ascii="Times New Roman" w:hAnsi="Times New Roman" w:cs="Times New Roman"/>
          <w:noProof/>
          <w:sz w:val="24"/>
          <w:szCs w:val="24"/>
        </w:rPr>
      </w:pPr>
      <w:r>
        <w:rPr>
          <w:rFonts w:ascii="Times New Roman" w:hAnsi="Times New Roman"/>
          <w:noProof/>
          <w:sz w:val="24"/>
          <w:szCs w:val="24"/>
        </w:rPr>
        <w:t xml:space="preserve">– </w:t>
      </w:r>
      <w:r>
        <w:rPr>
          <w:noProof/>
        </w:rPr>
        <w:tab/>
      </w:r>
      <w:r>
        <w:rPr>
          <w:rFonts w:ascii="Times New Roman" w:hAnsi="Times New Roman"/>
          <w:noProof/>
          <w:sz w:val="24"/>
          <w:szCs w:val="24"/>
        </w:rPr>
        <w:t>problemas relacionados com a apreensão de contas bancárias eletrónicas e de criptomoedas;</w:t>
      </w:r>
    </w:p>
    <w:p>
      <w:pPr>
        <w:pStyle w:val="ListParagraph"/>
        <w:numPr>
          <w:ilvl w:val="0"/>
          <w:numId w:val="0"/>
        </w:numPr>
        <w:tabs>
          <w:tab w:val="left" w:pos="284"/>
        </w:tabs>
        <w:spacing w:after="120" w:line="240" w:lineRule="auto"/>
        <w:ind w:left="709" w:hanging="283"/>
        <w:jc w:val="both"/>
        <w:rPr>
          <w:rFonts w:ascii="Times New Roman" w:hAnsi="Times New Roman" w:cs="Times New Roman"/>
          <w:noProof/>
          <w:sz w:val="24"/>
          <w:szCs w:val="24"/>
        </w:rPr>
      </w:pPr>
      <w:r>
        <w:rPr>
          <w:rFonts w:ascii="Times New Roman" w:hAnsi="Times New Roman"/>
          <w:noProof/>
          <w:sz w:val="24"/>
          <w:szCs w:val="24"/>
        </w:rPr>
        <w:t xml:space="preserve">– </w:t>
      </w:r>
      <w:r>
        <w:rPr>
          <w:noProof/>
        </w:rPr>
        <w:tab/>
      </w:r>
      <w:r>
        <w:rPr>
          <w:rFonts w:ascii="Times New Roman" w:hAnsi="Times New Roman"/>
          <w:noProof/>
          <w:sz w:val="24"/>
          <w:szCs w:val="24"/>
        </w:rPr>
        <w:t xml:space="preserve">dificuldades de cobrança de impostos devidos por sujeitos passivos estabelecidos noutros países que não os países onde operam (em especial, no caso do comércio eletrónico). A este respeito, deve ser dada mais atenção aos aspetos da (assistência em matéria de) cobrança quando for desenvolvida nova legislação fiscal.  </w:t>
      </w:r>
    </w:p>
    <w:p>
      <w:pPr>
        <w:pStyle w:val="ListParagraph"/>
        <w:numPr>
          <w:ilvl w:val="0"/>
          <w:numId w:val="0"/>
        </w:numPr>
        <w:tabs>
          <w:tab w:val="left" w:pos="284"/>
        </w:tabs>
        <w:spacing w:after="120" w:line="240" w:lineRule="auto"/>
        <w:ind w:left="709" w:hanging="283"/>
        <w:jc w:val="both"/>
        <w:rPr>
          <w:rFonts w:ascii="Times New Roman" w:hAnsi="Times New Roman" w:cs="Times New Roman"/>
          <w:noProof/>
          <w:sz w:val="24"/>
          <w:szCs w:val="24"/>
        </w:rPr>
      </w:pPr>
    </w:p>
    <w:p>
      <w:pPr>
        <w:pStyle w:val="ListParagraph"/>
        <w:numPr>
          <w:ilvl w:val="0"/>
          <w:numId w:val="18"/>
        </w:numPr>
        <w:tabs>
          <w:tab w:val="left" w:pos="426"/>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A Comissão tenciona manter mais discussões com os Estados-Membros, a fim de proceder a uma análise aprofundada das possibilidades e necessidades para reforçar e facilitar o quadro de assistência em matéria de cobrança.</w:t>
      </w:r>
    </w:p>
    <w:p>
      <w:pPr>
        <w:pStyle w:val="ListParagraph"/>
        <w:numPr>
          <w:ilvl w:val="0"/>
          <w:numId w:val="0"/>
        </w:numPr>
        <w:tabs>
          <w:tab w:val="left" w:pos="426"/>
        </w:tabs>
        <w:spacing w:after="120" w:line="240" w:lineRule="auto"/>
        <w:ind w:left="426"/>
        <w:jc w:val="both"/>
        <w:rPr>
          <w:rFonts w:ascii="Times New Roman" w:hAnsi="Times New Roman" w:cs="Times New Roman"/>
          <w:noProof/>
          <w:sz w:val="24"/>
          <w:szCs w:val="24"/>
        </w:rPr>
      </w:pPr>
    </w:p>
    <w:p>
      <w:pPr>
        <w:pStyle w:val="ListParagraph"/>
        <w:numPr>
          <w:ilvl w:val="0"/>
          <w:numId w:val="18"/>
        </w:numPr>
        <w:tabs>
          <w:tab w:val="left" w:pos="426"/>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Quaisquer desenvolvimentos futuros devem, no entanto, levar plenamente em conta a necessidade de proteger os direitos dos devedores de impostos. O número crescente de questões prejudiciais ao Tribunal de Justiça da UE confirma que a assistência em matéria de cobrança ao abrigo da Diretiva 2010/24 – tal como a assistência em matéria de cobrança ao abrigo de qualquer outro acordo – deve respeitar os direitos dos devedores de impostos, em particular, os seus direitos de defesa.</w:t>
      </w:r>
    </w:p>
    <w:p>
      <w:pPr>
        <w:spacing w:after="0" w:line="240" w:lineRule="auto"/>
        <w:ind w:left="851" w:hanging="567"/>
        <w:jc w:val="both"/>
        <w:rPr>
          <w:rFonts w:ascii="Cambria" w:hAnsi="Cambria"/>
          <w:noProof/>
          <w:sz w:val="24"/>
          <w:szCs w:val="24"/>
        </w:rPr>
      </w:pPr>
    </w:p>
    <w:p>
      <w:pPr>
        <w:spacing w:after="0" w:line="240" w:lineRule="auto"/>
        <w:ind w:left="851" w:hanging="567"/>
        <w:jc w:val="both"/>
        <w:rPr>
          <w:rFonts w:ascii="Cambria" w:hAnsi="Cambria"/>
          <w:noProof/>
          <w:sz w:val="24"/>
          <w:szCs w:val="24"/>
        </w:rPr>
      </w:pPr>
    </w:p>
    <w:p>
      <w:pPr>
        <w:tabs>
          <w:tab w:val="left" w:pos="426"/>
        </w:tabs>
        <w:spacing w:after="120" w:line="240" w:lineRule="auto"/>
        <w:ind w:left="425" w:hanging="425"/>
        <w:jc w:val="both"/>
        <w:rPr>
          <w:rFonts w:ascii="Times New Roman" w:hAnsi="Times New Roman" w:cs="Times New Roman"/>
          <w:b/>
          <w:noProof/>
          <w:sz w:val="24"/>
          <w:szCs w:val="24"/>
        </w:rPr>
      </w:pPr>
      <w:r>
        <w:rPr>
          <w:rFonts w:ascii="Times New Roman" w:hAnsi="Times New Roman"/>
          <w:b/>
          <w:noProof/>
          <w:sz w:val="24"/>
          <w:szCs w:val="24"/>
        </w:rPr>
        <w:t>4.</w:t>
      </w:r>
      <w:r>
        <w:rPr>
          <w:noProof/>
        </w:rPr>
        <w:tab/>
      </w:r>
      <w:r>
        <w:rPr>
          <w:rFonts w:ascii="Times New Roman" w:hAnsi="Times New Roman"/>
          <w:b/>
          <w:noProof/>
          <w:sz w:val="24"/>
          <w:szCs w:val="24"/>
        </w:rPr>
        <w:t xml:space="preserve">Quarto ponto de ação: desenvolver o conhecimento e a sensibilização para as regras relativas à assistência mútua em matéria de cobrança </w:t>
      </w:r>
    </w:p>
    <w:p>
      <w:pPr>
        <w:pStyle w:val="ListParagraph"/>
        <w:numPr>
          <w:ilvl w:val="0"/>
          <w:numId w:val="0"/>
        </w:numPr>
        <w:spacing w:after="120" w:line="240" w:lineRule="auto"/>
        <w:ind w:left="426"/>
        <w:jc w:val="both"/>
        <w:rPr>
          <w:rFonts w:ascii="Times New Roman" w:hAnsi="Times New Roman" w:cs="Times New Roman"/>
          <w:bCs/>
          <w:noProof/>
          <w:sz w:val="24"/>
          <w:szCs w:val="24"/>
        </w:rPr>
      </w:pPr>
    </w:p>
    <w:p>
      <w:pPr>
        <w:pStyle w:val="ListParagraph"/>
        <w:numPr>
          <w:ilvl w:val="0"/>
          <w:numId w:val="18"/>
        </w:numPr>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Uma das conclusões do relatório de avaliação COM(2017)778 da Comissão dizia respeito à necessidade de desenvolver o conhecimento e a sensibilização para a legislação relativa à assistência mútua em matéria de cobrança</w:t>
      </w:r>
      <w:r>
        <w:rPr>
          <w:rStyle w:val="FootnoteReference"/>
          <w:rFonts w:ascii="Times New Roman" w:hAnsi="Times New Roman" w:cs="Times New Roman"/>
          <w:noProof/>
          <w:sz w:val="24"/>
          <w:szCs w:val="24"/>
        </w:rPr>
        <w:footnoteReference w:id="6"/>
      </w:r>
      <w:r>
        <w:rPr>
          <w:noProof/>
        </w:rPr>
        <w:t>.</w:t>
      </w:r>
      <w:r>
        <w:rPr>
          <w:rFonts w:ascii="Times New Roman" w:hAnsi="Times New Roman"/>
          <w:noProof/>
          <w:sz w:val="24"/>
          <w:szCs w:val="24"/>
        </w:rPr>
        <w:t xml:space="preserve"> </w:t>
      </w:r>
      <w:r>
        <w:rPr>
          <w:rFonts w:ascii="Times New Roman" w:hAnsi="Times New Roman"/>
          <w:bCs/>
          <w:noProof/>
          <w:sz w:val="24"/>
          <w:szCs w:val="24"/>
        </w:rPr>
        <w:t xml:space="preserve">Afigura-se que os problemas de assistência mútua em matéria de cobrança resultam frequentemente da falta de compreensão das regras constantes da Diretiva 2010/24. Além disso, a sensibilização é necessária, não só </w:t>
      </w:r>
      <w:r>
        <w:rPr>
          <w:rFonts w:ascii="Times New Roman" w:hAnsi="Times New Roman"/>
          <w:noProof/>
          <w:sz w:val="24"/>
          <w:szCs w:val="24"/>
        </w:rPr>
        <w:t>ao nível das autoridades fiscais nacionais, mas também ao nível dos contribuintes.</w:t>
      </w:r>
    </w:p>
    <w:p>
      <w:pPr>
        <w:pStyle w:val="ListParagraph"/>
        <w:numPr>
          <w:ilvl w:val="0"/>
          <w:numId w:val="0"/>
        </w:numPr>
        <w:spacing w:after="120" w:line="240" w:lineRule="auto"/>
        <w:ind w:left="426"/>
        <w:jc w:val="both"/>
        <w:rPr>
          <w:rFonts w:ascii="Times New Roman" w:hAnsi="Times New Roman" w:cs="Times New Roman"/>
          <w:bCs/>
          <w:noProof/>
          <w:sz w:val="24"/>
          <w:szCs w:val="24"/>
        </w:rPr>
      </w:pPr>
    </w:p>
    <w:p>
      <w:pPr>
        <w:pStyle w:val="ListParagraph"/>
        <w:numPr>
          <w:ilvl w:val="0"/>
          <w:numId w:val="18"/>
        </w:numPr>
        <w:spacing w:after="120" w:line="240" w:lineRule="auto"/>
        <w:ind w:left="426" w:hanging="426"/>
        <w:jc w:val="both"/>
        <w:rPr>
          <w:rFonts w:ascii="Times New Roman" w:hAnsi="Times New Roman" w:cs="Times New Roman"/>
          <w:bCs/>
          <w:noProof/>
          <w:sz w:val="24"/>
          <w:szCs w:val="24"/>
        </w:rPr>
      </w:pPr>
      <w:r>
        <w:rPr>
          <w:noProof/>
        </w:rPr>
        <w:t xml:space="preserve">A nível da UE, </w:t>
      </w:r>
      <w:r>
        <w:rPr>
          <w:rFonts w:ascii="Times New Roman" w:hAnsi="Times New Roman"/>
          <w:bCs/>
          <w:noProof/>
          <w:sz w:val="24"/>
          <w:szCs w:val="24"/>
        </w:rPr>
        <w:t xml:space="preserve">Já foram organizadas </w:t>
      </w:r>
      <w:r>
        <w:rPr>
          <w:rFonts w:ascii="Times New Roman" w:hAnsi="Times New Roman"/>
          <w:b/>
          <w:bCs/>
          <w:noProof/>
          <w:sz w:val="24"/>
          <w:szCs w:val="24"/>
        </w:rPr>
        <w:t>ações de formação</w:t>
      </w:r>
      <w:r>
        <w:rPr>
          <w:rStyle w:val="FootnoteReference"/>
          <w:rFonts w:ascii="Times New Roman" w:hAnsi="Times New Roman" w:cs="Times New Roman"/>
          <w:bCs/>
          <w:noProof/>
          <w:sz w:val="24"/>
          <w:szCs w:val="24"/>
        </w:rPr>
        <w:footnoteReference w:id="7"/>
      </w:r>
      <w:r>
        <w:rPr>
          <w:rFonts w:ascii="Times New Roman" w:hAnsi="Times New Roman"/>
          <w:bCs/>
          <w:noProof/>
          <w:sz w:val="24"/>
          <w:szCs w:val="24"/>
        </w:rPr>
        <w:t xml:space="preserve"> a nível da UE</w:t>
      </w:r>
      <w:r>
        <w:rPr>
          <w:noProof/>
        </w:rPr>
        <w:t>.</w:t>
      </w:r>
      <w:r>
        <w:rPr>
          <w:rFonts w:ascii="Times New Roman" w:hAnsi="Times New Roman"/>
          <w:bCs/>
          <w:noProof/>
          <w:sz w:val="24"/>
          <w:szCs w:val="24"/>
        </w:rPr>
        <w:t xml:space="preserve"> A Comissão está a planear organizar uma formação mais regular e sistemática no âmbito do programa Fiscalis, a fim de contribuir para uma compreensão e sensibilização comuns para as possibilidades de assistência em matéria de cobrança na UE. </w:t>
      </w:r>
    </w:p>
    <w:p>
      <w:pPr>
        <w:pStyle w:val="ListParagraph"/>
        <w:numPr>
          <w:ilvl w:val="0"/>
          <w:numId w:val="0"/>
        </w:numPr>
        <w:spacing w:after="120" w:line="240" w:lineRule="auto"/>
        <w:ind w:left="426"/>
        <w:jc w:val="both"/>
        <w:rPr>
          <w:rFonts w:ascii="Times New Roman" w:hAnsi="Times New Roman" w:cs="Times New Roman"/>
          <w:bCs/>
          <w:noProof/>
          <w:sz w:val="24"/>
          <w:szCs w:val="24"/>
        </w:rPr>
      </w:pPr>
    </w:p>
    <w:p>
      <w:pPr>
        <w:pStyle w:val="ListParagraph"/>
        <w:numPr>
          <w:ilvl w:val="0"/>
          <w:numId w:val="0"/>
        </w:numPr>
        <w:spacing w:after="120" w:line="240" w:lineRule="auto"/>
        <w:ind w:left="426"/>
        <w:jc w:val="both"/>
        <w:rPr>
          <w:rFonts w:ascii="Times New Roman" w:hAnsi="Times New Roman" w:cs="Times New Roman"/>
          <w:bCs/>
          <w:noProof/>
          <w:sz w:val="24"/>
          <w:szCs w:val="24"/>
        </w:rPr>
      </w:pPr>
      <w:r>
        <w:rPr>
          <w:rFonts w:ascii="Times New Roman" w:hAnsi="Times New Roman"/>
          <w:bCs/>
          <w:noProof/>
          <w:sz w:val="24"/>
          <w:szCs w:val="24"/>
        </w:rPr>
        <w:t xml:space="preserve">Estas atividades de formação também têm de prestar atenção ao </w:t>
      </w:r>
      <w:r>
        <w:rPr>
          <w:rFonts w:ascii="Times New Roman" w:hAnsi="Times New Roman"/>
          <w:b/>
          <w:bCs/>
          <w:noProof/>
          <w:sz w:val="24"/>
          <w:szCs w:val="24"/>
        </w:rPr>
        <w:t>impacto crescente da evolução da jurisprudência</w:t>
      </w:r>
      <w:r>
        <w:rPr>
          <w:rFonts w:ascii="Times New Roman" w:hAnsi="Times New Roman"/>
          <w:bCs/>
          <w:noProof/>
          <w:sz w:val="24"/>
          <w:szCs w:val="24"/>
        </w:rPr>
        <w:t xml:space="preserve"> no domínio da cobrança fiscal e da assistência em matéria de cobrança. </w:t>
      </w:r>
    </w:p>
    <w:p>
      <w:pPr>
        <w:pStyle w:val="ListParagraph"/>
        <w:numPr>
          <w:ilvl w:val="0"/>
          <w:numId w:val="0"/>
        </w:numPr>
        <w:spacing w:after="120" w:line="240" w:lineRule="auto"/>
        <w:ind w:left="426"/>
        <w:jc w:val="both"/>
        <w:rPr>
          <w:rFonts w:ascii="Times New Roman" w:hAnsi="Times New Roman" w:cs="Times New Roman"/>
          <w:bCs/>
          <w:noProof/>
          <w:sz w:val="24"/>
          <w:szCs w:val="24"/>
        </w:rPr>
      </w:pPr>
    </w:p>
    <w:p>
      <w:pPr>
        <w:pStyle w:val="ListParagraph"/>
        <w:numPr>
          <w:ilvl w:val="0"/>
          <w:numId w:val="18"/>
        </w:numPr>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Além disso, cada Estado-Membro deve </w:t>
      </w:r>
      <w:r>
        <w:rPr>
          <w:rFonts w:ascii="Times New Roman" w:hAnsi="Times New Roman"/>
          <w:b/>
          <w:noProof/>
          <w:sz w:val="24"/>
          <w:szCs w:val="24"/>
        </w:rPr>
        <w:t>partilhar informações sobre a sua legislação e prática nacionais com os outros Estados-Membros</w:t>
      </w:r>
      <w:r>
        <w:rPr>
          <w:rFonts w:ascii="Times New Roman" w:hAnsi="Times New Roman"/>
          <w:noProof/>
          <w:sz w:val="24"/>
          <w:szCs w:val="24"/>
        </w:rPr>
        <w:t xml:space="preserve">. Estas informações são importantes para as autoridades fiscais dos outros Estados-Membros que queiram verificar as possibilidades de assistência em matéria de cobrança noutros países. Algumas informações nacionais já estão disponíveis na base de dados comum CIRCABC. A Comissão estabelecerá uma ação coordenada, convidando os Estados-Membros a procederem à atualização e ao alargamento destas informações nacionais. </w:t>
      </w:r>
    </w:p>
    <w:p>
      <w:pPr>
        <w:pStyle w:val="ListParagraph"/>
        <w:numPr>
          <w:ilvl w:val="0"/>
          <w:numId w:val="0"/>
        </w:numPr>
        <w:spacing w:after="120" w:line="240" w:lineRule="auto"/>
        <w:ind w:left="426"/>
        <w:jc w:val="both"/>
        <w:rPr>
          <w:rFonts w:ascii="Times New Roman" w:hAnsi="Times New Roman" w:cs="Times New Roman"/>
          <w:noProof/>
          <w:sz w:val="24"/>
          <w:szCs w:val="24"/>
        </w:rPr>
      </w:pPr>
    </w:p>
    <w:p>
      <w:pPr>
        <w:pStyle w:val="ListParagraph"/>
        <w:numPr>
          <w:ilvl w:val="0"/>
          <w:numId w:val="18"/>
        </w:numPr>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Os Estados-Membros também serão convidados a </w:t>
      </w:r>
      <w:r>
        <w:rPr>
          <w:rFonts w:ascii="Times New Roman" w:hAnsi="Times New Roman"/>
          <w:b/>
          <w:noProof/>
          <w:sz w:val="24"/>
          <w:szCs w:val="24"/>
        </w:rPr>
        <w:t>sensibilizar os contribuintes</w:t>
      </w:r>
      <w:r>
        <w:rPr>
          <w:rFonts w:ascii="Times New Roman" w:hAnsi="Times New Roman"/>
          <w:noProof/>
          <w:sz w:val="24"/>
          <w:szCs w:val="24"/>
        </w:rPr>
        <w:t xml:space="preserve"> para as </w:t>
      </w:r>
      <w:r>
        <w:rPr>
          <w:rFonts w:ascii="Times New Roman" w:hAnsi="Times New Roman"/>
          <w:bCs/>
          <w:noProof/>
          <w:sz w:val="24"/>
          <w:szCs w:val="24"/>
        </w:rPr>
        <w:t>possibilidades e consequências da assistência em matéria de cobrança de impostos transfronteiras.</w:t>
      </w:r>
    </w:p>
    <w:p>
      <w:pPr>
        <w:pStyle w:val="ListParagraph"/>
        <w:numPr>
          <w:ilvl w:val="0"/>
          <w:numId w:val="0"/>
        </w:numPr>
        <w:spacing w:after="120" w:line="240" w:lineRule="auto"/>
        <w:ind w:left="426"/>
        <w:jc w:val="both"/>
        <w:rPr>
          <w:rFonts w:ascii="Times New Roman" w:hAnsi="Times New Roman" w:cs="Times New Roman"/>
          <w:bCs/>
          <w:noProof/>
          <w:sz w:val="24"/>
          <w:szCs w:val="24"/>
        </w:rPr>
      </w:pPr>
    </w:p>
    <w:p>
      <w:pPr>
        <w:pStyle w:val="ListParagraph"/>
        <w:numPr>
          <w:ilvl w:val="0"/>
          <w:numId w:val="0"/>
        </w:numPr>
        <w:spacing w:after="120" w:line="240" w:lineRule="auto"/>
        <w:ind w:left="426"/>
        <w:jc w:val="both"/>
        <w:rPr>
          <w:rFonts w:ascii="Times New Roman" w:hAnsi="Times New Roman" w:cs="Times New Roman"/>
          <w:bCs/>
          <w:noProof/>
          <w:sz w:val="24"/>
          <w:szCs w:val="24"/>
        </w:rPr>
      </w:pPr>
    </w:p>
    <w:p>
      <w:pPr>
        <w:tabs>
          <w:tab w:val="left" w:pos="426"/>
        </w:tabs>
        <w:spacing w:after="120" w:line="240" w:lineRule="auto"/>
        <w:ind w:left="426" w:hanging="426"/>
        <w:jc w:val="both"/>
        <w:rPr>
          <w:rFonts w:ascii="Times New Roman" w:hAnsi="Times New Roman" w:cs="Times New Roman"/>
          <w:b/>
          <w:noProof/>
          <w:sz w:val="24"/>
          <w:szCs w:val="24"/>
        </w:rPr>
      </w:pPr>
      <w:r>
        <w:rPr>
          <w:rFonts w:ascii="Times New Roman" w:hAnsi="Times New Roman"/>
          <w:b/>
          <w:bCs/>
          <w:noProof/>
          <w:sz w:val="24"/>
          <w:szCs w:val="24"/>
        </w:rPr>
        <w:t xml:space="preserve">5. </w:t>
      </w:r>
      <w:r>
        <w:rPr>
          <w:noProof/>
        </w:rPr>
        <w:tab/>
      </w:r>
      <w:r>
        <w:rPr>
          <w:rFonts w:ascii="Times New Roman" w:hAnsi="Times New Roman"/>
          <w:b/>
          <w:bCs/>
          <w:noProof/>
          <w:sz w:val="24"/>
          <w:szCs w:val="24"/>
        </w:rPr>
        <w:t xml:space="preserve">Quinto ponto de ação: </w:t>
      </w:r>
      <w:r>
        <w:rPr>
          <w:rFonts w:ascii="Times New Roman" w:hAnsi="Times New Roman"/>
          <w:b/>
          <w:noProof/>
          <w:sz w:val="24"/>
          <w:szCs w:val="24"/>
        </w:rPr>
        <w:t>examinar as possibilidades e as formas de promover e facilitar a assistência em matéria de cobrança com os países terceiros</w:t>
      </w:r>
    </w:p>
    <w:p>
      <w:pPr>
        <w:tabs>
          <w:tab w:val="left" w:pos="426"/>
        </w:tabs>
        <w:spacing w:after="120" w:line="240" w:lineRule="auto"/>
        <w:ind w:left="426" w:hanging="426"/>
        <w:jc w:val="both"/>
        <w:rPr>
          <w:rFonts w:ascii="Times New Roman" w:hAnsi="Times New Roman" w:cs="Times New Roman"/>
          <w:b/>
          <w:bCs/>
          <w:noProof/>
          <w:sz w:val="24"/>
          <w:szCs w:val="24"/>
        </w:rPr>
      </w:pPr>
    </w:p>
    <w:p>
      <w:pPr>
        <w:pStyle w:val="ListParagraph"/>
        <w:numPr>
          <w:ilvl w:val="0"/>
          <w:numId w:val="18"/>
        </w:numPr>
        <w:spacing w:after="0" w:line="240" w:lineRule="auto"/>
        <w:ind w:left="426" w:hanging="426"/>
        <w:jc w:val="both"/>
        <w:rPr>
          <w:rFonts w:ascii="Times New Roman" w:hAnsi="Times New Roman"/>
          <w:noProof/>
          <w:sz w:val="24"/>
          <w:szCs w:val="24"/>
          <w14:numForm w14:val="default"/>
        </w:rPr>
      </w:pPr>
      <w:r>
        <w:rPr>
          <w:rFonts w:ascii="Times New Roman" w:hAnsi="Times New Roman"/>
          <w:noProof/>
          <w:sz w:val="24"/>
          <w:szCs w:val="24"/>
        </w:rPr>
        <w:t xml:space="preserve">Em 2018, a União Europeia assinou o seu primeiro </w:t>
      </w:r>
      <w:r>
        <w:rPr>
          <w:rFonts w:ascii="Times New Roman" w:hAnsi="Times New Roman"/>
          <w:b/>
          <w:noProof/>
          <w:sz w:val="24"/>
          <w:szCs w:val="24"/>
        </w:rPr>
        <w:t>acordo bilateral</w:t>
      </w:r>
      <w:r>
        <w:rPr>
          <w:rFonts w:ascii="Times New Roman" w:hAnsi="Times New Roman"/>
          <w:noProof/>
          <w:sz w:val="24"/>
          <w:szCs w:val="24"/>
        </w:rPr>
        <w:t xml:space="preserve"> sobre a cooperação administrativa, a luta contra a fraude fiscal e a cobrança de créditos no domínio do IVA com um país terceiro: o </w:t>
      </w:r>
      <w:r>
        <w:rPr>
          <w:rFonts w:ascii="Times New Roman" w:hAnsi="Times New Roman"/>
          <w:b/>
          <w:noProof/>
          <w:sz w:val="24"/>
          <w:szCs w:val="24"/>
        </w:rPr>
        <w:t>Reino da Noruega</w:t>
      </w:r>
      <w:r>
        <w:rPr>
          <w:rStyle w:val="FootnoteReference"/>
          <w:rFonts w:ascii="Times New Roman" w:hAnsi="Times New Roman"/>
          <w:noProof/>
          <w:sz w:val="24"/>
          <w:szCs w:val="24"/>
        </w:rPr>
        <w:footnoteReference w:id="8"/>
      </w:r>
      <w:r>
        <w:rPr>
          <w:noProof/>
        </w:rPr>
        <w:t>.</w:t>
      </w:r>
    </w:p>
    <w:p>
      <w:pPr>
        <w:pStyle w:val="ListParagraph"/>
        <w:numPr>
          <w:ilvl w:val="0"/>
          <w:numId w:val="0"/>
        </w:numPr>
        <w:spacing w:after="0" w:line="240" w:lineRule="auto"/>
        <w:ind w:left="426"/>
        <w:jc w:val="both"/>
        <w:rPr>
          <w:rFonts w:ascii="Times New Roman" w:hAnsi="Times New Roman"/>
          <w:noProof/>
          <w:sz w:val="24"/>
          <w:szCs w:val="24"/>
          <w14:numForm w14:val="default"/>
        </w:rPr>
      </w:pPr>
    </w:p>
    <w:p>
      <w:pPr>
        <w:pStyle w:val="ListParagraph"/>
        <w:numPr>
          <w:ilvl w:val="0"/>
          <w:numId w:val="0"/>
        </w:numPr>
        <w:spacing w:after="0" w:line="240" w:lineRule="auto"/>
        <w:ind w:left="426"/>
        <w:jc w:val="both"/>
        <w:rPr>
          <w:rFonts w:ascii="Times New Roman" w:hAnsi="Times New Roman" w:cs="Times New Roman"/>
          <w:noProof/>
          <w:sz w:val="24"/>
          <w:szCs w:val="24"/>
          <w14:numForm w14:val="default"/>
        </w:rPr>
      </w:pPr>
      <w:r>
        <w:rPr>
          <w:rFonts w:ascii="Times New Roman" w:hAnsi="Times New Roman"/>
          <w:noProof/>
          <w:sz w:val="24"/>
          <w:szCs w:val="24"/>
        </w:rPr>
        <w:t>O acordo UE-Noruega permite que os Estados-Membros e a Noruega utilizem os formulários eletrónicos também para a assistência em matéria de cobrança relativa a outros impostos para além do IVA</w:t>
      </w:r>
      <w:r>
        <w:rPr>
          <w:rStyle w:val="FootnoteReference"/>
          <w:rFonts w:ascii="Times New Roman" w:hAnsi="Times New Roman" w:cs="Times New Roman"/>
          <w:noProof/>
          <w:sz w:val="24"/>
          <w:szCs w:val="24"/>
        </w:rPr>
        <w:footnoteReference w:id="9"/>
      </w:r>
      <w:r>
        <w:rPr>
          <w:noProof/>
        </w:rPr>
        <w:t>.</w:t>
      </w:r>
      <w:r>
        <w:rPr>
          <w:rFonts w:ascii="Times New Roman" w:hAnsi="Times New Roman"/>
          <w:noProof/>
          <w:sz w:val="24"/>
          <w:szCs w:val="24"/>
        </w:rPr>
        <w:t xml:space="preserve"> Vários Estados-Membros manifestaram o seu interesse em utilizar esta possibilidade. Tal seria útil, tendo em vista a tradução automática dos formulários normalizados</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que permite informar as pessoas em causa na língua oficial do Estado requerido</w:t>
      </w:r>
      <w:r>
        <w:rPr>
          <w:rStyle w:val="FootnoteReference"/>
          <w:rFonts w:ascii="Times New Roman" w:hAnsi="Times New Roman" w:cs="Times New Roman"/>
          <w:noProof/>
          <w:sz w:val="24"/>
          <w:szCs w:val="24"/>
        </w:rPr>
        <w:footnoteReference w:id="11"/>
      </w:r>
      <w:r>
        <w:rPr>
          <w:noProof/>
        </w:rPr>
        <w:t>.</w:t>
      </w:r>
      <w:r>
        <w:rPr>
          <w:rFonts w:ascii="Times New Roman" w:hAnsi="Times New Roman"/>
          <w:noProof/>
          <w:sz w:val="24"/>
          <w:szCs w:val="24"/>
        </w:rPr>
        <w:t xml:space="preserve"> A Noruega indicou que a avaliação da utilização alargada dos formulários eletrónicos será realizada até ao final de 2020.</w:t>
      </w:r>
    </w:p>
    <w:p>
      <w:pPr>
        <w:pStyle w:val="ListParagraph"/>
        <w:numPr>
          <w:ilvl w:val="0"/>
          <w:numId w:val="0"/>
        </w:numPr>
        <w:spacing w:after="0" w:line="240" w:lineRule="auto"/>
        <w:ind w:left="426"/>
        <w:jc w:val="both"/>
        <w:rPr>
          <w:rFonts w:ascii="Times New Roman" w:hAnsi="Times New Roman" w:cs="Times New Roman"/>
          <w:noProof/>
          <w:sz w:val="24"/>
          <w:szCs w:val="24"/>
          <w14:numForm w14:val="default"/>
        </w:rPr>
      </w:pPr>
    </w:p>
    <w:p>
      <w:pPr>
        <w:pStyle w:val="ListParagraph"/>
        <w:numPr>
          <w:ilvl w:val="0"/>
          <w:numId w:val="18"/>
        </w:numPr>
        <w:spacing w:after="0" w:line="240" w:lineRule="auto"/>
        <w:ind w:left="426" w:hanging="426"/>
        <w:jc w:val="both"/>
        <w:rPr>
          <w:rFonts w:ascii="Times New Roman" w:hAnsi="Times New Roman"/>
          <w:noProof/>
          <w:sz w:val="24"/>
          <w:szCs w:val="24"/>
        </w:rPr>
      </w:pPr>
      <w:r>
        <w:rPr>
          <w:rFonts w:ascii="Times New Roman" w:hAnsi="Times New Roman"/>
          <w:noProof/>
          <w:sz w:val="24"/>
          <w:szCs w:val="24"/>
        </w:rPr>
        <w:t>Nas suas conclusões de 5 de dezembro de 2019</w:t>
      </w:r>
      <w:r>
        <w:rPr>
          <w:rStyle w:val="FootnoteReference"/>
          <w:rFonts w:ascii="Times New Roman" w:hAnsi="Times New Roman"/>
          <w:noProof/>
          <w:sz w:val="24"/>
          <w:szCs w:val="24"/>
        </w:rPr>
        <w:footnoteReference w:id="12"/>
      </w:r>
      <w:r>
        <w:rPr>
          <w:rFonts w:ascii="Times New Roman" w:hAnsi="Times New Roman"/>
          <w:noProof/>
          <w:sz w:val="24"/>
          <w:szCs w:val="24"/>
        </w:rPr>
        <w:t xml:space="preserve">, o Conselho da União Europeia reconheceu que o acordo UE-Noruega foi um passo importante na troca de informações fiscais com os países terceiros. Sublinhou a importância dessa cooperação entre os Estados-Membros europeus e os países terceiros na luta contra a fraude fiscal e convidou a Comissão a explorar as possibilidades de </w:t>
      </w:r>
      <w:r>
        <w:rPr>
          <w:rFonts w:ascii="Times New Roman" w:hAnsi="Times New Roman"/>
          <w:b/>
          <w:noProof/>
          <w:sz w:val="24"/>
          <w:szCs w:val="24"/>
        </w:rPr>
        <w:t>novos acordos com outros países terceiros sobre as disposições em matéria de assistência mútua no domínio do IVA e da cobrança</w:t>
      </w:r>
      <w:r>
        <w:rPr>
          <w:rFonts w:ascii="Times New Roman" w:hAnsi="Times New Roman"/>
          <w:noProof/>
          <w:sz w:val="24"/>
          <w:szCs w:val="24"/>
        </w:rPr>
        <w:t>.</w:t>
      </w:r>
    </w:p>
    <w:p>
      <w:pPr>
        <w:pStyle w:val="ListParagraph"/>
        <w:numPr>
          <w:ilvl w:val="0"/>
          <w:numId w:val="0"/>
        </w:numPr>
        <w:spacing w:after="0" w:line="240" w:lineRule="auto"/>
        <w:ind w:left="426" w:hanging="426"/>
        <w:jc w:val="both"/>
        <w:rPr>
          <w:rFonts w:ascii="Times New Roman" w:hAnsi="Times New Roman"/>
          <w:noProof/>
          <w:sz w:val="24"/>
          <w:szCs w:val="24"/>
        </w:rPr>
      </w:pPr>
    </w:p>
    <w:p>
      <w:pPr>
        <w:pStyle w:val="ListParagraph"/>
        <w:numPr>
          <w:ilvl w:val="0"/>
          <w:numId w:val="0"/>
        </w:numPr>
        <w:spacing w:after="0" w:line="240" w:lineRule="auto"/>
        <w:ind w:left="426"/>
        <w:jc w:val="both"/>
        <w:rPr>
          <w:rFonts w:ascii="Times New Roman" w:hAnsi="Times New Roman"/>
          <w:noProof/>
          <w:sz w:val="24"/>
          <w:szCs w:val="24"/>
        </w:rPr>
      </w:pPr>
      <w:r>
        <w:rPr>
          <w:rFonts w:ascii="Times New Roman" w:hAnsi="Times New Roman"/>
          <w:noProof/>
          <w:sz w:val="24"/>
          <w:szCs w:val="24"/>
        </w:rPr>
        <w:t>Os acordos sobre a cooperação administrativa com os países terceiros, nomeadamente para combater a fraude fiscal relacionada com o comércio eletrónico, fazem parte das iniciativas delineadas no plano de ação da Comissão para uma tributação justa e simples que apoie a estratégia de recuperação recentemente adotado</w:t>
      </w:r>
      <w:r>
        <w:rPr>
          <w:rStyle w:val="FootnoteReference"/>
          <w:rFonts w:ascii="Times New Roman" w:hAnsi="Times New Roman"/>
          <w:noProof/>
          <w:sz w:val="24"/>
          <w:szCs w:val="24"/>
        </w:rPr>
        <w:footnoteReference w:id="13"/>
      </w:r>
      <w:r>
        <w:rPr>
          <w:noProof/>
        </w:rPr>
        <w:t>.</w:t>
      </w:r>
    </w:p>
    <w:p>
      <w:pPr>
        <w:pStyle w:val="ListParagraph"/>
        <w:numPr>
          <w:ilvl w:val="0"/>
          <w:numId w:val="0"/>
        </w:numPr>
        <w:spacing w:after="0" w:line="240" w:lineRule="auto"/>
        <w:ind w:left="426" w:hanging="426"/>
        <w:jc w:val="both"/>
        <w:rPr>
          <w:rFonts w:ascii="Times New Roman" w:hAnsi="Times New Roman"/>
          <w:noProof/>
          <w:sz w:val="24"/>
          <w:szCs w:val="24"/>
        </w:rPr>
      </w:pPr>
    </w:p>
    <w:p>
      <w:pPr>
        <w:pStyle w:val="ListParagraph"/>
        <w:numPr>
          <w:ilvl w:val="0"/>
          <w:numId w:val="18"/>
        </w:numPr>
        <w:spacing w:after="0" w:line="240" w:lineRule="auto"/>
        <w:ind w:left="426" w:hanging="426"/>
        <w:jc w:val="both"/>
        <w:rPr>
          <w:rFonts w:ascii="Times New Roman" w:hAnsi="Times New Roman"/>
          <w:noProof/>
          <w:sz w:val="24"/>
          <w:szCs w:val="24"/>
        </w:rPr>
      </w:pPr>
      <w:r>
        <w:rPr>
          <w:rFonts w:ascii="Times New Roman" w:hAnsi="Times New Roman"/>
          <w:noProof/>
          <w:sz w:val="24"/>
          <w:szCs w:val="24"/>
        </w:rPr>
        <w:t xml:space="preserve">As disposições relativas à assistência em matéria de cobrança, mantendo a possibilidade de utilizar o quadro atual para a </w:t>
      </w:r>
      <w:r>
        <w:rPr>
          <w:rFonts w:ascii="Times New Roman" w:hAnsi="Times New Roman"/>
          <w:b/>
          <w:noProof/>
          <w:sz w:val="24"/>
          <w:szCs w:val="24"/>
        </w:rPr>
        <w:t>assistência em matéria de cobrança em curso com o Reino Unido</w:t>
      </w:r>
      <w:r>
        <w:rPr>
          <w:rFonts w:ascii="Times New Roman" w:hAnsi="Times New Roman"/>
          <w:noProof/>
          <w:sz w:val="24"/>
          <w:szCs w:val="24"/>
        </w:rPr>
        <w:t xml:space="preserve"> foram incluídas no acordo de saída</w:t>
      </w:r>
      <w:r>
        <w:rPr>
          <w:rStyle w:val="FootnoteReference"/>
          <w:rFonts w:ascii="Times New Roman" w:hAnsi="Times New Roman"/>
          <w:noProof/>
          <w:sz w:val="24"/>
          <w:szCs w:val="24"/>
        </w:rPr>
        <w:footnoteReference w:id="14"/>
      </w:r>
      <w:r>
        <w:rPr>
          <w:noProof/>
        </w:rPr>
        <w:t>.</w:t>
      </w:r>
    </w:p>
    <w:p>
      <w:pPr>
        <w:pStyle w:val="ListParagraph"/>
        <w:numPr>
          <w:ilvl w:val="0"/>
          <w:numId w:val="0"/>
        </w:numPr>
        <w:spacing w:after="0" w:line="240" w:lineRule="auto"/>
        <w:ind w:left="426"/>
        <w:jc w:val="both"/>
        <w:rPr>
          <w:rFonts w:ascii="Times New Roman" w:hAnsi="Times New Roman"/>
          <w:noProof/>
          <w:sz w:val="24"/>
          <w:szCs w:val="24"/>
        </w:rPr>
      </w:pPr>
    </w:p>
    <w:p>
      <w:pPr>
        <w:pStyle w:val="ListParagraph"/>
        <w:numPr>
          <w:ilvl w:val="0"/>
          <w:numId w:val="0"/>
        </w:numPr>
        <w:spacing w:after="0" w:line="240" w:lineRule="auto"/>
        <w:ind w:left="426"/>
        <w:jc w:val="both"/>
        <w:rPr>
          <w:rFonts w:ascii="Times New Roman" w:hAnsi="Times New Roman"/>
          <w:noProof/>
          <w:sz w:val="24"/>
          <w:szCs w:val="24"/>
        </w:rPr>
      </w:pPr>
      <w:r>
        <w:rPr>
          <w:rFonts w:ascii="Times New Roman" w:hAnsi="Times New Roman"/>
          <w:noProof/>
          <w:sz w:val="24"/>
          <w:szCs w:val="24"/>
        </w:rPr>
        <w:t>O Conselho da União Europeia também autorizou a Comissão Europeia a iniciar negociações para uma nova parceria com o Reino Unido</w:t>
      </w:r>
      <w:r>
        <w:rPr>
          <w:rStyle w:val="FootnoteReference"/>
          <w:rFonts w:ascii="Times New Roman" w:hAnsi="Times New Roman"/>
          <w:noProof/>
          <w:sz w:val="24"/>
          <w:szCs w:val="24"/>
        </w:rPr>
        <w:footnoteReference w:id="15"/>
      </w:r>
      <w:r>
        <w:rPr>
          <w:noProof/>
        </w:rPr>
        <w:t>.</w:t>
      </w:r>
      <w:r>
        <w:rPr>
          <w:rFonts w:ascii="Times New Roman" w:hAnsi="Times New Roman"/>
          <w:noProof/>
          <w:sz w:val="24"/>
          <w:szCs w:val="24"/>
        </w:rPr>
        <w:t xml:space="preserve"> A parceria prevista abrange, entre outras, a cooperação administrativa e a assistência mútua em matéria aduaneira e de imposto sobre o valor acrescentado (IVA), incluindo a troca de informações para combater a fraude aduaneira e ao IVA e a assistência mútua em matéria de cobrança de créditos relacionados com os impostos e os direitos, conforme mencionado nas diretrizes de negociação</w:t>
      </w:r>
      <w:r>
        <w:rPr>
          <w:rStyle w:val="FootnoteReference"/>
          <w:rFonts w:ascii="Times New Roman" w:hAnsi="Times New Roman"/>
          <w:noProof/>
          <w:sz w:val="24"/>
          <w:szCs w:val="24"/>
        </w:rPr>
        <w:footnoteReference w:id="16"/>
      </w:r>
      <w:r>
        <w:rPr>
          <w:rFonts w:ascii="Times New Roman" w:hAnsi="Times New Roman"/>
          <w:noProof/>
          <w:sz w:val="24"/>
          <w:szCs w:val="24"/>
        </w:rPr>
        <w:t xml:space="preserve">. </w:t>
      </w:r>
    </w:p>
    <w:p>
      <w:pPr>
        <w:pStyle w:val="ListParagraph"/>
        <w:numPr>
          <w:ilvl w:val="0"/>
          <w:numId w:val="0"/>
        </w:numPr>
        <w:spacing w:after="0" w:line="240" w:lineRule="auto"/>
        <w:ind w:left="426"/>
        <w:jc w:val="both"/>
        <w:rPr>
          <w:rFonts w:ascii="Times New Roman" w:hAnsi="Times New Roman"/>
          <w:noProof/>
          <w:sz w:val="24"/>
          <w:szCs w:val="24"/>
        </w:rPr>
      </w:pPr>
    </w:p>
    <w:p>
      <w:pPr>
        <w:pStyle w:val="ListParagraph"/>
        <w:numPr>
          <w:ilvl w:val="0"/>
          <w:numId w:val="18"/>
        </w:numPr>
        <w:spacing w:after="0" w:line="240" w:lineRule="auto"/>
        <w:ind w:left="426" w:hanging="426"/>
        <w:jc w:val="both"/>
        <w:rPr>
          <w:rFonts w:ascii="Times New Roman" w:hAnsi="Times New Roman"/>
          <w:noProof/>
          <w:sz w:val="24"/>
          <w:szCs w:val="24"/>
        </w:rPr>
      </w:pPr>
      <w:r>
        <w:rPr>
          <w:rFonts w:ascii="Times New Roman" w:hAnsi="Times New Roman"/>
          <w:noProof/>
          <w:sz w:val="24"/>
          <w:szCs w:val="24"/>
        </w:rPr>
        <w:t xml:space="preserve">Desde 2019 estão </w:t>
      </w:r>
      <w:r>
        <w:rPr>
          <w:rFonts w:ascii="Times New Roman" w:hAnsi="Times New Roman"/>
          <w:b/>
          <w:noProof/>
          <w:sz w:val="24"/>
          <w:szCs w:val="24"/>
        </w:rPr>
        <w:t>disponíveis os formulários eletrónicos de pedido de assistência em matéria de cobrança</w:t>
      </w:r>
      <w:r>
        <w:rPr>
          <w:rFonts w:ascii="Times New Roman" w:hAnsi="Times New Roman"/>
          <w:noProof/>
          <w:sz w:val="24"/>
          <w:szCs w:val="24"/>
        </w:rPr>
        <w:t xml:space="preserve"> (em formato Java</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w:t>
      </w:r>
      <w:r>
        <w:rPr>
          <w:rFonts w:ascii="Times New Roman" w:hAnsi="Times New Roman"/>
          <w:b/>
          <w:noProof/>
          <w:sz w:val="24"/>
          <w:szCs w:val="24"/>
        </w:rPr>
        <w:t>para utilização com os países terceiros.</w:t>
      </w:r>
      <w:r>
        <w:rPr>
          <w:rFonts w:ascii="Times New Roman" w:hAnsi="Times New Roman"/>
          <w:noProof/>
          <w:sz w:val="24"/>
          <w:szCs w:val="24"/>
        </w:rPr>
        <w:t xml:space="preserve"> Quando estes formulários foram inicialmente desenvolvidos, foram, de facto, concebidos de forma a poderem ser utilizados com outros países terceiros.</w:t>
      </w:r>
    </w:p>
    <w:p>
      <w:pPr>
        <w:pStyle w:val="ListParagraph"/>
        <w:numPr>
          <w:ilvl w:val="0"/>
          <w:numId w:val="0"/>
        </w:numPr>
        <w:spacing w:after="0" w:line="240" w:lineRule="auto"/>
        <w:ind w:left="426"/>
        <w:jc w:val="both"/>
        <w:rPr>
          <w:rFonts w:ascii="Times New Roman" w:hAnsi="Times New Roman"/>
          <w:noProof/>
          <w:sz w:val="24"/>
          <w:szCs w:val="24"/>
        </w:rPr>
      </w:pPr>
    </w:p>
    <w:p>
      <w:pPr>
        <w:pStyle w:val="ListParagraph"/>
        <w:numPr>
          <w:ilvl w:val="0"/>
          <w:numId w:val="0"/>
        </w:numPr>
        <w:spacing w:after="120" w:line="240" w:lineRule="auto"/>
        <w:ind w:left="426"/>
        <w:jc w:val="both"/>
        <w:rPr>
          <w:rFonts w:ascii="Times New Roman" w:hAnsi="Times New Roman" w:cs="Times New Roman"/>
          <w:noProof/>
          <w:sz w:val="24"/>
          <w:szCs w:val="24"/>
        </w:rPr>
      </w:pPr>
      <w:r>
        <w:rPr>
          <w:rFonts w:ascii="Times New Roman" w:hAnsi="Times New Roman"/>
          <w:noProof/>
          <w:sz w:val="24"/>
          <w:szCs w:val="24"/>
        </w:rPr>
        <w:t>Também pode ser prevista uma cooperação com os países terceiros para a revisão dos atuais formulários de pedido de assistência em matéria de cobrança de impostos da UE.</w:t>
      </w:r>
    </w:p>
    <w:p>
      <w:pPr>
        <w:pStyle w:val="ListParagraph"/>
        <w:numPr>
          <w:ilvl w:val="0"/>
          <w:numId w:val="0"/>
        </w:numPr>
        <w:spacing w:after="120" w:line="240" w:lineRule="auto"/>
        <w:ind w:left="426" w:hanging="426"/>
        <w:jc w:val="both"/>
        <w:rPr>
          <w:rFonts w:ascii="Times New Roman" w:hAnsi="Times New Roman" w:cs="Times New Roman"/>
          <w:noProof/>
          <w:sz w:val="24"/>
          <w:szCs w:val="24"/>
        </w:rPr>
      </w:pPr>
    </w:p>
    <w:p>
      <w:pPr>
        <w:pStyle w:val="ListParagraph"/>
        <w:numPr>
          <w:ilvl w:val="0"/>
          <w:numId w:val="18"/>
        </w:numPr>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Por último, o Grupo de Peritos de Cobrança da UE sugeriu desenvolver um </w:t>
      </w:r>
      <w:r>
        <w:rPr>
          <w:rFonts w:ascii="Times New Roman" w:hAnsi="Times New Roman"/>
          <w:b/>
          <w:noProof/>
          <w:sz w:val="24"/>
          <w:szCs w:val="24"/>
        </w:rPr>
        <w:t>modelo de memorando de acordo da UE</w:t>
      </w:r>
      <w:r>
        <w:rPr>
          <w:rFonts w:ascii="Times New Roman" w:hAnsi="Times New Roman"/>
          <w:noProof/>
          <w:sz w:val="24"/>
          <w:szCs w:val="24"/>
        </w:rPr>
        <w:t xml:space="preserve"> para acordos bilaterais com países terceiros. Com base na partilha das melhores práticas, este modelo poderia ser utilizado pelos Estados-Membros para organizar a sua assistência em matéria de cobrança com os países terceiros, a fim de simplificar a aplicação de tais acordos. </w:t>
      </w:r>
    </w:p>
    <w:p>
      <w:pPr>
        <w:spacing w:after="120" w:line="240" w:lineRule="auto"/>
        <w:ind w:left="426" w:hanging="426"/>
        <w:jc w:val="both"/>
        <w:rPr>
          <w:rFonts w:ascii="Times New Roman" w:hAnsi="Times New Roman" w:cs="Times New Roman"/>
          <w:bCs/>
          <w:noProof/>
          <w:sz w:val="24"/>
          <w:szCs w:val="24"/>
        </w:rPr>
      </w:pPr>
      <w:r>
        <w:rPr>
          <w:noProof/>
        </w:rPr>
        <w:tab/>
      </w:r>
      <w:r>
        <w:rPr>
          <w:rFonts w:ascii="Times New Roman" w:hAnsi="Times New Roman"/>
          <w:noProof/>
          <w:sz w:val="24"/>
          <w:szCs w:val="24"/>
        </w:rPr>
        <w:t xml:space="preserve"> </w:t>
      </w:r>
    </w:p>
    <w:p>
      <w:pPr>
        <w:spacing w:after="120" w:line="240" w:lineRule="auto"/>
        <w:ind w:left="426" w:hanging="426"/>
        <w:jc w:val="both"/>
        <w:rPr>
          <w:rFonts w:ascii="Times New Roman" w:hAnsi="Times New Roman" w:cs="Times New Roman"/>
          <w:b/>
          <w:bCs/>
          <w:noProof/>
          <w:sz w:val="24"/>
          <w:szCs w:val="24"/>
        </w:rPr>
      </w:pPr>
      <w:r>
        <w:rPr>
          <w:rFonts w:ascii="Times New Roman" w:hAnsi="Times New Roman"/>
          <w:b/>
          <w:bCs/>
          <w:noProof/>
          <w:sz w:val="24"/>
          <w:szCs w:val="24"/>
        </w:rPr>
        <w:t>6.</w:t>
      </w:r>
      <w:r>
        <w:rPr>
          <w:noProof/>
        </w:rPr>
        <w:tab/>
      </w:r>
      <w:r>
        <w:rPr>
          <w:rFonts w:ascii="Times New Roman" w:hAnsi="Times New Roman"/>
          <w:b/>
          <w:bCs/>
          <w:noProof/>
          <w:sz w:val="24"/>
          <w:szCs w:val="24"/>
        </w:rPr>
        <w:t>Conclusões gerais e recomendações</w:t>
      </w:r>
    </w:p>
    <w:p>
      <w:pPr>
        <w:spacing w:after="120" w:line="240" w:lineRule="auto"/>
        <w:ind w:left="426" w:hanging="426"/>
        <w:jc w:val="both"/>
        <w:rPr>
          <w:rFonts w:ascii="Times New Roman" w:hAnsi="Times New Roman" w:cs="Times New Roman"/>
          <w:b/>
          <w:bCs/>
          <w:noProof/>
          <w:sz w:val="24"/>
          <w:szCs w:val="24"/>
        </w:rPr>
      </w:pP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A </w:t>
      </w:r>
      <w:r>
        <w:rPr>
          <w:b/>
          <w:noProof/>
        </w:rPr>
        <w:t>recolha automatizada de dados estatísticos</w:t>
      </w:r>
      <w:r>
        <w:rPr>
          <w:noProof/>
        </w:rPr>
        <w:t xml:space="preserve"> ajudará a melhorar a exatidão dessas estatísticas e a reduzir a carga administrativa para os Estados-Membros. </w:t>
      </w:r>
    </w:p>
    <w:p>
      <w:pPr>
        <w:pStyle w:val="listparagraph0"/>
        <w:tabs>
          <w:tab w:val="left" w:pos="426"/>
        </w:tabs>
        <w:spacing w:before="0" w:beforeAutospacing="0" w:after="0" w:afterAutospacing="0"/>
        <w:ind w:left="426"/>
        <w:jc w:val="both"/>
        <w:rPr>
          <w:noProof/>
        </w:rPr>
      </w:pPr>
    </w:p>
    <w:p>
      <w:pPr>
        <w:pStyle w:val="listparagraph0"/>
        <w:tabs>
          <w:tab w:val="left" w:pos="426"/>
        </w:tabs>
        <w:spacing w:before="0" w:beforeAutospacing="0" w:after="0" w:afterAutospacing="0"/>
        <w:ind w:left="426"/>
        <w:jc w:val="both"/>
        <w:rPr>
          <w:noProof/>
        </w:rPr>
      </w:pPr>
      <w:r>
        <w:rPr>
          <w:noProof/>
        </w:rPr>
        <w:t>Os Estados-Membros são convidados a utilizar eficazmente a recolha automatizada de dados estatísticos e a incluir os dados recolhidos adicionalmente nos seus relatórios anuais à Comissão.</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Embora os montantes cobrados sejam consideráveis, os problemas comunicados mostram que existem preocupações/dúvidas quanto à vontade ou à capacidade de alguns Estados-Membros para prestar assistência em matéria de cobrança. Os Estados-Membros têm a obrigação legal de </w:t>
      </w:r>
      <w:r>
        <w:rPr>
          <w:b/>
          <w:noProof/>
        </w:rPr>
        <w:t>assistir outros Estados-Membros</w:t>
      </w:r>
      <w:r>
        <w:rPr>
          <w:noProof/>
        </w:rPr>
        <w:t xml:space="preserve"> na cobrança de créditos fiscais, pelo que devem ser tomadas medidas adequadas a nível nacional para cumprir este requisito. </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Deve ser dado um acompanhamento adequado a cada pedido de assistência e o tempo de tramitação dos pedidos deve ser substancialmente reduzido. Os Estados-Membros devem afetar </w:t>
      </w:r>
      <w:r>
        <w:rPr>
          <w:b/>
          <w:noProof/>
        </w:rPr>
        <w:t>recursos humanos, infraestruturas e ferramentas informáticas suficientes</w:t>
      </w:r>
      <w:r>
        <w:rPr>
          <w:noProof/>
        </w:rPr>
        <w:t xml:space="preserve"> para a assistência em matéria de cobrança de impostos, de modo a cumprirem as suas obrigações de assistência e fazerem face ao volume cada vez maior de pedidos de assistência. </w:t>
      </w:r>
      <w:r>
        <w:rPr>
          <w:b/>
          <w:noProof/>
        </w:rPr>
        <w:t>Devem ser desenvolvidas regras e práticas administrativas nacionais</w:t>
      </w:r>
      <w:r>
        <w:rPr>
          <w:noProof/>
        </w:rPr>
        <w:t>, de forma a que as autoridades fiscais de cobrança possam prestar essa assistência.</w:t>
      </w:r>
    </w:p>
    <w:p>
      <w:pPr>
        <w:pStyle w:val="listparagraph0"/>
        <w:tabs>
          <w:tab w:val="left" w:pos="426"/>
        </w:tabs>
        <w:spacing w:before="0" w:beforeAutospacing="0" w:after="0" w:afterAutospacing="0"/>
        <w:ind w:left="426"/>
        <w:jc w:val="both"/>
        <w:rPr>
          <w:noProof/>
        </w:rPr>
      </w:pPr>
    </w:p>
    <w:p>
      <w:pPr>
        <w:pStyle w:val="listparagraph0"/>
        <w:tabs>
          <w:tab w:val="left" w:pos="426"/>
        </w:tabs>
        <w:spacing w:before="0" w:beforeAutospacing="0" w:after="0" w:afterAutospacing="0"/>
        <w:ind w:left="426"/>
        <w:jc w:val="both"/>
        <w:rPr>
          <w:noProof/>
        </w:rPr>
      </w:pPr>
      <w:r>
        <w:rPr>
          <w:noProof/>
        </w:rPr>
        <w:t xml:space="preserve">Os Estados-Membros são convidados a organizar um controlo interno, de modo a garantir que os pedidos de assistência são efetivamente executados e que as autoridades requeridas fornecem informações claras e atempadas às autoridades requerentes sobre a execução dos pedidos de assistência. </w:t>
      </w:r>
    </w:p>
    <w:p>
      <w:pPr>
        <w:pStyle w:val="listparagraph0"/>
        <w:tabs>
          <w:tab w:val="left" w:pos="426"/>
        </w:tabs>
        <w:spacing w:before="0" w:beforeAutospacing="0" w:after="0" w:afterAutospacing="0"/>
        <w:ind w:left="426"/>
        <w:jc w:val="both"/>
        <w:rPr>
          <w:noProof/>
        </w:rPr>
      </w:pPr>
    </w:p>
    <w:p>
      <w:pPr>
        <w:pStyle w:val="listparagraph0"/>
        <w:tabs>
          <w:tab w:val="left" w:pos="426"/>
        </w:tabs>
        <w:spacing w:before="0" w:beforeAutospacing="0" w:after="0" w:afterAutospacing="0"/>
        <w:ind w:left="426"/>
        <w:jc w:val="both"/>
        <w:rPr>
          <w:noProof/>
        </w:rPr>
      </w:pPr>
      <w:r>
        <w:rPr>
          <w:noProof/>
        </w:rPr>
        <w:t>As autoridades fiscais são convidadas a comunicar situações de desrespeito das regras relativas à assistência em matéria de cobrança ao nível adequado nos Estados-Membros e os Estados-Membros são convidados a apresentar estes problemas (numa fase anterior) aos outros Estados-Membros e à Comissão, para que os problemas que persistem nas relações com outros Estados-Membros possam ser tratados de uma forma mais pró-ativa e eficaz.</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O </w:t>
      </w:r>
      <w:r>
        <w:rPr>
          <w:b/>
          <w:noProof/>
        </w:rPr>
        <w:t>quadro da UE relativo à assistência em matéria de cobrança de impostos faz face a vários desafios</w:t>
      </w:r>
      <w:r>
        <w:rPr>
          <w:noProof/>
        </w:rPr>
        <w:t xml:space="preserve">: as ferramentas e os instrumentos para pedir e conceder assistência em matéria de cobrança devem ser adaptados à necessidade crescente de assistência em matéria de cobrança, aos novos desenvolvimentos económicos e tecnológicos e aos desenvolvimentos jurídicos, nomeadamente no que se refere ao respeito pelos direitos dos devedores de impostos. </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A necessidade de </w:t>
      </w:r>
      <w:r>
        <w:rPr>
          <w:b/>
          <w:noProof/>
        </w:rPr>
        <w:t>aumentar o conhecimento e a sensibilização</w:t>
      </w:r>
      <w:r>
        <w:rPr>
          <w:noProof/>
        </w:rPr>
        <w:t xml:space="preserve"> para o quadro da UE relativo à assistência em matéria de cobrança de impostos é uma questão importante. Foram tomadas medidas para aumentar este conhecimento e sensibilização, mas são necessárias mais medidas.  </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Os Estados-Membros são convidados a cooperar com a Comissão para implementar estas medidas, de forma pró-ativa e com um espírito europeu positivo.</w:t>
      </w:r>
    </w:p>
    <w:p>
      <w:pPr>
        <w:spacing w:after="120" w:line="240" w:lineRule="auto"/>
        <w:rPr>
          <w:rFonts w:ascii="Times New Roman" w:hAnsi="Times New Roman" w:cs="Times New Roman"/>
          <w:b/>
          <w:noProof/>
          <w:sz w:val="24"/>
          <w:szCs w:val="24"/>
        </w:rPr>
      </w:pPr>
      <w:r>
        <w:rPr>
          <w:rFonts w:ascii="Times New Roman" w:hAnsi="Times New Roman"/>
          <w:b/>
          <w:noProof/>
          <w:sz w:val="24"/>
          <w:szCs w:val="24"/>
        </w:rPr>
        <w:t xml:space="preserve"> </w:t>
      </w:r>
    </w:p>
    <w:p>
      <w:pPr>
        <w:jc w:val="center"/>
        <w:rPr>
          <w:rFonts w:ascii="Times New Roman" w:hAnsi="Times New Roman" w:cs="Times New Roman"/>
          <w:b/>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18605"/>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Ação 14 do presente plano de ação,</w:t>
      </w:r>
      <w:r>
        <w:rPr>
          <w:rStyle w:val="Hyperlink"/>
          <w:rFonts w:ascii="Times New Roman" w:hAnsi="Times New Roman"/>
        </w:rPr>
        <w:t xml:space="preserve"> </w:t>
      </w:r>
      <w:hyperlink r:id="rId1" w:history="1">
        <w:r>
          <w:rPr>
            <w:rStyle w:val="Hyperlink"/>
            <w:rFonts w:ascii="Times New Roman" w:hAnsi="Times New Roman"/>
          </w:rPr>
          <w:t>https://ec.europa.eu/taxation_customs/sites/taxation/files/2020_tax_package_tax_action_plan_en.pdf</w:t>
        </w:r>
      </w:hyperlink>
      <w:r>
        <w:rPr>
          <w:rStyle w:val="Hyperlink"/>
          <w:rFonts w:ascii="Times New Roman" w:hAnsi="Times New Roman"/>
        </w:rPr>
        <w:t xml:space="preserve">. </w:t>
      </w:r>
    </w:p>
  </w:footnote>
  <w:footnote w:id="2">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Relatório da Comissão ao Parlamento Europeu e ao Conselho sobre o funcionamento das disposições da Diretiva 2010/24/UE do Conselho, de 16 de março de 2010, relativa à assistência mútua em matéria de cobrança de créditos respeitantes a impostos, direitos e outras medidas.</w:t>
      </w:r>
    </w:p>
  </w:footnote>
  <w:footnote w:id="3">
    <w:p>
      <w:pPr>
        <w:pStyle w:val="FootnoteText"/>
        <w:tabs>
          <w:tab w:val="left" w:pos="1985"/>
        </w:tabs>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Diretiva 2010/24/UE do Conselho, de 16 de março de 2010, relativa à assistência mútua em matéria de cobrança de créditos respeitantes a impostos, direitos e outras medidas, </w:t>
      </w:r>
      <w:r>
        <w:rPr>
          <w:rFonts w:ascii="Times New Roman" w:hAnsi="Times New Roman"/>
          <w:i/>
          <w:iCs/>
        </w:rPr>
        <w:t>JO</w:t>
      </w:r>
      <w:r>
        <w:rPr>
          <w:rFonts w:ascii="Times New Roman" w:hAnsi="Times New Roman"/>
        </w:rPr>
        <w:t xml:space="preserve"> L 84/1 de 31.3.2010.</w:t>
      </w:r>
    </w:p>
  </w:footnote>
  <w:footnote w:id="4">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Estados-Membros representados no grupo de projeto Fiscalis 110: Bulgária, Alemanha, Estónia, Grécia, Espanha, Lituânia, Hungria, Áustria, Polónia, Roménia, Eslovénia, Eslováquia, Finlândia.</w:t>
      </w:r>
    </w:p>
  </w:footnote>
  <w:footnote w:id="5">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Ver o documento de trabalho dos serviços da Comissão SWD(2017)461, de 18 de dezembro de 2017, que acompanha o Relatório COM(2017)778 da Comissão, n.º 6.3.2.</w:t>
      </w:r>
    </w:p>
  </w:footnote>
  <w:footnote w:id="6">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Relatório da Comissão ao Parlamento Europeu e ao Conselho sobre o funcionamento das disposições da Diretiva 2010/24/UE do Conselho, de 16 de março de 2010, relativa à assistência mútua em matéria de cobrança de créditos respeitantes a impostos, direitos e outras medidas.</w:t>
      </w:r>
    </w:p>
  </w:footnote>
  <w:footnote w:id="7">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Seminários Fiscalis sobre a utilização dos formulários eletrónicos de cobrança no âmbito da aplicação central (12-13 de abril de 2018 e 19-20 de abril de 2018) e um seminário de formação destinado às autoridades fiscais de cobrança norueguesas, na sequência da adoção do acordo entre a UE e a Noruega sobre a cooperação administrativa e a assistência em matéria de cobrança de impostos no domínio do IVA (25-27 de setembro de 2018).</w:t>
      </w:r>
    </w:p>
  </w:footnote>
  <w:footnote w:id="8">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JO L 195 de 1.8.2018, p. 1. Este acordo entrou em vigor em 1 de setembro de 2018.</w:t>
      </w:r>
    </w:p>
  </w:footnote>
  <w:footnote w:id="9">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Artigo 40.º, n.º 4, do Acordo.</w:t>
      </w:r>
    </w:p>
  </w:footnote>
  <w:footnote w:id="10">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Nomeadamente, o formulário de notificação uniforme e o título executivo uniforme que permite a execução.</w:t>
      </w:r>
    </w:p>
  </w:footnote>
  <w:footnote w:id="11">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O dever de informar a pessoa em causa numa língua específica foi confirmado pela</w:t>
      </w:r>
      <w:r>
        <w:t xml:space="preserve"> </w:t>
      </w:r>
      <w:r>
        <w:rPr>
          <w:rFonts w:ascii="Times New Roman" w:hAnsi="Times New Roman"/>
        </w:rPr>
        <w:t>jurisprudência do Tribunal de Justiça da UE (processo C-233/08, Kyrian e processo C-34/17, Donnellan).</w:t>
      </w:r>
    </w:p>
  </w:footnote>
  <w:footnote w:id="12">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Ponto 15 das Conclusões 14682/19 do Conselho, de 5 de dezembro de 2019, sobre o Relatório Especial n.º 12/2019 do Tribunal de Contas Europeu «</w:t>
      </w:r>
      <w:r>
        <w:rPr>
          <w:rFonts w:ascii="Times New Roman" w:hAnsi="Times New Roman"/>
          <w:i/>
          <w:iCs/>
        </w:rPr>
        <w:t>Comércio eletrónico:</w:t>
      </w:r>
      <w:r>
        <w:rPr>
          <w:rFonts w:ascii="Times New Roman" w:hAnsi="Times New Roman"/>
          <w:i/>
        </w:rPr>
        <w:t xml:space="preserve"> </w:t>
      </w:r>
      <w:r>
        <w:rPr>
          <w:rFonts w:ascii="Times New Roman" w:hAnsi="Times New Roman"/>
          <w:i/>
          <w:iCs/>
        </w:rPr>
        <w:t>muitos dos desafios relativos à cobrança do IVA e dos direitos aduaneiros permanecem por resolver</w:t>
      </w:r>
      <w:r>
        <w:rPr>
          <w:rFonts w:ascii="Times New Roman" w:hAnsi="Times New Roman"/>
        </w:rPr>
        <w:t>».</w:t>
      </w:r>
    </w:p>
  </w:footnote>
  <w:footnote w:id="13">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Ação 14 do presente plano de ação,</w:t>
      </w:r>
      <w:r>
        <w:t xml:space="preserve"> </w:t>
      </w:r>
      <w:r>
        <w:rPr>
          <w:rStyle w:val="Hyperlink"/>
          <w:rFonts w:ascii="Times New Roman" w:hAnsi="Times New Roman"/>
        </w:rPr>
        <w:t xml:space="preserve"> </w:t>
      </w:r>
      <w:hyperlink r:id="rId2" w:history="1">
        <w:r>
          <w:rPr>
            <w:rStyle w:val="Hyperlink"/>
            <w:rFonts w:ascii="Times New Roman" w:hAnsi="Times New Roman"/>
          </w:rPr>
          <w:t>https://ec.europa.eu/taxation_customs/sites/taxation/files/2020_tax_package_tax_action_plan_en.pdf</w:t>
        </w:r>
      </w:hyperlink>
      <w:r>
        <w:t>.</w:t>
      </w:r>
      <w:r>
        <w:rPr>
          <w:rStyle w:val="Hyperlink"/>
          <w:rFonts w:ascii="Times New Roman" w:hAnsi="Times New Roman"/>
        </w:rPr>
        <w:t xml:space="preserve"> </w:t>
      </w:r>
    </w:p>
  </w:footnote>
  <w:footnote w:id="14">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Acordo sobre a saída do Reino Unido da Grã‐Bretanha e da Irlanda do Norte da União Europeia e da Comunidade Europeia da Energia Atómica, </w:t>
      </w:r>
      <w:r>
        <w:rPr>
          <w:rFonts w:ascii="Times New Roman" w:hAnsi="Times New Roman"/>
          <w:iCs/>
        </w:rPr>
        <w:t>JO C 384-I de 12.11.2019, p. 1.</w:t>
      </w:r>
    </w:p>
  </w:footnote>
  <w:footnote w:id="15">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3" w:history="1">
        <w:r>
          <w:rPr>
            <w:rStyle w:val="Hyperlink"/>
            <w:rFonts w:ascii="Times New Roman" w:hAnsi="Times New Roman"/>
          </w:rPr>
          <w:t>https://www.consilium.europa.eu/media/42737/st05870-en20.pdf</w:t>
        </w:r>
      </w:hyperlink>
      <w:r>
        <w:t>.</w:t>
      </w:r>
      <w:r>
        <w:rPr>
          <w:rFonts w:ascii="Times New Roman" w:hAnsi="Times New Roman"/>
        </w:rPr>
        <w:t xml:space="preserve"> </w:t>
      </w:r>
    </w:p>
  </w:footnote>
  <w:footnote w:id="16">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4" w:history="1">
        <w:r>
          <w:rPr>
            <w:rStyle w:val="Hyperlink"/>
            <w:rFonts w:ascii="Times New Roman" w:hAnsi="Times New Roman"/>
          </w:rPr>
          <w:t>https://www.consilium.europa.eu/media/42736/st05870-ad01re03-en20.pdf</w:t>
        </w:r>
      </w:hyperlink>
      <w:r>
        <w:t>.</w:t>
      </w:r>
      <w:r>
        <w:rPr>
          <w:rFonts w:ascii="Times New Roman" w:hAnsi="Times New Roman"/>
        </w:rPr>
        <w:t xml:space="preserve"> </w:t>
      </w:r>
    </w:p>
  </w:footnote>
  <w:footnote w:id="17">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bCs/>
        </w:rPr>
        <w:t>No que diz respeito à aplicação central de formulários eletrónicos (eFCA), observou-se que tal exigiria uma ligação informática e apoio prestado pela Comissão, e implicaria uma contribuição financeira por parte dos países participantes, exigindo um acordo internacional (como é o caso da Noruega).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E69"/>
    <w:multiLevelType w:val="hybridMultilevel"/>
    <w:tmpl w:val="62EEAFDA"/>
    <w:lvl w:ilvl="0" w:tplc="60C6F420">
      <w:start w:val="1"/>
      <w:numFmt w:val="bullet"/>
      <w:pStyle w:val="ListParagraph"/>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nsid w:val="08903D5E"/>
    <w:multiLevelType w:val="multilevel"/>
    <w:tmpl w:val="5D24BC4E"/>
    <w:lvl w:ilvl="0">
      <w:start w:val="1"/>
      <w:numFmt w:val="bullet"/>
      <w:pStyle w:val="ListBullet"/>
      <w:lvlText w:val="•"/>
      <w:lvlJc w:val="left"/>
      <w:pPr>
        <w:ind w:left="397" w:hanging="397"/>
      </w:pPr>
      <w:rPr>
        <w:rFonts w:asciiTheme="minorHAnsi" w:hAnsiTheme="minorHAnsi" w:hint="default"/>
        <w:b w:val="0"/>
        <w:i w:val="0"/>
        <w:color w:val="E6242F"/>
        <w:sz w:val="23"/>
        <w:szCs w:val="20"/>
      </w:rPr>
    </w:lvl>
    <w:lvl w:ilvl="1">
      <w:start w:val="1"/>
      <w:numFmt w:val="bullet"/>
      <w:pStyle w:val="ListBullet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ListBullet3"/>
      <w:lvlText w:val="•"/>
      <w:lvlJc w:val="left"/>
      <w:pPr>
        <w:ind w:left="1191" w:hanging="397"/>
      </w:pPr>
      <w:rPr>
        <w:rFonts w:asciiTheme="minorHAnsi" w:hAnsiTheme="minorHAnsi" w:hint="default"/>
        <w:color w:val="auto"/>
        <w:sz w:val="23"/>
      </w:rPr>
    </w:lvl>
    <w:lvl w:ilvl="3">
      <w:start w:val="1"/>
      <w:numFmt w:val="bullet"/>
      <w:lvlText w:val="–"/>
      <w:lvlJc w:val="left"/>
      <w:pPr>
        <w:ind w:left="1588" w:hanging="397"/>
      </w:pPr>
      <w:rPr>
        <w:rFonts w:asciiTheme="minorHAnsi" w:hAnsiTheme="minorHAnsi" w:hint="default"/>
        <w:color w:val="E6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3">
    <w:nsid w:val="08F30068"/>
    <w:multiLevelType w:val="hybridMultilevel"/>
    <w:tmpl w:val="872C2668"/>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94E2DF6"/>
    <w:multiLevelType w:val="hybridMultilevel"/>
    <w:tmpl w:val="E5382A1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097C02D3"/>
    <w:multiLevelType w:val="hybridMultilevel"/>
    <w:tmpl w:val="0CF43596"/>
    <w:lvl w:ilvl="0" w:tplc="0809000B">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nsid w:val="09D14815"/>
    <w:multiLevelType w:val="hybridMultilevel"/>
    <w:tmpl w:val="D3146606"/>
    <w:lvl w:ilvl="0" w:tplc="35124906">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640B47"/>
    <w:multiLevelType w:val="multilevel"/>
    <w:tmpl w:val="FBF0E766"/>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8">
    <w:nsid w:val="115F0D02"/>
    <w:multiLevelType w:val="hybridMultilevel"/>
    <w:tmpl w:val="4D5048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780822"/>
    <w:multiLevelType w:val="hybridMultilevel"/>
    <w:tmpl w:val="85FA3082"/>
    <w:lvl w:ilvl="0" w:tplc="4C20F3B4">
      <w:start w:val="1"/>
      <w:numFmt w:val="bullet"/>
      <w:lvlText w:val="-"/>
      <w:lvlJc w:val="left"/>
      <w:pPr>
        <w:ind w:left="720" w:hanging="360"/>
      </w:pPr>
      <w:rPr>
        <w:rFonts w:ascii="&amp;quot" w:eastAsia="Times New Roman" w:hAnsi="&amp;quo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CF03EF"/>
    <w:multiLevelType w:val="hybridMultilevel"/>
    <w:tmpl w:val="0E3EBFC4"/>
    <w:lvl w:ilvl="0" w:tplc="BFAEF3C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FB463C0"/>
    <w:multiLevelType w:val="hybridMultilevel"/>
    <w:tmpl w:val="FE7A5C1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28E63C2B"/>
    <w:multiLevelType w:val="hybridMultilevel"/>
    <w:tmpl w:val="D61C6C02"/>
    <w:lvl w:ilvl="0" w:tplc="BFAEF3C2">
      <w:start w:val="1"/>
      <w:numFmt w:val="bullet"/>
      <w:lvlText w:val="-"/>
      <w:lvlJc w:val="left"/>
      <w:pPr>
        <w:ind w:left="720" w:hanging="360"/>
      </w:pPr>
      <w:rPr>
        <w:rFonts w:ascii="Cambria" w:eastAsiaTheme="minorHAnsi" w:hAnsi="Cambr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293CE3"/>
    <w:multiLevelType w:val="multilevel"/>
    <w:tmpl w:val="C51AF6A4"/>
    <w:lvl w:ilvl="0">
      <w:start w:val="9"/>
      <w:numFmt w:val="decimal"/>
      <w:pStyle w:val="LegalNumPar"/>
      <w:lvlText w:val="%1."/>
      <w:lvlJc w:val="left"/>
      <w:pPr>
        <w:ind w:left="618" w:hanging="476"/>
      </w:pPr>
      <w:rPr>
        <w:rFonts w:hint="default"/>
        <w:b/>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A7E30C0"/>
    <w:multiLevelType w:val="hybridMultilevel"/>
    <w:tmpl w:val="FFB21D6A"/>
    <w:lvl w:ilvl="0" w:tplc="4C20F3B4">
      <w:start w:val="1"/>
      <w:numFmt w:val="bullet"/>
      <w:lvlText w:val="-"/>
      <w:lvlJc w:val="left"/>
      <w:pPr>
        <w:ind w:left="1146" w:hanging="360"/>
      </w:pPr>
      <w:rPr>
        <w:rFonts w:ascii="&amp;quot" w:eastAsia="Times New Roman" w:hAnsi="&amp;quot"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3C8572ED"/>
    <w:multiLevelType w:val="hybridMultilevel"/>
    <w:tmpl w:val="0C080DFC"/>
    <w:lvl w:ilvl="0" w:tplc="DC32FADA">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5074D7"/>
    <w:multiLevelType w:val="hybridMultilevel"/>
    <w:tmpl w:val="D19838D4"/>
    <w:lvl w:ilvl="0" w:tplc="AD8EB65E">
      <w:numFmt w:val="bullet"/>
      <w:lvlText w:val="-"/>
      <w:lvlJc w:val="left"/>
      <w:pPr>
        <w:ind w:left="720" w:hanging="360"/>
      </w:pPr>
      <w:rPr>
        <w:rFonts w:ascii="Corbel" w:eastAsiaTheme="minorHAnsi" w:hAnsi="Corbe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5D3CB3"/>
    <w:multiLevelType w:val="hybridMultilevel"/>
    <w:tmpl w:val="D234B7FC"/>
    <w:lvl w:ilvl="0" w:tplc="AD8EB65E">
      <w:numFmt w:val="bullet"/>
      <w:lvlText w:val="-"/>
      <w:lvlJc w:val="left"/>
      <w:pPr>
        <w:ind w:left="1141" w:hanging="360"/>
      </w:pPr>
      <w:rPr>
        <w:rFonts w:ascii="Corbel" w:eastAsiaTheme="minorHAnsi" w:hAnsi="Corbel" w:cstheme="minorBidi"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9">
    <w:nsid w:val="3FA26B3C"/>
    <w:multiLevelType w:val="multilevel"/>
    <w:tmpl w:val="EF2035A8"/>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20">
    <w:nsid w:val="43363469"/>
    <w:multiLevelType w:val="hybridMultilevel"/>
    <w:tmpl w:val="C29EA504"/>
    <w:lvl w:ilvl="0" w:tplc="4C20F3B4">
      <w:start w:val="1"/>
      <w:numFmt w:val="bullet"/>
      <w:lvlText w:val="-"/>
      <w:lvlJc w:val="left"/>
      <w:pPr>
        <w:ind w:left="1146" w:hanging="360"/>
      </w:pPr>
      <w:rPr>
        <w:rFonts w:ascii="&amp;quot" w:eastAsia="Times New Roman" w:hAnsi="&amp;quot"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4C1A34D3"/>
    <w:multiLevelType w:val="hybridMultilevel"/>
    <w:tmpl w:val="657238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1E285D"/>
    <w:multiLevelType w:val="hybridMultilevel"/>
    <w:tmpl w:val="E14CC81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4EB53529"/>
    <w:multiLevelType w:val="hybridMultilevel"/>
    <w:tmpl w:val="4600F038"/>
    <w:lvl w:ilvl="0" w:tplc="70002D6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C43959"/>
    <w:multiLevelType w:val="hybridMultilevel"/>
    <w:tmpl w:val="4A249A20"/>
    <w:lvl w:ilvl="0" w:tplc="FB2419EE">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DC2F18"/>
    <w:multiLevelType w:val="hybridMultilevel"/>
    <w:tmpl w:val="CFF8FB84"/>
    <w:lvl w:ilvl="0" w:tplc="BFAEF3C2">
      <w:start w:val="1"/>
      <w:numFmt w:val="bullet"/>
      <w:lvlText w:val="-"/>
      <w:lvlJc w:val="left"/>
      <w:pPr>
        <w:ind w:left="938" w:hanging="360"/>
      </w:pPr>
      <w:rPr>
        <w:rFonts w:ascii="Cambria" w:eastAsiaTheme="minorHAnsi" w:hAnsi="Cambria" w:cstheme="minorBidi"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6">
    <w:nsid w:val="69744F94"/>
    <w:multiLevelType w:val="hybridMultilevel"/>
    <w:tmpl w:val="413AA746"/>
    <w:lvl w:ilvl="0" w:tplc="0809000B">
      <w:start w:val="1"/>
      <w:numFmt w:val="bullet"/>
      <w:lvlText w:val=""/>
      <w:lvlJc w:val="left"/>
      <w:pPr>
        <w:ind w:left="644"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597DA8"/>
    <w:multiLevelType w:val="hybridMultilevel"/>
    <w:tmpl w:val="A9FE12E2"/>
    <w:lvl w:ilvl="0" w:tplc="FB2419EE">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29">
    <w:nsid w:val="71A8067A"/>
    <w:multiLevelType w:val="hybridMultilevel"/>
    <w:tmpl w:val="EE9C8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A22FFD"/>
    <w:multiLevelType w:val="hybridMultilevel"/>
    <w:tmpl w:val="6A0A7EA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nsid w:val="7D480BF6"/>
    <w:multiLevelType w:val="hybridMultilevel"/>
    <w:tmpl w:val="2EF032CC"/>
    <w:lvl w:ilvl="0" w:tplc="BFAEF3C2">
      <w:start w:val="1"/>
      <w:numFmt w:val="bullet"/>
      <w:lvlText w:val="-"/>
      <w:lvlJc w:val="left"/>
      <w:pPr>
        <w:ind w:left="1658" w:hanging="360"/>
      </w:pPr>
      <w:rPr>
        <w:rFonts w:ascii="Cambria" w:eastAsiaTheme="minorHAnsi" w:hAnsi="Cambria" w:cstheme="minorBidi" w:hint="default"/>
      </w:rPr>
    </w:lvl>
    <w:lvl w:ilvl="1" w:tplc="08090003" w:tentative="1">
      <w:start w:val="1"/>
      <w:numFmt w:val="bullet"/>
      <w:lvlText w:val="o"/>
      <w:lvlJc w:val="left"/>
      <w:pPr>
        <w:ind w:left="2378" w:hanging="360"/>
      </w:pPr>
      <w:rPr>
        <w:rFonts w:ascii="Courier New" w:hAnsi="Courier New" w:cs="Courier New" w:hint="default"/>
      </w:rPr>
    </w:lvl>
    <w:lvl w:ilvl="2" w:tplc="08090005" w:tentative="1">
      <w:start w:val="1"/>
      <w:numFmt w:val="bullet"/>
      <w:lvlText w:val=""/>
      <w:lvlJc w:val="left"/>
      <w:pPr>
        <w:ind w:left="3098" w:hanging="360"/>
      </w:pPr>
      <w:rPr>
        <w:rFonts w:ascii="Wingdings" w:hAnsi="Wingdings" w:hint="default"/>
      </w:rPr>
    </w:lvl>
    <w:lvl w:ilvl="3" w:tplc="08090001" w:tentative="1">
      <w:start w:val="1"/>
      <w:numFmt w:val="bullet"/>
      <w:lvlText w:val=""/>
      <w:lvlJc w:val="left"/>
      <w:pPr>
        <w:ind w:left="3818" w:hanging="360"/>
      </w:pPr>
      <w:rPr>
        <w:rFonts w:ascii="Symbol" w:hAnsi="Symbol" w:hint="default"/>
      </w:rPr>
    </w:lvl>
    <w:lvl w:ilvl="4" w:tplc="08090003" w:tentative="1">
      <w:start w:val="1"/>
      <w:numFmt w:val="bullet"/>
      <w:lvlText w:val="o"/>
      <w:lvlJc w:val="left"/>
      <w:pPr>
        <w:ind w:left="4538" w:hanging="360"/>
      </w:pPr>
      <w:rPr>
        <w:rFonts w:ascii="Courier New" w:hAnsi="Courier New" w:cs="Courier New" w:hint="default"/>
      </w:rPr>
    </w:lvl>
    <w:lvl w:ilvl="5" w:tplc="08090005" w:tentative="1">
      <w:start w:val="1"/>
      <w:numFmt w:val="bullet"/>
      <w:lvlText w:val=""/>
      <w:lvlJc w:val="left"/>
      <w:pPr>
        <w:ind w:left="5258" w:hanging="360"/>
      </w:pPr>
      <w:rPr>
        <w:rFonts w:ascii="Wingdings" w:hAnsi="Wingdings" w:hint="default"/>
      </w:rPr>
    </w:lvl>
    <w:lvl w:ilvl="6" w:tplc="08090001" w:tentative="1">
      <w:start w:val="1"/>
      <w:numFmt w:val="bullet"/>
      <w:lvlText w:val=""/>
      <w:lvlJc w:val="left"/>
      <w:pPr>
        <w:ind w:left="5978" w:hanging="360"/>
      </w:pPr>
      <w:rPr>
        <w:rFonts w:ascii="Symbol" w:hAnsi="Symbol" w:hint="default"/>
      </w:rPr>
    </w:lvl>
    <w:lvl w:ilvl="7" w:tplc="08090003" w:tentative="1">
      <w:start w:val="1"/>
      <w:numFmt w:val="bullet"/>
      <w:lvlText w:val="o"/>
      <w:lvlJc w:val="left"/>
      <w:pPr>
        <w:ind w:left="6698" w:hanging="360"/>
      </w:pPr>
      <w:rPr>
        <w:rFonts w:ascii="Courier New" w:hAnsi="Courier New" w:cs="Courier New" w:hint="default"/>
      </w:rPr>
    </w:lvl>
    <w:lvl w:ilvl="8" w:tplc="08090005" w:tentative="1">
      <w:start w:val="1"/>
      <w:numFmt w:val="bullet"/>
      <w:lvlText w:val=""/>
      <w:lvlJc w:val="left"/>
      <w:pPr>
        <w:ind w:left="7418" w:hanging="360"/>
      </w:pPr>
      <w:rPr>
        <w:rFonts w:ascii="Wingdings" w:hAnsi="Wingdings" w:hint="default"/>
      </w:rPr>
    </w:lvl>
  </w:abstractNum>
  <w:abstractNum w:abstractNumId="32">
    <w:nsid w:val="7EC810F4"/>
    <w:multiLevelType w:val="multilevel"/>
    <w:tmpl w:val="957A0DB6"/>
    <w:lvl w:ilvl="0">
      <w:start w:val="1"/>
      <w:numFmt w:val="decimal"/>
      <w:pStyle w:val="ListNumber"/>
      <w:isLgl/>
      <w:lvlText w:val="%1."/>
      <w:lvlJc w:val="left"/>
      <w:pPr>
        <w:ind w:left="397" w:hanging="397"/>
      </w:pPr>
      <w:rPr>
        <w:rFonts w:asciiTheme="minorHAnsi" w:hAnsiTheme="minorHAnsi" w:hint="default"/>
        <w:color w:val="E6320F" w:themeColor="text2"/>
        <w:sz w:val="23"/>
      </w:rPr>
    </w:lvl>
    <w:lvl w:ilvl="1">
      <w:start w:val="1"/>
      <w:numFmt w:val="lowerLetter"/>
      <w:pStyle w:val="ListNumber2"/>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num w:numId="1">
    <w:abstractNumId w:val="2"/>
  </w:num>
  <w:num w:numId="2">
    <w:abstractNumId w:val="32"/>
  </w:num>
  <w:num w:numId="3">
    <w:abstractNumId w:val="0"/>
  </w:num>
  <w:num w:numId="4">
    <w:abstractNumId w:val="7"/>
  </w:num>
  <w:num w:numId="5">
    <w:abstractNumId w:val="11"/>
  </w:num>
  <w:num w:numId="6">
    <w:abstractNumId w:val="28"/>
  </w:num>
  <w:num w:numId="7">
    <w:abstractNumId w:val="19"/>
  </w:num>
  <w:num w:numId="8">
    <w:abstractNumId w:val="1"/>
  </w:num>
  <w:num w:numId="9">
    <w:abstractNumId w:val="17"/>
  </w:num>
  <w:num w:numId="10">
    <w:abstractNumId w:val="10"/>
  </w:num>
  <w:num w:numId="11">
    <w:abstractNumId w:val="8"/>
  </w:num>
  <w:num w:numId="12">
    <w:abstractNumId w:val="9"/>
  </w:num>
  <w:num w:numId="13">
    <w:abstractNumId w:val="18"/>
  </w:num>
  <w:num w:numId="14">
    <w:abstractNumId w:val="23"/>
  </w:num>
  <w:num w:numId="15">
    <w:abstractNumId w:val="6"/>
  </w:num>
  <w:num w:numId="16">
    <w:abstractNumId w:val="21"/>
  </w:num>
  <w:num w:numId="17">
    <w:abstractNumId w:val="14"/>
  </w:num>
  <w:num w:numId="18">
    <w:abstractNumId w:val="27"/>
  </w:num>
  <w:num w:numId="19">
    <w:abstractNumId w:val="16"/>
  </w:num>
  <w:num w:numId="20">
    <w:abstractNumId w:val="29"/>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1"/>
  </w:num>
  <w:num w:numId="24">
    <w:abstractNumId w:val="13"/>
  </w:num>
  <w:num w:numId="25">
    <w:abstractNumId w:val="22"/>
  </w:num>
  <w:num w:numId="26">
    <w:abstractNumId w:val="26"/>
  </w:num>
  <w:num w:numId="27">
    <w:abstractNumId w:val="20"/>
  </w:num>
  <w:num w:numId="28">
    <w:abstractNumId w:val="24"/>
  </w:num>
  <w:num w:numId="29">
    <w:abstractNumId w:val="4"/>
  </w:num>
  <w:num w:numId="30">
    <w:abstractNumId w:val="12"/>
  </w:num>
  <w:num w:numId="31">
    <w:abstractNumId w:val="5"/>
  </w:num>
  <w:num w:numId="32">
    <w:abstractNumId w:val="3"/>
  </w:num>
  <w:num w:numId="33">
    <w:abstractNumId w:val="15"/>
  </w:num>
  <w:num w:numId="34">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9DD0100-C80D-4247-AED1-73B06D4A2434"/>
    <w:docVar w:name="LW_COVERPAGE_TYPE" w:val="1"/>
    <w:docVar w:name="LW_CROSSREFERENCE" w:val="{SWD(2020) 340 final}"/>
    <w:docVar w:name="LW_DocType" w:val="NORMAL"/>
    <w:docVar w:name="LW_EMISSION" w:val="18.12.2020"/>
    <w:docVar w:name="LW_EMISSION_ISODATE" w:val="2020-12-18"/>
    <w:docVar w:name="LW_EMISSION_LOCATION" w:val="BRX"/>
    <w:docVar w:name="LW_EMISSION_PREFIX" w:val="Bruxelas, "/>
    <w:docVar w:name="LW_EMISSION_SUFFIX" w:val=" "/>
    <w:docVar w:name="LW_ID_DOCTYPE_NONLW" w:val="CP-006"/>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20) 8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obre o funcionamento das disposições da Diretiva 2010/24/UE do Conselho, de 16 de março de 2010, relativa à assistência mútua em matéria de cobrança de créditos respeitantes a impostos, direitos e outras medidas"/>
    <w:docVar w:name="LW_TYPE.DOC.CP" w:val="RELATÓRIO DA COMISSÃO AO PARLAMENTO EUROPEU E AO CONSELHO"/>
  </w:docVar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3"/>
        <w:szCs w:val="23"/>
        <w:lang w:val="pt-PT" w:eastAsia="en-US" w:bidi="ar-SA"/>
      </w:rPr>
    </w:rPrDefault>
    <w:pPrDefault>
      <w:pPr>
        <w:spacing w:after="345"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lsdException w:name="heading 4" w:uiPriority="9"/>
    <w:lsdException w:name="heading 5" w:uiPriority="9"/>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5" w:qFormat="1"/>
    <w:lsdException w:name="footnote reference" w:qFormat="1"/>
    <w:lsdException w:name="List Bullet" w:uiPriority="9" w:qFormat="1"/>
    <w:lsdException w:name="List Number" w:uiPriority="11" w:qFormat="1"/>
    <w:lsdException w:name="List Bullet 2" w:uiPriority="0" w:qFormat="1"/>
    <w:lsdException w:name="List Bullet 3" w:uiPriority="10" w:qFormat="1"/>
    <w:lsdException w:name="List Number 2" w:uiPriority="12" w:qFormat="1"/>
    <w:lsdException w:name="Title" w:semiHidden="0" w:uiPriority="10" w:unhideWhenUsed="0"/>
    <w:lsdException w:name="Closing" w:uiPriority="46" w:qFormat="1"/>
    <w:lsdException w:name="Default Paragraph Font" w:uiPriority="1"/>
    <w:lsdException w:name="List Continue" w:uiPriority="13" w:qFormat="1"/>
    <w:lsdException w:name="List Continue 2" w:uiPriority="14" w:qFormat="1"/>
    <w:lsdException w:name="Subtitle" w:semiHidden="0" w:uiPriority="11" w:unhideWhenUsed="0"/>
    <w:lsdException w:name="Hyperlink" w:uiPriority="59" w:qFormat="1"/>
    <w:lsdException w:name="Strong" w:semiHidden="0" w:uiPriority="1"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Theme="minorHAnsi" w:hAnsiTheme="minorHAnsi"/>
      <w14:numForm w14:val="lining"/>
    </w:rPr>
  </w:style>
  <w:style w:type="paragraph" w:styleId="Heading1">
    <w:name w:val="heading 1"/>
    <w:aliases w:val="Ü1"/>
    <w:basedOn w:val="Normal"/>
    <w:next w:val="Normal"/>
    <w:link w:val="Heading1Char"/>
    <w:uiPriority w:val="2"/>
    <w:qFormat/>
    <w:pPr>
      <w:keepNext/>
      <w:pageBreakBefore/>
      <w:spacing w:after="690" w:line="690" w:lineRule="exact"/>
      <w:outlineLvl w:val="0"/>
    </w:pPr>
    <w:rPr>
      <w:rFonts w:asciiTheme="majorHAnsi" w:hAnsiTheme="majorHAnsi"/>
      <w:bCs/>
      <w:color w:val="E6320F" w:themeColor="text2"/>
      <w:sz w:val="56"/>
      <w:szCs w:val="22"/>
    </w:rPr>
  </w:style>
  <w:style w:type="paragraph" w:styleId="Heading2">
    <w:name w:val="heading 2"/>
    <w:aliases w:val="Ü2"/>
    <w:basedOn w:val="Heading1"/>
    <w:next w:val="Normal"/>
    <w:link w:val="Heading2Char"/>
    <w:uiPriority w:val="2"/>
    <w:semiHidden/>
    <w:qFormat/>
    <w:pPr>
      <w:pageBreakBefore w:val="0"/>
      <w:spacing w:before="690" w:after="345" w:line="300" w:lineRule="auto"/>
      <w:outlineLvl w:val="1"/>
    </w:pPr>
    <w:rPr>
      <w:b/>
      <w:sz w:val="30"/>
      <w:szCs w:val="23"/>
      <w14:numForm w14:val="default"/>
    </w:rPr>
  </w:style>
  <w:style w:type="paragraph" w:styleId="Heading3">
    <w:name w:val="heading 3"/>
    <w:basedOn w:val="Normal"/>
    <w:next w:val="Normal"/>
    <w:link w:val="Heading3Char"/>
    <w:uiPriority w:val="9"/>
    <w:semiHidden/>
    <w:unhideWhenUsed/>
    <w:pPr>
      <w:keepNext/>
      <w:keepLines/>
      <w:spacing w:before="40" w:after="0"/>
      <w:outlineLvl w:val="2"/>
    </w:pPr>
    <w:rPr>
      <w:rFonts w:eastAsiaTheme="majorEastAsia" w:cstheme="majorBidi"/>
      <w:color w:val="64011B" w:themeColor="accent1" w:themeShade="7F"/>
      <w:sz w:val="24"/>
      <w:szCs w:val="24"/>
    </w:rPr>
  </w:style>
  <w:style w:type="paragraph" w:styleId="Heading6">
    <w:name w:val="heading 6"/>
    <w:basedOn w:val="Normal"/>
    <w:next w:val="Normal"/>
    <w:link w:val="Heading6Char"/>
    <w:uiPriority w:val="2"/>
    <w:semiHidden/>
    <w:qFormat/>
    <w:pPr>
      <w:pBdr>
        <w:bottom w:val="dotted" w:sz="6" w:space="1" w:color="CA0237" w:themeColor="accent1"/>
      </w:pBdr>
      <w:spacing w:before="300" w:after="0"/>
      <w:outlineLvl w:val="5"/>
    </w:pPr>
    <w:rPr>
      <w:rFonts w:asciiTheme="majorHAnsi" w:hAnsiTheme="majorHAnsi"/>
      <w:caps/>
      <w:color w:val="970128" w:themeColor="accent1" w:themeShade="BF"/>
      <w:spacing w:val="10"/>
      <w14:numForm w14:val="default"/>
    </w:rPr>
  </w:style>
  <w:style w:type="paragraph" w:styleId="Heading7">
    <w:name w:val="heading 7"/>
    <w:basedOn w:val="Normal"/>
    <w:next w:val="Normal"/>
    <w:link w:val="Heading7Char"/>
    <w:uiPriority w:val="2"/>
    <w:semiHidden/>
    <w:qFormat/>
    <w:pPr>
      <w:spacing w:before="300" w:after="0"/>
      <w:outlineLvl w:val="6"/>
    </w:pPr>
    <w:rPr>
      <w:rFonts w:asciiTheme="majorHAnsi" w:hAnsiTheme="majorHAnsi"/>
      <w:caps/>
      <w:color w:val="970128" w:themeColor="accent1" w:themeShade="BF"/>
      <w:spacing w:val="10"/>
      <w14:numForm w14:val="default"/>
    </w:rPr>
  </w:style>
  <w:style w:type="paragraph" w:styleId="Heading8">
    <w:name w:val="heading 8"/>
    <w:basedOn w:val="Normal"/>
    <w:next w:val="Normal"/>
    <w:link w:val="Heading8Char"/>
    <w:uiPriority w:val="2"/>
    <w:semiHidden/>
    <w:qFormat/>
    <w:pPr>
      <w:spacing w:before="300" w:after="0"/>
      <w:outlineLvl w:val="7"/>
    </w:pPr>
    <w:rPr>
      <w:rFonts w:asciiTheme="majorHAnsi" w:hAnsiTheme="majorHAnsi"/>
      <w:caps/>
      <w:spacing w:val="10"/>
      <w:sz w:val="18"/>
      <w:szCs w:val="18"/>
      <w14:numForm w14:val="default"/>
    </w:rPr>
  </w:style>
  <w:style w:type="paragraph" w:styleId="Heading9">
    <w:name w:val="heading 9"/>
    <w:basedOn w:val="Normal"/>
    <w:next w:val="Normal"/>
    <w:link w:val="Heading9Char"/>
    <w:uiPriority w:val="2"/>
    <w:semiHidden/>
    <w:qFormat/>
    <w:pPr>
      <w:spacing w:before="300" w:after="0"/>
      <w:outlineLvl w:val="8"/>
    </w:pPr>
    <w:rPr>
      <w:rFonts w:asciiTheme="majorHAnsi" w:hAnsiTheme="majorHAnsi"/>
      <w:i/>
      <w:caps/>
      <w:spacing w:val="10"/>
      <w:sz w:val="18"/>
      <w:szCs w:val="18"/>
      <w14:numForm w14:val="defau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endedaten">
    <w:name w:val="Absendedaten"/>
    <w:basedOn w:val="NoSpacing"/>
    <w:uiPriority w:val="49"/>
    <w:qFormat/>
    <w:pPr>
      <w:spacing w:line="220" w:lineRule="exact"/>
    </w:pPr>
    <w:rPr>
      <w:rFonts w:asciiTheme="minorHAnsi" w:hAnsiTheme="minorHAnsi"/>
      <w:sz w:val="17"/>
      <w:szCs w:val="16"/>
      <w14:numForm w14:val="lining"/>
    </w:rPr>
  </w:style>
  <w:style w:type="paragraph" w:styleId="NoSpacing">
    <w:name w:val="No Spacing"/>
    <w:basedOn w:val="Normal"/>
    <w:link w:val="NoSpacingChar"/>
    <w:qFormat/>
    <w:pPr>
      <w:spacing w:after="0"/>
    </w:pPr>
    <w:rPr>
      <w:rFonts w:asciiTheme="majorHAnsi" w:hAnsiTheme="majorHAnsi"/>
      <w:szCs w:val="20"/>
      <w14:numForm w14:val="default"/>
    </w:rPr>
  </w:style>
  <w:style w:type="paragraph" w:customStyle="1" w:styleId="ProgrammWannWas">
    <w:name w:val="Programm Wann Was"/>
    <w:aliases w:val="P-Wann-Was"/>
    <w:basedOn w:val="Normal"/>
    <w:uiPriority w:val="23"/>
    <w:qFormat/>
    <w:pPr>
      <w:ind w:left="1888" w:hanging="1888"/>
    </w:pPr>
    <w:rPr>
      <w:rFonts w:eastAsia="Times New Roman" w:cs="Times New Roman"/>
      <w:szCs w:val="22"/>
      <w:lang w:eastAsia="de-AT"/>
    </w:rPr>
  </w:style>
  <w:style w:type="paragraph" w:customStyle="1" w:styleId="KennZ">
    <w:name w:val="KennZ"/>
    <w:basedOn w:val="GZ"/>
    <w:uiPriority w:val="49"/>
    <w:semiHidden/>
    <w:qFormat/>
    <w:pPr>
      <w:spacing w:after="345"/>
    </w:pPr>
    <w:rPr>
      <w:b/>
      <w:caps/>
    </w:rPr>
  </w:style>
  <w:style w:type="paragraph" w:customStyle="1" w:styleId="UnterzeichnetiV">
    <w:name w:val="Unterzeichnet i.V."/>
    <w:basedOn w:val="NoSpacing"/>
    <w:next w:val="Normal"/>
    <w:uiPriority w:val="46"/>
    <w:qFormat/>
    <w:rPr>
      <w:rFonts w:asciiTheme="minorHAnsi" w:hAnsiTheme="minorHAnsi"/>
      <w:szCs w:val="23"/>
      <w14:numForm w14:val="lining"/>
    </w:rPr>
  </w:style>
  <w:style w:type="paragraph" w:customStyle="1" w:styleId="Anschriftdaten">
    <w:name w:val="Anschriftdaten"/>
    <w:basedOn w:val="NoSpacing"/>
    <w:uiPriority w:val="49"/>
    <w:qFormat/>
    <w:pPr>
      <w:spacing w:line="252" w:lineRule="auto"/>
      <w:ind w:right="1701"/>
    </w:pPr>
    <w:rPr>
      <w:rFonts w:asciiTheme="minorHAnsi" w:hAnsiTheme="minorHAnsi"/>
      <w:szCs w:val="23"/>
      <w14:numForm w14:val="lining"/>
    </w:rPr>
  </w:style>
  <w:style w:type="character" w:customStyle="1" w:styleId="Kursiv">
    <w:name w:val="Kursiv"/>
    <w:basedOn w:val="DefaultParagraphFont"/>
    <w:uiPriority w:val="59"/>
    <w:qFormat/>
    <w:rPr>
      <w:i/>
      <w:iCs/>
    </w:rPr>
  </w:style>
  <w:style w:type="paragraph" w:customStyle="1" w:styleId="TH-Spalte">
    <w:name w:val="TH-Spalte"/>
    <w:basedOn w:val="TD"/>
    <w:uiPriority w:val="4"/>
    <w:qFormat/>
    <w:rPr>
      <w:b/>
    </w:rPr>
  </w:style>
  <w:style w:type="paragraph" w:customStyle="1" w:styleId="Brief2">
    <w:name w:val="Brief Ü2"/>
    <w:basedOn w:val="Heading2"/>
    <w:next w:val="Normal"/>
    <w:uiPriority w:val="2"/>
    <w:qFormat/>
    <w:pPr>
      <w:spacing w:before="345" w:line="264" w:lineRule="auto"/>
    </w:pPr>
    <w:rPr>
      <w:color w:val="auto"/>
      <w:sz w:val="28"/>
      <w:szCs w:val="22"/>
      <w14:numForm w14:val="lining"/>
    </w:rPr>
  </w:style>
  <w:style w:type="character" w:customStyle="1" w:styleId="Heading2Char">
    <w:name w:val="Heading 2 Char"/>
    <w:aliases w:val="Ü2 Char"/>
    <w:basedOn w:val="DefaultParagraphFont"/>
    <w:link w:val="Heading2"/>
    <w:uiPriority w:val="2"/>
    <w:semiHidden/>
    <w:rPr>
      <w:b/>
      <w:bCs/>
      <w:color w:val="E6320F" w:themeColor="text2"/>
      <w:sz w:val="30"/>
      <w:lang w:val="pt-PT"/>
    </w:rPr>
  </w:style>
  <w:style w:type="paragraph" w:customStyle="1" w:styleId="Brief3">
    <w:name w:val="Brief Ü3"/>
    <w:basedOn w:val="Heading3"/>
    <w:next w:val="Normal"/>
    <w:uiPriority w:val="2"/>
    <w:qFormat/>
    <w:pPr>
      <w:keepLines w:val="0"/>
      <w:spacing w:before="345"/>
    </w:pPr>
    <w:rPr>
      <w:rFonts w:asciiTheme="majorHAnsi" w:eastAsiaTheme="minorHAnsi" w:hAnsiTheme="majorHAnsi" w:cstheme="minorBidi"/>
      <w:b/>
      <w:bCs/>
      <w:color w:val="auto"/>
      <w:sz w:val="25"/>
      <w:szCs w:val="22"/>
    </w:rPr>
  </w:style>
  <w:style w:type="character" w:customStyle="1" w:styleId="Heading3Char">
    <w:name w:val="Heading 3 Char"/>
    <w:basedOn w:val="DefaultParagraphFont"/>
    <w:link w:val="Heading3"/>
    <w:uiPriority w:val="9"/>
    <w:semiHidden/>
    <w:rPr>
      <w:rFonts w:eastAsiaTheme="majorEastAsia" w:cstheme="majorBidi"/>
      <w:noProof/>
      <w:color w:val="64011B" w:themeColor="accent1" w:themeShade="7F"/>
      <w:sz w:val="24"/>
      <w:szCs w:val="24"/>
    </w:rPr>
  </w:style>
  <w:style w:type="paragraph" w:customStyle="1" w:styleId="ProgrammAbsatz">
    <w:name w:val="Programm Absatz"/>
    <w:aliases w:val="P-Absatz"/>
    <w:basedOn w:val="ProgrammWannWas"/>
    <w:uiPriority w:val="24"/>
    <w:qFormat/>
    <w:pPr>
      <w:ind w:firstLine="0"/>
    </w:pPr>
  </w:style>
  <w:style w:type="paragraph" w:customStyle="1" w:styleId="Betreff">
    <w:name w:val="Betreff"/>
    <w:aliases w:val="Betreff-Titel,Betreff-H1"/>
    <w:basedOn w:val="Normal"/>
    <w:next w:val="StdVOR"/>
    <w:link w:val="BetreffZchn"/>
    <w:uiPriority w:val="2"/>
    <w:qFormat/>
    <w:pPr>
      <w:shd w:val="clear" w:color="auto" w:fill="FFFFFF"/>
      <w:spacing w:line="264" w:lineRule="auto"/>
      <w:outlineLvl w:val="0"/>
    </w:pPr>
    <w:rPr>
      <w:rFonts w:asciiTheme="majorHAnsi" w:hAnsiTheme="majorHAnsi"/>
      <w:b/>
      <w:sz w:val="28"/>
    </w:rPr>
  </w:style>
  <w:style w:type="character" w:customStyle="1" w:styleId="BetreffZchn">
    <w:name w:val="Betreff Zchn"/>
    <w:aliases w:val="Betreff-Titel Zchn,Betreff-H1 Zchn"/>
    <w:basedOn w:val="DefaultParagraphFont"/>
    <w:link w:val="Betreff"/>
    <w:uiPriority w:val="2"/>
    <w:rPr>
      <w:b/>
      <w:sz w:val="28"/>
      <w:shd w:val="clear" w:color="auto" w:fill="FFFFFF"/>
      <w14:numForm w14:val="lining"/>
    </w:rPr>
  </w:style>
  <w:style w:type="paragraph" w:customStyle="1" w:styleId="TD">
    <w:name w:val="TD"/>
    <w:basedOn w:val="Normal"/>
    <w:uiPriority w:val="4"/>
    <w:qFormat/>
    <w:pPr>
      <w:spacing w:after="0"/>
      <w:jc w:val="right"/>
    </w:pPr>
    <w:rPr>
      <w:sz w:val="19"/>
    </w:rPr>
  </w:style>
  <w:style w:type="paragraph" w:customStyle="1" w:styleId="TH-Zeile">
    <w:name w:val="TH-Zeile"/>
    <w:basedOn w:val="Normal"/>
    <w:uiPriority w:val="4"/>
    <w:qFormat/>
    <w:pPr>
      <w:spacing w:after="0"/>
    </w:pPr>
    <w:rPr>
      <w:b/>
      <w:sz w:val="19"/>
    </w:rPr>
  </w:style>
  <w:style w:type="paragraph" w:customStyle="1" w:styleId="GliederungListenfortsetzung11">
    <w:name w:val="Gliederung Listenfortsetzung 1.1."/>
    <w:aliases w:val="GL F 1.1.,GL F 1.1"/>
    <w:basedOn w:val="ListContinue2"/>
    <w:next w:val="Gliederung11"/>
    <w:uiPriority w:val="17"/>
    <w:qFormat/>
    <w:pPr>
      <w:spacing w:after="345"/>
      <w:ind w:left="964"/>
      <w:contextualSpacing w:val="0"/>
    </w:pPr>
    <w:rPr>
      <w:rFonts w:eastAsia="Times New Roman" w:cs="Times New Roman"/>
      <w:szCs w:val="22"/>
      <w:lang w:eastAsia="de-AT"/>
    </w:rPr>
  </w:style>
  <w:style w:type="paragraph" w:styleId="ListContinue2">
    <w:name w:val="List Continue 2"/>
    <w:aliases w:val="L Ftsz 2"/>
    <w:basedOn w:val="Normal"/>
    <w:uiPriority w:val="14"/>
    <w:qFormat/>
    <w:pPr>
      <w:spacing w:after="0"/>
      <w:ind w:left="794"/>
      <w:contextualSpacing/>
    </w:pPr>
  </w:style>
  <w:style w:type="paragraph" w:customStyle="1" w:styleId="Gliederung1">
    <w:name w:val="Gliederung 1."/>
    <w:aliases w:val="GL 1.,GL 1"/>
    <w:basedOn w:val="Normal"/>
    <w:uiPriority w:val="17"/>
    <w:qFormat/>
    <w:pPr>
      <w:numPr>
        <w:numId w:val="4"/>
      </w:numPr>
    </w:pPr>
    <w:rPr>
      <w:rFonts w:eastAsia="Times New Roman" w:cs="Times New Roman"/>
      <w:szCs w:val="22"/>
      <w:lang w:eastAsia="de-AT"/>
    </w:rPr>
  </w:style>
  <w:style w:type="paragraph" w:customStyle="1" w:styleId="Gliederung11">
    <w:name w:val="Gliederung 1.1"/>
    <w:aliases w:val="GL 1.1.,GL 1.1"/>
    <w:basedOn w:val="Normal"/>
    <w:uiPriority w:val="17"/>
    <w:qFormat/>
    <w:pPr>
      <w:numPr>
        <w:ilvl w:val="1"/>
        <w:numId w:val="4"/>
      </w:numPr>
    </w:pPr>
    <w:rPr>
      <w:rFonts w:eastAsia="Times New Roman" w:cs="Times New Roman"/>
      <w:szCs w:val="22"/>
      <w:lang w:eastAsia="de-AT"/>
    </w:rPr>
  </w:style>
  <w:style w:type="paragraph" w:customStyle="1" w:styleId="GliederungListenfortsetzung1">
    <w:name w:val="Gliederung Listenfortsetzung 1"/>
    <w:aliases w:val="GL F 1.,GL F 1"/>
    <w:basedOn w:val="ListContinue"/>
    <w:next w:val="Gliederung1"/>
    <w:uiPriority w:val="17"/>
    <w:qFormat/>
    <w:pPr>
      <w:spacing w:after="345"/>
    </w:pPr>
    <w:rPr>
      <w:rFonts w:eastAsia="Times New Roman" w:cs="Times New Roman"/>
      <w:szCs w:val="22"/>
      <w:lang w:eastAsia="de-AT"/>
    </w:rPr>
  </w:style>
  <w:style w:type="paragraph" w:styleId="ListContinue">
    <w:name w:val="List Continue"/>
    <w:aliases w:val="L Ftsz 1"/>
    <w:basedOn w:val="Normal"/>
    <w:uiPriority w:val="13"/>
    <w:qFormat/>
    <w:pPr>
      <w:spacing w:after="0"/>
      <w:ind w:left="397"/>
      <w:contextualSpacing/>
    </w:pPr>
  </w:style>
  <w:style w:type="paragraph" w:customStyle="1" w:styleId="GZ">
    <w:name w:val="GZ"/>
    <w:basedOn w:val="Normal"/>
    <w:next w:val="Normal"/>
    <w:uiPriority w:val="47"/>
    <w:qFormat/>
    <w:pPr>
      <w:spacing w:before="220" w:after="0"/>
    </w:pPr>
    <w:rPr>
      <w:sz w:val="17"/>
    </w:rPr>
  </w:style>
  <w:style w:type="paragraph" w:customStyle="1" w:styleId="StdVOR">
    <w:name w:val="Std+VOR"/>
    <w:basedOn w:val="Normal"/>
    <w:next w:val="Normal"/>
    <w:qFormat/>
    <w:pPr>
      <w:spacing w:before="345"/>
    </w:pPr>
  </w:style>
  <w:style w:type="paragraph" w:customStyle="1" w:styleId="Listennummera">
    <w:name w:val="Listennummer a)"/>
    <w:aliases w:val="OL 1 a)"/>
    <w:basedOn w:val="ListNumber"/>
    <w:uiPriority w:val="18"/>
    <w:qFormat/>
    <w:pPr>
      <w:numPr>
        <w:numId w:val="5"/>
      </w:numPr>
    </w:pPr>
  </w:style>
  <w:style w:type="paragraph" w:styleId="ListNumber">
    <w:name w:val="List Number"/>
    <w:aliases w:val="OL 1"/>
    <w:basedOn w:val="Normal"/>
    <w:uiPriority w:val="11"/>
    <w:qFormat/>
    <w:pPr>
      <w:numPr>
        <w:numId w:val="2"/>
      </w:numPr>
      <w:spacing w:after="0"/>
      <w:contextualSpacing/>
    </w:pPr>
  </w:style>
  <w:style w:type="character" w:customStyle="1" w:styleId="small">
    <w:name w:val="small"/>
    <w:basedOn w:val="DefaultParagraphFont"/>
    <w:uiPriority w:val="46"/>
    <w:qFormat/>
    <w:rPr>
      <w:sz w:val="17"/>
      <w:szCs w:val="16"/>
    </w:rPr>
  </w:style>
  <w:style w:type="paragraph" w:customStyle="1" w:styleId="1nummeriert">
    <w:name w:val="Ü1 nummeriert"/>
    <w:basedOn w:val="Heading1"/>
    <w:next w:val="Normal"/>
    <w:uiPriority w:val="2"/>
    <w:semiHidden/>
    <w:qFormat/>
    <w:pPr>
      <w:keepLines/>
      <w:numPr>
        <w:numId w:val="6"/>
      </w:numPr>
    </w:pPr>
    <w:rPr>
      <w:rFonts w:eastAsiaTheme="majorEastAsia" w:cstheme="majorBidi"/>
      <w:bCs w:val="0"/>
      <w:szCs w:val="32"/>
    </w:rPr>
  </w:style>
  <w:style w:type="character" w:customStyle="1" w:styleId="Heading1Char">
    <w:name w:val="Heading 1 Char"/>
    <w:aliases w:val="Ü1 Char"/>
    <w:basedOn w:val="DefaultParagraphFont"/>
    <w:link w:val="Heading1"/>
    <w:uiPriority w:val="2"/>
    <w:rPr>
      <w:bCs/>
      <w:color w:val="E6320F" w:themeColor="text2"/>
      <w:sz w:val="56"/>
      <w:szCs w:val="22"/>
      <w14:numForm w14:val="lining"/>
    </w:rPr>
  </w:style>
  <w:style w:type="paragraph" w:customStyle="1" w:styleId="2nummeriert">
    <w:name w:val="Ü2 nummeriert"/>
    <w:basedOn w:val="Heading2"/>
    <w:next w:val="Normal"/>
    <w:uiPriority w:val="2"/>
    <w:semiHidden/>
    <w:qFormat/>
    <w:pPr>
      <w:keepLines/>
      <w:numPr>
        <w:ilvl w:val="1"/>
        <w:numId w:val="6"/>
      </w:numPr>
      <w:spacing w:before="345"/>
    </w:pPr>
    <w:rPr>
      <w:rFonts w:eastAsiaTheme="majorEastAsia" w:cstheme="majorBidi"/>
      <w:bCs w:val="0"/>
      <w:color w:val="auto"/>
      <w:sz w:val="28"/>
      <w:szCs w:val="26"/>
      <w14:numForm w14:val="lining"/>
    </w:rPr>
  </w:style>
  <w:style w:type="paragraph" w:customStyle="1" w:styleId="3nummeriert">
    <w:name w:val="Ü3 nummeriert"/>
    <w:basedOn w:val="Heading3"/>
    <w:next w:val="Normal"/>
    <w:uiPriority w:val="2"/>
    <w:semiHidden/>
    <w:qFormat/>
    <w:pPr>
      <w:numPr>
        <w:ilvl w:val="2"/>
        <w:numId w:val="6"/>
      </w:numPr>
      <w:spacing w:before="345"/>
    </w:pPr>
    <w:rPr>
      <w:rFonts w:asciiTheme="majorHAnsi" w:hAnsiTheme="majorHAnsi"/>
      <w:b/>
      <w:color w:val="auto"/>
      <w:sz w:val="25"/>
    </w:rPr>
  </w:style>
  <w:style w:type="character" w:customStyle="1" w:styleId="Hochstellen">
    <w:name w:val="Hochstellen"/>
    <w:basedOn w:val="DefaultParagraphFont"/>
    <w:uiPriority w:val="59"/>
    <w:qFormat/>
    <w:rPr>
      <w:caps w:val="0"/>
      <w:smallCaps w:val="0"/>
      <w:strike w:val="0"/>
      <w:dstrike w:val="0"/>
      <w:vanish w:val="0"/>
      <w:vertAlign w:val="superscript"/>
    </w:rPr>
  </w:style>
  <w:style w:type="paragraph" w:customStyle="1" w:styleId="ProgrammAufzhlung1">
    <w:name w:val="Programm Aufzählung 1"/>
    <w:aliases w:val="P-UL,P-UL-1"/>
    <w:basedOn w:val="Normal"/>
    <w:uiPriority w:val="20"/>
    <w:qFormat/>
    <w:pPr>
      <w:numPr>
        <w:numId w:val="7"/>
      </w:numPr>
      <w:spacing w:after="0"/>
    </w:pPr>
    <w:rPr>
      <w:rFonts w:eastAsia="Times New Roman" w:cs="Times New Roman"/>
      <w:szCs w:val="22"/>
      <w:lang w:eastAsia="de-AT"/>
    </w:rPr>
  </w:style>
  <w:style w:type="paragraph" w:customStyle="1" w:styleId="P-Intro">
    <w:name w:val="P-Intro"/>
    <w:basedOn w:val="Normal"/>
    <w:uiPriority w:val="19"/>
    <w:semiHidden/>
    <w:qFormat/>
    <w:pPr>
      <w:spacing w:after="690"/>
    </w:pPr>
    <w:rPr>
      <w:color w:val="E6320F" w:themeColor="text2"/>
      <w:sz w:val="25"/>
    </w:rPr>
  </w:style>
  <w:style w:type="paragraph" w:customStyle="1" w:styleId="ProgrammAufzhlung1ABSTNACH">
    <w:name w:val="Programm Aufzählung 1 ABST NACH"/>
    <w:aliases w:val="P-UL Ende,P-UL-1-L"/>
    <w:basedOn w:val="ProgrammAufzhlung1"/>
    <w:uiPriority w:val="24"/>
    <w:qFormat/>
    <w:pPr>
      <w:spacing w:after="345"/>
    </w:pPr>
  </w:style>
  <w:style w:type="paragraph" w:customStyle="1" w:styleId="Quelle">
    <w:name w:val="Quelle"/>
    <w:basedOn w:val="StdVOR"/>
    <w:next w:val="Normal"/>
    <w:uiPriority w:val="5"/>
    <w:qFormat/>
    <w:rPr>
      <w:sz w:val="19"/>
      <w:szCs w:val="19"/>
    </w:rPr>
  </w:style>
  <w:style w:type="paragraph" w:customStyle="1" w:styleId="BoxTitel">
    <w:name w:val="Box Titel"/>
    <w:basedOn w:val="Normal"/>
    <w:uiPriority w:val="21"/>
    <w:semiHidden/>
    <w:qFormat/>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UL1">
    <w:name w:val="Box UL 1"/>
    <w:basedOn w:val="ProgrammAufzhlung1"/>
    <w:uiPriority w:val="22"/>
    <w:semiHidden/>
    <w:qFormat/>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paragraph" w:customStyle="1" w:styleId="Vermerk">
    <w:name w:val="Vermerk"/>
    <w:basedOn w:val="Normal"/>
    <w:uiPriority w:val="47"/>
    <w:qFormat/>
    <w:rPr>
      <w:sz w:val="17"/>
    </w:rPr>
  </w:style>
  <w:style w:type="character" w:customStyle="1" w:styleId="Tiefstellen">
    <w:name w:val="Tiefstellen"/>
    <w:basedOn w:val="DefaultParagraphFont"/>
    <w:uiPriority w:val="59"/>
    <w:qFormat/>
    <w:rPr>
      <w:caps w:val="0"/>
      <w:smallCaps w:val="0"/>
      <w:strike w:val="0"/>
      <w:dstrike w:val="0"/>
      <w:vanish w:val="0"/>
      <w:vertAlign w:val="subscript"/>
    </w:rPr>
  </w:style>
  <w:style w:type="paragraph" w:customStyle="1" w:styleId="AbsNACH">
    <w:name w:val="Abs+NACH"/>
    <w:basedOn w:val="Absendedaten"/>
    <w:uiPriority w:val="49"/>
    <w:qFormat/>
    <w:pPr>
      <w:spacing w:after="220"/>
    </w:pPr>
    <w:rPr>
      <w:rFonts w:eastAsia="Times New Roman" w:cs="Times New Roman"/>
      <w:szCs w:val="20"/>
    </w:rPr>
  </w:style>
  <w:style w:type="character" w:customStyle="1" w:styleId="Grobuchstaben">
    <w:name w:val="Großbuchstaben"/>
    <w:basedOn w:val="DefaultParagraphFont"/>
    <w:uiPriority w:val="59"/>
    <w:qFormat/>
    <w:rPr>
      <w:caps/>
      <w:smallCaps w:val="0"/>
      <w:strike w:val="0"/>
      <w:dstrike w:val="0"/>
      <w:vanish w:val="0"/>
      <w:vertAlign w:val="baseline"/>
    </w:rPr>
  </w:style>
  <w:style w:type="paragraph" w:customStyle="1" w:styleId="Elektronischgefertigt">
    <w:name w:val="Elektronisch gefertigt"/>
    <w:basedOn w:val="StdVOR"/>
    <w:next w:val="Normal"/>
    <w:uiPriority w:val="46"/>
    <w:qFormat/>
    <w:pPr>
      <w:spacing w:after="0"/>
    </w:pPr>
    <w:rPr>
      <w:sz w:val="17"/>
    </w:rPr>
  </w:style>
  <w:style w:type="paragraph" w:customStyle="1" w:styleId="Brief2nummeriert">
    <w:name w:val="Brief Ü2 nummeriert"/>
    <w:basedOn w:val="2nummeriert"/>
    <w:next w:val="Normal"/>
    <w:uiPriority w:val="2"/>
    <w:qFormat/>
    <w:pPr>
      <w:numPr>
        <w:numId w:val="8"/>
      </w:numPr>
      <w:spacing w:line="264" w:lineRule="auto"/>
    </w:pPr>
  </w:style>
  <w:style w:type="paragraph" w:customStyle="1" w:styleId="Brief3nummeriert">
    <w:name w:val="Brief Ü3 nummeriert"/>
    <w:basedOn w:val="3nummeriert"/>
    <w:next w:val="Normal"/>
    <w:uiPriority w:val="2"/>
    <w:qFormat/>
    <w:pPr>
      <w:numPr>
        <w:numId w:val="8"/>
      </w:numPr>
    </w:pPr>
  </w:style>
  <w:style w:type="character" w:customStyle="1" w:styleId="Heading6Char">
    <w:name w:val="Heading 6 Char"/>
    <w:basedOn w:val="DefaultParagraphFont"/>
    <w:link w:val="Heading6"/>
    <w:uiPriority w:val="2"/>
    <w:semiHidden/>
    <w:rPr>
      <w:caps/>
      <w:color w:val="970128" w:themeColor="accent1" w:themeShade="BF"/>
      <w:spacing w:val="10"/>
      <w:lang w:val="pt-PT"/>
    </w:rPr>
  </w:style>
  <w:style w:type="character" w:customStyle="1" w:styleId="Heading7Char">
    <w:name w:val="Heading 7 Char"/>
    <w:basedOn w:val="DefaultParagraphFont"/>
    <w:link w:val="Heading7"/>
    <w:uiPriority w:val="2"/>
    <w:semiHidden/>
    <w:rPr>
      <w:caps/>
      <w:color w:val="970128" w:themeColor="accent1" w:themeShade="BF"/>
      <w:spacing w:val="10"/>
      <w:lang w:val="pt-PT"/>
    </w:rPr>
  </w:style>
  <w:style w:type="character" w:customStyle="1" w:styleId="Heading8Char">
    <w:name w:val="Heading 8 Char"/>
    <w:basedOn w:val="DefaultParagraphFont"/>
    <w:link w:val="Heading8"/>
    <w:uiPriority w:val="2"/>
    <w:semiHidden/>
    <w:rPr>
      <w:caps/>
      <w:spacing w:val="10"/>
      <w:sz w:val="18"/>
      <w:szCs w:val="18"/>
      <w:lang w:val="pt-PT"/>
    </w:rPr>
  </w:style>
  <w:style w:type="character" w:customStyle="1" w:styleId="Heading9Char">
    <w:name w:val="Heading 9 Char"/>
    <w:basedOn w:val="DefaultParagraphFont"/>
    <w:link w:val="Heading9"/>
    <w:uiPriority w:val="2"/>
    <w:semiHidden/>
    <w:rPr>
      <w:i/>
      <w:caps/>
      <w:spacing w:val="10"/>
      <w:sz w:val="18"/>
      <w:szCs w:val="18"/>
      <w:lang w:val="pt-PT"/>
    </w:rPr>
  </w:style>
  <w:style w:type="paragraph" w:styleId="Caption">
    <w:name w:val="caption"/>
    <w:basedOn w:val="Normal"/>
    <w:next w:val="Normal"/>
    <w:uiPriority w:val="5"/>
    <w:qFormat/>
    <w:pPr>
      <w:spacing w:before="345"/>
    </w:pPr>
    <w:rPr>
      <w:bCs/>
      <w:color w:val="404040" w:themeColor="text1" w:themeTint="BF"/>
      <w:sz w:val="19"/>
      <w:szCs w:val="16"/>
    </w:rPr>
  </w:style>
  <w:style w:type="paragraph" w:styleId="ListBullet">
    <w:name w:val="List Bullet"/>
    <w:aliases w:val="UL 1"/>
    <w:basedOn w:val="Normal"/>
    <w:uiPriority w:val="9"/>
    <w:qFormat/>
    <w:pPr>
      <w:numPr>
        <w:numId w:val="1"/>
      </w:numPr>
      <w:spacing w:after="0"/>
      <w:contextualSpacing/>
    </w:pPr>
    <w:rPr>
      <w:rFonts w:cs="Times New Roman"/>
      <w:szCs w:val="24"/>
      <w:lang w:eastAsia="de-AT"/>
    </w:rPr>
  </w:style>
  <w:style w:type="paragraph" w:styleId="ListBullet2">
    <w:name w:val="List Bullet 2"/>
    <w:aliases w:val="UL 2"/>
    <w:basedOn w:val="ListBullet"/>
    <w:qFormat/>
    <w:pPr>
      <w:numPr>
        <w:ilvl w:val="1"/>
      </w:numPr>
    </w:pPr>
  </w:style>
  <w:style w:type="paragraph" w:styleId="ListBullet3">
    <w:name w:val="List Bullet 3"/>
    <w:aliases w:val="UL 3"/>
    <w:basedOn w:val="Normal"/>
    <w:uiPriority w:val="10"/>
    <w:semiHidden/>
    <w:qFormat/>
    <w:pPr>
      <w:numPr>
        <w:ilvl w:val="2"/>
        <w:numId w:val="1"/>
      </w:numPr>
      <w:spacing w:after="0"/>
    </w:pPr>
    <w:rPr>
      <w:rFonts w:eastAsia="Times New Roman" w:cs="Times New Roman"/>
      <w:szCs w:val="22"/>
      <w:lang w:eastAsia="de-AT"/>
    </w:rPr>
  </w:style>
  <w:style w:type="paragraph" w:styleId="ListNumber2">
    <w:name w:val="List Number 2"/>
    <w:aliases w:val="OL 2"/>
    <w:basedOn w:val="Normal"/>
    <w:uiPriority w:val="12"/>
    <w:qFormat/>
    <w:pPr>
      <w:numPr>
        <w:ilvl w:val="1"/>
        <w:numId w:val="2"/>
      </w:numPr>
      <w:spacing w:after="0"/>
    </w:pPr>
  </w:style>
  <w:style w:type="paragraph" w:styleId="Closing">
    <w:name w:val="Closing"/>
    <w:aliases w:val="Gruß"/>
    <w:basedOn w:val="Normal"/>
    <w:next w:val="Normal"/>
    <w:link w:val="ClosingChar"/>
    <w:uiPriority w:val="46"/>
    <w:qFormat/>
    <w:pPr>
      <w:spacing w:before="345"/>
    </w:pPr>
    <w:rPr>
      <w:rFonts w:asciiTheme="majorHAnsi" w:hAnsiTheme="majorHAnsi"/>
      <w:szCs w:val="20"/>
      <w14:numForm w14:val="default"/>
    </w:rPr>
  </w:style>
  <w:style w:type="character" w:customStyle="1" w:styleId="ClosingChar">
    <w:name w:val="Closing Char"/>
    <w:aliases w:val="Gruß Char"/>
    <w:basedOn w:val="DefaultParagraphFont"/>
    <w:link w:val="Closing"/>
    <w:uiPriority w:val="46"/>
    <w:rPr>
      <w:szCs w:val="20"/>
      <w:lang w:val="pt-PT"/>
    </w:rPr>
  </w:style>
  <w:style w:type="character" w:styleId="Hyperlink">
    <w:name w:val="Hyperlink"/>
    <w:basedOn w:val="DefaultParagraphFont"/>
    <w:uiPriority w:val="59"/>
    <w:qFormat/>
    <w:rPr>
      <w:color w:val="auto"/>
      <w:u w:val="single"/>
    </w:rPr>
  </w:style>
  <w:style w:type="character" w:styleId="Strong">
    <w:name w:val="Strong"/>
    <w:uiPriority w:val="1"/>
    <w:qFormat/>
    <w:rPr>
      <w:b/>
      <w:bCs/>
    </w:rPr>
  </w:style>
  <w:style w:type="character" w:customStyle="1" w:styleId="NoSpacingChar">
    <w:name w:val="No Spacing Char"/>
    <w:basedOn w:val="DefaultParagraphFont"/>
    <w:link w:val="NoSpacing"/>
    <w:rPr>
      <w:szCs w:val="20"/>
      <w:lang w:val="pt-PT"/>
    </w:rPr>
  </w:style>
  <w:style w:type="paragraph" w:styleId="ListParagraph">
    <w:name w:val="List Paragraph"/>
    <w:basedOn w:val="Normal"/>
    <w:link w:val="ListParagraphChar"/>
    <w:uiPriority w:val="34"/>
    <w:qFormat/>
    <w:pPr>
      <w:numPr>
        <w:numId w:val="3"/>
      </w:numPr>
      <w:contextualSpacing/>
    </w:pPr>
  </w:style>
  <w:style w:type="paragraph" w:styleId="Quote">
    <w:name w:val="Quote"/>
    <w:basedOn w:val="Normal"/>
    <w:next w:val="Normal"/>
    <w:link w:val="QuoteChar"/>
    <w:uiPriority w:val="20"/>
    <w:qFormat/>
    <w:pPr>
      <w:ind w:left="397" w:right="794"/>
    </w:pPr>
    <w:rPr>
      <w:iCs/>
      <w:color w:val="E6320F" w:themeColor="text2"/>
      <w:sz w:val="25"/>
    </w:rPr>
  </w:style>
  <w:style w:type="character" w:customStyle="1" w:styleId="QuoteChar">
    <w:name w:val="Quote Char"/>
    <w:basedOn w:val="DefaultParagraphFont"/>
    <w:link w:val="Quote"/>
    <w:uiPriority w:val="20"/>
    <w:rPr>
      <w:rFonts w:asciiTheme="minorHAnsi" w:hAnsiTheme="minorHAnsi"/>
      <w:iCs/>
      <w:color w:val="E6320F" w:themeColor="text2"/>
      <w:sz w:val="25"/>
      <w14:numForm w14:val="lining"/>
    </w:rPr>
  </w:style>
  <w:style w:type="paragraph" w:styleId="TOCHeading">
    <w:name w:val="TOC Heading"/>
    <w:basedOn w:val="Heading1"/>
    <w:next w:val="Normal"/>
    <w:uiPriority w:val="39"/>
    <w:semiHidden/>
    <w:unhideWhenUsed/>
    <w:qFormat/>
    <w:pPr>
      <w:outlineLvl w:val="9"/>
    </w:p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character" w:customStyle="1" w:styleId="ListParagraphChar">
    <w:name w:val="List Paragraph Char"/>
    <w:link w:val="ListParagraph"/>
    <w:uiPriority w:val="34"/>
    <w:locked/>
    <w:rPr>
      <w:rFonts w:asciiTheme="minorHAnsi" w:hAnsiTheme="minorHAnsi"/>
      <w14:numForm w14:val="lining"/>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Footnotes,fn"/>
    <w:basedOn w:val="Normal"/>
    <w:link w:val="FootnoteTextChar"/>
    <w:unhideWhenUsed/>
    <w:qFormat/>
    <w:pPr>
      <w:spacing w:after="0" w:line="240" w:lineRule="auto"/>
    </w:pPr>
    <w:rPr>
      <w:sz w:val="20"/>
      <w:szCs w:val="20"/>
      <w14:numForm w14:val="default"/>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Footnotes Char,fn Char"/>
    <w:basedOn w:val="DefaultParagraphFont"/>
    <w:link w:val="FootnoteText"/>
    <w:rPr>
      <w:rFonts w:asciiTheme="minorHAnsi" w:hAnsiTheme="minorHAnsi"/>
      <w:sz w:val="20"/>
      <w:szCs w:val="20"/>
    </w:rPr>
  </w:style>
  <w:style w:type="character" w:styleId="FootnoteReference">
    <w:name w:val="footnote reference"/>
    <w:aliases w:val="Footnote Refernece,Fn Ref,Footnote Refernece + (Latein) Arial,10 pt,Blau,BVI fnr,callout,Footnote Reference Superscript,footnotesign,Footnotes refss,Footnote Reference Number,Fußnotenzeichen_Raxen,Footnote Refe,FR,...,Footnote symbol"/>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sz w:val="20"/>
      <w:szCs w:val="20"/>
      <w14:numForm w14:val="lining"/>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14:numForm w14:val="lining"/>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c01pointnumerotealtn">
    <w:name w:val="c01pointnumerotealtn"/>
    <w:basedOn w:val="Normal"/>
    <w:pPr>
      <w:spacing w:before="100" w:beforeAutospacing="1" w:after="240" w:line="240" w:lineRule="auto"/>
      <w:ind w:left="567" w:hanging="539"/>
      <w:jc w:val="both"/>
    </w:pPr>
    <w:rPr>
      <w:rFonts w:ascii="Times New Roman" w:eastAsia="Times New Roman" w:hAnsi="Times New Roman" w:cs="Times New Roman"/>
      <w:sz w:val="24"/>
      <w:szCs w:val="24"/>
      <w:lang w:eastAsia="en-GB"/>
      <w14:numForm w14:val="default"/>
    </w:rPr>
  </w:style>
  <w:style w:type="paragraph" w:customStyle="1" w:styleId="Normal4">
    <w:name w:val="Normal4"/>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ti-art">
    <w:name w:val="ti-art"/>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listparagraph0">
    <w:name w:val="listparagraph"/>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character" w:customStyle="1" w:styleId="tab">
    <w:name w:val="tab"/>
    <w:basedOn w:val="DefaultParagraphFont"/>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heme="minorHAnsi" w:hAnsiTheme="minorHAnsi"/>
      <w14:numForm w14:val="lining"/>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hAnsiTheme="minorHAnsi"/>
      <w14:numForm w14:val="lining"/>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14:numForm w14:val="default"/>
    </w:rPr>
  </w:style>
  <w:style w:type="paragraph" w:customStyle="1" w:styleId="LegalNumPar">
    <w:name w:val="LegalNumPar"/>
    <w:basedOn w:val="Normal"/>
    <w:pPr>
      <w:numPr>
        <w:numId w:val="17"/>
      </w:numPr>
      <w:spacing w:after="240" w:line="360" w:lineRule="auto"/>
    </w:pPr>
    <w:rPr>
      <w:rFonts w:ascii="Times New Roman" w:hAnsi="Times New Roman" w:cs="Times New Roman"/>
      <w:sz w:val="24"/>
      <w:szCs w:val="22"/>
      <w14:numForm w14:val="default"/>
    </w:rPr>
  </w:style>
  <w:style w:type="paragraph" w:customStyle="1" w:styleId="LegalNumPar2">
    <w:name w:val="LegalNumPar2"/>
    <w:basedOn w:val="Normal"/>
    <w:pPr>
      <w:numPr>
        <w:ilvl w:val="1"/>
        <w:numId w:val="17"/>
      </w:numPr>
      <w:spacing w:after="240" w:line="360" w:lineRule="auto"/>
    </w:pPr>
    <w:rPr>
      <w:rFonts w:ascii="Times New Roman" w:hAnsi="Times New Roman" w:cs="Times New Roman"/>
      <w:sz w:val="24"/>
      <w:szCs w:val="22"/>
      <w14:numForm w14:val="default"/>
    </w:rPr>
  </w:style>
  <w:style w:type="paragraph" w:customStyle="1" w:styleId="LegalNumPar3">
    <w:name w:val="LegalNumPar3"/>
    <w:basedOn w:val="Normal"/>
    <w:pPr>
      <w:numPr>
        <w:ilvl w:val="2"/>
        <w:numId w:val="17"/>
      </w:numPr>
      <w:spacing w:after="240" w:line="360" w:lineRule="auto"/>
    </w:pPr>
    <w:rPr>
      <w:rFonts w:ascii="Times New Roman" w:hAnsi="Times New Roman" w:cs="Times New Roman"/>
      <w:sz w:val="24"/>
      <w:szCs w:val="22"/>
      <w14:numForm w14:val="default"/>
    </w:rPr>
  </w:style>
  <w:style w:type="paragraph" w:customStyle="1" w:styleId="Normal3">
    <w:name w:val="Normal3"/>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636362"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hAnsiTheme="minorHAnsi"/>
      <w:b/>
      <w:bCs/>
      <w:sz w:val="20"/>
      <w:szCs w:val="20"/>
      <w14:numForm w14:val="lining"/>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14:numForm w14:val="defaul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14:numForm w14:val="lining"/>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14:numForm w14:val="lining"/>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14:numForm w14:val="lining"/>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14:numForm w14:val="lining"/>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14:numForm w14:val="lining"/>
    </w:rPr>
  </w:style>
  <w:style w:type="paragraph" w:customStyle="1" w:styleId="Normal5">
    <w:name w:val="Normal5"/>
    <w:basedOn w:val="Normal"/>
    <w:pPr>
      <w:spacing w:before="100" w:beforeAutospacing="1" w:after="100" w:afterAutospacing="1" w:line="240" w:lineRule="auto"/>
    </w:pPr>
    <w:rPr>
      <w:rFonts w:ascii="Times New Roman" w:hAnsi="Times New Roman" w:cs="Times New Roman"/>
      <w:sz w:val="24"/>
      <w:szCs w:val="24"/>
      <w:lang w:eastAsia="en-GB"/>
      <w14:numForm w14:val="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3"/>
        <w:szCs w:val="23"/>
        <w:lang w:val="pt-PT" w:eastAsia="en-US" w:bidi="ar-SA"/>
      </w:rPr>
    </w:rPrDefault>
    <w:pPrDefault>
      <w:pPr>
        <w:spacing w:after="345"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lsdException w:name="heading 4" w:uiPriority="9"/>
    <w:lsdException w:name="heading 5" w:uiPriority="9"/>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5" w:qFormat="1"/>
    <w:lsdException w:name="footnote reference" w:qFormat="1"/>
    <w:lsdException w:name="List Bullet" w:uiPriority="9" w:qFormat="1"/>
    <w:lsdException w:name="List Number" w:uiPriority="11" w:qFormat="1"/>
    <w:lsdException w:name="List Bullet 2" w:uiPriority="0" w:qFormat="1"/>
    <w:lsdException w:name="List Bullet 3" w:uiPriority="10" w:qFormat="1"/>
    <w:lsdException w:name="List Number 2" w:uiPriority="12" w:qFormat="1"/>
    <w:lsdException w:name="Title" w:semiHidden="0" w:uiPriority="10" w:unhideWhenUsed="0"/>
    <w:lsdException w:name="Closing" w:uiPriority="46" w:qFormat="1"/>
    <w:lsdException w:name="Default Paragraph Font" w:uiPriority="1"/>
    <w:lsdException w:name="List Continue" w:uiPriority="13" w:qFormat="1"/>
    <w:lsdException w:name="List Continue 2" w:uiPriority="14" w:qFormat="1"/>
    <w:lsdException w:name="Subtitle" w:semiHidden="0" w:uiPriority="11" w:unhideWhenUsed="0"/>
    <w:lsdException w:name="Hyperlink" w:uiPriority="59" w:qFormat="1"/>
    <w:lsdException w:name="Strong" w:semiHidden="0" w:uiPriority="1"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Theme="minorHAnsi" w:hAnsiTheme="minorHAnsi"/>
      <w14:numForm w14:val="lining"/>
    </w:rPr>
  </w:style>
  <w:style w:type="paragraph" w:styleId="Heading1">
    <w:name w:val="heading 1"/>
    <w:aliases w:val="Ü1"/>
    <w:basedOn w:val="Normal"/>
    <w:next w:val="Normal"/>
    <w:link w:val="Heading1Char"/>
    <w:uiPriority w:val="2"/>
    <w:qFormat/>
    <w:pPr>
      <w:keepNext/>
      <w:pageBreakBefore/>
      <w:spacing w:after="690" w:line="690" w:lineRule="exact"/>
      <w:outlineLvl w:val="0"/>
    </w:pPr>
    <w:rPr>
      <w:rFonts w:asciiTheme="majorHAnsi" w:hAnsiTheme="majorHAnsi"/>
      <w:bCs/>
      <w:color w:val="E6320F" w:themeColor="text2"/>
      <w:sz w:val="56"/>
      <w:szCs w:val="22"/>
    </w:rPr>
  </w:style>
  <w:style w:type="paragraph" w:styleId="Heading2">
    <w:name w:val="heading 2"/>
    <w:aliases w:val="Ü2"/>
    <w:basedOn w:val="Heading1"/>
    <w:next w:val="Normal"/>
    <w:link w:val="Heading2Char"/>
    <w:uiPriority w:val="2"/>
    <w:semiHidden/>
    <w:qFormat/>
    <w:pPr>
      <w:pageBreakBefore w:val="0"/>
      <w:spacing w:before="690" w:after="345" w:line="300" w:lineRule="auto"/>
      <w:outlineLvl w:val="1"/>
    </w:pPr>
    <w:rPr>
      <w:b/>
      <w:sz w:val="30"/>
      <w:szCs w:val="23"/>
      <w14:numForm w14:val="default"/>
    </w:rPr>
  </w:style>
  <w:style w:type="paragraph" w:styleId="Heading3">
    <w:name w:val="heading 3"/>
    <w:basedOn w:val="Normal"/>
    <w:next w:val="Normal"/>
    <w:link w:val="Heading3Char"/>
    <w:uiPriority w:val="9"/>
    <w:semiHidden/>
    <w:unhideWhenUsed/>
    <w:pPr>
      <w:keepNext/>
      <w:keepLines/>
      <w:spacing w:before="40" w:after="0"/>
      <w:outlineLvl w:val="2"/>
    </w:pPr>
    <w:rPr>
      <w:rFonts w:eastAsiaTheme="majorEastAsia" w:cstheme="majorBidi"/>
      <w:color w:val="64011B" w:themeColor="accent1" w:themeShade="7F"/>
      <w:sz w:val="24"/>
      <w:szCs w:val="24"/>
    </w:rPr>
  </w:style>
  <w:style w:type="paragraph" w:styleId="Heading6">
    <w:name w:val="heading 6"/>
    <w:basedOn w:val="Normal"/>
    <w:next w:val="Normal"/>
    <w:link w:val="Heading6Char"/>
    <w:uiPriority w:val="2"/>
    <w:semiHidden/>
    <w:qFormat/>
    <w:pPr>
      <w:pBdr>
        <w:bottom w:val="dotted" w:sz="6" w:space="1" w:color="CA0237" w:themeColor="accent1"/>
      </w:pBdr>
      <w:spacing w:before="300" w:after="0"/>
      <w:outlineLvl w:val="5"/>
    </w:pPr>
    <w:rPr>
      <w:rFonts w:asciiTheme="majorHAnsi" w:hAnsiTheme="majorHAnsi"/>
      <w:caps/>
      <w:color w:val="970128" w:themeColor="accent1" w:themeShade="BF"/>
      <w:spacing w:val="10"/>
      <w14:numForm w14:val="default"/>
    </w:rPr>
  </w:style>
  <w:style w:type="paragraph" w:styleId="Heading7">
    <w:name w:val="heading 7"/>
    <w:basedOn w:val="Normal"/>
    <w:next w:val="Normal"/>
    <w:link w:val="Heading7Char"/>
    <w:uiPriority w:val="2"/>
    <w:semiHidden/>
    <w:qFormat/>
    <w:pPr>
      <w:spacing w:before="300" w:after="0"/>
      <w:outlineLvl w:val="6"/>
    </w:pPr>
    <w:rPr>
      <w:rFonts w:asciiTheme="majorHAnsi" w:hAnsiTheme="majorHAnsi"/>
      <w:caps/>
      <w:color w:val="970128" w:themeColor="accent1" w:themeShade="BF"/>
      <w:spacing w:val="10"/>
      <w14:numForm w14:val="default"/>
    </w:rPr>
  </w:style>
  <w:style w:type="paragraph" w:styleId="Heading8">
    <w:name w:val="heading 8"/>
    <w:basedOn w:val="Normal"/>
    <w:next w:val="Normal"/>
    <w:link w:val="Heading8Char"/>
    <w:uiPriority w:val="2"/>
    <w:semiHidden/>
    <w:qFormat/>
    <w:pPr>
      <w:spacing w:before="300" w:after="0"/>
      <w:outlineLvl w:val="7"/>
    </w:pPr>
    <w:rPr>
      <w:rFonts w:asciiTheme="majorHAnsi" w:hAnsiTheme="majorHAnsi"/>
      <w:caps/>
      <w:spacing w:val="10"/>
      <w:sz w:val="18"/>
      <w:szCs w:val="18"/>
      <w14:numForm w14:val="default"/>
    </w:rPr>
  </w:style>
  <w:style w:type="paragraph" w:styleId="Heading9">
    <w:name w:val="heading 9"/>
    <w:basedOn w:val="Normal"/>
    <w:next w:val="Normal"/>
    <w:link w:val="Heading9Char"/>
    <w:uiPriority w:val="2"/>
    <w:semiHidden/>
    <w:qFormat/>
    <w:pPr>
      <w:spacing w:before="300" w:after="0"/>
      <w:outlineLvl w:val="8"/>
    </w:pPr>
    <w:rPr>
      <w:rFonts w:asciiTheme="majorHAnsi" w:hAnsiTheme="majorHAnsi"/>
      <w:i/>
      <w:caps/>
      <w:spacing w:val="10"/>
      <w:sz w:val="18"/>
      <w:szCs w:val="18"/>
      <w14:numForm w14:val="defau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endedaten">
    <w:name w:val="Absendedaten"/>
    <w:basedOn w:val="NoSpacing"/>
    <w:uiPriority w:val="49"/>
    <w:qFormat/>
    <w:pPr>
      <w:spacing w:line="220" w:lineRule="exact"/>
    </w:pPr>
    <w:rPr>
      <w:rFonts w:asciiTheme="minorHAnsi" w:hAnsiTheme="minorHAnsi"/>
      <w:sz w:val="17"/>
      <w:szCs w:val="16"/>
      <w14:numForm w14:val="lining"/>
    </w:rPr>
  </w:style>
  <w:style w:type="paragraph" w:styleId="NoSpacing">
    <w:name w:val="No Spacing"/>
    <w:basedOn w:val="Normal"/>
    <w:link w:val="NoSpacingChar"/>
    <w:qFormat/>
    <w:pPr>
      <w:spacing w:after="0"/>
    </w:pPr>
    <w:rPr>
      <w:rFonts w:asciiTheme="majorHAnsi" w:hAnsiTheme="majorHAnsi"/>
      <w:szCs w:val="20"/>
      <w14:numForm w14:val="default"/>
    </w:rPr>
  </w:style>
  <w:style w:type="paragraph" w:customStyle="1" w:styleId="ProgrammWannWas">
    <w:name w:val="Programm Wann Was"/>
    <w:aliases w:val="P-Wann-Was"/>
    <w:basedOn w:val="Normal"/>
    <w:uiPriority w:val="23"/>
    <w:qFormat/>
    <w:pPr>
      <w:ind w:left="1888" w:hanging="1888"/>
    </w:pPr>
    <w:rPr>
      <w:rFonts w:eastAsia="Times New Roman" w:cs="Times New Roman"/>
      <w:szCs w:val="22"/>
      <w:lang w:eastAsia="de-AT"/>
    </w:rPr>
  </w:style>
  <w:style w:type="paragraph" w:customStyle="1" w:styleId="KennZ">
    <w:name w:val="KennZ"/>
    <w:basedOn w:val="GZ"/>
    <w:uiPriority w:val="49"/>
    <w:semiHidden/>
    <w:qFormat/>
    <w:pPr>
      <w:spacing w:after="345"/>
    </w:pPr>
    <w:rPr>
      <w:b/>
      <w:caps/>
    </w:rPr>
  </w:style>
  <w:style w:type="paragraph" w:customStyle="1" w:styleId="UnterzeichnetiV">
    <w:name w:val="Unterzeichnet i.V."/>
    <w:basedOn w:val="NoSpacing"/>
    <w:next w:val="Normal"/>
    <w:uiPriority w:val="46"/>
    <w:qFormat/>
    <w:rPr>
      <w:rFonts w:asciiTheme="minorHAnsi" w:hAnsiTheme="minorHAnsi"/>
      <w:szCs w:val="23"/>
      <w14:numForm w14:val="lining"/>
    </w:rPr>
  </w:style>
  <w:style w:type="paragraph" w:customStyle="1" w:styleId="Anschriftdaten">
    <w:name w:val="Anschriftdaten"/>
    <w:basedOn w:val="NoSpacing"/>
    <w:uiPriority w:val="49"/>
    <w:qFormat/>
    <w:pPr>
      <w:spacing w:line="252" w:lineRule="auto"/>
      <w:ind w:right="1701"/>
    </w:pPr>
    <w:rPr>
      <w:rFonts w:asciiTheme="minorHAnsi" w:hAnsiTheme="minorHAnsi"/>
      <w:szCs w:val="23"/>
      <w14:numForm w14:val="lining"/>
    </w:rPr>
  </w:style>
  <w:style w:type="character" w:customStyle="1" w:styleId="Kursiv">
    <w:name w:val="Kursiv"/>
    <w:basedOn w:val="DefaultParagraphFont"/>
    <w:uiPriority w:val="59"/>
    <w:qFormat/>
    <w:rPr>
      <w:i/>
      <w:iCs/>
    </w:rPr>
  </w:style>
  <w:style w:type="paragraph" w:customStyle="1" w:styleId="TH-Spalte">
    <w:name w:val="TH-Spalte"/>
    <w:basedOn w:val="TD"/>
    <w:uiPriority w:val="4"/>
    <w:qFormat/>
    <w:rPr>
      <w:b/>
    </w:rPr>
  </w:style>
  <w:style w:type="paragraph" w:customStyle="1" w:styleId="Brief2">
    <w:name w:val="Brief Ü2"/>
    <w:basedOn w:val="Heading2"/>
    <w:next w:val="Normal"/>
    <w:uiPriority w:val="2"/>
    <w:qFormat/>
    <w:pPr>
      <w:spacing w:before="345" w:line="264" w:lineRule="auto"/>
    </w:pPr>
    <w:rPr>
      <w:color w:val="auto"/>
      <w:sz w:val="28"/>
      <w:szCs w:val="22"/>
      <w14:numForm w14:val="lining"/>
    </w:rPr>
  </w:style>
  <w:style w:type="character" w:customStyle="1" w:styleId="Heading2Char">
    <w:name w:val="Heading 2 Char"/>
    <w:aliases w:val="Ü2 Char"/>
    <w:basedOn w:val="DefaultParagraphFont"/>
    <w:link w:val="Heading2"/>
    <w:uiPriority w:val="2"/>
    <w:semiHidden/>
    <w:rPr>
      <w:b/>
      <w:bCs/>
      <w:color w:val="E6320F" w:themeColor="text2"/>
      <w:sz w:val="30"/>
      <w:lang w:val="pt-PT"/>
    </w:rPr>
  </w:style>
  <w:style w:type="paragraph" w:customStyle="1" w:styleId="Brief3">
    <w:name w:val="Brief Ü3"/>
    <w:basedOn w:val="Heading3"/>
    <w:next w:val="Normal"/>
    <w:uiPriority w:val="2"/>
    <w:qFormat/>
    <w:pPr>
      <w:keepLines w:val="0"/>
      <w:spacing w:before="345"/>
    </w:pPr>
    <w:rPr>
      <w:rFonts w:asciiTheme="majorHAnsi" w:eastAsiaTheme="minorHAnsi" w:hAnsiTheme="majorHAnsi" w:cstheme="minorBidi"/>
      <w:b/>
      <w:bCs/>
      <w:color w:val="auto"/>
      <w:sz w:val="25"/>
      <w:szCs w:val="22"/>
    </w:rPr>
  </w:style>
  <w:style w:type="character" w:customStyle="1" w:styleId="Heading3Char">
    <w:name w:val="Heading 3 Char"/>
    <w:basedOn w:val="DefaultParagraphFont"/>
    <w:link w:val="Heading3"/>
    <w:uiPriority w:val="9"/>
    <w:semiHidden/>
    <w:rPr>
      <w:rFonts w:eastAsiaTheme="majorEastAsia" w:cstheme="majorBidi"/>
      <w:noProof/>
      <w:color w:val="64011B" w:themeColor="accent1" w:themeShade="7F"/>
      <w:sz w:val="24"/>
      <w:szCs w:val="24"/>
    </w:rPr>
  </w:style>
  <w:style w:type="paragraph" w:customStyle="1" w:styleId="ProgrammAbsatz">
    <w:name w:val="Programm Absatz"/>
    <w:aliases w:val="P-Absatz"/>
    <w:basedOn w:val="ProgrammWannWas"/>
    <w:uiPriority w:val="24"/>
    <w:qFormat/>
    <w:pPr>
      <w:ind w:firstLine="0"/>
    </w:pPr>
  </w:style>
  <w:style w:type="paragraph" w:customStyle="1" w:styleId="Betreff">
    <w:name w:val="Betreff"/>
    <w:aliases w:val="Betreff-Titel,Betreff-H1"/>
    <w:basedOn w:val="Normal"/>
    <w:next w:val="StdVOR"/>
    <w:link w:val="BetreffZchn"/>
    <w:uiPriority w:val="2"/>
    <w:qFormat/>
    <w:pPr>
      <w:shd w:val="clear" w:color="auto" w:fill="FFFFFF"/>
      <w:spacing w:line="264" w:lineRule="auto"/>
      <w:outlineLvl w:val="0"/>
    </w:pPr>
    <w:rPr>
      <w:rFonts w:asciiTheme="majorHAnsi" w:hAnsiTheme="majorHAnsi"/>
      <w:b/>
      <w:sz w:val="28"/>
    </w:rPr>
  </w:style>
  <w:style w:type="character" w:customStyle="1" w:styleId="BetreffZchn">
    <w:name w:val="Betreff Zchn"/>
    <w:aliases w:val="Betreff-Titel Zchn,Betreff-H1 Zchn"/>
    <w:basedOn w:val="DefaultParagraphFont"/>
    <w:link w:val="Betreff"/>
    <w:uiPriority w:val="2"/>
    <w:rPr>
      <w:b/>
      <w:sz w:val="28"/>
      <w:shd w:val="clear" w:color="auto" w:fill="FFFFFF"/>
      <w14:numForm w14:val="lining"/>
    </w:rPr>
  </w:style>
  <w:style w:type="paragraph" w:customStyle="1" w:styleId="TD">
    <w:name w:val="TD"/>
    <w:basedOn w:val="Normal"/>
    <w:uiPriority w:val="4"/>
    <w:qFormat/>
    <w:pPr>
      <w:spacing w:after="0"/>
      <w:jc w:val="right"/>
    </w:pPr>
    <w:rPr>
      <w:sz w:val="19"/>
    </w:rPr>
  </w:style>
  <w:style w:type="paragraph" w:customStyle="1" w:styleId="TH-Zeile">
    <w:name w:val="TH-Zeile"/>
    <w:basedOn w:val="Normal"/>
    <w:uiPriority w:val="4"/>
    <w:qFormat/>
    <w:pPr>
      <w:spacing w:after="0"/>
    </w:pPr>
    <w:rPr>
      <w:b/>
      <w:sz w:val="19"/>
    </w:rPr>
  </w:style>
  <w:style w:type="paragraph" w:customStyle="1" w:styleId="GliederungListenfortsetzung11">
    <w:name w:val="Gliederung Listenfortsetzung 1.1."/>
    <w:aliases w:val="GL F 1.1.,GL F 1.1"/>
    <w:basedOn w:val="ListContinue2"/>
    <w:next w:val="Gliederung11"/>
    <w:uiPriority w:val="17"/>
    <w:qFormat/>
    <w:pPr>
      <w:spacing w:after="345"/>
      <w:ind w:left="964"/>
      <w:contextualSpacing w:val="0"/>
    </w:pPr>
    <w:rPr>
      <w:rFonts w:eastAsia="Times New Roman" w:cs="Times New Roman"/>
      <w:szCs w:val="22"/>
      <w:lang w:eastAsia="de-AT"/>
    </w:rPr>
  </w:style>
  <w:style w:type="paragraph" w:styleId="ListContinue2">
    <w:name w:val="List Continue 2"/>
    <w:aliases w:val="L Ftsz 2"/>
    <w:basedOn w:val="Normal"/>
    <w:uiPriority w:val="14"/>
    <w:qFormat/>
    <w:pPr>
      <w:spacing w:after="0"/>
      <w:ind w:left="794"/>
      <w:contextualSpacing/>
    </w:pPr>
  </w:style>
  <w:style w:type="paragraph" w:customStyle="1" w:styleId="Gliederung1">
    <w:name w:val="Gliederung 1."/>
    <w:aliases w:val="GL 1.,GL 1"/>
    <w:basedOn w:val="Normal"/>
    <w:uiPriority w:val="17"/>
    <w:qFormat/>
    <w:pPr>
      <w:numPr>
        <w:numId w:val="4"/>
      </w:numPr>
    </w:pPr>
    <w:rPr>
      <w:rFonts w:eastAsia="Times New Roman" w:cs="Times New Roman"/>
      <w:szCs w:val="22"/>
      <w:lang w:eastAsia="de-AT"/>
    </w:rPr>
  </w:style>
  <w:style w:type="paragraph" w:customStyle="1" w:styleId="Gliederung11">
    <w:name w:val="Gliederung 1.1"/>
    <w:aliases w:val="GL 1.1.,GL 1.1"/>
    <w:basedOn w:val="Normal"/>
    <w:uiPriority w:val="17"/>
    <w:qFormat/>
    <w:pPr>
      <w:numPr>
        <w:ilvl w:val="1"/>
        <w:numId w:val="4"/>
      </w:numPr>
    </w:pPr>
    <w:rPr>
      <w:rFonts w:eastAsia="Times New Roman" w:cs="Times New Roman"/>
      <w:szCs w:val="22"/>
      <w:lang w:eastAsia="de-AT"/>
    </w:rPr>
  </w:style>
  <w:style w:type="paragraph" w:customStyle="1" w:styleId="GliederungListenfortsetzung1">
    <w:name w:val="Gliederung Listenfortsetzung 1"/>
    <w:aliases w:val="GL F 1.,GL F 1"/>
    <w:basedOn w:val="ListContinue"/>
    <w:next w:val="Gliederung1"/>
    <w:uiPriority w:val="17"/>
    <w:qFormat/>
    <w:pPr>
      <w:spacing w:after="345"/>
    </w:pPr>
    <w:rPr>
      <w:rFonts w:eastAsia="Times New Roman" w:cs="Times New Roman"/>
      <w:szCs w:val="22"/>
      <w:lang w:eastAsia="de-AT"/>
    </w:rPr>
  </w:style>
  <w:style w:type="paragraph" w:styleId="ListContinue">
    <w:name w:val="List Continue"/>
    <w:aliases w:val="L Ftsz 1"/>
    <w:basedOn w:val="Normal"/>
    <w:uiPriority w:val="13"/>
    <w:qFormat/>
    <w:pPr>
      <w:spacing w:after="0"/>
      <w:ind w:left="397"/>
      <w:contextualSpacing/>
    </w:pPr>
  </w:style>
  <w:style w:type="paragraph" w:customStyle="1" w:styleId="GZ">
    <w:name w:val="GZ"/>
    <w:basedOn w:val="Normal"/>
    <w:next w:val="Normal"/>
    <w:uiPriority w:val="47"/>
    <w:qFormat/>
    <w:pPr>
      <w:spacing w:before="220" w:after="0"/>
    </w:pPr>
    <w:rPr>
      <w:sz w:val="17"/>
    </w:rPr>
  </w:style>
  <w:style w:type="paragraph" w:customStyle="1" w:styleId="StdVOR">
    <w:name w:val="Std+VOR"/>
    <w:basedOn w:val="Normal"/>
    <w:next w:val="Normal"/>
    <w:qFormat/>
    <w:pPr>
      <w:spacing w:before="345"/>
    </w:pPr>
  </w:style>
  <w:style w:type="paragraph" w:customStyle="1" w:styleId="Listennummera">
    <w:name w:val="Listennummer a)"/>
    <w:aliases w:val="OL 1 a)"/>
    <w:basedOn w:val="ListNumber"/>
    <w:uiPriority w:val="18"/>
    <w:qFormat/>
    <w:pPr>
      <w:numPr>
        <w:numId w:val="5"/>
      </w:numPr>
    </w:pPr>
  </w:style>
  <w:style w:type="paragraph" w:styleId="ListNumber">
    <w:name w:val="List Number"/>
    <w:aliases w:val="OL 1"/>
    <w:basedOn w:val="Normal"/>
    <w:uiPriority w:val="11"/>
    <w:qFormat/>
    <w:pPr>
      <w:numPr>
        <w:numId w:val="2"/>
      </w:numPr>
      <w:spacing w:after="0"/>
      <w:contextualSpacing/>
    </w:pPr>
  </w:style>
  <w:style w:type="character" w:customStyle="1" w:styleId="small">
    <w:name w:val="small"/>
    <w:basedOn w:val="DefaultParagraphFont"/>
    <w:uiPriority w:val="46"/>
    <w:qFormat/>
    <w:rPr>
      <w:sz w:val="17"/>
      <w:szCs w:val="16"/>
    </w:rPr>
  </w:style>
  <w:style w:type="paragraph" w:customStyle="1" w:styleId="1nummeriert">
    <w:name w:val="Ü1 nummeriert"/>
    <w:basedOn w:val="Heading1"/>
    <w:next w:val="Normal"/>
    <w:uiPriority w:val="2"/>
    <w:semiHidden/>
    <w:qFormat/>
    <w:pPr>
      <w:keepLines/>
      <w:numPr>
        <w:numId w:val="6"/>
      </w:numPr>
    </w:pPr>
    <w:rPr>
      <w:rFonts w:eastAsiaTheme="majorEastAsia" w:cstheme="majorBidi"/>
      <w:bCs w:val="0"/>
      <w:szCs w:val="32"/>
    </w:rPr>
  </w:style>
  <w:style w:type="character" w:customStyle="1" w:styleId="Heading1Char">
    <w:name w:val="Heading 1 Char"/>
    <w:aliases w:val="Ü1 Char"/>
    <w:basedOn w:val="DefaultParagraphFont"/>
    <w:link w:val="Heading1"/>
    <w:uiPriority w:val="2"/>
    <w:rPr>
      <w:bCs/>
      <w:color w:val="E6320F" w:themeColor="text2"/>
      <w:sz w:val="56"/>
      <w:szCs w:val="22"/>
      <w14:numForm w14:val="lining"/>
    </w:rPr>
  </w:style>
  <w:style w:type="paragraph" w:customStyle="1" w:styleId="2nummeriert">
    <w:name w:val="Ü2 nummeriert"/>
    <w:basedOn w:val="Heading2"/>
    <w:next w:val="Normal"/>
    <w:uiPriority w:val="2"/>
    <w:semiHidden/>
    <w:qFormat/>
    <w:pPr>
      <w:keepLines/>
      <w:numPr>
        <w:ilvl w:val="1"/>
        <w:numId w:val="6"/>
      </w:numPr>
      <w:spacing w:before="345"/>
    </w:pPr>
    <w:rPr>
      <w:rFonts w:eastAsiaTheme="majorEastAsia" w:cstheme="majorBidi"/>
      <w:bCs w:val="0"/>
      <w:color w:val="auto"/>
      <w:sz w:val="28"/>
      <w:szCs w:val="26"/>
      <w14:numForm w14:val="lining"/>
    </w:rPr>
  </w:style>
  <w:style w:type="paragraph" w:customStyle="1" w:styleId="3nummeriert">
    <w:name w:val="Ü3 nummeriert"/>
    <w:basedOn w:val="Heading3"/>
    <w:next w:val="Normal"/>
    <w:uiPriority w:val="2"/>
    <w:semiHidden/>
    <w:qFormat/>
    <w:pPr>
      <w:numPr>
        <w:ilvl w:val="2"/>
        <w:numId w:val="6"/>
      </w:numPr>
      <w:spacing w:before="345"/>
    </w:pPr>
    <w:rPr>
      <w:rFonts w:asciiTheme="majorHAnsi" w:hAnsiTheme="majorHAnsi"/>
      <w:b/>
      <w:color w:val="auto"/>
      <w:sz w:val="25"/>
    </w:rPr>
  </w:style>
  <w:style w:type="character" w:customStyle="1" w:styleId="Hochstellen">
    <w:name w:val="Hochstellen"/>
    <w:basedOn w:val="DefaultParagraphFont"/>
    <w:uiPriority w:val="59"/>
    <w:qFormat/>
    <w:rPr>
      <w:caps w:val="0"/>
      <w:smallCaps w:val="0"/>
      <w:strike w:val="0"/>
      <w:dstrike w:val="0"/>
      <w:vanish w:val="0"/>
      <w:vertAlign w:val="superscript"/>
    </w:rPr>
  </w:style>
  <w:style w:type="paragraph" w:customStyle="1" w:styleId="ProgrammAufzhlung1">
    <w:name w:val="Programm Aufzählung 1"/>
    <w:aliases w:val="P-UL,P-UL-1"/>
    <w:basedOn w:val="Normal"/>
    <w:uiPriority w:val="20"/>
    <w:qFormat/>
    <w:pPr>
      <w:numPr>
        <w:numId w:val="7"/>
      </w:numPr>
      <w:spacing w:after="0"/>
    </w:pPr>
    <w:rPr>
      <w:rFonts w:eastAsia="Times New Roman" w:cs="Times New Roman"/>
      <w:szCs w:val="22"/>
      <w:lang w:eastAsia="de-AT"/>
    </w:rPr>
  </w:style>
  <w:style w:type="paragraph" w:customStyle="1" w:styleId="P-Intro">
    <w:name w:val="P-Intro"/>
    <w:basedOn w:val="Normal"/>
    <w:uiPriority w:val="19"/>
    <w:semiHidden/>
    <w:qFormat/>
    <w:pPr>
      <w:spacing w:after="690"/>
    </w:pPr>
    <w:rPr>
      <w:color w:val="E6320F" w:themeColor="text2"/>
      <w:sz w:val="25"/>
    </w:rPr>
  </w:style>
  <w:style w:type="paragraph" w:customStyle="1" w:styleId="ProgrammAufzhlung1ABSTNACH">
    <w:name w:val="Programm Aufzählung 1 ABST NACH"/>
    <w:aliases w:val="P-UL Ende,P-UL-1-L"/>
    <w:basedOn w:val="ProgrammAufzhlung1"/>
    <w:uiPriority w:val="24"/>
    <w:qFormat/>
    <w:pPr>
      <w:spacing w:after="345"/>
    </w:pPr>
  </w:style>
  <w:style w:type="paragraph" w:customStyle="1" w:styleId="Quelle">
    <w:name w:val="Quelle"/>
    <w:basedOn w:val="StdVOR"/>
    <w:next w:val="Normal"/>
    <w:uiPriority w:val="5"/>
    <w:qFormat/>
    <w:rPr>
      <w:sz w:val="19"/>
      <w:szCs w:val="19"/>
    </w:rPr>
  </w:style>
  <w:style w:type="paragraph" w:customStyle="1" w:styleId="BoxTitel">
    <w:name w:val="Box Titel"/>
    <w:basedOn w:val="Normal"/>
    <w:uiPriority w:val="21"/>
    <w:semiHidden/>
    <w:qFormat/>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UL1">
    <w:name w:val="Box UL 1"/>
    <w:basedOn w:val="ProgrammAufzhlung1"/>
    <w:uiPriority w:val="22"/>
    <w:semiHidden/>
    <w:qFormat/>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paragraph" w:customStyle="1" w:styleId="Vermerk">
    <w:name w:val="Vermerk"/>
    <w:basedOn w:val="Normal"/>
    <w:uiPriority w:val="47"/>
    <w:qFormat/>
    <w:rPr>
      <w:sz w:val="17"/>
    </w:rPr>
  </w:style>
  <w:style w:type="character" w:customStyle="1" w:styleId="Tiefstellen">
    <w:name w:val="Tiefstellen"/>
    <w:basedOn w:val="DefaultParagraphFont"/>
    <w:uiPriority w:val="59"/>
    <w:qFormat/>
    <w:rPr>
      <w:caps w:val="0"/>
      <w:smallCaps w:val="0"/>
      <w:strike w:val="0"/>
      <w:dstrike w:val="0"/>
      <w:vanish w:val="0"/>
      <w:vertAlign w:val="subscript"/>
    </w:rPr>
  </w:style>
  <w:style w:type="paragraph" w:customStyle="1" w:styleId="AbsNACH">
    <w:name w:val="Abs+NACH"/>
    <w:basedOn w:val="Absendedaten"/>
    <w:uiPriority w:val="49"/>
    <w:qFormat/>
    <w:pPr>
      <w:spacing w:after="220"/>
    </w:pPr>
    <w:rPr>
      <w:rFonts w:eastAsia="Times New Roman" w:cs="Times New Roman"/>
      <w:szCs w:val="20"/>
    </w:rPr>
  </w:style>
  <w:style w:type="character" w:customStyle="1" w:styleId="Grobuchstaben">
    <w:name w:val="Großbuchstaben"/>
    <w:basedOn w:val="DefaultParagraphFont"/>
    <w:uiPriority w:val="59"/>
    <w:qFormat/>
    <w:rPr>
      <w:caps/>
      <w:smallCaps w:val="0"/>
      <w:strike w:val="0"/>
      <w:dstrike w:val="0"/>
      <w:vanish w:val="0"/>
      <w:vertAlign w:val="baseline"/>
    </w:rPr>
  </w:style>
  <w:style w:type="paragraph" w:customStyle="1" w:styleId="Elektronischgefertigt">
    <w:name w:val="Elektronisch gefertigt"/>
    <w:basedOn w:val="StdVOR"/>
    <w:next w:val="Normal"/>
    <w:uiPriority w:val="46"/>
    <w:qFormat/>
    <w:pPr>
      <w:spacing w:after="0"/>
    </w:pPr>
    <w:rPr>
      <w:sz w:val="17"/>
    </w:rPr>
  </w:style>
  <w:style w:type="paragraph" w:customStyle="1" w:styleId="Brief2nummeriert">
    <w:name w:val="Brief Ü2 nummeriert"/>
    <w:basedOn w:val="2nummeriert"/>
    <w:next w:val="Normal"/>
    <w:uiPriority w:val="2"/>
    <w:qFormat/>
    <w:pPr>
      <w:numPr>
        <w:numId w:val="8"/>
      </w:numPr>
      <w:spacing w:line="264" w:lineRule="auto"/>
    </w:pPr>
  </w:style>
  <w:style w:type="paragraph" w:customStyle="1" w:styleId="Brief3nummeriert">
    <w:name w:val="Brief Ü3 nummeriert"/>
    <w:basedOn w:val="3nummeriert"/>
    <w:next w:val="Normal"/>
    <w:uiPriority w:val="2"/>
    <w:qFormat/>
    <w:pPr>
      <w:numPr>
        <w:numId w:val="8"/>
      </w:numPr>
    </w:pPr>
  </w:style>
  <w:style w:type="character" w:customStyle="1" w:styleId="Heading6Char">
    <w:name w:val="Heading 6 Char"/>
    <w:basedOn w:val="DefaultParagraphFont"/>
    <w:link w:val="Heading6"/>
    <w:uiPriority w:val="2"/>
    <w:semiHidden/>
    <w:rPr>
      <w:caps/>
      <w:color w:val="970128" w:themeColor="accent1" w:themeShade="BF"/>
      <w:spacing w:val="10"/>
      <w:lang w:val="pt-PT"/>
    </w:rPr>
  </w:style>
  <w:style w:type="character" w:customStyle="1" w:styleId="Heading7Char">
    <w:name w:val="Heading 7 Char"/>
    <w:basedOn w:val="DefaultParagraphFont"/>
    <w:link w:val="Heading7"/>
    <w:uiPriority w:val="2"/>
    <w:semiHidden/>
    <w:rPr>
      <w:caps/>
      <w:color w:val="970128" w:themeColor="accent1" w:themeShade="BF"/>
      <w:spacing w:val="10"/>
      <w:lang w:val="pt-PT"/>
    </w:rPr>
  </w:style>
  <w:style w:type="character" w:customStyle="1" w:styleId="Heading8Char">
    <w:name w:val="Heading 8 Char"/>
    <w:basedOn w:val="DefaultParagraphFont"/>
    <w:link w:val="Heading8"/>
    <w:uiPriority w:val="2"/>
    <w:semiHidden/>
    <w:rPr>
      <w:caps/>
      <w:spacing w:val="10"/>
      <w:sz w:val="18"/>
      <w:szCs w:val="18"/>
      <w:lang w:val="pt-PT"/>
    </w:rPr>
  </w:style>
  <w:style w:type="character" w:customStyle="1" w:styleId="Heading9Char">
    <w:name w:val="Heading 9 Char"/>
    <w:basedOn w:val="DefaultParagraphFont"/>
    <w:link w:val="Heading9"/>
    <w:uiPriority w:val="2"/>
    <w:semiHidden/>
    <w:rPr>
      <w:i/>
      <w:caps/>
      <w:spacing w:val="10"/>
      <w:sz w:val="18"/>
      <w:szCs w:val="18"/>
      <w:lang w:val="pt-PT"/>
    </w:rPr>
  </w:style>
  <w:style w:type="paragraph" w:styleId="Caption">
    <w:name w:val="caption"/>
    <w:basedOn w:val="Normal"/>
    <w:next w:val="Normal"/>
    <w:uiPriority w:val="5"/>
    <w:qFormat/>
    <w:pPr>
      <w:spacing w:before="345"/>
    </w:pPr>
    <w:rPr>
      <w:bCs/>
      <w:color w:val="404040" w:themeColor="text1" w:themeTint="BF"/>
      <w:sz w:val="19"/>
      <w:szCs w:val="16"/>
    </w:rPr>
  </w:style>
  <w:style w:type="paragraph" w:styleId="ListBullet">
    <w:name w:val="List Bullet"/>
    <w:aliases w:val="UL 1"/>
    <w:basedOn w:val="Normal"/>
    <w:uiPriority w:val="9"/>
    <w:qFormat/>
    <w:pPr>
      <w:numPr>
        <w:numId w:val="1"/>
      </w:numPr>
      <w:spacing w:after="0"/>
      <w:contextualSpacing/>
    </w:pPr>
    <w:rPr>
      <w:rFonts w:cs="Times New Roman"/>
      <w:szCs w:val="24"/>
      <w:lang w:eastAsia="de-AT"/>
    </w:rPr>
  </w:style>
  <w:style w:type="paragraph" w:styleId="ListBullet2">
    <w:name w:val="List Bullet 2"/>
    <w:aliases w:val="UL 2"/>
    <w:basedOn w:val="ListBullet"/>
    <w:qFormat/>
    <w:pPr>
      <w:numPr>
        <w:ilvl w:val="1"/>
      </w:numPr>
    </w:pPr>
  </w:style>
  <w:style w:type="paragraph" w:styleId="ListBullet3">
    <w:name w:val="List Bullet 3"/>
    <w:aliases w:val="UL 3"/>
    <w:basedOn w:val="Normal"/>
    <w:uiPriority w:val="10"/>
    <w:semiHidden/>
    <w:qFormat/>
    <w:pPr>
      <w:numPr>
        <w:ilvl w:val="2"/>
        <w:numId w:val="1"/>
      </w:numPr>
      <w:spacing w:after="0"/>
    </w:pPr>
    <w:rPr>
      <w:rFonts w:eastAsia="Times New Roman" w:cs="Times New Roman"/>
      <w:szCs w:val="22"/>
      <w:lang w:eastAsia="de-AT"/>
    </w:rPr>
  </w:style>
  <w:style w:type="paragraph" w:styleId="ListNumber2">
    <w:name w:val="List Number 2"/>
    <w:aliases w:val="OL 2"/>
    <w:basedOn w:val="Normal"/>
    <w:uiPriority w:val="12"/>
    <w:qFormat/>
    <w:pPr>
      <w:numPr>
        <w:ilvl w:val="1"/>
        <w:numId w:val="2"/>
      </w:numPr>
      <w:spacing w:after="0"/>
    </w:pPr>
  </w:style>
  <w:style w:type="paragraph" w:styleId="Closing">
    <w:name w:val="Closing"/>
    <w:aliases w:val="Gruß"/>
    <w:basedOn w:val="Normal"/>
    <w:next w:val="Normal"/>
    <w:link w:val="ClosingChar"/>
    <w:uiPriority w:val="46"/>
    <w:qFormat/>
    <w:pPr>
      <w:spacing w:before="345"/>
    </w:pPr>
    <w:rPr>
      <w:rFonts w:asciiTheme="majorHAnsi" w:hAnsiTheme="majorHAnsi"/>
      <w:szCs w:val="20"/>
      <w14:numForm w14:val="default"/>
    </w:rPr>
  </w:style>
  <w:style w:type="character" w:customStyle="1" w:styleId="ClosingChar">
    <w:name w:val="Closing Char"/>
    <w:aliases w:val="Gruß Char"/>
    <w:basedOn w:val="DefaultParagraphFont"/>
    <w:link w:val="Closing"/>
    <w:uiPriority w:val="46"/>
    <w:rPr>
      <w:szCs w:val="20"/>
      <w:lang w:val="pt-PT"/>
    </w:rPr>
  </w:style>
  <w:style w:type="character" w:styleId="Hyperlink">
    <w:name w:val="Hyperlink"/>
    <w:basedOn w:val="DefaultParagraphFont"/>
    <w:uiPriority w:val="59"/>
    <w:qFormat/>
    <w:rPr>
      <w:color w:val="auto"/>
      <w:u w:val="single"/>
    </w:rPr>
  </w:style>
  <w:style w:type="character" w:styleId="Strong">
    <w:name w:val="Strong"/>
    <w:uiPriority w:val="1"/>
    <w:qFormat/>
    <w:rPr>
      <w:b/>
      <w:bCs/>
    </w:rPr>
  </w:style>
  <w:style w:type="character" w:customStyle="1" w:styleId="NoSpacingChar">
    <w:name w:val="No Spacing Char"/>
    <w:basedOn w:val="DefaultParagraphFont"/>
    <w:link w:val="NoSpacing"/>
    <w:rPr>
      <w:szCs w:val="20"/>
      <w:lang w:val="pt-PT"/>
    </w:rPr>
  </w:style>
  <w:style w:type="paragraph" w:styleId="ListParagraph">
    <w:name w:val="List Paragraph"/>
    <w:basedOn w:val="Normal"/>
    <w:link w:val="ListParagraphChar"/>
    <w:uiPriority w:val="34"/>
    <w:qFormat/>
    <w:pPr>
      <w:numPr>
        <w:numId w:val="3"/>
      </w:numPr>
      <w:contextualSpacing/>
    </w:pPr>
  </w:style>
  <w:style w:type="paragraph" w:styleId="Quote">
    <w:name w:val="Quote"/>
    <w:basedOn w:val="Normal"/>
    <w:next w:val="Normal"/>
    <w:link w:val="QuoteChar"/>
    <w:uiPriority w:val="20"/>
    <w:qFormat/>
    <w:pPr>
      <w:ind w:left="397" w:right="794"/>
    </w:pPr>
    <w:rPr>
      <w:iCs/>
      <w:color w:val="E6320F" w:themeColor="text2"/>
      <w:sz w:val="25"/>
    </w:rPr>
  </w:style>
  <w:style w:type="character" w:customStyle="1" w:styleId="QuoteChar">
    <w:name w:val="Quote Char"/>
    <w:basedOn w:val="DefaultParagraphFont"/>
    <w:link w:val="Quote"/>
    <w:uiPriority w:val="20"/>
    <w:rPr>
      <w:rFonts w:asciiTheme="minorHAnsi" w:hAnsiTheme="minorHAnsi"/>
      <w:iCs/>
      <w:color w:val="E6320F" w:themeColor="text2"/>
      <w:sz w:val="25"/>
      <w14:numForm w14:val="lining"/>
    </w:rPr>
  </w:style>
  <w:style w:type="paragraph" w:styleId="TOCHeading">
    <w:name w:val="TOC Heading"/>
    <w:basedOn w:val="Heading1"/>
    <w:next w:val="Normal"/>
    <w:uiPriority w:val="39"/>
    <w:semiHidden/>
    <w:unhideWhenUsed/>
    <w:qFormat/>
    <w:pPr>
      <w:outlineLvl w:val="9"/>
    </w:p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character" w:customStyle="1" w:styleId="ListParagraphChar">
    <w:name w:val="List Paragraph Char"/>
    <w:link w:val="ListParagraph"/>
    <w:uiPriority w:val="34"/>
    <w:locked/>
    <w:rPr>
      <w:rFonts w:asciiTheme="minorHAnsi" w:hAnsiTheme="minorHAnsi"/>
      <w14:numForm w14:val="lining"/>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Footnotes,fn"/>
    <w:basedOn w:val="Normal"/>
    <w:link w:val="FootnoteTextChar"/>
    <w:unhideWhenUsed/>
    <w:qFormat/>
    <w:pPr>
      <w:spacing w:after="0" w:line="240" w:lineRule="auto"/>
    </w:pPr>
    <w:rPr>
      <w:sz w:val="20"/>
      <w:szCs w:val="20"/>
      <w14:numForm w14:val="default"/>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Footnotes Char,fn Char"/>
    <w:basedOn w:val="DefaultParagraphFont"/>
    <w:link w:val="FootnoteText"/>
    <w:rPr>
      <w:rFonts w:asciiTheme="minorHAnsi" w:hAnsiTheme="minorHAnsi"/>
      <w:sz w:val="20"/>
      <w:szCs w:val="20"/>
    </w:rPr>
  </w:style>
  <w:style w:type="character" w:styleId="FootnoteReference">
    <w:name w:val="footnote reference"/>
    <w:aliases w:val="Footnote Refernece,Fn Ref,Footnote Refernece + (Latein) Arial,10 pt,Blau,BVI fnr,callout,Footnote Reference Superscript,footnotesign,Footnotes refss,Footnote Reference Number,Fußnotenzeichen_Raxen,Footnote Refe,FR,...,Footnote symbol"/>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sz w:val="20"/>
      <w:szCs w:val="20"/>
      <w14:numForm w14:val="lining"/>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14:numForm w14:val="lining"/>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c01pointnumerotealtn">
    <w:name w:val="c01pointnumerotealtn"/>
    <w:basedOn w:val="Normal"/>
    <w:pPr>
      <w:spacing w:before="100" w:beforeAutospacing="1" w:after="240" w:line="240" w:lineRule="auto"/>
      <w:ind w:left="567" w:hanging="539"/>
      <w:jc w:val="both"/>
    </w:pPr>
    <w:rPr>
      <w:rFonts w:ascii="Times New Roman" w:eastAsia="Times New Roman" w:hAnsi="Times New Roman" w:cs="Times New Roman"/>
      <w:sz w:val="24"/>
      <w:szCs w:val="24"/>
      <w:lang w:eastAsia="en-GB"/>
      <w14:numForm w14:val="default"/>
    </w:rPr>
  </w:style>
  <w:style w:type="paragraph" w:customStyle="1" w:styleId="Normal4">
    <w:name w:val="Normal4"/>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ti-art">
    <w:name w:val="ti-art"/>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listparagraph0">
    <w:name w:val="listparagraph"/>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character" w:customStyle="1" w:styleId="tab">
    <w:name w:val="tab"/>
    <w:basedOn w:val="DefaultParagraphFont"/>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heme="minorHAnsi" w:hAnsiTheme="minorHAnsi"/>
      <w14:numForm w14:val="lining"/>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hAnsiTheme="minorHAnsi"/>
      <w14:numForm w14:val="lining"/>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14:numForm w14:val="default"/>
    </w:rPr>
  </w:style>
  <w:style w:type="paragraph" w:customStyle="1" w:styleId="LegalNumPar">
    <w:name w:val="LegalNumPar"/>
    <w:basedOn w:val="Normal"/>
    <w:pPr>
      <w:numPr>
        <w:numId w:val="17"/>
      </w:numPr>
      <w:spacing w:after="240" w:line="360" w:lineRule="auto"/>
    </w:pPr>
    <w:rPr>
      <w:rFonts w:ascii="Times New Roman" w:hAnsi="Times New Roman" w:cs="Times New Roman"/>
      <w:sz w:val="24"/>
      <w:szCs w:val="22"/>
      <w14:numForm w14:val="default"/>
    </w:rPr>
  </w:style>
  <w:style w:type="paragraph" w:customStyle="1" w:styleId="LegalNumPar2">
    <w:name w:val="LegalNumPar2"/>
    <w:basedOn w:val="Normal"/>
    <w:pPr>
      <w:numPr>
        <w:ilvl w:val="1"/>
        <w:numId w:val="17"/>
      </w:numPr>
      <w:spacing w:after="240" w:line="360" w:lineRule="auto"/>
    </w:pPr>
    <w:rPr>
      <w:rFonts w:ascii="Times New Roman" w:hAnsi="Times New Roman" w:cs="Times New Roman"/>
      <w:sz w:val="24"/>
      <w:szCs w:val="22"/>
      <w14:numForm w14:val="default"/>
    </w:rPr>
  </w:style>
  <w:style w:type="paragraph" w:customStyle="1" w:styleId="LegalNumPar3">
    <w:name w:val="LegalNumPar3"/>
    <w:basedOn w:val="Normal"/>
    <w:pPr>
      <w:numPr>
        <w:ilvl w:val="2"/>
        <w:numId w:val="17"/>
      </w:numPr>
      <w:spacing w:after="240" w:line="360" w:lineRule="auto"/>
    </w:pPr>
    <w:rPr>
      <w:rFonts w:ascii="Times New Roman" w:hAnsi="Times New Roman" w:cs="Times New Roman"/>
      <w:sz w:val="24"/>
      <w:szCs w:val="22"/>
      <w14:numForm w14:val="default"/>
    </w:rPr>
  </w:style>
  <w:style w:type="paragraph" w:customStyle="1" w:styleId="Normal3">
    <w:name w:val="Normal3"/>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636362"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hAnsiTheme="minorHAnsi"/>
      <w:b/>
      <w:bCs/>
      <w:sz w:val="20"/>
      <w:szCs w:val="20"/>
      <w14:numForm w14:val="lining"/>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14:numForm w14:val="defaul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14:numForm w14:val="lining"/>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14:numForm w14:val="lining"/>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14:numForm w14:val="lining"/>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14:numForm w14:val="lining"/>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14:numForm w14:val="lining"/>
    </w:rPr>
  </w:style>
  <w:style w:type="paragraph" w:customStyle="1" w:styleId="Normal5">
    <w:name w:val="Normal5"/>
    <w:basedOn w:val="Normal"/>
    <w:pPr>
      <w:spacing w:before="100" w:beforeAutospacing="1" w:after="100" w:afterAutospacing="1" w:line="240" w:lineRule="auto"/>
    </w:pPr>
    <w:rPr>
      <w:rFonts w:ascii="Times New Roman" w:hAnsi="Times New Roman" w:cs="Times New Roman"/>
      <w:sz w:val="24"/>
      <w:szCs w:val="24"/>
      <w:lang w:eastAsia="en-GB"/>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6482">
      <w:bodyDiv w:val="1"/>
      <w:marLeft w:val="0"/>
      <w:marRight w:val="0"/>
      <w:marTop w:val="0"/>
      <w:marBottom w:val="0"/>
      <w:divBdr>
        <w:top w:val="none" w:sz="0" w:space="0" w:color="auto"/>
        <w:left w:val="none" w:sz="0" w:space="0" w:color="auto"/>
        <w:bottom w:val="none" w:sz="0" w:space="0" w:color="auto"/>
        <w:right w:val="none" w:sz="0" w:space="0" w:color="auto"/>
      </w:divBdr>
    </w:div>
    <w:div w:id="449477689">
      <w:bodyDiv w:val="1"/>
      <w:marLeft w:val="0"/>
      <w:marRight w:val="0"/>
      <w:marTop w:val="0"/>
      <w:marBottom w:val="0"/>
      <w:divBdr>
        <w:top w:val="none" w:sz="0" w:space="0" w:color="auto"/>
        <w:left w:val="none" w:sz="0" w:space="0" w:color="auto"/>
        <w:bottom w:val="none" w:sz="0" w:space="0" w:color="auto"/>
        <w:right w:val="none" w:sz="0" w:space="0" w:color="auto"/>
      </w:divBdr>
    </w:div>
    <w:div w:id="513351017">
      <w:bodyDiv w:val="1"/>
      <w:marLeft w:val="0"/>
      <w:marRight w:val="0"/>
      <w:marTop w:val="0"/>
      <w:marBottom w:val="0"/>
      <w:divBdr>
        <w:top w:val="none" w:sz="0" w:space="0" w:color="auto"/>
        <w:left w:val="none" w:sz="0" w:space="0" w:color="auto"/>
        <w:bottom w:val="none" w:sz="0" w:space="0" w:color="auto"/>
        <w:right w:val="none" w:sz="0" w:space="0" w:color="auto"/>
      </w:divBdr>
    </w:div>
    <w:div w:id="620575851">
      <w:bodyDiv w:val="1"/>
      <w:marLeft w:val="0"/>
      <w:marRight w:val="0"/>
      <w:marTop w:val="0"/>
      <w:marBottom w:val="0"/>
      <w:divBdr>
        <w:top w:val="none" w:sz="0" w:space="0" w:color="auto"/>
        <w:left w:val="none" w:sz="0" w:space="0" w:color="auto"/>
        <w:bottom w:val="none" w:sz="0" w:space="0" w:color="auto"/>
        <w:right w:val="none" w:sz="0" w:space="0" w:color="auto"/>
      </w:divBdr>
    </w:div>
    <w:div w:id="859468786">
      <w:bodyDiv w:val="1"/>
      <w:marLeft w:val="0"/>
      <w:marRight w:val="0"/>
      <w:marTop w:val="0"/>
      <w:marBottom w:val="0"/>
      <w:divBdr>
        <w:top w:val="none" w:sz="0" w:space="0" w:color="auto"/>
        <w:left w:val="none" w:sz="0" w:space="0" w:color="auto"/>
        <w:bottom w:val="none" w:sz="0" w:space="0" w:color="auto"/>
        <w:right w:val="none" w:sz="0" w:space="0" w:color="auto"/>
      </w:divBdr>
    </w:div>
    <w:div w:id="1208101213">
      <w:bodyDiv w:val="1"/>
      <w:marLeft w:val="0"/>
      <w:marRight w:val="0"/>
      <w:marTop w:val="0"/>
      <w:marBottom w:val="0"/>
      <w:divBdr>
        <w:top w:val="none" w:sz="0" w:space="0" w:color="auto"/>
        <w:left w:val="none" w:sz="0" w:space="0" w:color="auto"/>
        <w:bottom w:val="none" w:sz="0" w:space="0" w:color="auto"/>
        <w:right w:val="none" w:sz="0" w:space="0" w:color="auto"/>
      </w:divBdr>
    </w:div>
    <w:div w:id="1249999132">
      <w:bodyDiv w:val="1"/>
      <w:marLeft w:val="0"/>
      <w:marRight w:val="0"/>
      <w:marTop w:val="0"/>
      <w:marBottom w:val="0"/>
      <w:divBdr>
        <w:top w:val="none" w:sz="0" w:space="0" w:color="auto"/>
        <w:left w:val="none" w:sz="0" w:space="0" w:color="auto"/>
        <w:bottom w:val="none" w:sz="0" w:space="0" w:color="auto"/>
        <w:right w:val="none" w:sz="0" w:space="0" w:color="auto"/>
      </w:divBdr>
    </w:div>
    <w:div w:id="1265191286">
      <w:bodyDiv w:val="1"/>
      <w:marLeft w:val="0"/>
      <w:marRight w:val="0"/>
      <w:marTop w:val="0"/>
      <w:marBottom w:val="0"/>
      <w:divBdr>
        <w:top w:val="none" w:sz="0" w:space="0" w:color="auto"/>
        <w:left w:val="none" w:sz="0" w:space="0" w:color="auto"/>
        <w:bottom w:val="none" w:sz="0" w:space="0" w:color="auto"/>
        <w:right w:val="none" w:sz="0" w:space="0" w:color="auto"/>
      </w:divBdr>
    </w:div>
    <w:div w:id="1571845796">
      <w:bodyDiv w:val="1"/>
      <w:marLeft w:val="0"/>
      <w:marRight w:val="0"/>
      <w:marTop w:val="0"/>
      <w:marBottom w:val="0"/>
      <w:divBdr>
        <w:top w:val="none" w:sz="0" w:space="0" w:color="auto"/>
        <w:left w:val="none" w:sz="0" w:space="0" w:color="auto"/>
        <w:bottom w:val="none" w:sz="0" w:space="0" w:color="auto"/>
        <w:right w:val="none" w:sz="0" w:space="0" w:color="auto"/>
      </w:divBdr>
    </w:div>
    <w:div w:id="1727951781">
      <w:bodyDiv w:val="1"/>
      <w:marLeft w:val="0"/>
      <w:marRight w:val="0"/>
      <w:marTop w:val="0"/>
      <w:marBottom w:val="0"/>
      <w:divBdr>
        <w:top w:val="none" w:sz="0" w:space="0" w:color="auto"/>
        <w:left w:val="none" w:sz="0" w:space="0" w:color="auto"/>
        <w:bottom w:val="none" w:sz="0" w:space="0" w:color="auto"/>
        <w:right w:val="none" w:sz="0" w:space="0" w:color="auto"/>
      </w:divBdr>
    </w:div>
    <w:div w:id="1733234389">
      <w:bodyDiv w:val="1"/>
      <w:marLeft w:val="0"/>
      <w:marRight w:val="0"/>
      <w:marTop w:val="0"/>
      <w:marBottom w:val="0"/>
      <w:divBdr>
        <w:top w:val="none" w:sz="0" w:space="0" w:color="auto"/>
        <w:left w:val="none" w:sz="0" w:space="0" w:color="auto"/>
        <w:bottom w:val="none" w:sz="0" w:space="0" w:color="auto"/>
        <w:right w:val="none" w:sz="0" w:space="0" w:color="auto"/>
      </w:divBdr>
    </w:div>
    <w:div w:id="1771586523">
      <w:bodyDiv w:val="1"/>
      <w:marLeft w:val="0"/>
      <w:marRight w:val="0"/>
      <w:marTop w:val="0"/>
      <w:marBottom w:val="0"/>
      <w:divBdr>
        <w:top w:val="none" w:sz="0" w:space="0" w:color="auto"/>
        <w:left w:val="none" w:sz="0" w:space="0" w:color="auto"/>
        <w:bottom w:val="none" w:sz="0" w:space="0" w:color="auto"/>
        <w:right w:val="none" w:sz="0" w:space="0" w:color="auto"/>
      </w:divBdr>
    </w:div>
    <w:div w:id="1944722455">
      <w:bodyDiv w:val="1"/>
      <w:marLeft w:val="0"/>
      <w:marRight w:val="0"/>
      <w:marTop w:val="0"/>
      <w:marBottom w:val="0"/>
      <w:divBdr>
        <w:top w:val="none" w:sz="0" w:space="0" w:color="auto"/>
        <w:left w:val="none" w:sz="0" w:space="0" w:color="auto"/>
        <w:bottom w:val="none" w:sz="0" w:space="0" w:color="auto"/>
        <w:right w:val="none" w:sz="0" w:space="0" w:color="auto"/>
      </w:divBdr>
    </w:div>
    <w:div w:id="1962027906">
      <w:bodyDiv w:val="1"/>
      <w:marLeft w:val="0"/>
      <w:marRight w:val="0"/>
      <w:marTop w:val="0"/>
      <w:marBottom w:val="0"/>
      <w:divBdr>
        <w:top w:val="none" w:sz="0" w:space="0" w:color="auto"/>
        <w:left w:val="none" w:sz="0" w:space="0" w:color="auto"/>
        <w:bottom w:val="none" w:sz="0" w:space="0" w:color="auto"/>
        <w:right w:val="none" w:sz="0" w:space="0" w:color="auto"/>
      </w:divBdr>
    </w:div>
    <w:div w:id="20281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media/42737/st05870-en20.pdf." TargetMode="External"/><Relationship Id="rId2" Type="http://schemas.openxmlformats.org/officeDocument/2006/relationships/hyperlink" Target="https://ec.europa.eu/taxation_customs/sites/taxation/files/2020_tax_package_tax_action_plan_en.pdf" TargetMode="External"/><Relationship Id="rId1" Type="http://schemas.openxmlformats.org/officeDocument/2006/relationships/hyperlink" Target="https://ec.europa.eu/taxation_customs/sites/taxation/files/2020_tax_package_tax_action_plan_en.pdf" TargetMode="External"/><Relationship Id="rId4" Type="http://schemas.openxmlformats.org/officeDocument/2006/relationships/hyperlink" Target="https://www.consilium.europa.eu/media/42736/st05870-ad01re03-en20.pdf." TargetMode="External"/></Relationships>
</file>

<file path=word/theme/theme1.xml><?xml version="1.0" encoding="utf-8"?>
<a:theme xmlns:a="http://schemas.openxmlformats.org/drawingml/2006/main" name="eu2018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8B2A4AD-C4DC-4641-9D50-4EFC47C5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3618</Words>
  <Characters>20261</Characters>
  <Application>Microsoft Office Word</Application>
  <DocSecurity>0</DocSecurity>
  <Lines>413</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17</cp:revision>
  <dcterms:created xsi:type="dcterms:W3CDTF">2020-11-19T16:44:00Z</dcterms:created>
  <dcterms:modified xsi:type="dcterms:W3CDTF">2020-12-17T11:02:00Z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 Build 20190717</vt:lpwstr>
  </property>
</Properties>
</file>