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C4253480-AC5C-4F26-96E3-C9692C02A097" style="width:450.35pt;height:320.6pt">
            <v:imagedata r:id="rId9" o:title=""/>
          </v:shape>
        </w:pict>
      </w:r>
    </w:p>
    <w:bookmarkEnd w:id="0"/>
    <w:p>
      <w:pPr>
        <w:rPr>
          <w:rFonts w:eastAsia="Calibri"/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tabs>
          <w:tab w:val="center" w:pos="1084"/>
          <w:tab w:val="center" w:pos="2806"/>
        </w:tabs>
        <w:spacing w:before="240" w:after="0"/>
        <w:ind w:left="0" w:firstLine="0"/>
        <w:jc w:val="left"/>
        <w:rPr>
          <w:noProof/>
        </w:rPr>
      </w:pPr>
      <w:bookmarkStart w:id="1" w:name="_GoBack"/>
      <w:bookmarkEnd w:id="1"/>
      <w:r>
        <w:rPr>
          <w:noProof/>
        </w:rPr>
        <w:lastRenderedPageBreak/>
        <w:tab/>
      </w:r>
      <w:r>
        <w:rPr>
          <w:b/>
          <w:noProof/>
        </w:rPr>
        <w:t xml:space="preserve">1. </w:t>
      </w:r>
      <w:r>
        <w:rPr>
          <w:noProof/>
        </w:rPr>
        <w:tab/>
      </w:r>
      <w:r>
        <w:rPr>
          <w:b/>
          <w:noProof/>
        </w:rPr>
        <w:t xml:space="preserve">INTRODUÇÃO </w:t>
      </w:r>
    </w:p>
    <w:p>
      <w:pPr>
        <w:pStyle w:val="Heading2"/>
        <w:tabs>
          <w:tab w:val="center" w:pos="1144"/>
          <w:tab w:val="center" w:pos="2876"/>
        </w:tabs>
        <w:spacing w:before="280" w:after="200"/>
        <w:ind w:left="0" w:firstLine="0"/>
        <w:rPr>
          <w:noProof/>
        </w:rPr>
      </w:pPr>
      <w:r>
        <w:rPr>
          <w:noProof/>
        </w:rPr>
        <w:tab/>
      </w:r>
      <w:r>
        <w:rPr>
          <w:noProof/>
          <w:sz w:val="24"/>
        </w:rPr>
        <w:t xml:space="preserve">1.1 </w:t>
      </w:r>
      <w:r>
        <w:rPr>
          <w:noProof/>
        </w:rPr>
        <w:tab/>
      </w:r>
      <w:r>
        <w:rPr>
          <w:smallCaps/>
          <w:noProof/>
          <w:sz w:val="24"/>
        </w:rPr>
        <w:t>O</w:t>
      </w:r>
      <w:r>
        <w:rPr>
          <w:noProof/>
        </w:rPr>
        <w:t xml:space="preserve">BJETIVO DO </w:t>
      </w:r>
      <w:r>
        <w:rPr>
          <w:smallCaps/>
          <w:noProof/>
          <w:sz w:val="24"/>
        </w:rPr>
        <w:t>r</w:t>
      </w:r>
      <w:r>
        <w:rPr>
          <w:noProof/>
        </w:rPr>
        <w:t>ELATÓRIO</w:t>
      </w:r>
      <w:r>
        <w:rPr>
          <w:b w:val="0"/>
          <w:noProof/>
          <w:sz w:val="24"/>
        </w:rPr>
        <w:t xml:space="preserve"> </w:t>
      </w:r>
    </w:p>
    <w:p>
      <w:pPr>
        <w:spacing w:after="120" w:line="250" w:lineRule="auto"/>
        <w:ind w:left="992" w:right="975" w:hanging="11"/>
        <w:rPr>
          <w:noProof/>
        </w:rPr>
      </w:pPr>
      <w:r>
        <w:rPr>
          <w:noProof/>
        </w:rPr>
        <w:t>O artigo 9.º do Regulamento (UE) 2018/643 do Parlamento Europeu e do Conselho, de 18 de abril de 2018, relativo às estatísticas dos transportes ferroviários</w:t>
      </w:r>
      <w:r>
        <w:rPr>
          <w:noProof/>
          <w:vertAlign w:val="superscript"/>
        </w:rPr>
        <w:footnoteReference w:id="1"/>
      </w:r>
      <w:r>
        <w:rPr>
          <w:noProof/>
        </w:rPr>
        <w:t xml:space="preserve"> especifica que, após consultar o Comité do Sistema Estatístico Europeu, a Comissão deve apresentar um relatório, ao Parlamento Europeu e ao Conselho, sobre a aplicação deste regulamento e sobre a evolução futura, até 31 de dezembro de 2020 e, seguidamente, de quatro em quatro anos. </w:t>
      </w:r>
    </w:p>
    <w:p>
      <w:pPr>
        <w:spacing w:after="0" w:line="250" w:lineRule="auto"/>
        <w:ind w:left="992" w:right="975" w:hanging="11"/>
        <w:rPr>
          <w:noProof/>
        </w:rPr>
      </w:pPr>
      <w:r>
        <w:rPr>
          <w:noProof/>
        </w:rPr>
        <w:t xml:space="preserve">A primeira secção do presente relatório descreve os antecedentes do regulamento, o contexto político e os países e estatísticas a que o regulamento se aplica. A segunda secção apresenta questões relacionadas com a aplicação do regulamento, enquanto a terceira e quarta secções contêm uma descrição da possível evolução futura e conclusões. </w:t>
      </w:r>
    </w:p>
    <w:p>
      <w:pPr>
        <w:pStyle w:val="Heading2"/>
        <w:tabs>
          <w:tab w:val="center" w:pos="1144"/>
          <w:tab w:val="center" w:pos="3979"/>
        </w:tabs>
        <w:spacing w:before="280" w:after="200"/>
        <w:ind w:left="0" w:firstLine="0"/>
        <w:rPr>
          <w:noProof/>
        </w:rPr>
      </w:pPr>
      <w:r>
        <w:rPr>
          <w:noProof/>
        </w:rPr>
        <w:tab/>
      </w:r>
      <w:r>
        <w:rPr>
          <w:noProof/>
          <w:sz w:val="24"/>
        </w:rPr>
        <w:t xml:space="preserve">1.2 </w:t>
      </w:r>
      <w:r>
        <w:rPr>
          <w:noProof/>
        </w:rPr>
        <w:tab/>
      </w:r>
      <w:r>
        <w:rPr>
          <w:noProof/>
          <w:sz w:val="24"/>
        </w:rPr>
        <w:t>C</w:t>
      </w:r>
      <w:r>
        <w:rPr>
          <w:noProof/>
        </w:rPr>
        <w:t>ONTEXTO DO QUADRO JURÍDICO</w:t>
      </w:r>
      <w:r>
        <w:rPr>
          <w:b w:val="0"/>
          <w:noProof/>
          <w:sz w:val="24"/>
        </w:rPr>
        <w:t xml:space="preserve"> </w:t>
      </w:r>
    </w:p>
    <w:p>
      <w:pPr>
        <w:spacing w:after="120" w:line="250" w:lineRule="auto"/>
        <w:ind w:left="992" w:right="975" w:hanging="11"/>
        <w:rPr>
          <w:noProof/>
        </w:rPr>
      </w:pPr>
      <w:r>
        <w:rPr>
          <w:noProof/>
        </w:rPr>
        <w:t>A base jurídica inicial para as estatísticas dos transportes ferroviários foi o Regulamento (CE) n.º 91/2003</w:t>
      </w:r>
      <w:r>
        <w:rPr>
          <w:noProof/>
          <w:vertAlign w:val="superscript"/>
        </w:rPr>
        <w:footnoteReference w:id="2"/>
      </w:r>
      <w:r>
        <w:rPr>
          <w:noProof/>
        </w:rPr>
        <w:t xml:space="preserve">. Uma vez que este regulamento foi várias vezes alterado de modo substancial, foi reformulado em 2018, por razões de clareza, como Regulamento (UE) 2018/643, reunindo todas as alterações num novo texto jurídico. </w:t>
      </w:r>
    </w:p>
    <w:p>
      <w:pPr>
        <w:spacing w:after="120" w:line="250" w:lineRule="auto"/>
        <w:ind w:left="992" w:right="975" w:hanging="11"/>
        <w:rPr>
          <w:noProof/>
        </w:rPr>
      </w:pPr>
      <w:r>
        <w:rPr>
          <w:noProof/>
        </w:rPr>
        <w:t xml:space="preserve">O Regulamento (CE) n.º 91/2003 foi concebido para fornecer à Comissão, a outras instituições da UE, aos governos nacionais e ao público em geral dados estatísticos comparáveis, fiáveis, harmonizados, regulares e abrangentes sobre o transporte ferroviário de mercadorias e passageiros. </w:t>
      </w:r>
    </w:p>
    <w:p>
      <w:pPr>
        <w:spacing w:after="120" w:line="250" w:lineRule="auto"/>
        <w:ind w:left="992" w:right="975" w:hanging="11"/>
        <w:rPr>
          <w:noProof/>
        </w:rPr>
      </w:pPr>
      <w:r>
        <w:rPr>
          <w:noProof/>
        </w:rPr>
        <w:t xml:space="preserve">As alterações introduzidas em 2016 pelo Regulamento (UE) 2016/2032 visavam atualizar e simplificar o ato original (reduzindo assim os encargos para os Estados-Membros). Pretendiam igualmente otimizar o quadro jurídico existente para as estatísticas europeias sobre transportes ferroviários e alinhá-lo com o Tratado de Lisboa. </w:t>
      </w:r>
    </w:p>
    <w:p>
      <w:pPr>
        <w:pStyle w:val="Heading2"/>
        <w:tabs>
          <w:tab w:val="center" w:pos="1144"/>
          <w:tab w:val="center" w:pos="2722"/>
        </w:tabs>
        <w:spacing w:before="280" w:after="200"/>
        <w:ind w:left="0" w:firstLine="0"/>
        <w:rPr>
          <w:noProof/>
        </w:rPr>
      </w:pPr>
      <w:r>
        <w:rPr>
          <w:noProof/>
        </w:rPr>
        <w:tab/>
      </w:r>
      <w:r>
        <w:rPr>
          <w:noProof/>
          <w:sz w:val="24"/>
        </w:rPr>
        <w:t xml:space="preserve">1.3 </w:t>
      </w:r>
      <w:r>
        <w:rPr>
          <w:noProof/>
        </w:rPr>
        <w:tab/>
      </w:r>
      <w:r>
        <w:rPr>
          <w:noProof/>
          <w:sz w:val="24"/>
        </w:rPr>
        <w:t>C</w:t>
      </w:r>
      <w:r>
        <w:rPr>
          <w:noProof/>
        </w:rPr>
        <w:t>ONTEXTO POLÍTICO</w:t>
      </w:r>
      <w:r>
        <w:rPr>
          <w:b w:val="0"/>
          <w:noProof/>
          <w:sz w:val="24"/>
        </w:rPr>
        <w:t xml:space="preserve">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Nos últimos 25 anos, a Comissão tem vindo a propor ativamente a reestruturação do mercado europeu do transporte ferroviário, a fim de reforçar a posição dos caminhos-de-ferro em relação aos outros modos de transporte. Os esforços da Comissão centraram-se em três grandes objetivos, que são todos cruciais para o desenvolvimento de um setor do transporte ferroviário forte e competitivo:  </w:t>
      </w:r>
    </w:p>
    <w:p>
      <w:pPr>
        <w:numPr>
          <w:ilvl w:val="0"/>
          <w:numId w:val="1"/>
        </w:numPr>
        <w:spacing w:after="120"/>
        <w:ind w:left="1418" w:right="976" w:hanging="439"/>
        <w:rPr>
          <w:noProof/>
        </w:rPr>
      </w:pPr>
      <w:r>
        <w:rPr>
          <w:noProof/>
        </w:rPr>
        <w:t xml:space="preserve">abrir o mercado dos transportes ferroviários à concorrência; </w:t>
      </w:r>
    </w:p>
    <w:p>
      <w:pPr>
        <w:numPr>
          <w:ilvl w:val="0"/>
          <w:numId w:val="1"/>
        </w:numPr>
        <w:spacing w:after="120"/>
        <w:ind w:left="1418" w:right="976" w:hanging="439"/>
        <w:rPr>
          <w:noProof/>
        </w:rPr>
      </w:pPr>
      <w:r>
        <w:rPr>
          <w:noProof/>
        </w:rPr>
        <w:t xml:space="preserve">melhorar a interoperabilidade e a segurança das redes nacionais;  </w:t>
      </w:r>
    </w:p>
    <w:p>
      <w:pPr>
        <w:numPr>
          <w:ilvl w:val="0"/>
          <w:numId w:val="1"/>
        </w:numPr>
        <w:spacing w:after="120"/>
        <w:ind w:left="1418" w:right="976" w:hanging="439"/>
        <w:rPr>
          <w:noProof/>
        </w:rPr>
      </w:pPr>
      <w:r>
        <w:rPr>
          <w:noProof/>
        </w:rPr>
        <w:t xml:space="preserve">desenvolver as infraestruturas de transporte ferroviário.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>A importância política é muito elevada. O Livro Branco «</w:t>
      </w:r>
      <w:r>
        <w:rPr>
          <w:i/>
          <w:noProof/>
        </w:rPr>
        <w:t>Roteiro do espaço único europeu dos transportes – Rumo a um sistema de transportes competitivo e económico em recursos</w:t>
      </w:r>
      <w:r>
        <w:rPr>
          <w:rStyle w:val="FootnoteReference"/>
          <w:i/>
          <w:noProof/>
        </w:rPr>
        <w:footnoteReference w:id="3"/>
      </w:r>
      <w:r>
        <w:rPr>
          <w:noProof/>
        </w:rPr>
        <w:t xml:space="preserve">», definiu várias metas para um sistema de transportes competitivo e eficiente em termos de recursos. A prioridade tem sido, desde então, a realização de um espaço ferroviário europeu único: i) abolindo os entraves técnicos, administrativos e jurídicos que dificultam a entrada nos mercados dos transportes ferroviários nacionais; e ii) concluindo a rede ferroviária europeia de alta velocidade até 2050, altura em que a maioria das viagens de passageiros de média distância devem ser efetuadas por caminho-de-ferro.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Para além do apoio às necessidades políticas, os dados recolhidos ao abrigo do Regulamento (UE) 2018/643 são igualmente valiosos para as empresas de transportes, as universidades, os investigadores e criadores de modelos que trabalham no setor do transporte ferroviário.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Num questionário enviado em abril de 2020, os Estados-Membros especificaram os benefícios dos dados obtidos a partir das estatísticas ferroviárias. De acordo com as suas reações, os dados são utilizados: pelas autoridades nacionais; por institutos de investigação; pela própria indústria ferroviária, para efeitos de análise e planeamento; Instituições da UE; por organizações internacionais, como o Fórum Internacional de Transportes e a Comissão Económica das Nações Unidas para a Europa; e pelos decisores políticos, para o planeamento, a monitorização de objetivos e a tomada de decisões. Além disso, os Estados-Membros referiram que são necessários dados para: observar a evolução da atividade de transporte ferroviário através da monitorização a curto prazo (utilizando dados trimestrais) e da monitorização a longo prazo (utilizando dados anuais); realizar análises nacionais de tendências e estabelecer marcos de referência com outros países; e acompanhar a evolução da quota do transporte ferroviário no conjunto dos transportes europeus em comparação com outros modos de transporte (repartição modal). </w:t>
      </w:r>
    </w:p>
    <w:p>
      <w:pPr>
        <w:tabs>
          <w:tab w:val="left" w:pos="9781"/>
        </w:tabs>
        <w:spacing w:after="0" w:line="240" w:lineRule="auto"/>
        <w:ind w:left="992" w:right="975" w:hanging="11"/>
        <w:rPr>
          <w:noProof/>
          <w:color w:val="auto"/>
          <w:szCs w:val="24"/>
        </w:rPr>
      </w:pPr>
      <w:r>
        <w:rPr>
          <w:noProof/>
          <w:snapToGrid w:val="0"/>
          <w:szCs w:val="24"/>
        </w:rPr>
        <w:t>O Pacto Ecológico Europeu</w:t>
      </w:r>
      <w:r>
        <w:rPr>
          <w:rStyle w:val="FootnoteReference"/>
          <w:noProof/>
          <w:snapToGrid w:val="0"/>
          <w:szCs w:val="24"/>
        </w:rPr>
        <w:footnoteReference w:id="4"/>
      </w:r>
      <w:r>
        <w:rPr>
          <w:noProof/>
        </w:rPr>
        <w:t xml:space="preserve"> é a nova estratégia de crescimento </w:t>
      </w:r>
      <w:r>
        <w:rPr>
          <w:noProof/>
          <w:snapToGrid w:val="0"/>
          <w:szCs w:val="24"/>
        </w:rPr>
        <w:t>para tornar a economia da UE sustentável, transformando os desafios climáticos e ambientais em oportunidades em todos os domínios de intervenção política e proporcionando uma transição justa e inclusiva para todos</w:t>
      </w:r>
      <w:r>
        <w:rPr>
          <w:noProof/>
        </w:rPr>
        <w:t xml:space="preserve">. </w:t>
      </w:r>
      <w:r>
        <w:rPr>
          <w:noProof/>
          <w:szCs w:val="24"/>
        </w:rPr>
        <w:t>O Pacto Ecológico Europeu apela a uma redução de 90 % das emissões dos transportes até 2050, incluindo as seguintes ações prioritárias com vista a uma transição para uma mobilidade sustentável e inteligente:</w:t>
      </w:r>
      <w:r>
        <w:rPr>
          <w:noProof/>
          <w:color w:val="auto"/>
          <w:szCs w:val="24"/>
        </w:rPr>
        <w:t xml:space="preserve"> </w:t>
      </w:r>
    </w:p>
    <w:p>
      <w:pPr>
        <w:pStyle w:val="ListParagraph"/>
        <w:numPr>
          <w:ilvl w:val="1"/>
          <w:numId w:val="7"/>
        </w:numPr>
        <w:spacing w:before="80" w:after="0" w:line="240" w:lineRule="auto"/>
        <w:ind w:left="1434" w:right="975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impulsionar o transporte multimodal; </w:t>
      </w:r>
    </w:p>
    <w:p>
      <w:pPr>
        <w:pStyle w:val="ListParagraph"/>
        <w:numPr>
          <w:ilvl w:val="1"/>
          <w:numId w:val="7"/>
        </w:numPr>
        <w:spacing w:before="80" w:after="0" w:line="240" w:lineRule="auto"/>
        <w:ind w:left="1434" w:right="975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apoiar a mobilidade automatizada e conectada em todos os modos de transporte;</w:t>
      </w:r>
    </w:p>
    <w:p>
      <w:pPr>
        <w:pStyle w:val="ListParagraph"/>
        <w:numPr>
          <w:ilvl w:val="1"/>
          <w:numId w:val="7"/>
        </w:numPr>
        <w:spacing w:before="80" w:after="0" w:line="240" w:lineRule="auto"/>
        <w:ind w:left="1434" w:right="975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melhorar a gestão dos custos externos das atividades de transporte através da fixação de preços; </w:t>
      </w:r>
    </w:p>
    <w:p>
      <w:pPr>
        <w:pStyle w:val="ListParagraph"/>
        <w:numPr>
          <w:ilvl w:val="1"/>
          <w:numId w:val="7"/>
        </w:numPr>
        <w:spacing w:before="80" w:after="0" w:line="240" w:lineRule="auto"/>
        <w:ind w:left="1434" w:right="975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aumentar a produção e a utilização de combustíveis alternativos sustentáveis para os transportes; e ainda</w:t>
      </w:r>
    </w:p>
    <w:p>
      <w:pPr>
        <w:pStyle w:val="ListParagraph"/>
        <w:numPr>
          <w:ilvl w:val="1"/>
          <w:numId w:val="7"/>
        </w:numPr>
        <w:spacing w:before="80" w:after="0" w:line="240" w:lineRule="auto"/>
        <w:ind w:left="1434" w:right="975" w:hanging="357"/>
        <w:contextualSpacing w:val="0"/>
        <w:jc w:val="both"/>
        <w:rPr>
          <w:noProof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reduzir a poluição dos transportes, especialmente nas cidades.</w:t>
      </w:r>
    </w:p>
    <w:p>
      <w:pPr>
        <w:spacing w:before="120" w:after="120" w:line="240" w:lineRule="auto"/>
        <w:ind w:left="1077" w:right="975" w:firstLine="0"/>
        <w:rPr>
          <w:noProof/>
          <w:szCs w:val="24"/>
        </w:rPr>
      </w:pPr>
      <w:r>
        <w:rPr>
          <w:noProof/>
        </w:rPr>
        <w:t>Para acelerar esta transição, uma parte substancial do transporte rodoviário de mercadorias deverá deslocar-se para as vias-férreas e para as vias navegáveis interiores (atualmente, 75 % do transporte interno de mercadorias é efetuado por estrada).</w:t>
      </w:r>
    </w:p>
    <w:p>
      <w:pPr>
        <w:pStyle w:val="Heading2"/>
        <w:tabs>
          <w:tab w:val="center" w:pos="1144"/>
          <w:tab w:val="center" w:pos="4642"/>
        </w:tabs>
        <w:spacing w:before="280" w:after="200"/>
        <w:ind w:left="0" w:firstLine="0"/>
        <w:rPr>
          <w:noProof/>
        </w:rPr>
      </w:pPr>
      <w:r>
        <w:rPr>
          <w:noProof/>
        </w:rPr>
        <w:tab/>
      </w:r>
      <w:r>
        <w:rPr>
          <w:noProof/>
          <w:color w:val="auto"/>
          <w:sz w:val="24"/>
        </w:rPr>
        <w:t xml:space="preserve">1.4 </w:t>
      </w:r>
      <w:r>
        <w:rPr>
          <w:noProof/>
        </w:rPr>
        <w:tab/>
        <w:t>COBERTURA DOS ESTADOS-MEMBROS E OUTROS PAÍSES</w:t>
      </w:r>
      <w:r>
        <w:rPr>
          <w:b w:val="0"/>
          <w:noProof/>
          <w:sz w:val="24"/>
        </w:rPr>
        <w:t xml:space="preserve">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O Regulamento (UE) 2018/643 é diretamente aplicável, em todos os seus elementos, em todos os Estados-Membros.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Todos os Estados-Membros são obrigados a fornecer os dados previstos no regulamento, com exceção de Malta e Chipre, que não dispõem de infraestruturas ferroviárias e, por conseguinte, não exercem qualquer atividade de transporte ferroviário.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Os dados sobre o transporte ferroviário são também fornecidos por três países da Associação Europeia de Comércio Livre (EFTA) - Noruega, Suíça e Listenstaine. Três países candidatos (Montenegro, Macedónia do Norte e Turquia) e um país potencialmente candidato (Bósnia-Herzegovina) fornecem dados numa base voluntária.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>Em conformidade com o artigo 6.º do Regulamento (UE) 2018/643, os países transmitem ao Eurostat: i) estatísticas anuais detalhadas sobre transporte de mercadorias e de passageiros; ii) estatísticas trimestrais sobre transporte de mercadorias e de passageiros; iii) estatísticas regionais sobre transporte de mercadorias e de passageiros (quinquenalmente, para um período de referência de 1 ano); iv) estatísticas sobre fluxos de tráfego na rede ferroviária (quinquenalmente para um período de referência de 1 ano); e v) estatísticas anuais sobre o nível de atividade no transporte de mercadorias e de passageiros.</w:t>
      </w:r>
    </w:p>
    <w:p>
      <w:pPr>
        <w:spacing w:after="120" w:line="240" w:lineRule="auto"/>
        <w:ind w:left="992" w:right="975" w:hanging="11"/>
        <w:rPr>
          <w:noProof/>
          <w:szCs w:val="24"/>
        </w:rPr>
      </w:pPr>
      <w:r>
        <w:rPr>
          <w:noProof/>
        </w:rPr>
        <w:t>Desde 1 de fevereiro de 2020, data em que o Reino Unido deixou a União Europeia, o Eurostat acrescentou aos seus conjuntos de dados o novo agregado «União Europeia - 27 países (a partir de 2020)», que exclui o Reino Unido. Durante o período de transição até ao final de 2020, o Reino Unido continua a enviar dados ao Eurostat, que põe os dados à disposição dos utilizadores.</w:t>
      </w:r>
    </w:p>
    <w:p>
      <w:pPr>
        <w:tabs>
          <w:tab w:val="center" w:pos="1084"/>
          <w:tab w:val="left" w:pos="1843"/>
          <w:tab w:val="center" w:pos="5212"/>
        </w:tabs>
        <w:spacing w:before="360" w:after="240"/>
        <w:ind w:left="720" w:firstLine="0"/>
        <w:jc w:val="left"/>
        <w:rPr>
          <w:noProof/>
        </w:rPr>
      </w:pPr>
      <w:r>
        <w:rPr>
          <w:noProof/>
        </w:rPr>
        <w:tab/>
      </w:r>
      <w:r>
        <w:rPr>
          <w:b/>
          <w:noProof/>
        </w:rPr>
        <w:t xml:space="preserve">2. 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ACOMPANHAMENTO DA EXECUÇÃO DO REGULAMENTO</w:t>
      </w:r>
    </w:p>
    <w:p>
      <w:pPr>
        <w:pStyle w:val="Heading2"/>
        <w:tabs>
          <w:tab w:val="center" w:pos="1144"/>
          <w:tab w:val="center" w:pos="4095"/>
        </w:tabs>
        <w:spacing w:before="280" w:after="200"/>
        <w:ind w:left="0" w:firstLine="0"/>
        <w:rPr>
          <w:noProof/>
        </w:rPr>
      </w:pPr>
      <w:r>
        <w:rPr>
          <w:noProof/>
        </w:rPr>
        <w:tab/>
      </w:r>
      <w:r>
        <w:rPr>
          <w:noProof/>
          <w:sz w:val="24"/>
        </w:rPr>
        <w:t xml:space="preserve">2.1 </w:t>
      </w:r>
      <w:r>
        <w:rPr>
          <w:noProof/>
        </w:rPr>
        <w:tab/>
        <w:t>CUMPRIMENTO DAS OBRIGAÇÕES LEGAIS</w:t>
      </w:r>
      <w:r>
        <w:rPr>
          <w:b w:val="0"/>
          <w:noProof/>
          <w:sz w:val="24"/>
        </w:rPr>
        <w:t xml:space="preserve"> </w:t>
      </w:r>
    </w:p>
    <w:p>
      <w:pPr>
        <w:spacing w:after="0"/>
        <w:ind w:left="989" w:right="976"/>
        <w:rPr>
          <w:noProof/>
        </w:rPr>
      </w:pPr>
      <w:r>
        <w:rPr>
          <w:noProof/>
        </w:rPr>
        <w:t xml:space="preserve">Existe um excelente cumprimento das obrigações definidas no Regulamento (UE) 2018/643 em matéria de fornecimento de dados, sendo que todos os Estados-Membros fornecem os conjuntos de dados solicitados. Por vezes, podem ocorrer breves atrasos devido a alterações a nível nacional (por exemplo, alterações informáticas ou no mercado ferroviário). No entanto, estes atrasos nunca tiveram qualquer impacto na produção das estatísticas dos transportes ferroviários. Os países seguem a metodologia acordada, assegurando a produção de estatísticas fiáveis e de elevada qualidade sobre o transporte ferroviário de mercadorias e de passageiros na Europa. </w:t>
      </w:r>
    </w:p>
    <w:p>
      <w:pPr>
        <w:pStyle w:val="Heading2"/>
        <w:tabs>
          <w:tab w:val="center" w:pos="1144"/>
          <w:tab w:val="left" w:pos="1843"/>
          <w:tab w:val="center" w:pos="4605"/>
        </w:tabs>
        <w:spacing w:before="280" w:after="200"/>
        <w:ind w:left="0" w:firstLine="0"/>
        <w:rPr>
          <w:noProof/>
        </w:rPr>
      </w:pPr>
      <w:r>
        <w:rPr>
          <w:noProof/>
        </w:rPr>
        <w:tab/>
      </w:r>
      <w:r>
        <w:rPr>
          <w:noProof/>
          <w:sz w:val="24"/>
        </w:rPr>
        <w:t xml:space="preserve">2.2 </w:t>
      </w:r>
      <w:r>
        <w:rPr>
          <w:noProof/>
        </w:rPr>
        <w:tab/>
        <w:t>MÉTODOS DE RECOLHA DE DADOS UTILIZADOS NOS ESTADOS-MEMBROS</w:t>
      </w:r>
      <w:r>
        <w:rPr>
          <w:b w:val="0"/>
          <w:noProof/>
          <w:sz w:val="24"/>
        </w:rPr>
        <w:t xml:space="preserve"> </w:t>
      </w:r>
    </w:p>
    <w:p>
      <w:pPr>
        <w:spacing w:after="0"/>
        <w:ind w:left="989" w:right="976"/>
        <w:rPr>
          <w:noProof/>
        </w:rPr>
      </w:pPr>
      <w:r>
        <w:rPr>
          <w:noProof/>
        </w:rPr>
        <w:t>As empresas ferroviárias recolhem dados utilizando os métodos adotados por cada país e transmitem-nos às autoridades nacionais responsáveis pelo tratamento dos dados. O manual de referência do Eurostat sobre estatísticas dos transportes ferroviários (</w:t>
      </w:r>
      <w:r>
        <w:rPr>
          <w:i/>
          <w:noProof/>
        </w:rPr>
        <w:t>Reference Manual on Rail transport statistics</w:t>
      </w:r>
      <w:r>
        <w:rPr>
          <w:noProof/>
          <w:vertAlign w:val="superscript"/>
        </w:rPr>
        <w:footnoteReference w:id="5"/>
      </w:r>
      <w:r>
        <w:rPr>
          <w:noProof/>
        </w:rPr>
        <w:t xml:space="preserve">) inclui um capítulo dedicado às metodologias nacionais, com um subcapítulo sobre a compilação de dados e a gestão da qualidade. </w:t>
      </w:r>
    </w:p>
    <w:p>
      <w:pPr>
        <w:pStyle w:val="Heading2"/>
        <w:tabs>
          <w:tab w:val="center" w:pos="1144"/>
          <w:tab w:val="center" w:pos="4256"/>
        </w:tabs>
        <w:spacing w:before="280" w:after="200"/>
        <w:ind w:left="0" w:firstLine="0"/>
        <w:rPr>
          <w:noProof/>
        </w:rPr>
      </w:pPr>
      <w:r>
        <w:rPr>
          <w:noProof/>
        </w:rPr>
        <w:tab/>
      </w:r>
      <w:r>
        <w:rPr>
          <w:noProof/>
          <w:sz w:val="24"/>
        </w:rPr>
        <w:t xml:space="preserve">2.3 </w:t>
      </w:r>
      <w:r>
        <w:rPr>
          <w:noProof/>
        </w:rPr>
        <w:tab/>
        <w:t>ENCARGOS ADMINISTRATIVOS PARA OS ESTADOS-MEMBROS</w:t>
      </w:r>
      <w:r>
        <w:rPr>
          <w:b w:val="0"/>
          <w:noProof/>
          <w:sz w:val="24"/>
        </w:rPr>
        <w:t xml:space="preserve">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A redução dos encargos administrativos e a simplificação são preocupações permanentes do Eurostat. Com base nas reações dos Estados-Membros, o Eurostat, em cooperação com os institutos nacionais de estatística, implementa ações específicas para reduzir os encargos com a recolha e a comunicação de dados.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Na sequência de pedidos dos Estados-Membros, o Regulamento (CE) n.º 91/2003 foi alterado em 2016, a fim de reduzir e simplificar os encargos administrativos que lhes são aplicáveis. Foram alterados os seguintes anexos: </w:t>
      </w:r>
    </w:p>
    <w:p>
      <w:pPr>
        <w:numPr>
          <w:ilvl w:val="0"/>
          <w:numId w:val="2"/>
        </w:numPr>
        <w:spacing w:after="120"/>
        <w:ind w:right="976" w:hanging="283"/>
        <w:rPr>
          <w:noProof/>
        </w:rPr>
      </w:pPr>
      <w:r>
        <w:rPr>
          <w:noProof/>
        </w:rPr>
        <w:t xml:space="preserve">O anexo B - «Estatísticas anuais sobre transportes de mercadorias (declaração simplificada)» - foi suprimido; </w:t>
      </w:r>
    </w:p>
    <w:p>
      <w:pPr>
        <w:numPr>
          <w:ilvl w:val="0"/>
          <w:numId w:val="2"/>
        </w:numPr>
        <w:spacing w:after="120"/>
        <w:ind w:right="976" w:hanging="283"/>
        <w:rPr>
          <w:noProof/>
        </w:rPr>
      </w:pPr>
      <w:r>
        <w:rPr>
          <w:noProof/>
        </w:rPr>
        <w:t xml:space="preserve">O anexo C - «Estatísticas anuais sobre transporte de passageiros (declaração detalhada)» - foi simplificado com a supressão dos quadros C1 («Passageiros transportados, por tipo de transporte - dados provisórios, número de passageiros unicamente») e C2 («Passageiros internacionais transportados, por país de embarque e por país de desembarque - dados provisórios, número de passageiros unicamente»); </w:t>
      </w:r>
    </w:p>
    <w:p>
      <w:pPr>
        <w:numPr>
          <w:ilvl w:val="0"/>
          <w:numId w:val="2"/>
        </w:numPr>
        <w:spacing w:after="120"/>
        <w:ind w:right="976" w:hanging="283"/>
        <w:rPr>
          <w:noProof/>
        </w:rPr>
      </w:pPr>
      <w:r>
        <w:rPr>
          <w:noProof/>
        </w:rPr>
        <w:t xml:space="preserve">O anexo D - «Estatísticas anuais sobre transporte de passageiros (declaração simplificada)» - foi suprimido; </w:t>
      </w:r>
    </w:p>
    <w:p>
      <w:pPr>
        <w:numPr>
          <w:ilvl w:val="0"/>
          <w:numId w:val="2"/>
        </w:numPr>
        <w:spacing w:after="120"/>
        <w:ind w:right="976" w:hanging="283"/>
        <w:rPr>
          <w:noProof/>
        </w:rPr>
      </w:pPr>
      <w:r>
        <w:rPr>
          <w:noProof/>
        </w:rPr>
        <w:t>O anexo H - «Dados relativos a acidentes no transporte ferroviário» - foi suprimido. Até 2016, os Estados-Membros forneceram dados sobre acidentes ao Eurostat e à Agência Ferroviária da União Europeia. Desde 2016, esses dados são fornecidos apenas à Agência, a fim de reduzir os encargos para os Estados-Membros. Em seguida, a Agência envia os dados ao Eurostat para divulgação através da sua base de dados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; </w:t>
      </w:r>
    </w:p>
    <w:p>
      <w:pPr>
        <w:numPr>
          <w:ilvl w:val="0"/>
          <w:numId w:val="2"/>
        </w:numPr>
        <w:spacing w:after="120"/>
        <w:ind w:right="976" w:hanging="283"/>
        <w:rPr>
          <w:noProof/>
        </w:rPr>
      </w:pPr>
      <w:r>
        <w:rPr>
          <w:noProof/>
        </w:rPr>
        <w:t xml:space="preserve">O anexo I - «Lista de empresas (apresentação de relatórios sobre a lista de empresas)» - foi suprimido.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O Eurostat tem vindo a trabalhar no sentido de desenvolver procedimentos mais sólidos para a validação dos dados e os controlos de qualidade, que proporcionarão um retorno de informação rápido aos Estados-Membros numa fase muito precoce da transmissão dos dados.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De acordo com os contributos recolhidos no questionário enviado aos Estados-Membros em abril de 2020, o quadro definido pelo Regulamento (UE) 2018/643 é suficiente para satisfazer as necessidades dos utilizadores sem impor encargos excessivos aos respondentes. Os países consideram que os dados têm um valor significativo e que os encargos e custos conexos para os respondentes e os institutos de estatística na recolha desses dados se justificam em relação aos seus benefícios. Os Estados-Membros reconhecem que uma logística respeitadora do ambiente é inconcebível sem o transporte ferroviário, setor que necessita de ser modernizado e reforçado. Para apoiar este processo, são necessários dados pertinentes e fiáveis para definir e avaliar várias medidas. </w:t>
      </w:r>
    </w:p>
    <w:p>
      <w:pPr>
        <w:pStyle w:val="Heading2"/>
        <w:tabs>
          <w:tab w:val="center" w:pos="1144"/>
          <w:tab w:val="center" w:pos="5344"/>
        </w:tabs>
        <w:spacing w:before="280" w:after="200"/>
        <w:ind w:left="0" w:firstLine="0"/>
        <w:rPr>
          <w:noProof/>
        </w:rPr>
      </w:pPr>
      <w:r>
        <w:rPr>
          <w:noProof/>
        </w:rPr>
        <w:tab/>
      </w:r>
      <w:r>
        <w:rPr>
          <w:noProof/>
          <w:sz w:val="24"/>
        </w:rPr>
        <w:t xml:space="preserve">2.4 </w:t>
      </w:r>
      <w:r>
        <w:rPr>
          <w:noProof/>
        </w:rPr>
        <w:tab/>
        <w:t>VALIDAÇÃO DOS DADOS E QUALIDADE DOS DADOS ESTATÍSTICOS RECEBIDOS</w:t>
      </w:r>
      <w:r>
        <w:rPr>
          <w:b w:val="0"/>
          <w:noProof/>
          <w:sz w:val="24"/>
        </w:rPr>
        <w:t xml:space="preserve">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Embora os Estados-Membros sejam responsáveis pela qualidade das estatísticas dos transportes ferroviários, a Comissão toma todas as medidas necessárias para detetar erros nos dados que recebe. O Eurostat mantém um sistema informático fiável para a receção, validação e tratamento de dados e efetua vários tipos de controlos de dados. Quando são detetados erros, os países são convidados a enviar dados revistos.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Quanto às disposições técnicas relativas à transmissão de dados, foi atingido um nível elevado de normalização. Os países enviam dados ao Eurostat através do portal EDAMIS, respeitando a estrutura do ficheiro e o formato de registo solicitados. Um processo de validação, implementado pelo principal sistema informático, efetua uma deteção precoce de erros básicos e códigos errados, permitindo a rápida integração das informações na base de dados de produção do Eurostat. 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Uma vez introduzidos os dados na base de dados de produção do Eurostat, são efetuados controlos pormenorizados para garantir a qualidade dos dados enviados. Estes controlos de qualidade analisam a coerência dos quadros de declaração de cada país, a coerência desses quadros ao longo do tempo e a coerência entre diferentes tipos de quadros, e comparam os resultados entre os países declarantes parceiros (verificações-espelho).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>De um modo geral, a qualidade dos dados é considerada boa. No entanto, são ainda necessários esforços para reduzir as assimetrias evidenciadas pelas verificações-espelho, embora algumas dessas assimetrias se devam a diferenças nas metodologias nacionais e não possam ser facilmente eliminadas. A comunicação de dados relativos ao trânsito deve também ser melhorada através da harmonização dos métodos de recolha de dados nos países declarantes.</w:t>
      </w:r>
    </w:p>
    <w:p>
      <w:pPr>
        <w:pStyle w:val="Heading2"/>
        <w:tabs>
          <w:tab w:val="center" w:pos="1144"/>
          <w:tab w:val="center" w:pos="4341"/>
        </w:tabs>
        <w:spacing w:before="280" w:after="200"/>
        <w:ind w:left="0" w:firstLine="0"/>
        <w:rPr>
          <w:noProof/>
        </w:rPr>
      </w:pPr>
      <w:r>
        <w:rPr>
          <w:noProof/>
        </w:rPr>
        <w:tab/>
      </w:r>
      <w:r>
        <w:rPr>
          <w:noProof/>
          <w:sz w:val="24"/>
        </w:rPr>
        <w:t xml:space="preserve">2.5 </w:t>
      </w:r>
      <w:r>
        <w:rPr>
          <w:noProof/>
        </w:rPr>
        <w:tab/>
        <w:t>APOIO METODOLÓGICO AOS ESTADOS-MEMBROS</w:t>
      </w:r>
      <w:r>
        <w:rPr>
          <w:b w:val="0"/>
          <w:noProof/>
          <w:sz w:val="24"/>
        </w:rPr>
        <w:t xml:space="preserve">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O Eurostat presta apoio metodológico e técnico constante aos países declarantes para a aplicação do Regulamento (UE) 2018/643.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No âmbito deste apoio, o Eurostat organiza visitas aos países para debater questões pouco claras. Além disso, de dois em dois anos, o Eurostat organiza uma reunião de peritos nacionais (Grupo de peritos em estatísticas dos transportes ferroviários) de todos os Estados-Membros, países da EFTA, países candidatos e potenciais candidatos, a fim de trocar boas práticas e debater a qualidade dos dados, as questões metodológicas e os novos projetos. A aplicação do regulamento é também um ponto regular da ordem de trabalhos nas reuniões do Grupo de Coordenação das Estatísticas dos Transportes.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>O manual de referência sobre estatísticas dos transportes ferroviários (</w:t>
      </w:r>
      <w:r>
        <w:rPr>
          <w:i/>
          <w:noProof/>
        </w:rPr>
        <w:t>Reference Manual on Rail transport statistics</w:t>
      </w:r>
      <w:r>
        <w:rPr>
          <w:noProof/>
        </w:rPr>
        <w:t xml:space="preserve">) fornece orientações aos Estados-Membros sobre a aplicação do regulamento. O manual de referência é atualizado regularmente (sobretudo numa base anual) a fim de incluir as informações, a documentação e as orientações mais recentes relevantes para a recolha de estatísticas sobre transportes ferroviários. 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>Em 2019, o Eurostat, em estreita cooperação com a Comissão Económica das Nações Unidas para a Europa e o Fórum Internacional de Transportes, copublicou a quinta edição do glossário para estatísticas dos transportes (</w:t>
      </w:r>
      <w:r>
        <w:rPr>
          <w:i/>
          <w:noProof/>
        </w:rPr>
        <w:t>Glossary for transport statistics</w:t>
      </w:r>
      <w:r>
        <w:rPr>
          <w:noProof/>
        </w:rPr>
        <w:t xml:space="preserve">), que inclui uma secção atualizada e melhorada sobre o transporte ferroviário. O glossário visa harmonizar as definições das estatísticas dos transportes a nível europeu e internacional.  </w:t>
      </w:r>
    </w:p>
    <w:p>
      <w:pPr>
        <w:pStyle w:val="Heading2"/>
        <w:tabs>
          <w:tab w:val="center" w:pos="1144"/>
          <w:tab w:val="center" w:pos="2937"/>
        </w:tabs>
        <w:spacing w:before="280" w:after="200"/>
        <w:ind w:left="0" w:firstLine="0"/>
        <w:rPr>
          <w:noProof/>
        </w:rPr>
      </w:pPr>
      <w:r>
        <w:rPr>
          <w:noProof/>
        </w:rPr>
        <w:tab/>
      </w:r>
      <w:r>
        <w:rPr>
          <w:noProof/>
          <w:sz w:val="24"/>
        </w:rPr>
        <w:t xml:space="preserve">2.6 </w:t>
      </w:r>
      <w:r>
        <w:rPr>
          <w:noProof/>
        </w:rPr>
        <w:tab/>
        <w:t>DIVULGAÇÃO DOS DADOS</w:t>
      </w:r>
      <w:r>
        <w:rPr>
          <w:noProof/>
          <w:sz w:val="24"/>
        </w:rPr>
        <w:t xml:space="preserve">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O Eurostat divulga os dados recolhidos ao abrigo do Regulamento (UE) 2018/643 através da sua base de dados de divulgação, que é de acesso livre a partir do sítio Web do Eurostat. Existem 26 quadros sobre o transporte ferroviário, que são atualizados regularmente e complementados por ficheiros de metadados detalhados. </w:t>
      </w:r>
    </w:p>
    <w:p>
      <w:pPr>
        <w:spacing w:after="0"/>
        <w:ind w:left="989" w:right="976"/>
        <w:rPr>
          <w:noProof/>
        </w:rPr>
      </w:pPr>
      <w:r>
        <w:rPr>
          <w:noProof/>
        </w:rPr>
        <w:t>O Eurostat também produz os artigos «</w:t>
      </w:r>
      <w:r>
        <w:rPr>
          <w:i/>
          <w:iCs/>
          <w:noProof/>
        </w:rPr>
        <w:t>Statistics Explained</w:t>
      </w:r>
      <w:r>
        <w:rPr>
          <w:noProof/>
        </w:rPr>
        <w:t>» (Estatísticas explicadas), que proporcionam uma análise dos dados destinada aos meios de comunicação e ao público em geral</w:t>
      </w:r>
      <w:r>
        <w:rPr>
          <w:noProof/>
          <w:vertAlign w:val="superscript"/>
        </w:rPr>
        <w:footnoteReference w:id="7"/>
      </w:r>
      <w:r>
        <w:rPr>
          <w:noProof/>
        </w:rPr>
        <w:t xml:space="preserve">. Os dados são divulgados igualmente através de extrações de dados personalizadas para utilizadores e decisores políticos, bem como de artigos e publicações do Eurostat (por exemplo, a publicação estatística </w:t>
      </w:r>
      <w:r>
        <w:rPr>
          <w:i/>
          <w:noProof/>
        </w:rPr>
        <w:t>Energy, transport and environment statistics</w:t>
      </w:r>
      <w:r>
        <w:rPr>
          <w:noProof/>
          <w:vertAlign w:val="superscript"/>
        </w:rPr>
        <w:footnoteReference w:id="8"/>
      </w:r>
      <w:r>
        <w:rPr>
          <w:noProof/>
        </w:rPr>
        <w:t xml:space="preserve"> - Estatísticas sobre energia, transportes e ambiente). </w:t>
      </w:r>
    </w:p>
    <w:p>
      <w:pPr>
        <w:tabs>
          <w:tab w:val="center" w:pos="1084"/>
          <w:tab w:val="left" w:pos="1276"/>
          <w:tab w:val="left" w:pos="1843"/>
          <w:tab w:val="center" w:pos="5437"/>
        </w:tabs>
        <w:spacing w:before="360" w:after="240"/>
        <w:ind w:left="0" w:firstLine="0"/>
        <w:jc w:val="left"/>
        <w:rPr>
          <w:noProof/>
        </w:rPr>
      </w:pPr>
      <w:r>
        <w:rPr>
          <w:noProof/>
        </w:rPr>
        <w:tab/>
      </w:r>
      <w:r>
        <w:rPr>
          <w:b/>
          <w:noProof/>
        </w:rPr>
        <w:t>3.</w:t>
      </w:r>
      <w:r>
        <w:rPr>
          <w:noProof/>
        </w:rPr>
        <w:tab/>
      </w:r>
      <w:r>
        <w:rPr>
          <w:b/>
          <w:noProof/>
        </w:rPr>
        <w:t xml:space="preserve">EVOLUÇÃO FUTURA DAS ESTATÍSTICAS DO TRANSPORTE FERROVIÁRIO </w:t>
      </w:r>
    </w:p>
    <w:p>
      <w:pPr>
        <w:spacing w:after="120"/>
        <w:ind w:left="989" w:right="976"/>
        <w:rPr>
          <w:noProof/>
          <w:sz w:val="23"/>
          <w:szCs w:val="23"/>
        </w:rPr>
      </w:pPr>
      <w:r>
        <w:rPr>
          <w:noProof/>
          <w:snapToGrid w:val="0"/>
        </w:rPr>
        <w:t xml:space="preserve">O Pacto Ecológico Europeu anunciou um conjunto de políticas transformadoras em todos os setores económicos, incluindo os transportes. </w:t>
      </w:r>
      <w:r>
        <w:rPr>
          <w:noProof/>
        </w:rPr>
        <w:t>As estatísticas sobre o transporte ferroviário de mercadorias e passageiros podem ajudar a definir e monitorizar objetivos políticos, fornecendo dados sobre os volumes de mercadorias transportadas, o número de passageiros, os quilómetros percorridos, assim como sobre o equipamento e as infraestruturas. Essas informações são recolhidas ao abrigo do Regulamento (UE) 2018/643 e a partir de questionários com caráter voluntário.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>A confidencialidade dos dados em alguns países limita o potencial de recolha destas informações ao abrigo do Regulamento (UE) 2018/643. O Eurostat, juntamente com os Estados-Membros, investigará se e de que forma as restrições impostas pela confidencialidade dos dados podem ser atenuadas.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Para ter uma cobertura mais ampla das estatísticas dos transportes ferroviários, o Eurostat assinou um acordo administrativo com a Agência Ferroviária da União Europeia para receber e publicar dados sobre: </w:t>
      </w:r>
    </w:p>
    <w:p>
      <w:pPr>
        <w:numPr>
          <w:ilvl w:val="0"/>
          <w:numId w:val="3"/>
        </w:numPr>
        <w:spacing w:after="120"/>
        <w:ind w:right="976" w:hanging="353"/>
        <w:rPr>
          <w:noProof/>
        </w:rPr>
      </w:pPr>
      <w:r>
        <w:rPr>
          <w:noProof/>
        </w:rPr>
        <w:t xml:space="preserve">a extensão das linhas e vias equipadas com o Sistema Europeu de Gestão do Tráfego Ferroviário (ERTMS); </w:t>
      </w:r>
    </w:p>
    <w:p>
      <w:pPr>
        <w:numPr>
          <w:ilvl w:val="0"/>
          <w:numId w:val="3"/>
        </w:numPr>
        <w:spacing w:after="120"/>
        <w:ind w:right="976" w:hanging="353"/>
        <w:rPr>
          <w:noProof/>
        </w:rPr>
      </w:pPr>
      <w:r>
        <w:rPr>
          <w:noProof/>
        </w:rPr>
        <w:t xml:space="preserve">o número de estações ferroviárias equipadas com instalações para pessoas com mobilidade reduzida.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Os primeiros dados, publicados no terceiro trimestre de 2020, dizem respeito à extensão das linhas equipadas com o ERTMS.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Além disso, o Eurostat está a desenvolver uma matriz de distâncias ferroviárias para ajudar a calcular os indicadores de repartição modal por classe de distância sem impor encargos adicionais aos países declarantes. A matriz de distâncias para a ferrovia baseia-se no nível NUTS 2 da nomenclatura das regiões, de modo a corresponder à recolha de dados regionais para o transporte ferroviário no âmbito do anexo IV do Regulamento (UE) 2018/643. O desenvolvimento da matriz de distâncias dependerá da melhoria das redes geográficas. A sua aplicação dependerá principalmente da disponibilidade e da qualidade dos dados ferroviários a nível regional.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A cobertura geográfica das estatísticas dos transportes ferroviários poderia ser alargada no caso de futuros alargamentos da UE e participação voluntária de outros países e/ou organizações internacionais através de acordos de cooperação. </w:t>
      </w:r>
    </w:p>
    <w:p>
      <w:pPr>
        <w:spacing w:after="0"/>
        <w:ind w:left="989" w:right="976"/>
        <w:rPr>
          <w:noProof/>
        </w:rPr>
      </w:pPr>
      <w:r>
        <w:rPr>
          <w:noProof/>
        </w:rPr>
        <w:t xml:space="preserve">De acordo com o questionário enviado em abril de 2020, os Estados-Membros não veem necessidade de alterar ou melhorar o Regulamento (UE) 2018/643. Não foram identificadas novas necessidades dos utilizadores. No entanto, as novas iniciativas políticas nacionais, europeias e internacionais em matéria de sustentabilidade e de transformação dos sistemas de transporte podem criar novas necessidades em matéria de dados. Uma vez identificadas tais necessidades, terão de ser avaliadas e debatidas em tempo útil no âmbito do Grupo de peritos em estatísticas dos transportes ferroviários. </w:t>
      </w:r>
    </w:p>
    <w:p>
      <w:pPr>
        <w:tabs>
          <w:tab w:val="center" w:pos="1084"/>
          <w:tab w:val="left" w:pos="1843"/>
          <w:tab w:val="center" w:pos="2726"/>
        </w:tabs>
        <w:spacing w:before="360" w:after="240"/>
        <w:ind w:left="0" w:firstLine="0"/>
        <w:jc w:val="left"/>
        <w:rPr>
          <w:noProof/>
        </w:rPr>
      </w:pPr>
      <w:r>
        <w:rPr>
          <w:noProof/>
        </w:rPr>
        <w:tab/>
      </w:r>
      <w:r>
        <w:rPr>
          <w:b/>
          <w:noProof/>
        </w:rPr>
        <w:t xml:space="preserve">4. </w:t>
      </w:r>
      <w:r>
        <w:rPr>
          <w:noProof/>
        </w:rPr>
        <w:tab/>
      </w:r>
      <w:r>
        <w:rPr>
          <w:b/>
          <w:noProof/>
        </w:rPr>
        <w:t xml:space="preserve">CONCLUSÕES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O Regulamento (UE) 2018/643 foi implementado com êxito e os resultados são considerados positivos. Um mecanismo bem estabelecido no Eurostat e a nível nacional permite produzir estatísticas comparáveis e de elevada qualidade.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 xml:space="preserve">O Eurostat está a envidar todos os esforços para ajudar os Estados-Membros a implementar o regulamento e a produzir estatísticas de elevada qualidade. Desenvolveu um sistema informático e introduziu métodos de comunicação com vista a minimizar os encargos de gestão dos dados para os países declarantes. O Eurostat tem também fornecido orientações sobre a forma de melhorar a qualidade dos dados e reduzir os encargos de recolha e comunicação de dados. </w:t>
      </w:r>
    </w:p>
    <w:p>
      <w:pPr>
        <w:spacing w:after="120"/>
        <w:ind w:left="989" w:right="976"/>
        <w:rPr>
          <w:noProof/>
        </w:rPr>
      </w:pPr>
      <w:r>
        <w:rPr>
          <w:noProof/>
        </w:rPr>
        <w:t>As estatísticas dos transportes ferroviários têm uma aplicação imediata no desenvolvimento, na implementação e monitorização das políticas a nível nacional e europeu. Para além dos decisores políticos, várias organizações e outros utilizadores, enquanto investigadores e analistas, mostraram interesse pelos dados, e o Eurostat garante que estas estatísticas ferroviárias continuam a ter grande visibilidade graças à sua divulgação através múltiplos canais.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424" w:bottom="568" w:left="566" w:header="720" w:footer="3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880070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>
        <w:pPr>
          <w:pStyle w:val="Footer"/>
          <w:ind w:left="3022" w:firstLine="2018"/>
        </w:pPr>
        <w:r>
          <w:ptab w:relativeTo="margin" w:alignment="left" w:leader="none"/>
        </w: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noProof/>
            <w:sz w:val="22"/>
          </w:rPr>
          <w:t>7</w:t>
        </w:r>
        <w:r>
          <w:rPr>
            <w:sz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2725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ind w:left="10"/>
          <w:jc w:val="center"/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>
          <w:rPr>
            <w:sz w:val="22"/>
          </w:rPr>
          <w:fldChar w:fldCharType="end"/>
        </w:r>
      </w:p>
    </w:sdtContent>
  </w:sdt>
  <w:p>
    <w:pPr>
      <w:pStyle w:val="FooterCoverPage"/>
      <w:tabs>
        <w:tab w:val="clear" w:pos="9921"/>
      </w:tabs>
      <w:spacing w:before="0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28" w:line="259" w:lineRule="auto"/>
        <w:ind w:left="994" w:firstLine="0"/>
        <w:jc w:val="left"/>
      </w:pPr>
      <w:r>
        <w:separator/>
      </w:r>
    </w:p>
  </w:footnote>
  <w:footnote w:type="continuationSeparator" w:id="0">
    <w:p>
      <w:pPr>
        <w:spacing w:after="28" w:line="259" w:lineRule="auto"/>
        <w:ind w:left="994" w:firstLine="0"/>
        <w:jc w:val="left"/>
      </w:pPr>
      <w:r>
        <w:continuationSeparator/>
      </w:r>
    </w:p>
  </w:footnote>
  <w:footnote w:id="1">
    <w:p>
      <w:pPr>
        <w:pStyle w:val="footnotedescription"/>
        <w:spacing w:after="28"/>
      </w:pPr>
      <w:r>
        <w:rPr>
          <w:rStyle w:val="footnotemark"/>
          <w:u w:val="none"/>
        </w:rPr>
        <w:footnoteRef/>
      </w:r>
      <w:r>
        <w:rPr>
          <w:u w:val="none"/>
        </w:rPr>
        <w:t xml:space="preserve"> </w:t>
      </w:r>
      <w:r>
        <w:rPr>
          <w:color w:val="000000"/>
          <w:u w:val="none" w:color="000000"/>
        </w:rPr>
        <w:t xml:space="preserve">JO L 112 de 2.5.2018, p. 1. </w:t>
      </w:r>
    </w:p>
  </w:footnote>
  <w:footnote w:id="2">
    <w:p>
      <w:pPr>
        <w:pStyle w:val="footnotedescription"/>
        <w:spacing w:line="260" w:lineRule="auto"/>
        <w:ind w:right="1219"/>
        <w:rPr>
          <w:rFonts w:ascii="Calibri" w:eastAsia="Calibri" w:hAnsi="Calibri" w:cs="Calibri"/>
          <w:color w:val="000000"/>
          <w:sz w:val="24"/>
          <w:u w:val="none" w:color="000000"/>
        </w:rPr>
      </w:pPr>
      <w:r>
        <w:rPr>
          <w:rStyle w:val="footnotemark"/>
          <w:u w:val="none"/>
        </w:rPr>
        <w:footnoteRef/>
      </w:r>
      <w:r>
        <w:rPr>
          <w:u w:val="none"/>
        </w:rPr>
        <w:t xml:space="preserve"> </w:t>
      </w:r>
      <w:r>
        <w:rPr>
          <w:color w:val="000000"/>
          <w:u w:val="none" w:color="000000"/>
        </w:rPr>
        <w:t xml:space="preserve">Regulamento (CE) n.º 91/2003 do Parlamento Europeu e do Conselho, de 16 de dezembro de 2002, relativo às estatísticas dos transportes ferroviários (JO L 14 de 21.1.2003, p. 1). </w:t>
      </w:r>
    </w:p>
  </w:footnote>
  <w:footnote w:id="3">
    <w:p>
      <w:pPr>
        <w:pStyle w:val="FootnoteText"/>
        <w:ind w:firstLine="273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u w:color="000000"/>
        </w:rPr>
        <w:t>COM(2011) 144 final.</w:t>
      </w:r>
    </w:p>
  </w:footnote>
  <w:footnote w:id="4">
    <w:p>
      <w:pPr>
        <w:pStyle w:val="FootnoteText"/>
        <w:ind w:firstLine="273"/>
      </w:pPr>
      <w:r>
        <w:rPr>
          <w:rStyle w:val="FootnoteReference"/>
        </w:rPr>
        <w:footnoteRef/>
      </w:r>
      <w:r>
        <w:t xml:space="preserve"> COM(2019) 640 final.</w:t>
      </w:r>
    </w:p>
  </w:footnote>
  <w:footnote w:id="5">
    <w:p>
      <w:pPr>
        <w:pStyle w:val="footnotedescription"/>
        <w:spacing w:line="272" w:lineRule="auto"/>
        <w:ind w:right="1002"/>
        <w:jc w:val="both"/>
        <w:rPr>
          <w:color w:val="000000"/>
          <w:u w:val="none" w:color="000000"/>
        </w:rPr>
      </w:pPr>
      <w:r>
        <w:rPr>
          <w:rStyle w:val="footnotemark"/>
        </w:rPr>
        <w:footnoteRef/>
      </w:r>
      <w:r>
        <w:t xml:space="preserve"> </w:t>
      </w:r>
      <w:hyperlink r:id="rId1">
        <w:r>
          <w:t xml:space="preserve">https://ec.europa.eu/eurostat/documents/29567/3217334/Reference+manual+on+Rail+Transport+Statistics+ </w:t>
        </w:r>
      </w:hyperlink>
      <w:hyperlink r:id="rId2">
        <w:r>
          <w:t>%28Version+8.01%29/ed767b61</w:t>
        </w:r>
      </w:hyperlink>
      <w:hyperlink r:id="rId3">
        <w:r>
          <w:t>-</w:t>
        </w:r>
      </w:hyperlink>
      <w:hyperlink r:id="rId4">
        <w:r>
          <w:t>7fca</w:t>
        </w:r>
      </w:hyperlink>
      <w:hyperlink r:id="rId5">
        <w:r>
          <w:t>-</w:t>
        </w:r>
      </w:hyperlink>
      <w:hyperlink r:id="rId6">
        <w:r>
          <w:t>470a</w:t>
        </w:r>
      </w:hyperlink>
      <w:hyperlink r:id="rId7">
        <w:r>
          <w:t>-</w:t>
        </w:r>
      </w:hyperlink>
      <w:hyperlink r:id="rId8">
        <w:r>
          <w:t>a9e2</w:t>
        </w:r>
      </w:hyperlink>
      <w:hyperlink r:id="rId9">
        <w:r>
          <w:t>-</w:t>
        </w:r>
      </w:hyperlink>
      <w:hyperlink r:id="rId10">
        <w:r>
          <w:t>582e4aabedcb</w:t>
        </w:r>
      </w:hyperlink>
      <w:r>
        <w:rPr>
          <w:color w:val="auto"/>
          <w:u w:val="none"/>
        </w:rPr>
        <w:t xml:space="preserve"> (Disponível apenas em inglês).</w:t>
      </w:r>
      <w:r>
        <w:rPr>
          <w:color w:val="000000"/>
          <w:u w:val="none" w:color="000000"/>
        </w:rPr>
        <w:t xml:space="preserve"> </w:t>
      </w:r>
    </w:p>
  </w:footnote>
  <w:footnote w:id="6">
    <w:p>
      <w:pPr>
        <w:pStyle w:val="FootnoteText"/>
        <w:ind w:firstLine="273"/>
        <w:rPr>
          <w:color w:val="0000FF"/>
          <w:szCs w:val="22"/>
          <w:u w:val="single" w:color="0000FF"/>
        </w:rPr>
      </w:pPr>
      <w:r>
        <w:rPr>
          <w:rStyle w:val="FootnoteReference"/>
        </w:rPr>
        <w:footnoteRef/>
      </w:r>
      <w:r>
        <w:t xml:space="preserve"> </w:t>
      </w:r>
      <w:hyperlink r:id="rId11">
        <w:r>
          <w:rPr>
            <w:color w:val="0000FF"/>
            <w:szCs w:val="22"/>
            <w:u w:val="single" w:color="0000FF"/>
          </w:rPr>
          <w:t>https://ec.europa.eu/eurostat/data/database</w:t>
        </w:r>
      </w:hyperlink>
      <w:r>
        <w:t xml:space="preserve"> (Disponível em inglês, francês e alemão). </w:t>
      </w:r>
    </w:p>
  </w:footnote>
  <w:footnote w:id="7">
    <w:p>
      <w:pPr>
        <w:pStyle w:val="footnotedescription"/>
        <w:ind w:left="982"/>
      </w:pPr>
      <w:r>
        <w:rPr>
          <w:rStyle w:val="footnotemark"/>
        </w:rPr>
        <w:footnoteRef/>
      </w:r>
      <w:r>
        <w:t xml:space="preserve"> </w:t>
      </w:r>
      <w:hyperlink r:id="rId12">
        <w:r>
          <w:t>https://ec.europa.eu/eurostat/statistics</w:t>
        </w:r>
      </w:hyperlink>
      <w:hyperlink r:id="rId13">
        <w:r>
          <w:t>-</w:t>
        </w:r>
      </w:hyperlink>
      <w:hyperlink r:id="rId14">
        <w:r>
          <w:t>explained/index.php?title=Category:Rail</w:t>
        </w:r>
      </w:hyperlink>
      <w:hyperlink r:id="rId15">
        <w:r>
          <w:rPr>
            <w:color w:val="auto"/>
            <w:u w:val="none"/>
          </w:rPr>
          <w:t xml:space="preserve"> </w:t>
        </w:r>
      </w:hyperlink>
      <w:r>
        <w:rPr>
          <w:color w:val="auto"/>
          <w:u w:val="none"/>
        </w:rPr>
        <w:t>(Disponível apenas em inglês).</w:t>
      </w:r>
      <w:r>
        <w:rPr>
          <w:color w:val="auto"/>
          <w:u w:val="none" w:color="000000"/>
        </w:rPr>
        <w:t xml:space="preserve"> </w:t>
      </w:r>
    </w:p>
  </w:footnote>
  <w:footnote w:id="8">
    <w:p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hyperlink r:id="rId16">
        <w:r>
          <w:t>https://ec.europa.eu/eurostat/web/products</w:t>
        </w:r>
      </w:hyperlink>
      <w:hyperlink r:id="rId17">
        <w:r>
          <w:t>-</w:t>
        </w:r>
      </w:hyperlink>
      <w:hyperlink r:id="rId18">
        <w:r>
          <w:t>statistical</w:t>
        </w:r>
      </w:hyperlink>
      <w:hyperlink r:id="rId19">
        <w:r>
          <w:t>-</w:t>
        </w:r>
      </w:hyperlink>
      <w:hyperlink r:id="rId20">
        <w:r>
          <w:t>books/</w:t>
        </w:r>
      </w:hyperlink>
      <w:hyperlink r:id="rId21">
        <w:r>
          <w:t>-</w:t>
        </w:r>
      </w:hyperlink>
      <w:hyperlink r:id="rId22">
        <w:r>
          <w:t>/KS</w:t>
        </w:r>
      </w:hyperlink>
      <w:hyperlink r:id="rId23">
        <w:r>
          <w:t>-</w:t>
        </w:r>
      </w:hyperlink>
      <w:hyperlink r:id="rId24">
        <w:r>
          <w:t>DK</w:t>
        </w:r>
      </w:hyperlink>
      <w:hyperlink r:id="rId25">
        <w:r>
          <w:t>-</w:t>
        </w:r>
      </w:hyperlink>
      <w:hyperlink r:id="rId26">
        <w:r>
          <w:t>19</w:t>
        </w:r>
      </w:hyperlink>
      <w:hyperlink r:id="rId27">
        <w:r>
          <w:t>-</w:t>
        </w:r>
      </w:hyperlink>
      <w:hyperlink r:id="rId28">
        <w:r>
          <w:t>001</w:t>
        </w:r>
      </w:hyperlink>
      <w:hyperlink r:id="rId29">
        <w:r>
          <w:rPr>
            <w:color w:val="auto"/>
            <w:u w:val="none"/>
          </w:rPr>
          <w:t xml:space="preserve"> </w:t>
        </w:r>
      </w:hyperlink>
      <w:r>
        <w:rPr>
          <w:color w:val="auto"/>
          <w:u w:val="none"/>
        </w:rPr>
        <w:t xml:space="preserve">(Disponível apenas em inglês).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6CF"/>
    <w:multiLevelType w:val="hybridMultilevel"/>
    <w:tmpl w:val="6D66841A"/>
    <w:lvl w:ilvl="0" w:tplc="CDF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DF02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1C8"/>
    <w:multiLevelType w:val="hybridMultilevel"/>
    <w:tmpl w:val="68DE8D90"/>
    <w:lvl w:ilvl="0" w:tplc="70B8DA96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0283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42E5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4B18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C45D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A446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8CC9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AF60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A34E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BF59C1"/>
    <w:multiLevelType w:val="hybridMultilevel"/>
    <w:tmpl w:val="2DD463E2"/>
    <w:lvl w:ilvl="0" w:tplc="CDF02B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B20D9C"/>
    <w:multiLevelType w:val="hybridMultilevel"/>
    <w:tmpl w:val="968E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57CFF"/>
    <w:multiLevelType w:val="hybridMultilevel"/>
    <w:tmpl w:val="3A9862F0"/>
    <w:lvl w:ilvl="0" w:tplc="ED929D5C">
      <w:start w:val="1"/>
      <w:numFmt w:val="lowerRoman"/>
      <w:lvlText w:val="(%1)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8E6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07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2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88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2F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6B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29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C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7E056B"/>
    <w:multiLevelType w:val="hybridMultilevel"/>
    <w:tmpl w:val="0816B52C"/>
    <w:lvl w:ilvl="0" w:tplc="CDF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21E0D"/>
    <w:multiLevelType w:val="hybridMultilevel"/>
    <w:tmpl w:val="41CE0A5E"/>
    <w:lvl w:ilvl="0" w:tplc="0728FA0C">
      <w:start w:val="1"/>
      <w:numFmt w:val="decimal"/>
      <w:lvlText w:val="(%1)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E3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A2B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65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029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8F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AE9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63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0F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C4253480-AC5C-4F26-96E3-C9692C02A097"/>
    <w:docVar w:name="LW_COVERPAGE_TYPE" w:val="1"/>
    <w:docVar w:name="LW_CROSSREFERENCE" w:val="&lt;UNUSED&gt;"/>
    <w:docVar w:name="LW_DocType" w:val="NORMAL"/>
    <w:docVar w:name="LW_EMISSION" w:val="18.12.2020"/>
    <w:docVar w:name="LW_EMISSION_ISODATE" w:val="2020-12-18"/>
    <w:docVar w:name="LW_EMISSION_LOCATION" w:val="BRX"/>
    <w:docVar w:name="LW_EMISSION_PREFIX" w:val="Bruxelas, "/>
    <w:docVar w:name="LW_EMISSION_SUFFIX" w:val=" "/>
    <w:docVar w:name="LW_ID_DOCTYPE_NONLW" w:val="CP-006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8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sobre a aplicação do Regulamento (UE) 2018/643 relativo às estatísticas dos transportes ferroviários_x000d__x000d__x000d__x000d__x000d__x000d__x000b_"/>
    <w:docVar w:name="LW_TYPE.DOC.CP" w:val="RELATÓRIO DA COMISSÃO AO PARLAMENTO EUROPEU E A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1" w:line="249" w:lineRule="auto"/>
      <w:ind w:left="249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6"/>
      <w:ind w:left="1004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994"/>
    </w:pPr>
    <w:rPr>
      <w:rFonts w:ascii="Times New Roman" w:eastAsia="Times New Roman" w:hAnsi="Times New Roman" w:cs="Times New Roman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FF"/>
      <w:sz w:val="20"/>
      <w:u w:val="single" w:color="0000FF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  <w:ind w:left="720" w:hanging="720"/>
    </w:pPr>
    <w:rPr>
      <w:color w:val="auto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 w:firstLine="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ind w:left="0" w:firstLine="0"/>
    </w:pPr>
    <w:rPr>
      <w:rFonts w:eastAsiaTheme="minorHAnsi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 w:firstLine="0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ind w:left="0" w:firstLin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 w:firstLine="0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ind w:left="0" w:firstLin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SecurityMarking">
    <w:name w:val="SecurityMarking"/>
    <w:basedOn w:val="Normal"/>
    <w:pPr>
      <w:spacing w:after="0" w:line="276" w:lineRule="auto"/>
      <w:ind w:left="5103" w:firstLine="0"/>
      <w:jc w:val="left"/>
    </w:pPr>
    <w:rPr>
      <w:rFonts w:eastAsiaTheme="minorHAnsi"/>
      <w:color w:val="auto"/>
      <w:sz w:val="28"/>
      <w:lang w:eastAsia="en-US"/>
    </w:rPr>
  </w:style>
  <w:style w:type="paragraph" w:customStyle="1" w:styleId="DateMarking">
    <w:name w:val="DateMarking"/>
    <w:basedOn w:val="Normal"/>
    <w:pPr>
      <w:spacing w:after="0" w:line="276" w:lineRule="auto"/>
      <w:ind w:left="5103" w:firstLine="0"/>
      <w:jc w:val="left"/>
    </w:pPr>
    <w:rPr>
      <w:rFonts w:eastAsiaTheme="minorHAnsi"/>
      <w:i/>
      <w:color w:val="auto"/>
      <w:sz w:val="28"/>
      <w:lang w:eastAsia="en-US"/>
    </w:rPr>
  </w:style>
  <w:style w:type="paragraph" w:customStyle="1" w:styleId="ReleasableTo">
    <w:name w:val="ReleasableTo"/>
    <w:basedOn w:val="Normal"/>
    <w:pPr>
      <w:spacing w:after="0" w:line="276" w:lineRule="auto"/>
      <w:ind w:left="5103" w:firstLine="0"/>
      <w:jc w:val="left"/>
    </w:pPr>
    <w:rPr>
      <w:rFonts w:eastAsiaTheme="minorHAnsi"/>
      <w:i/>
      <w:color w:val="auto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11"/>
      <w:ind w:left="2495" w:hanging="10"/>
      <w:jc w:val="both"/>
    </w:pPr>
    <w:rPr>
      <w:rFonts w:ascii="Times New Roman" w:eastAsia="Times New Roman" w:hAnsi="Times New Roman" w:cs="Times New Roman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1" w:line="249" w:lineRule="auto"/>
      <w:ind w:left="249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6"/>
      <w:ind w:left="1004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994"/>
    </w:pPr>
    <w:rPr>
      <w:rFonts w:ascii="Times New Roman" w:eastAsia="Times New Roman" w:hAnsi="Times New Roman" w:cs="Times New Roman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FF"/>
      <w:sz w:val="20"/>
      <w:u w:val="single" w:color="0000FF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  <w:ind w:left="720" w:hanging="720"/>
    </w:pPr>
    <w:rPr>
      <w:color w:val="auto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 w:firstLine="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ind w:left="0" w:firstLine="0"/>
    </w:pPr>
    <w:rPr>
      <w:rFonts w:eastAsiaTheme="minorHAnsi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 w:firstLine="0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ind w:left="0" w:firstLin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 w:firstLine="0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ind w:left="0" w:firstLin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SecurityMarking">
    <w:name w:val="SecurityMarking"/>
    <w:basedOn w:val="Normal"/>
    <w:pPr>
      <w:spacing w:after="0" w:line="276" w:lineRule="auto"/>
      <w:ind w:left="5103" w:firstLine="0"/>
      <w:jc w:val="left"/>
    </w:pPr>
    <w:rPr>
      <w:rFonts w:eastAsiaTheme="minorHAnsi"/>
      <w:color w:val="auto"/>
      <w:sz w:val="28"/>
      <w:lang w:eastAsia="en-US"/>
    </w:rPr>
  </w:style>
  <w:style w:type="paragraph" w:customStyle="1" w:styleId="DateMarking">
    <w:name w:val="DateMarking"/>
    <w:basedOn w:val="Normal"/>
    <w:pPr>
      <w:spacing w:after="0" w:line="276" w:lineRule="auto"/>
      <w:ind w:left="5103" w:firstLine="0"/>
      <w:jc w:val="left"/>
    </w:pPr>
    <w:rPr>
      <w:rFonts w:eastAsiaTheme="minorHAnsi"/>
      <w:i/>
      <w:color w:val="auto"/>
      <w:sz w:val="28"/>
      <w:lang w:eastAsia="en-US"/>
    </w:rPr>
  </w:style>
  <w:style w:type="paragraph" w:customStyle="1" w:styleId="ReleasableTo">
    <w:name w:val="ReleasableTo"/>
    <w:basedOn w:val="Normal"/>
    <w:pPr>
      <w:spacing w:after="0" w:line="276" w:lineRule="auto"/>
      <w:ind w:left="5103" w:firstLine="0"/>
      <w:jc w:val="left"/>
    </w:pPr>
    <w:rPr>
      <w:rFonts w:eastAsiaTheme="minorHAnsi"/>
      <w:i/>
      <w:color w:val="auto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11"/>
      <w:ind w:left="2495" w:hanging="10"/>
      <w:jc w:val="both"/>
    </w:pPr>
    <w:rPr>
      <w:rFonts w:ascii="Times New Roman" w:eastAsia="Times New Roman" w:hAnsi="Times New Roman" w:cs="Times New Roman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documents/29567/3217334/Reference+manual+on+Rail+Transport+Statistics+(Version+8.01)/ed767b61-7fca-470a-a9e2-582e4aabedcb" TargetMode="External"/><Relationship Id="rId13" Type="http://schemas.openxmlformats.org/officeDocument/2006/relationships/hyperlink" Target="https://ec.europa.eu/eurostat/statistics-explained/index.php?title=Category:Rail" TargetMode="External"/><Relationship Id="rId18" Type="http://schemas.openxmlformats.org/officeDocument/2006/relationships/hyperlink" Target="https://ec.europa.eu/eurostat/web/products-statistical-books/-/KS-DK-19-001" TargetMode="External"/><Relationship Id="rId26" Type="http://schemas.openxmlformats.org/officeDocument/2006/relationships/hyperlink" Target="https://ec.europa.eu/eurostat/web/products-statistical-books/-/KS-DK-19-001" TargetMode="External"/><Relationship Id="rId3" Type="http://schemas.openxmlformats.org/officeDocument/2006/relationships/hyperlink" Target="https://ec.europa.eu/eurostat/documents/29567/3217334/Reference+manual+on+Rail+Transport+Statistics+(Version+8.01)/ed767b61-7fca-470a-a9e2-582e4aabedcb" TargetMode="External"/><Relationship Id="rId21" Type="http://schemas.openxmlformats.org/officeDocument/2006/relationships/hyperlink" Target="https://ec.europa.eu/eurostat/web/products-statistical-books/-/KS-DK-19-001" TargetMode="External"/><Relationship Id="rId7" Type="http://schemas.openxmlformats.org/officeDocument/2006/relationships/hyperlink" Target="https://ec.europa.eu/eurostat/documents/29567/3217334/Reference+manual+on+Rail+Transport+Statistics+(Version+8.01)/ed767b61-7fca-470a-a9e2-582e4aabedcb" TargetMode="External"/><Relationship Id="rId12" Type="http://schemas.openxmlformats.org/officeDocument/2006/relationships/hyperlink" Target="https://ec.europa.eu/eurostat/statistics-explained/index.php?title=Category:Rail" TargetMode="External"/><Relationship Id="rId17" Type="http://schemas.openxmlformats.org/officeDocument/2006/relationships/hyperlink" Target="https://ec.europa.eu/eurostat/web/products-statistical-books/-/KS-DK-19-001" TargetMode="External"/><Relationship Id="rId25" Type="http://schemas.openxmlformats.org/officeDocument/2006/relationships/hyperlink" Target="https://ec.europa.eu/eurostat/web/products-statistical-books/-/KS-DK-19-001" TargetMode="External"/><Relationship Id="rId2" Type="http://schemas.openxmlformats.org/officeDocument/2006/relationships/hyperlink" Target="https://ec.europa.eu/eurostat/documents/29567/3217334/Reference+manual+on+Rail+Transport+Statistics+(Version+8.01)/ed767b61-7fca-470a-a9e2-582e4aabedcb" TargetMode="External"/><Relationship Id="rId16" Type="http://schemas.openxmlformats.org/officeDocument/2006/relationships/hyperlink" Target="https://ec.europa.eu/eurostat/web/products-statistical-books/-/KS-DK-19-001" TargetMode="External"/><Relationship Id="rId20" Type="http://schemas.openxmlformats.org/officeDocument/2006/relationships/hyperlink" Target="https://ec.europa.eu/eurostat/web/products-statistical-books/-/KS-DK-19-001" TargetMode="External"/><Relationship Id="rId29" Type="http://schemas.openxmlformats.org/officeDocument/2006/relationships/hyperlink" Target="https://ec.europa.eu/eurostat/web/products-statistical-books/-/KS-DK-19-001" TargetMode="External"/><Relationship Id="rId1" Type="http://schemas.openxmlformats.org/officeDocument/2006/relationships/hyperlink" Target="https://ec.europa.eu/eurostat/documents/29567/3217334/Reference+manual+on+Rail+Transport+Statistics+(Version+8.01)/ed767b61-7fca-470a-a9e2-582e4aabedcb" TargetMode="External"/><Relationship Id="rId6" Type="http://schemas.openxmlformats.org/officeDocument/2006/relationships/hyperlink" Target="https://ec.europa.eu/eurostat/documents/29567/3217334/Reference+manual+on+Rail+Transport+Statistics+(Version+8.01)/ed767b61-7fca-470a-a9e2-582e4aabedcb" TargetMode="External"/><Relationship Id="rId11" Type="http://schemas.openxmlformats.org/officeDocument/2006/relationships/hyperlink" Target="https://ec.europa.eu/eurostat/data/database" TargetMode="External"/><Relationship Id="rId24" Type="http://schemas.openxmlformats.org/officeDocument/2006/relationships/hyperlink" Target="https://ec.europa.eu/eurostat/web/products-statistical-books/-/KS-DK-19-001" TargetMode="External"/><Relationship Id="rId5" Type="http://schemas.openxmlformats.org/officeDocument/2006/relationships/hyperlink" Target="https://ec.europa.eu/eurostat/documents/29567/3217334/Reference+manual+on+Rail+Transport+Statistics+(Version+8.01)/ed767b61-7fca-470a-a9e2-582e4aabedcb" TargetMode="External"/><Relationship Id="rId15" Type="http://schemas.openxmlformats.org/officeDocument/2006/relationships/hyperlink" Target="https://ec.europa.eu/eurostat/statistics-explained/index.php?title=Category:Rail" TargetMode="External"/><Relationship Id="rId23" Type="http://schemas.openxmlformats.org/officeDocument/2006/relationships/hyperlink" Target="https://ec.europa.eu/eurostat/web/products-statistical-books/-/KS-DK-19-001" TargetMode="External"/><Relationship Id="rId28" Type="http://schemas.openxmlformats.org/officeDocument/2006/relationships/hyperlink" Target="https://ec.europa.eu/eurostat/web/products-statistical-books/-/KS-DK-19-001" TargetMode="External"/><Relationship Id="rId10" Type="http://schemas.openxmlformats.org/officeDocument/2006/relationships/hyperlink" Target="https://ec.europa.eu/eurostat/documents/29567/3217334/Reference+manual+on+Rail+Transport+Statistics+(Version+8.01)/ed767b61-7fca-470a-a9e2-582e4aabedcb" TargetMode="External"/><Relationship Id="rId19" Type="http://schemas.openxmlformats.org/officeDocument/2006/relationships/hyperlink" Target="https://ec.europa.eu/eurostat/web/products-statistical-books/-/KS-DK-19-001" TargetMode="External"/><Relationship Id="rId4" Type="http://schemas.openxmlformats.org/officeDocument/2006/relationships/hyperlink" Target="https://ec.europa.eu/eurostat/documents/29567/3217334/Reference+manual+on+Rail+Transport+Statistics+(Version+8.01)/ed767b61-7fca-470a-a9e2-582e4aabedcb" TargetMode="External"/><Relationship Id="rId9" Type="http://schemas.openxmlformats.org/officeDocument/2006/relationships/hyperlink" Target="https://ec.europa.eu/eurostat/documents/29567/3217334/Reference+manual+on+Rail+Transport+Statistics+(Version+8.01)/ed767b61-7fca-470a-a9e2-582e4aabedcb" TargetMode="External"/><Relationship Id="rId14" Type="http://schemas.openxmlformats.org/officeDocument/2006/relationships/hyperlink" Target="https://ec.europa.eu/eurostat/statistics-explained/index.php?title=Category:Rail" TargetMode="External"/><Relationship Id="rId22" Type="http://schemas.openxmlformats.org/officeDocument/2006/relationships/hyperlink" Target="https://ec.europa.eu/eurostat/web/products-statistical-books/-/KS-DK-19-001" TargetMode="External"/><Relationship Id="rId27" Type="http://schemas.openxmlformats.org/officeDocument/2006/relationships/hyperlink" Target="https://ec.europa.eu/eurostat/web/products-statistical-books/-/KS-DK-19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A6B1E4-70FC-4080-A950-2E510E67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2875</Words>
  <Characters>16795</Characters>
  <Application>Microsoft Office Word</Application>
  <DocSecurity>0</DocSecurity>
  <Lines>262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Rail_Impl Report_Regulation 2018_643_comments ISC implemented</vt:lpstr>
    </vt:vector>
  </TitlesOfParts>
  <Manager/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Rail_Impl Report_Regulation 2018_643_comments ISC implemented</dc:title>
  <dc:subject>Rail_Impl Report_Regulation 2018_643_comments ISC implemented</dc:subject>
  <dc:creator/>
  <cp:keywords/>
  <cp:lastModifiedBy>WES PDFC Administrator</cp:lastModifiedBy>
  <cp:revision>15</cp:revision>
  <dcterms:created xsi:type="dcterms:W3CDTF">2020-11-24T13:11:00Z</dcterms:created>
  <dcterms:modified xsi:type="dcterms:W3CDTF">2020-12-11T18:00:00Z</dcterms:modified>
  <cp:category>ISC_ESTAT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CP-006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7.0, Build 20190717</vt:lpwstr>
  </property>
</Properties>
</file>