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1057366"/>
      <w:bookmarkStart w:id="1" w:name="_Toc24637765"/>
      <w:bookmarkStart w:id="2" w:name="_Toc24705093"/>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05C58608-FF84-4A31-A284-64035ECE2444" style="width:450.8pt;height:380.05pt">
            <v:imagedata r:id="rId9" o:title=""/>
          </v:shape>
        </w:pict>
      </w:r>
    </w:p>
    <w:bookmarkEnd w:id="3"/>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line="240" w:lineRule="auto"/>
        <w:rPr>
          <w:noProof/>
        </w:rPr>
      </w:pPr>
      <w:bookmarkStart w:id="4" w:name="_GoBack"/>
      <w:bookmarkEnd w:id="4"/>
      <w:r>
        <w:rPr>
          <w:noProof/>
        </w:rPr>
        <w:lastRenderedPageBreak/>
        <w:t>PRIEDAI</w:t>
      </w:r>
      <w:bookmarkEnd w:id="0"/>
      <w:bookmarkEnd w:id="1"/>
      <w:bookmarkEnd w:id="2"/>
    </w:p>
    <w:p>
      <w:pPr>
        <w:rPr>
          <w:rFonts w:ascii="Times New Roman" w:hAnsi="Times New Roman" w:cs="Times New Roman"/>
          <w:b/>
          <w:noProof/>
          <w:sz w:val="24"/>
          <w:szCs w:val="24"/>
        </w:rPr>
      </w:pPr>
      <w:r>
        <w:rPr>
          <w:rFonts w:ascii="Times New Roman" w:hAnsi="Times New Roman"/>
          <w:b/>
          <w:noProof/>
          <w:sz w:val="24"/>
          <w:szCs w:val="24"/>
        </w:rPr>
        <w:t>1 priedas. Socialinių rodiklių suvestinės esminiai rodikliai ir jų lygiai</w:t>
      </w:r>
    </w:p>
    <w:tbl>
      <w:tblPr>
        <w:tblW w:w="0" w:type="auto"/>
        <w:tblLook w:val="04A0" w:firstRow="1" w:lastRow="0" w:firstColumn="1" w:lastColumn="0" w:noHBand="0" w:noVBand="1"/>
      </w:tblPr>
      <w:tblGrid>
        <w:gridCol w:w="574"/>
        <w:gridCol w:w="585"/>
        <w:gridCol w:w="511"/>
        <w:gridCol w:w="511"/>
        <w:gridCol w:w="631"/>
        <w:gridCol w:w="631"/>
        <w:gridCol w:w="631"/>
        <w:gridCol w:w="516"/>
        <w:gridCol w:w="516"/>
        <w:gridCol w:w="516"/>
        <w:gridCol w:w="589"/>
        <w:gridCol w:w="589"/>
        <w:gridCol w:w="589"/>
        <w:gridCol w:w="633"/>
        <w:gridCol w:w="633"/>
        <w:gridCol w:w="633"/>
      </w:tblGrid>
      <w:tr>
        <w:trPr>
          <w:trHeight w:val="345"/>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w:t>
            </w:r>
          </w:p>
        </w:tc>
        <w:tc>
          <w:tcPr>
            <w:tcW w:w="0" w:type="auto"/>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Lygios galimybės ir galimybė įsidarbinti</w:t>
            </w:r>
          </w:p>
        </w:tc>
      </w:tr>
      <w:tr>
        <w:trPr>
          <w:trHeight w:val="1527"/>
        </w:trPr>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Calibri"/>
                <w:b/>
                <w:bCs/>
                <w:noProof/>
                <w:color w:val="000000"/>
                <w:sz w:val="16"/>
                <w:szCs w:val="16"/>
                <w:lang w:eastAsia="en-GB"/>
              </w:rPr>
            </w:pPr>
          </w:p>
        </w:tc>
        <w:tc>
          <w:tcPr>
            <w:tcW w:w="0" w:type="auto"/>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Mokyklos nebaigę asmenys </w:t>
            </w:r>
            <w:r>
              <w:rPr>
                <w:rFonts w:ascii="Arial Narrow" w:hAnsi="Arial Narrow"/>
                <w:b/>
                <w:bCs/>
                <w:noProof/>
                <w:color w:val="000000"/>
                <w:sz w:val="16"/>
                <w:szCs w:val="16"/>
              </w:rPr>
              <w:br/>
              <w:t>(18–24 m. gyventojų proc. dalis)</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Lyčių užimtumo skirtumas (proc. punktais)</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Pajamų kvintilio dalies santykis (S80/S20)</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Skurdo ar socialinės atskirties rizikos lygis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NEET jaunimas (15–24 m. gyventojų proc. dalis)</w:t>
            </w:r>
          </w:p>
        </w:tc>
      </w:tr>
      <w:tr>
        <w:trPr>
          <w:trHeight w:val="675"/>
        </w:trPr>
        <w:tc>
          <w:tcPr>
            <w:tcW w:w="0" w:type="auto"/>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Metai</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r>
      <w:tr>
        <w:trPr>
          <w:trHeight w:val="227"/>
        </w:trPr>
        <w:tc>
          <w:tcPr>
            <w:tcW w:w="0" w:type="auto"/>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 27</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0" w:type="auto"/>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e</w:t>
            </w:r>
          </w:p>
        </w:tc>
        <w:tc>
          <w:tcPr>
            <w:tcW w:w="0" w:type="auto"/>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 e</w:t>
            </w:r>
          </w:p>
        </w:tc>
        <w:tc>
          <w:tcPr>
            <w:tcW w:w="0" w:type="auto"/>
            <w:tcBorders>
              <w:top w:val="single" w:sz="4" w:space="0" w:color="auto"/>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e</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22,5 e</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 e</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21,1 e</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19 EZ</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21,1 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ESnv</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EZnv</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0" w:type="auto"/>
            <w:tcBorders>
              <w:top w:val="nil"/>
              <w:left w:val="nil"/>
              <w:bottom w:val="single" w:sz="4" w:space="0" w:color="auto"/>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21,7</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19,5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17,7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 b</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 b</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16,2</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0" w:type="auto"/>
            <w:tcBorders>
              <w:top w:val="nil"/>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0" w:type="auto"/>
            <w:tcBorders>
              <w:top w:val="nil"/>
              <w:left w:val="nil"/>
              <w:bottom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r>
      <w:tr>
        <w:trPr>
          <w:trHeight w:val="227"/>
        </w:trPr>
        <w:tc>
          <w:tcPr>
            <w:tcW w:w="0" w:type="auto"/>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0" w:type="auto"/>
            <w:tcBorders>
              <w:top w:val="nil"/>
              <w:left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0" w:type="auto"/>
            <w:tcBorders>
              <w:top w:val="nil"/>
              <w:left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0" w:type="auto"/>
            <w:tcBorders>
              <w:top w:val="nil"/>
              <w:left w:val="nil"/>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16,5</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15,6</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 b</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single" w:sz="4" w:space="0" w:color="auto"/>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single" w:sz="4" w:space="0" w:color="auto"/>
              <w:right w:val="single" w:sz="4" w:space="0" w:color="auto"/>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18,0</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18,8</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r>
    </w:tbl>
    <w:p>
      <w:pPr>
        <w:spacing w:line="240" w:lineRule="auto"/>
        <w:jc w:val="both"/>
        <w:rPr>
          <w:rFonts w:ascii="Times New Roman" w:hAnsi="Times New Roman" w:cs="Times New Roman"/>
          <w:b/>
          <w:bCs/>
          <w:noProof/>
          <w:sz w:val="24"/>
          <w:szCs w:val="24"/>
          <w:highlight w:val="yellow"/>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Šaltinis: Eurostatas.</w:t>
      </w:r>
    </w:p>
    <w:p>
      <w:pPr>
        <w:spacing w:after="0" w:line="240" w:lineRule="auto"/>
        <w:rPr>
          <w:rFonts w:ascii="Times New Roman" w:hAnsi="Times New Roman" w:cs="Times New Roman"/>
          <w:noProof/>
          <w:sz w:val="20"/>
          <w:szCs w:val="20"/>
        </w:rPr>
      </w:pPr>
      <w:r>
        <w:rPr>
          <w:rFonts w:ascii="Times New Roman" w:hAnsi="Times New Roman"/>
          <w:noProof/>
          <w:sz w:val="20"/>
          <w:szCs w:val="20"/>
        </w:rPr>
        <w:t>Pastaba. „ESnv“ ir „EZnv“ – nesvertiniai ES ir euro zonos vidurkiai.</w:t>
      </w:r>
    </w:p>
    <w:p>
      <w:pPr>
        <w:jc w:val="both"/>
        <w:rPr>
          <w:rFonts w:ascii="Times New Roman" w:hAnsi="Times New Roman" w:cs="Times New Roman"/>
          <w:noProof/>
          <w:sz w:val="20"/>
          <w:szCs w:val="20"/>
        </w:rPr>
      </w:pPr>
      <w:r>
        <w:rPr>
          <w:rFonts w:ascii="Times New Roman" w:hAnsi="Times New Roman"/>
          <w:noProof/>
          <w:sz w:val="20"/>
          <w:szCs w:val="20"/>
        </w:rPr>
        <w:t>Žymos: b – laiko eilučių pertrūkis; e – prognozuojami įverčiai; p – negalutiniai duomenys; u – mažo patikimumo duomenys (mažas atvejų skaičius).</w:t>
      </w:r>
    </w:p>
    <w:p>
      <w:pPr>
        <w:spacing w:line="240" w:lineRule="auto"/>
        <w:jc w:val="both"/>
        <w:rPr>
          <w:rFonts w:ascii="Times New Roman" w:hAnsi="Times New Roman" w:cs="Times New Roman"/>
          <w:b/>
          <w:bCs/>
          <w:noProof/>
          <w:sz w:val="24"/>
          <w:szCs w:val="24"/>
          <w:highlight w:val="yellow"/>
        </w:rPr>
      </w:pPr>
    </w:p>
    <w:p>
      <w:pPr>
        <w:spacing w:line="240" w:lineRule="auto"/>
        <w:rPr>
          <w:rFonts w:ascii="Times New Roman" w:hAnsi="Times New Roman" w:cs="Times New Roman"/>
          <w:b/>
          <w:noProof/>
          <w:sz w:val="24"/>
          <w:szCs w:val="24"/>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1 priedas (tęsinys). Socialinių rodiklių suvestinės esminiai rodikliai ir jų lygiai</w:t>
      </w:r>
    </w:p>
    <w:tbl>
      <w:tblPr>
        <w:tblW w:w="9252" w:type="dxa"/>
        <w:tblInd w:w="113" w:type="dxa"/>
        <w:tblLook w:val="04A0" w:firstRow="1" w:lastRow="0" w:firstColumn="1" w:lastColumn="0" w:noHBand="0" w:noVBand="1"/>
      </w:tblPr>
      <w:tblGrid>
        <w:gridCol w:w="574"/>
        <w:gridCol w:w="625"/>
        <w:gridCol w:w="625"/>
        <w:gridCol w:w="625"/>
        <w:gridCol w:w="625"/>
        <w:gridCol w:w="625"/>
        <w:gridCol w:w="625"/>
        <w:gridCol w:w="625"/>
        <w:gridCol w:w="625"/>
        <w:gridCol w:w="625"/>
        <w:gridCol w:w="545"/>
        <w:gridCol w:w="545"/>
        <w:gridCol w:w="545"/>
        <w:gridCol w:w="581"/>
        <w:gridCol w:w="581"/>
        <w:gridCol w:w="581"/>
      </w:tblGrid>
      <w:tr>
        <w:trPr>
          <w:trHeight w:val="39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w:t>
            </w:r>
          </w:p>
        </w:tc>
        <w:tc>
          <w:tcPr>
            <w:tcW w:w="8671"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Dinamiškos darbo rinkos ir tinkamos darbo sąlygos</w:t>
            </w:r>
          </w:p>
        </w:tc>
      </w:tr>
      <w:tr>
        <w:trPr>
          <w:trHeight w:val="1473"/>
        </w:trPr>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Calibri"/>
                <w:b/>
                <w:bCs/>
                <w:noProof/>
                <w:color w:val="000000"/>
                <w:sz w:val="16"/>
                <w:szCs w:val="16"/>
                <w:lang w:eastAsia="en-GB"/>
              </w:rPr>
            </w:pPr>
          </w:p>
        </w:tc>
        <w:tc>
          <w:tcPr>
            <w:tcW w:w="1778"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Užimtumo lygis </w:t>
            </w:r>
            <w:r>
              <w:rPr>
                <w:rFonts w:ascii="Arial Narrow" w:hAnsi="Arial Narrow"/>
                <w:b/>
                <w:bCs/>
                <w:noProof/>
                <w:color w:val="000000"/>
                <w:sz w:val="16"/>
                <w:szCs w:val="16"/>
              </w:rPr>
              <w:br/>
              <w:t xml:space="preserve">(20–64 m. gyventojų </w:t>
            </w:r>
          </w:p>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proc. dalis)</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 xml:space="preserve">Nedarbo lygis </w:t>
            </w:r>
            <w:r>
              <w:rPr>
                <w:rFonts w:ascii="Arial Narrow" w:hAnsi="Arial Narrow"/>
                <w:b/>
                <w:bCs/>
                <w:noProof/>
                <w:color w:val="000000"/>
                <w:sz w:val="16"/>
                <w:szCs w:val="16"/>
              </w:rPr>
              <w:br/>
              <w:t xml:space="preserve">(15–74 m. ekonomiškai aktyvių gyventojų proc. dalis) </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Ilgalaikio nedarbo lygis </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(15–74 m. ekonomiškai aktyvių gyventojų proc. dalis)</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Realiosios bendros disponuojamosios namų ūkio pajamos vienam gyventojui </w:t>
            </w:r>
            <w:r>
              <w:rPr>
                <w:rFonts w:ascii="Arial Narrow" w:hAnsi="Arial Narrow"/>
                <w:b/>
                <w:bCs/>
                <w:noProof/>
                <w:color w:val="000000"/>
                <w:sz w:val="16"/>
                <w:szCs w:val="16"/>
              </w:rPr>
              <w:br/>
              <w:t>(2008 m. = 100)</w:t>
            </w:r>
          </w:p>
        </w:tc>
        <w:tc>
          <w:tcPr>
            <w:tcW w:w="0" w:type="auto"/>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Visą darbo laiką dirbančio </w:t>
            </w:r>
            <w:r>
              <w:rPr>
                <w:rFonts w:ascii="Arial Narrow" w:hAnsi="Arial Narrow"/>
                <w:b/>
                <w:bCs/>
                <w:noProof/>
                <w:color w:val="000000"/>
                <w:sz w:val="16"/>
                <w:szCs w:val="16"/>
              </w:rPr>
              <w:br/>
              <w:t xml:space="preserve">ir vidutinį darbo užmokestį uždirbančio </w:t>
            </w:r>
            <w:r>
              <w:rPr>
                <w:rFonts w:ascii="Arial Narrow" w:hAnsi="Arial Narrow"/>
                <w:b/>
                <w:bCs/>
                <w:noProof/>
                <w:color w:val="000000"/>
                <w:sz w:val="16"/>
                <w:szCs w:val="16"/>
              </w:rPr>
              <w:br/>
              <w:t>darbuotojo grynasis uždarbis (PGS)</w:t>
            </w:r>
          </w:p>
        </w:tc>
      </w:tr>
      <w:tr>
        <w:trPr>
          <w:trHeight w:val="675"/>
        </w:trPr>
        <w:tc>
          <w:tcPr>
            <w:tcW w:w="0" w:type="auto"/>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Metai</w:t>
            </w:r>
          </w:p>
        </w:tc>
        <w:tc>
          <w:tcPr>
            <w:tcW w:w="534"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8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0" w:type="auto"/>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0" w:type="auto"/>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II ketv.</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2020</w:t>
            </w:r>
          </w:p>
        </w:tc>
        <w:tc>
          <w:tcPr>
            <w:tcW w:w="0" w:type="auto"/>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0" w:type="auto"/>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0" w:type="auto"/>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r>
      <w:tr>
        <w:trPr>
          <w:trHeight w:val="227"/>
        </w:trPr>
        <w:tc>
          <w:tcPr>
            <w:tcW w:w="0" w:type="auto"/>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 27</w:t>
            </w:r>
          </w:p>
        </w:tc>
        <w:tc>
          <w:tcPr>
            <w:tcW w:w="53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81"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73,3</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single" w:sz="4" w:space="0" w:color="auto"/>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103,3</w:t>
            </w:r>
          </w:p>
        </w:tc>
        <w:tc>
          <w:tcPr>
            <w:tcW w:w="0" w:type="auto"/>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105,1</w:t>
            </w:r>
          </w:p>
        </w:tc>
        <w:tc>
          <w:tcPr>
            <w:tcW w:w="0" w:type="auto"/>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19 EZ</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ESnv</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20242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20882</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EZnv</w:t>
            </w:r>
          </w:p>
        </w:tc>
        <w:tc>
          <w:tcPr>
            <w:tcW w:w="53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73,3</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0" w:type="auto"/>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101,7</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104,5</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109,1</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21420</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21843</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22311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25373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25710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26364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10416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11022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14683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15320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16098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26902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27131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30668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27622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28001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28547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 u</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15147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16747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30883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31171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31528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18914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18855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19103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23316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23190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23327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23102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23360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23974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 u</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13561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13893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14348</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21546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21696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21872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89,5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20209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23247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23927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10703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11252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11979</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77,7</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11809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12524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13213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105,7</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33276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33751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34326</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12876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13653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 u</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 u</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20694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20945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21453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28553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28565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28914</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97,4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27698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28280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28601</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131,8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14161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14602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15415</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73,7</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15900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15966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16183</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70,9</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69,9</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126,8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10492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11240</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12252</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76,6</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74,5</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15381</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15777</w:t>
            </w:r>
          </w:p>
        </w:tc>
      </w:tr>
      <w:tr>
        <w:trPr>
          <w:trHeight w:val="227"/>
        </w:trPr>
        <w:tc>
          <w:tcPr>
            <w:tcW w:w="0" w:type="auto"/>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3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0" w:type="auto"/>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114,1</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121,5</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123,4</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12270</w:t>
            </w:r>
          </w:p>
        </w:tc>
        <w:tc>
          <w:tcPr>
            <w:tcW w:w="0" w:type="auto"/>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12374</w:t>
            </w:r>
          </w:p>
        </w:tc>
        <w:tc>
          <w:tcPr>
            <w:tcW w:w="0" w:type="auto"/>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12904</w:t>
            </w:r>
          </w:p>
        </w:tc>
      </w:tr>
      <w:tr>
        <w:trPr>
          <w:trHeight w:val="227"/>
        </w:trPr>
        <w:tc>
          <w:tcPr>
            <w:tcW w:w="0" w:type="auto"/>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3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76,3</w:t>
            </w:r>
          </w:p>
        </w:tc>
        <w:tc>
          <w:tcPr>
            <w:tcW w:w="581"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77,3</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76,2</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104,9</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107,0</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109,3</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24737</w:t>
            </w:r>
          </w:p>
        </w:tc>
        <w:tc>
          <w:tcPr>
            <w:tcW w:w="0" w:type="auto"/>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24848</w:t>
            </w:r>
          </w:p>
        </w:tc>
        <w:tc>
          <w:tcPr>
            <w:tcW w:w="0" w:type="auto"/>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25177</w:t>
            </w:r>
          </w:p>
        </w:tc>
      </w:tr>
      <w:tr>
        <w:trPr>
          <w:trHeight w:val="227"/>
        </w:trPr>
        <w:tc>
          <w:tcPr>
            <w:tcW w:w="0" w:type="auto"/>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3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82,6</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82,3</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80,6</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0" w:type="auto"/>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117,0</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118,0</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120,5</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26085</w:t>
            </w:r>
          </w:p>
        </w:tc>
        <w:tc>
          <w:tcPr>
            <w:tcW w:w="0" w:type="auto"/>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26022</w:t>
            </w:r>
          </w:p>
        </w:tc>
        <w:tc>
          <w:tcPr>
            <w:tcW w:w="0" w:type="auto"/>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26437</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Šaltinis: Eurostatas, EBPO.</w:t>
      </w:r>
    </w:p>
    <w:p>
      <w:pPr>
        <w:pStyle w:val="FootnoteText"/>
        <w:jc w:val="both"/>
        <w:rPr>
          <w:rStyle w:val="FootnoteReference"/>
          <w:rFonts w:ascii="Times New Roman" w:hAnsi="Times New Roman" w:cs="Times New Roman"/>
          <w:noProof/>
        </w:rPr>
      </w:pPr>
      <w:r>
        <w:rPr>
          <w:rFonts w:ascii="Times New Roman" w:hAnsi="Times New Roman"/>
          <w:noProof/>
        </w:rPr>
        <w:t>Pastaba „ESnv“ ir „EZnv“ – nesvertiniai ES ir euro zonos vidurkiai. Realiosios bendros disponuojamosios namų ūkio pajamos vienam gyventojui apskaičiuojamos remiantis nekoreguotomis pajamomis (t. y. neatsižvelgiant į socialinius pervedimus natūra) ir nekoreguojant pagal perkamosios galios standartus. Visą darbo laiką dirbančio ir vidutinį darbo užmokestį uždirbančio darbuotojo grynasis uždarbis turėtų būti suprantamas ir aiškinamas kartu su kitais rodikliais, pavyzdžiui, dirbančiųjų skurdo lygiu, darbo užmokesčio pasiskirstymo penktojo ir pirmojo decilių santykiu (D5/D1) ir kitais atitinkamais Užimtumo rodiklių apžvalgos, Socialinės apsaugos rodiklių apžvalgos ir Bendros vertinimo sistemos rodikliais. Siekiant sušvelninti trumpalaikius svyravimus, apskaičiuojant šį rodiklį naudojamasi trejų metų vidurkiu.</w:t>
      </w:r>
    </w:p>
    <w:p>
      <w:pPr>
        <w:jc w:val="both"/>
        <w:rPr>
          <w:rFonts w:ascii="Times New Roman" w:hAnsi="Times New Roman" w:cs="Times New Roman"/>
          <w:noProof/>
          <w:sz w:val="20"/>
          <w:szCs w:val="20"/>
        </w:rPr>
      </w:pPr>
      <w:r>
        <w:rPr>
          <w:rFonts w:ascii="Times New Roman" w:hAnsi="Times New Roman"/>
          <w:noProof/>
          <w:sz w:val="20"/>
          <w:szCs w:val="20"/>
        </w:rPr>
        <w:t>Žymos: b – laiko eilučių pertrūkis; e – prognozuojami įverčiai; p – negalutiniai duomenys; u – mažo patikimumo duomenys (mažas atvejų skaičius).</w:t>
      </w:r>
    </w:p>
    <w:p>
      <w:pPr>
        <w:rPr>
          <w:noProof/>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1 priedas (tęsinys). Socialinių rodiklių suvestinės esminiai rodikliai ir jų lygiai</w:t>
      </w:r>
    </w:p>
    <w:tbl>
      <w:tblPr>
        <w:tblW w:w="0" w:type="auto"/>
        <w:tblInd w:w="113" w:type="dxa"/>
        <w:tblLayout w:type="fixed"/>
        <w:tblLook w:val="04A0" w:firstRow="1" w:lastRow="0" w:firstColumn="1" w:lastColumn="0" w:noHBand="0" w:noVBand="1"/>
      </w:tblPr>
      <w:tblGrid>
        <w:gridCol w:w="581"/>
        <w:gridCol w:w="757"/>
        <w:gridCol w:w="757"/>
        <w:gridCol w:w="757"/>
        <w:gridCol w:w="624"/>
        <w:gridCol w:w="714"/>
        <w:gridCol w:w="714"/>
        <w:gridCol w:w="599"/>
        <w:gridCol w:w="599"/>
        <w:gridCol w:w="599"/>
        <w:gridCol w:w="665"/>
        <w:gridCol w:w="721"/>
        <w:gridCol w:w="679"/>
        <w:gridCol w:w="11"/>
      </w:tblGrid>
      <w:tr>
        <w:trPr>
          <w:trHeight w:val="345"/>
        </w:trPr>
        <w:tc>
          <w:tcPr>
            <w:tcW w:w="581"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w:t>
            </w:r>
          </w:p>
        </w:tc>
        <w:tc>
          <w:tcPr>
            <w:tcW w:w="8196" w:type="dxa"/>
            <w:gridSpan w:val="1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Viešoji parama / socialinė apsauga ir įtrauktis</w:t>
            </w:r>
          </w:p>
        </w:tc>
      </w:tr>
      <w:tr>
        <w:trPr>
          <w:trHeight w:val="1671"/>
        </w:trPr>
        <w:tc>
          <w:tcPr>
            <w:tcW w:w="581" w:type="dxa"/>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rPr>
                <w:rFonts w:ascii="Arial Narrow" w:eastAsia="Times New Roman" w:hAnsi="Arial Narrow" w:cs="Calibri"/>
                <w:b/>
                <w:bCs/>
                <w:noProof/>
                <w:color w:val="000000"/>
                <w:sz w:val="16"/>
                <w:szCs w:val="16"/>
                <w:lang w:eastAsia="en-GB"/>
              </w:rPr>
            </w:pPr>
          </w:p>
        </w:tc>
        <w:tc>
          <w:tcPr>
            <w:tcW w:w="2271"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Socialinių pervedimų (išskyrus pensijas) poveikis skurdo mažinimui (%)</w:t>
            </w:r>
          </w:p>
        </w:tc>
        <w:tc>
          <w:tcPr>
            <w:tcW w:w="2052"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Vaikai iki 3 m., kuriems teikiamos oficialios priežiūros paslaugos (%)</w:t>
            </w:r>
          </w:p>
        </w:tc>
        <w:tc>
          <w:tcPr>
            <w:tcW w:w="1797"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Asmenys, kurie nurodo turį nepatenkintų medicininės priežiūros poreikių (%)</w:t>
            </w:r>
          </w:p>
        </w:tc>
        <w:tc>
          <w:tcPr>
            <w:tcW w:w="2076" w:type="dxa"/>
            <w:gridSpan w:val="4"/>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Asmenys, turintys bazinius ar geresnius bendruosius skaitmeninius įgūdžius (16–74 m. gyventojų proc. dalis)</w:t>
            </w:r>
          </w:p>
        </w:tc>
      </w:tr>
      <w:tr>
        <w:trPr>
          <w:gridAfter w:val="1"/>
          <w:wAfter w:w="11" w:type="dxa"/>
          <w:trHeight w:val="675"/>
        </w:trPr>
        <w:tc>
          <w:tcPr>
            <w:tcW w:w="581" w:type="dxa"/>
            <w:tcBorders>
              <w:top w:val="single" w:sz="4" w:space="0" w:color="auto"/>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Metai</w:t>
            </w:r>
          </w:p>
        </w:tc>
        <w:tc>
          <w:tcPr>
            <w:tcW w:w="7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7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757"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624"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714"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714"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99"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99"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99"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665"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72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679"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r>
      <w:tr>
        <w:trPr>
          <w:gridAfter w:val="1"/>
          <w:wAfter w:w="11" w:type="dxa"/>
          <w:trHeight w:val="227"/>
        </w:trPr>
        <w:tc>
          <w:tcPr>
            <w:tcW w:w="581" w:type="dxa"/>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 27</w:t>
            </w:r>
          </w:p>
        </w:tc>
        <w:tc>
          <w:tcPr>
            <w:tcW w:w="7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32,4 e</w:t>
            </w:r>
          </w:p>
        </w:tc>
        <w:tc>
          <w:tcPr>
            <w:tcW w:w="7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32,8 e</w:t>
            </w:r>
          </w:p>
        </w:tc>
        <w:tc>
          <w:tcPr>
            <w:tcW w:w="75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32,7 e</w:t>
            </w:r>
          </w:p>
        </w:tc>
        <w:tc>
          <w:tcPr>
            <w:tcW w:w="62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34,5 e</w:t>
            </w:r>
          </w:p>
        </w:tc>
        <w:tc>
          <w:tcPr>
            <w:tcW w:w="714"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34,7 e</w:t>
            </w:r>
          </w:p>
        </w:tc>
        <w:tc>
          <w:tcPr>
            <w:tcW w:w="714"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35,2 e</w:t>
            </w:r>
          </w:p>
        </w:tc>
        <w:tc>
          <w:tcPr>
            <w:tcW w:w="59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99"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 e</w:t>
            </w:r>
          </w:p>
        </w:tc>
        <w:tc>
          <w:tcPr>
            <w:tcW w:w="599"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 e</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c>
          <w:tcPr>
            <w:tcW w:w="721" w:type="dxa"/>
            <w:tcBorders>
              <w:top w:val="single" w:sz="4" w:space="0" w:color="auto"/>
              <w:left w:val="nil"/>
              <w:bottom w:val="nil"/>
              <w:right w:val="nil"/>
            </w:tcBorders>
            <w:shd w:val="clear" w:color="000000" w:fill="FFFFFF"/>
            <w:noWrap/>
            <w:vAlign w:val="bottom"/>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19 EZ</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31,7</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32,7 e</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40,6 e</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 e</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ESnv</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34,3</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56,8</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55,9</w:t>
            </w:r>
          </w:p>
        </w:tc>
      </w:tr>
      <w:tr>
        <w:trPr>
          <w:gridAfter w:val="1"/>
          <w:wAfter w:w="11" w:type="dxa"/>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EZnv</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33,8</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33,7</w:t>
            </w:r>
          </w:p>
        </w:tc>
        <w:tc>
          <w:tcPr>
            <w:tcW w:w="75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34,7</w:t>
            </w:r>
          </w:p>
        </w:tc>
        <w:tc>
          <w:tcPr>
            <w:tcW w:w="62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35,3</w:t>
            </w:r>
          </w:p>
        </w:tc>
        <w:tc>
          <w:tcPr>
            <w:tcW w:w="71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36,9</w:t>
            </w:r>
          </w:p>
        </w:tc>
        <w:tc>
          <w:tcPr>
            <w:tcW w:w="71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41,2</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59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59,7</w:t>
            </w:r>
          </w:p>
        </w:tc>
        <w:tc>
          <w:tcPr>
            <w:tcW w:w="721" w:type="dxa"/>
            <w:tcBorders>
              <w:top w:val="nil"/>
              <w:left w:val="nil"/>
              <w:bottom w:val="single" w:sz="4" w:space="0" w:color="auto"/>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57,9</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41,7 b</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55,5 b</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 b</w:t>
            </w:r>
          </w:p>
        </w:tc>
        <w:tc>
          <w:tcPr>
            <w:tcW w:w="665"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23,7</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38,5</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71,7</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30,3</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27,3</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28,3</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15,5</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37,7</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15,8</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22,8</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40,9</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23,1</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45,0</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42,1</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24,8</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24,7</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15,9</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25,7</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 u </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28,1</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21,9</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23,4</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28,4</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22,9</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31,6</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20,3</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26,6</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40,4</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34,0</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65,0 b</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46,4</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48,8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38,5</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16,5</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30,1</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30,6</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32,1</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39,7</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39,0</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56,8</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64,8</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42,2</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18,2</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37,5</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40,3</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36,9</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 b</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22,5</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23,8</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24,2</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47,5</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15,7</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44,6</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43,2</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45,5</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44,8</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46,3</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46,9</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55,0</w:t>
            </w:r>
          </w:p>
        </w:tc>
      </w:tr>
      <w:tr>
        <w:trPr>
          <w:gridAfter w:val="1"/>
          <w:wAfter w:w="11" w:type="dxa"/>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29,1</w:t>
            </w:r>
          </w:p>
        </w:tc>
        <w:tc>
          <w:tcPr>
            <w:tcW w:w="7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31,1</w:t>
            </w:r>
          </w:p>
        </w:tc>
        <w:tc>
          <w:tcPr>
            <w:tcW w:w="75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2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4"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714"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99"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59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65"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59,0</w:t>
            </w:r>
          </w:p>
        </w:tc>
        <w:tc>
          <w:tcPr>
            <w:tcW w:w="721" w:type="dxa"/>
            <w:tcBorders>
              <w:top w:val="nil"/>
              <w:left w:val="nil"/>
              <w:bottom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54,0</w:t>
            </w:r>
          </w:p>
        </w:tc>
      </w:tr>
      <w:tr>
        <w:trPr>
          <w:gridAfter w:val="1"/>
          <w:wAfter w:w="11" w:type="dxa"/>
          <w:trHeight w:val="227"/>
        </w:trPr>
        <w:tc>
          <w:tcPr>
            <w:tcW w:w="581"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7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56,9</w:t>
            </w:r>
          </w:p>
        </w:tc>
        <w:tc>
          <w:tcPr>
            <w:tcW w:w="7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53,7</w:t>
            </w:r>
          </w:p>
        </w:tc>
        <w:tc>
          <w:tcPr>
            <w:tcW w:w="757"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54,0</w:t>
            </w:r>
          </w:p>
        </w:tc>
        <w:tc>
          <w:tcPr>
            <w:tcW w:w="62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33,3</w:t>
            </w:r>
          </w:p>
        </w:tc>
        <w:tc>
          <w:tcPr>
            <w:tcW w:w="714"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37,2</w:t>
            </w:r>
          </w:p>
        </w:tc>
        <w:tc>
          <w:tcPr>
            <w:tcW w:w="714"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38,2</w:t>
            </w:r>
          </w:p>
        </w:tc>
        <w:tc>
          <w:tcPr>
            <w:tcW w:w="59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99"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99"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665"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c>
          <w:tcPr>
            <w:tcW w:w="721" w:type="dxa"/>
            <w:tcBorders>
              <w:top w:val="nil"/>
              <w:left w:val="nil"/>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r>
      <w:tr>
        <w:trPr>
          <w:gridAfter w:val="1"/>
          <w:wAfter w:w="11" w:type="dxa"/>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46,1</w:t>
            </w:r>
          </w:p>
        </w:tc>
        <w:tc>
          <w:tcPr>
            <w:tcW w:w="7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43,3</w:t>
            </w:r>
          </w:p>
        </w:tc>
        <w:tc>
          <w:tcPr>
            <w:tcW w:w="75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40,8</w:t>
            </w:r>
          </w:p>
        </w:tc>
        <w:tc>
          <w:tcPr>
            <w:tcW w:w="62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52,7</w:t>
            </w:r>
          </w:p>
        </w:tc>
        <w:tc>
          <w:tcPr>
            <w:tcW w:w="714"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49,4</w:t>
            </w:r>
          </w:p>
        </w:tc>
        <w:tc>
          <w:tcPr>
            <w:tcW w:w="71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53,1</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99"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9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65"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 xml:space="preserve">77,0 </w:t>
            </w:r>
          </w:p>
        </w:tc>
        <w:tc>
          <w:tcPr>
            <w:tcW w:w="721" w:type="dxa"/>
            <w:tcBorders>
              <w:top w:val="nil"/>
              <w:left w:val="nil"/>
              <w:bottom w:val="single" w:sz="4" w:space="0" w:color="auto"/>
              <w:right w:val="nil"/>
            </w:tcBorders>
            <w:shd w:val="clear" w:color="000000" w:fill="FFFFFF"/>
            <w:noWrap/>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9"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 u</w:t>
            </w:r>
          </w:p>
        </w:tc>
      </w:tr>
    </w:tbl>
    <w:p>
      <w:pPr>
        <w:jc w:val="both"/>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Šaltinis: Eurostatas.</w:t>
      </w:r>
    </w:p>
    <w:p>
      <w:pPr>
        <w:spacing w:after="0" w:line="240" w:lineRule="auto"/>
        <w:rPr>
          <w:rFonts w:ascii="Times New Roman" w:hAnsi="Times New Roman" w:cs="Times New Roman"/>
          <w:noProof/>
          <w:sz w:val="20"/>
          <w:szCs w:val="20"/>
        </w:rPr>
      </w:pPr>
      <w:r>
        <w:rPr>
          <w:rFonts w:ascii="Times New Roman" w:hAnsi="Times New Roman"/>
          <w:noProof/>
          <w:sz w:val="20"/>
          <w:szCs w:val="20"/>
        </w:rPr>
        <w:t>Pastaba. „ESnv“ ir „EZnv“ – nesvertiniai ES ir euro zonos vidurkiai.</w:t>
      </w:r>
    </w:p>
    <w:p>
      <w:pPr>
        <w:jc w:val="both"/>
        <w:rPr>
          <w:rFonts w:ascii="Times New Roman" w:hAnsi="Times New Roman" w:cs="Times New Roman"/>
          <w:noProof/>
          <w:sz w:val="20"/>
          <w:szCs w:val="20"/>
        </w:rPr>
      </w:pPr>
      <w:r>
        <w:rPr>
          <w:rFonts w:ascii="Times New Roman" w:hAnsi="Times New Roman"/>
          <w:noProof/>
          <w:sz w:val="20"/>
          <w:szCs w:val="20"/>
        </w:rPr>
        <w:t>Žymos: b – laiko eilučių pertrūkis; e – prognozuojami įverčiai; p – negalutiniai duomenys; u – mažo patikimumo duomenys (mažas atvejų skaičius).</w:t>
      </w:r>
    </w:p>
    <w:p>
      <w:pPr>
        <w:rPr>
          <w:rFonts w:ascii="Times New Roman" w:hAnsi="Times New Roman" w:cs="Times New Roman"/>
          <w:b/>
          <w:noProof/>
          <w:sz w:val="24"/>
          <w:szCs w:val="24"/>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2 priedas. Socialinių rodiklių suvestinės esminiai rodikliai, pokyčiai ir atotrūkis nuo ES vidurkio</w:t>
      </w:r>
    </w:p>
    <w:tbl>
      <w:tblPr>
        <w:tblW w:w="9363" w:type="dxa"/>
        <w:tblLayout w:type="fixed"/>
        <w:tblCellMar>
          <w:left w:w="0" w:type="dxa"/>
          <w:right w:w="0" w:type="dxa"/>
        </w:tblCellMar>
        <w:tblLook w:val="04A0" w:firstRow="1" w:lastRow="0" w:firstColumn="1" w:lastColumn="0" w:noHBand="0" w:noVBand="1"/>
      </w:tblPr>
      <w:tblGrid>
        <w:gridCol w:w="567"/>
        <w:gridCol w:w="585"/>
        <w:gridCol w:w="696"/>
        <w:gridCol w:w="483"/>
        <w:gridCol w:w="586"/>
        <w:gridCol w:w="586"/>
        <w:gridCol w:w="586"/>
        <w:gridCol w:w="586"/>
        <w:gridCol w:w="586"/>
        <w:gridCol w:w="586"/>
        <w:gridCol w:w="586"/>
        <w:gridCol w:w="586"/>
        <w:gridCol w:w="586"/>
        <w:gridCol w:w="586"/>
        <w:gridCol w:w="586"/>
        <w:gridCol w:w="586"/>
      </w:tblGrid>
      <w:tr>
        <w:trPr>
          <w:trHeight w:val="312"/>
        </w:trPr>
        <w:tc>
          <w:tcPr>
            <w:tcW w:w="567"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8796"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Lygios galimybės ir galimybė įsidarbinti</w:t>
            </w:r>
          </w:p>
        </w:tc>
      </w:tr>
      <w:tr>
        <w:trPr>
          <w:trHeight w:val="848"/>
        </w:trPr>
        <w:tc>
          <w:tcPr>
            <w:tcW w:w="567"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Calibri"/>
                <w:noProof/>
                <w:color w:val="000000"/>
                <w:sz w:val="16"/>
                <w:szCs w:val="16"/>
                <w:lang w:eastAsia="en-GB"/>
              </w:rPr>
            </w:pPr>
          </w:p>
        </w:tc>
        <w:tc>
          <w:tcPr>
            <w:tcW w:w="176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Mokyklos nebaigę asmenys </w:t>
            </w:r>
            <w:r>
              <w:rPr>
                <w:rFonts w:ascii="Arial Narrow" w:hAnsi="Arial Narrow"/>
                <w:b/>
                <w:bCs/>
                <w:noProof/>
                <w:color w:val="000000"/>
                <w:sz w:val="16"/>
                <w:szCs w:val="16"/>
              </w:rPr>
              <w:br/>
              <w:t>(18–24 m. gyventojų proc. dalis)</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Lyčių užimtumo skirtumas</w:t>
            </w:r>
            <w:r>
              <w:rPr>
                <w:rFonts w:ascii="Arial Narrow" w:hAnsi="Arial Narrow"/>
                <w:b/>
                <w:bCs/>
                <w:noProof/>
                <w:color w:val="000000"/>
                <w:sz w:val="16"/>
                <w:szCs w:val="16"/>
              </w:rPr>
              <w:br/>
              <w:t>(proc. punktais)</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Pajamų kvintilio dalies santykis (S80/S20)</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Skurdo ar socialinės atskirties rizikos lygis (%)</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NEET jaunimas (15–24 m. gyventojų proc. dalis)</w:t>
            </w:r>
          </w:p>
        </w:tc>
      </w:tr>
      <w:tr>
        <w:trPr>
          <w:trHeight w:val="312"/>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Metai</w:t>
            </w:r>
          </w:p>
        </w:tc>
        <w:tc>
          <w:tcPr>
            <w:tcW w:w="176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2020 m. II ketv.</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2020 m. II ketv.</w:t>
            </w:r>
          </w:p>
        </w:tc>
      </w:tr>
      <w:tr>
        <w:trPr>
          <w:trHeight w:val="1320"/>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585"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69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483"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VN / metinis pokytis ES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8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 27</w:t>
            </w:r>
          </w:p>
        </w:tc>
        <w:tc>
          <w:tcPr>
            <w:tcW w:w="58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9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483"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8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19 EZ</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ESnv</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EZnv</w:t>
            </w:r>
          </w:p>
        </w:tc>
        <w:tc>
          <w:tcPr>
            <w:tcW w:w="58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483"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 b</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 b</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−4,8</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 u</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8,3</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 b</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8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9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483"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86"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67" w:type="dxa"/>
            <w:tcBorders>
              <w:top w:val="nil"/>
              <w:left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8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9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483"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8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r>
      <w:tr>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8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9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483"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8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8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bl>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 </w:t>
      </w:r>
    </w:p>
    <w:p>
      <w:pPr>
        <w:spacing w:after="0" w:line="240" w:lineRule="auto"/>
        <w:rPr>
          <w:rFonts w:ascii="Times New Roman" w:hAnsi="Times New Roman" w:cs="Times New Roman"/>
          <w:noProof/>
          <w:sz w:val="20"/>
          <w:szCs w:val="20"/>
        </w:rPr>
      </w:pPr>
      <w:r>
        <w:rPr>
          <w:rFonts w:ascii="Times New Roman" w:hAnsi="Times New Roman"/>
          <w:noProof/>
          <w:sz w:val="20"/>
          <w:szCs w:val="20"/>
        </w:rPr>
        <w:t>Šaltinis: Eurostatas.</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Pastaba. „ESnv“ ir „EZnv“ – nesvertiniai ES ir euro zonos vidurkiai.</w:t>
      </w:r>
      <w:r>
        <w:rPr>
          <w:rFonts w:ascii="Times New Roman" w:hAnsi="Times New Roman"/>
          <w:noProof/>
          <w:color w:val="000000"/>
          <w:sz w:val="20"/>
          <w:szCs w:val="20"/>
        </w:rPr>
        <w:t xml:space="preserve"> Skirtumas nuo ES vidurkio apskaičiuojamas pagal nesvertinį vidurkį.</w:t>
      </w:r>
      <w:r>
        <w:rPr>
          <w:rFonts w:ascii="Times New Roman" w:hAnsi="Times New Roman"/>
          <w:noProof/>
          <w:sz w:val="20"/>
          <w:szCs w:val="20"/>
        </w:rPr>
        <w:tab/>
      </w:r>
    </w:p>
    <w:p>
      <w:pPr>
        <w:spacing w:after="0" w:line="240" w:lineRule="auto"/>
        <w:rPr>
          <w:rFonts w:ascii="Times New Roman" w:hAnsi="Times New Roman" w:cs="Times New Roman"/>
          <w:noProof/>
          <w:sz w:val="20"/>
          <w:szCs w:val="20"/>
        </w:rPr>
      </w:pPr>
      <w:r>
        <w:rPr>
          <w:rFonts w:ascii="Times New Roman" w:hAnsi="Times New Roman"/>
          <w:noProof/>
          <w:sz w:val="20"/>
          <w:szCs w:val="20"/>
        </w:rPr>
        <w:t>Žymos: b – laiko eilučių pertrūkis; e – prognozuojami įverčiai; p – negalutiniai duomenys; u – mažo patikimumo duomenys (mažas atvejų skaičius).</w:t>
      </w:r>
    </w:p>
    <w:p>
      <w:pPr>
        <w:rPr>
          <w:rFonts w:ascii="Times New Roman" w:hAnsi="Times New Roman" w:cs="Times New Roman"/>
          <w:b/>
          <w:noProof/>
          <w:sz w:val="24"/>
          <w:szCs w:val="24"/>
        </w:rPr>
      </w:pPr>
    </w:p>
    <w:p>
      <w:pPr>
        <w:rPr>
          <w:noProof/>
        </w:rPr>
      </w:pPr>
      <w:r>
        <w:rPr>
          <w:noProof/>
        </w:rPr>
        <w:br w:type="page"/>
      </w:r>
    </w:p>
    <w:p>
      <w:pPr>
        <w:rPr>
          <w:rFonts w:ascii="Times New Roman" w:hAnsi="Times New Roman" w:cs="Times New Roman"/>
          <w:b/>
          <w:noProof/>
          <w:sz w:val="24"/>
          <w:szCs w:val="24"/>
        </w:rPr>
      </w:pPr>
      <w:r>
        <w:rPr>
          <w:rFonts w:ascii="Times New Roman" w:hAnsi="Times New Roman"/>
          <w:b/>
          <w:noProof/>
          <w:sz w:val="24"/>
          <w:szCs w:val="24"/>
        </w:rPr>
        <w:t>2 priedas (tęsinys). Socialinių rodiklių suvestinės esminiai rodikliai, pokyčiai ir atotrūkis nuo ES vidurkio</w:t>
      </w:r>
    </w:p>
    <w:tbl>
      <w:tblPr>
        <w:tblW w:w="9356" w:type="dxa"/>
        <w:tblInd w:w="108" w:type="dxa"/>
        <w:tblLayout w:type="fixed"/>
        <w:tblCellMar>
          <w:left w:w="0" w:type="dxa"/>
          <w:right w:w="0" w:type="dxa"/>
        </w:tblCellMar>
        <w:tblLook w:val="04A0" w:firstRow="1" w:lastRow="0" w:firstColumn="1" w:lastColumn="0" w:noHBand="0" w:noVBand="1"/>
      </w:tblPr>
      <w:tblGrid>
        <w:gridCol w:w="709"/>
        <w:gridCol w:w="564"/>
        <w:gridCol w:w="565"/>
        <w:gridCol w:w="565"/>
        <w:gridCol w:w="564"/>
        <w:gridCol w:w="565"/>
        <w:gridCol w:w="565"/>
        <w:gridCol w:w="565"/>
        <w:gridCol w:w="564"/>
        <w:gridCol w:w="565"/>
        <w:gridCol w:w="565"/>
        <w:gridCol w:w="565"/>
        <w:gridCol w:w="564"/>
        <w:gridCol w:w="565"/>
        <w:gridCol w:w="636"/>
        <w:gridCol w:w="670"/>
      </w:tblGrid>
      <w:tr>
        <w:trPr>
          <w:trHeight w:val="330"/>
        </w:trPr>
        <w:tc>
          <w:tcPr>
            <w:tcW w:w="709"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noProof/>
                <w:color w:val="000000"/>
                <w:sz w:val="16"/>
                <w:szCs w:val="16"/>
                <w:lang w:eastAsia="en-GB"/>
              </w:rPr>
            </w:pPr>
          </w:p>
        </w:tc>
        <w:tc>
          <w:tcPr>
            <w:tcW w:w="8647"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Dinamiškos darbo rinkos ir tinkamos darbo sąlygos</w:t>
            </w:r>
          </w:p>
        </w:tc>
      </w:tr>
      <w:tr>
        <w:trPr>
          <w:trHeight w:val="976"/>
        </w:trPr>
        <w:tc>
          <w:tcPr>
            <w:tcW w:w="709"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Calibri"/>
                <w:noProof/>
                <w:color w:val="000000"/>
                <w:sz w:val="16"/>
                <w:szCs w:val="16"/>
                <w:lang w:eastAsia="en-GB"/>
              </w:rPr>
            </w:pP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Užimtumo lygis </w:t>
            </w:r>
            <w:r>
              <w:rPr>
                <w:rFonts w:ascii="Arial Narrow" w:hAnsi="Arial Narrow"/>
                <w:b/>
                <w:bCs/>
                <w:noProof/>
                <w:color w:val="000000"/>
                <w:sz w:val="16"/>
                <w:szCs w:val="16"/>
              </w:rPr>
              <w:br/>
              <w:t>(20–64 m. gyventojų proc. dalis)</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Nedarbo lygis </w:t>
            </w:r>
            <w:r>
              <w:rPr>
                <w:rFonts w:ascii="Arial Narrow" w:hAnsi="Arial Narrow"/>
                <w:b/>
                <w:bCs/>
                <w:noProof/>
                <w:color w:val="000000"/>
                <w:sz w:val="16"/>
                <w:szCs w:val="16"/>
              </w:rPr>
              <w:br/>
              <w:t xml:space="preserve">(15–74 m. ekonomiškai aktyvių gyventojų proc. dalis) </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Ilgalaikio nedarbo lygis (15–74 m. ekonomiškai aktyvių gyventojų proc. dalis)</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Realiosios bendros disponuojamosios namų ūkio pajamos vienam gyventojui </w:t>
            </w:r>
            <w:r>
              <w:rPr>
                <w:rFonts w:ascii="Arial Narrow" w:hAnsi="Arial Narrow"/>
                <w:b/>
                <w:bCs/>
                <w:noProof/>
                <w:color w:val="000000"/>
                <w:sz w:val="16"/>
                <w:szCs w:val="16"/>
              </w:rPr>
              <w:br/>
              <w:t>(2008 m. = 100)</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Visą darbo laiką dirbančio </w:t>
            </w:r>
            <w:r>
              <w:rPr>
                <w:rFonts w:ascii="Arial Narrow" w:hAnsi="Arial Narrow"/>
                <w:b/>
                <w:bCs/>
                <w:noProof/>
                <w:color w:val="000000"/>
                <w:sz w:val="16"/>
                <w:szCs w:val="16"/>
              </w:rPr>
              <w:br/>
              <w:t xml:space="preserve">ir vidutinį darbo užmokestį uždirbančio </w:t>
            </w:r>
            <w:r>
              <w:rPr>
                <w:rFonts w:ascii="Arial Narrow" w:hAnsi="Arial Narrow"/>
                <w:b/>
                <w:bCs/>
                <w:noProof/>
                <w:color w:val="000000"/>
                <w:sz w:val="16"/>
                <w:szCs w:val="16"/>
              </w:rPr>
              <w:br/>
              <w:t>darbuotojo grynasis uždarbis</w:t>
            </w:r>
          </w:p>
        </w:tc>
      </w:tr>
      <w:tr>
        <w:trPr>
          <w:trHeight w:val="312"/>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Metai</w:t>
            </w: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2020 m. II ketv.</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2020 m. II ketv.</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2020 m. II ketv.</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r>
      <w:tr>
        <w:trPr>
          <w:trHeight w:val="1320"/>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564"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c>
          <w:tcPr>
            <w:tcW w:w="564"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64"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564"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Metinis pokytis VN / </w:t>
            </w:r>
          </w:p>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ES</w:t>
            </w:r>
          </w:p>
        </w:tc>
        <w:tc>
          <w:tcPr>
            <w:tcW w:w="565"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63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670"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VN / metinis pokytis ES</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 27</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4"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64"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19 EZ</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ESnv</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EZnv</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636" w:type="dxa"/>
            <w:tcBorders>
              <w:top w:val="nil"/>
              <w:left w:val="nil"/>
              <w:bottom w:val="nil"/>
              <w:right w:val="nil"/>
            </w:tcBorders>
            <w:shd w:val="clear" w:color="auto" w:fill="auto"/>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1 430</w:t>
            </w:r>
          </w:p>
        </w:tc>
        <w:tc>
          <w:tcPr>
            <w:tcW w:w="670"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63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5 482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−9 860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−4 784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9 786</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7 665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−4 135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10 646</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−1 779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2 445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3 093</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−6 534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−19,4</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990</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3 045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−8 903</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21,5</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−7 669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13 444</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−3,2</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−7 229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 u</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572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8 032</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7 719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−5 467</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−4 698</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2,7</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29,7</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−8 629</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−5 105</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6,5</w:t>
            </w:r>
          </w:p>
        </w:tc>
      </w:tr>
      <w:tr>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65"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4"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63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−7 977</w:t>
            </w:r>
          </w:p>
        </w:tc>
        <w:tc>
          <w:tcPr>
            <w:tcW w:w="670"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r>
      <w:tr>
        <w:trPr>
          <w:trHeight w:val="227"/>
        </w:trPr>
        <w:tc>
          <w:tcPr>
            <w:tcW w:w="709" w:type="dxa"/>
            <w:tcBorders>
              <w:top w:val="nil"/>
              <w:left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564"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64"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63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4 295</w:t>
            </w:r>
          </w:p>
        </w:tc>
        <w:tc>
          <w:tcPr>
            <w:tcW w:w="670"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r>
      <w:tr>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564"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65"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4"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65"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63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5 555</w:t>
            </w:r>
          </w:p>
        </w:tc>
        <w:tc>
          <w:tcPr>
            <w:tcW w:w="670"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r>
    </w:tbl>
    <w:p>
      <w:pPr>
        <w:spacing w:after="0" w:line="240" w:lineRule="auto"/>
        <w:rPr>
          <w:rFonts w:ascii="Times New Roman" w:hAnsi="Times New Roman" w:cs="Times New Roman"/>
          <w:noProof/>
          <w:sz w:val="20"/>
          <w:szCs w:val="20"/>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Šaltinis: Eurostatas, EBPO.</w:t>
      </w:r>
    </w:p>
    <w:p>
      <w:pPr>
        <w:pStyle w:val="FootnoteText"/>
        <w:jc w:val="both"/>
        <w:rPr>
          <w:rFonts w:ascii="Times New Roman" w:hAnsi="Times New Roman" w:cs="Times New Roman"/>
          <w:noProof/>
        </w:rPr>
      </w:pPr>
      <w:r>
        <w:rPr>
          <w:rFonts w:ascii="Times New Roman" w:hAnsi="Times New Roman"/>
          <w:noProof/>
        </w:rPr>
        <w:t>Pastaba. „ESnv“ ir „EZnv“ – nesvertiniai ES ir euro zonos vidurkiai. Skirtumas nuo ES vidurkio apskaičiuojamas pagal nesvertinį vidurkį. Realiosios bendros disponuojamosios namų ūkio pajamos vienam gyventojui apskaičiuojamos remiantis nekoreguotomis pajamomis (t. y. neatsižvelgiant į socialinius pervedimus natūra) ir nekoreguojant pagal perkamosios galios standartus. Visą darbo laiką dirbančio ir vidutinį darbo užmokestį uždirbančio darbuotojo grynasis uždarbis turėtų būti suprantamas ir aiškinamas kartu su kitais rodikliais, pavyzdžiui, dirbančiųjų skurdo lygiu, darbo užmokesčio pasiskirstymo penktojo ir pirmojo decilių santykiu (D5/D1) ir kitais atitinkamais Užimtumo rodiklių apžvalgos, Socialinės apsaugos rodiklių apžvalgos ir Bendros vertinimo sistemos rodikliais. Šio rodiklio atotrūkis nuo ES vidurkio išreiškiamas perkamosios galios standartais (PGS), o pokyčiai – realiąja nacionaline valiuta; siekiant sušvelninti trumpalaikius svyravimus, apskaičiuojant rodiklio lygius ir pokyčius naudojamasi trejų metų vidurkiu.</w:t>
      </w:r>
    </w:p>
    <w:p>
      <w:pPr>
        <w:pStyle w:val="FootnoteText"/>
        <w:jc w:val="both"/>
        <w:rPr>
          <w:noProof/>
        </w:rPr>
      </w:pPr>
      <w:r>
        <w:rPr>
          <w:rFonts w:ascii="Times New Roman" w:hAnsi="Times New Roman"/>
          <w:noProof/>
        </w:rPr>
        <w:t>Žymos: b – laiko eilučių pertrūkis; e – prognozuojami įverčiai; p – negalutiniai duomenys; u – mažo patikimumo duomenys (mažas atvejų skaičius).</w:t>
      </w:r>
      <w:r>
        <w:rPr>
          <w:noProof/>
        </w:rPr>
        <w:br w:type="page"/>
      </w:r>
    </w:p>
    <w:p>
      <w:pPr>
        <w:rPr>
          <w:rFonts w:ascii="Times New Roman" w:hAnsi="Times New Roman" w:cs="Times New Roman"/>
          <w:b/>
          <w:noProof/>
          <w:sz w:val="24"/>
          <w:szCs w:val="24"/>
        </w:rPr>
      </w:pPr>
      <w:r>
        <w:rPr>
          <w:rFonts w:ascii="Times New Roman" w:hAnsi="Times New Roman"/>
          <w:b/>
          <w:noProof/>
          <w:sz w:val="24"/>
          <w:szCs w:val="24"/>
        </w:rPr>
        <w:t>2 priedas (tęsinys). Socialinių rodiklių suvestinės esminiai rodikliai, pokyčiai ir atotrūkis nuo ES vidurkio</w:t>
      </w:r>
    </w:p>
    <w:tbl>
      <w:tblPr>
        <w:tblW w:w="0" w:type="auto"/>
        <w:tblInd w:w="108" w:type="dxa"/>
        <w:tblLayout w:type="fixed"/>
        <w:tblLook w:val="04A0" w:firstRow="1" w:lastRow="0" w:firstColumn="1" w:lastColumn="0" w:noHBand="0" w:noVBand="1"/>
      </w:tblPr>
      <w:tblGrid>
        <w:gridCol w:w="581"/>
        <w:gridCol w:w="716"/>
        <w:gridCol w:w="717"/>
        <w:gridCol w:w="716"/>
        <w:gridCol w:w="717"/>
        <w:gridCol w:w="716"/>
        <w:gridCol w:w="717"/>
        <w:gridCol w:w="717"/>
        <w:gridCol w:w="716"/>
        <w:gridCol w:w="717"/>
        <w:gridCol w:w="716"/>
        <w:gridCol w:w="717"/>
        <w:gridCol w:w="717"/>
      </w:tblGrid>
      <w:tr>
        <w:trPr>
          <w:trHeight w:val="312"/>
        </w:trPr>
        <w:tc>
          <w:tcPr>
            <w:tcW w:w="581" w:type="dxa"/>
            <w:vMerge w:val="restart"/>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8599" w:type="dxa"/>
            <w:gridSpan w:val="12"/>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Viešoji parama / socialinė apsauga ir įtrauktis</w:t>
            </w:r>
          </w:p>
        </w:tc>
      </w:tr>
      <w:tr>
        <w:trPr>
          <w:trHeight w:val="1131"/>
        </w:trPr>
        <w:tc>
          <w:tcPr>
            <w:tcW w:w="581" w:type="dxa"/>
            <w:vMerge/>
            <w:tcBorders>
              <w:top w:val="single" w:sz="4" w:space="0" w:color="auto"/>
              <w:left w:val="single" w:sz="4" w:space="0" w:color="auto"/>
              <w:bottom w:val="nil"/>
              <w:right w:val="single" w:sz="4" w:space="0" w:color="auto"/>
            </w:tcBorders>
            <w:vAlign w:val="center"/>
            <w:hideMark/>
          </w:tcPr>
          <w:p>
            <w:pPr>
              <w:spacing w:after="0" w:line="240" w:lineRule="auto"/>
              <w:rPr>
                <w:rFonts w:ascii="Arial Narrow" w:eastAsia="Times New Roman" w:hAnsi="Arial Narrow" w:cs="Calibri"/>
                <w:noProof/>
                <w:color w:val="000000"/>
                <w:sz w:val="16"/>
                <w:szCs w:val="16"/>
                <w:lang w:eastAsia="en-GB"/>
              </w:rPr>
            </w:pPr>
          </w:p>
        </w:tc>
        <w:tc>
          <w:tcPr>
            <w:tcW w:w="2149"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Socialinių pervedimų (išskyrus pensijas) poveikis skurdo mažinimui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Vaikai iki 3 m., kuriems teikiamos oficialios priežiūros paslaugos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Asmenys, kurie nurodo turį nepatenkintų medicininės priežiūros poreikių (%)</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Asmenys, turintys bazinius ar geresnius bendruosius skaitmeninius įgūdžius (16–74 m. gyventojų proc. dalis)</w:t>
            </w:r>
          </w:p>
        </w:tc>
      </w:tr>
      <w:tr>
        <w:trPr>
          <w:trHeight w:val="312"/>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Metai</w:t>
            </w:r>
          </w:p>
        </w:tc>
        <w:tc>
          <w:tcPr>
            <w:tcW w:w="2149"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c>
          <w:tcPr>
            <w:tcW w:w="2150"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2019</w:t>
            </w:r>
          </w:p>
        </w:tc>
      </w:tr>
      <w:tr>
        <w:trPr>
          <w:trHeight w:val="1320"/>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noProof/>
                <w:color w:val="000000"/>
                <w:sz w:val="16"/>
                <w:szCs w:val="16"/>
              </w:rPr>
            </w:pPr>
            <w:r>
              <w:rPr>
                <w:rFonts w:ascii="Arial Narrow" w:hAnsi="Arial Narrow"/>
                <w:noProof/>
                <w:color w:val="000000"/>
                <w:sz w:val="16"/>
                <w:szCs w:val="16"/>
              </w:rPr>
              <w:t> </w:t>
            </w:r>
          </w:p>
        </w:tc>
        <w:tc>
          <w:tcPr>
            <w:tcW w:w="716"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VN / metinis pokytis ES</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VN / metinis pokytis ES</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VN / metinis pokytis ES</w:t>
            </w:r>
          </w:p>
        </w:tc>
        <w:tc>
          <w:tcPr>
            <w:tcW w:w="716"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Atotrūkis nuo ES vidurkio</w:t>
            </w:r>
          </w:p>
        </w:tc>
        <w:tc>
          <w:tcPr>
            <w:tcW w:w="717" w:type="dxa"/>
            <w:tcBorders>
              <w:top w:val="nil"/>
              <w:left w:val="nil"/>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Metinis pokytis VN / metinis pokytis ES</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 27</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6"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single" w:sz="4" w:space="0" w:color="auto"/>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19 EZ</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ESnv</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r>
      <w:tr>
        <w:trPr>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EZnv</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 b</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 b</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 b</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21,7</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 bu</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−10,8</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−0,5</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−20,0 b</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−18,8</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−13,0</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2,6</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−25,5</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−21,6</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1,4</w:t>
            </w:r>
          </w:p>
        </w:tc>
      </w:tr>
      <w:tr>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w:t>
            </w:r>
          </w:p>
        </w:tc>
        <w:tc>
          <w:tcPr>
            <w:tcW w:w="716"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717" w:type="dxa"/>
            <w:tcBorders>
              <w:top w:val="nil"/>
              <w:left w:val="nil"/>
              <w:bottom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717" w:type="dxa"/>
            <w:tcBorders>
              <w:top w:val="nil"/>
              <w:left w:val="nil"/>
              <w:bottom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r>
        <w:trPr>
          <w:trHeight w:val="227"/>
        </w:trPr>
        <w:tc>
          <w:tcPr>
            <w:tcW w:w="581" w:type="dxa"/>
            <w:tcBorders>
              <w:top w:val="nil"/>
              <w:left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716"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716"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717"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7"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717"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0,2</w:t>
            </w:r>
          </w:p>
        </w:tc>
        <w:tc>
          <w:tcPr>
            <w:tcW w:w="716"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0,0</w:t>
            </w:r>
          </w:p>
        </w:tc>
        <w:tc>
          <w:tcPr>
            <w:tcW w:w="717" w:type="dxa"/>
            <w:tcBorders>
              <w:top w:val="nil"/>
              <w:left w:val="nil"/>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20,1</w:t>
            </w:r>
          </w:p>
        </w:tc>
        <w:tc>
          <w:tcPr>
            <w:tcW w:w="717" w:type="dxa"/>
            <w:tcBorders>
              <w:top w:val="nil"/>
              <w:left w:val="nil"/>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0,4</w:t>
            </w:r>
          </w:p>
        </w:tc>
      </w:tr>
      <w:tr>
        <w:trPr>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716"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−2,5</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−0,3</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17,4</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0,1</w:t>
            </w:r>
          </w:p>
        </w:tc>
        <w:tc>
          <w:tcPr>
            <w:tcW w:w="716"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−5,0 u</w:t>
            </w:r>
          </w:p>
        </w:tc>
        <w:tc>
          <w:tcPr>
            <w:tcW w:w="717" w:type="dxa"/>
            <w:tcBorders>
              <w:top w:val="nil"/>
              <w:left w:val="nil"/>
              <w:bottom w:val="single" w:sz="4" w:space="0" w:color="auto"/>
              <w:right w:val="nil"/>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16,1</w:t>
            </w:r>
          </w:p>
        </w:tc>
        <w:tc>
          <w:tcPr>
            <w:tcW w:w="717"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center"/>
              <w:rPr>
                <w:rFonts w:ascii="Arial Narrow" w:eastAsia="Times New Roman" w:hAnsi="Arial Narrow" w:cs="Calibri"/>
                <w:noProof/>
                <w:color w:val="000000"/>
                <w:sz w:val="16"/>
                <w:szCs w:val="16"/>
              </w:rPr>
            </w:pPr>
            <w:r>
              <w:rPr>
                <w:rFonts w:ascii="Arial Narrow" w:hAnsi="Arial Narrow"/>
                <w:noProof/>
                <w:color w:val="000000"/>
                <w:sz w:val="16"/>
                <w:szCs w:val="16"/>
              </w:rPr>
              <w:t>−4,6</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Šaltinis: Eurostatas.</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Pastaba. „ESnv“ ir „EZnv“ – nesvertiniai ES ir euro zonos vidurkiai.</w:t>
      </w:r>
      <w:r>
        <w:rPr>
          <w:rFonts w:ascii="Times New Roman" w:hAnsi="Times New Roman"/>
          <w:noProof/>
          <w:color w:val="000000"/>
          <w:sz w:val="20"/>
          <w:szCs w:val="20"/>
        </w:rPr>
        <w:t xml:space="preserve"> Skirtumas nuo ES vidurkio apskaičiuojamas pagal nesvertinį vidurkį. Individualaus skaitmeninių įgūdžių lygio pokytis apskaičiuojamas remiantis 2017 m. duomenimis (2018 m. duomenų nėra).</w:t>
      </w:r>
      <w:r>
        <w:rPr>
          <w:rFonts w:ascii="Times New Roman" w:hAnsi="Times New Roman"/>
          <w:noProof/>
          <w:sz w:val="20"/>
          <w:szCs w:val="20"/>
        </w:rPr>
        <w:tab/>
      </w:r>
    </w:p>
    <w:p>
      <w:pPr>
        <w:spacing w:after="0" w:line="240" w:lineRule="auto"/>
        <w:rPr>
          <w:rFonts w:ascii="Times New Roman" w:hAnsi="Times New Roman" w:cs="Times New Roman"/>
          <w:noProof/>
          <w:sz w:val="20"/>
          <w:szCs w:val="20"/>
        </w:rPr>
      </w:pPr>
      <w:r>
        <w:rPr>
          <w:rFonts w:ascii="Times New Roman" w:hAnsi="Times New Roman"/>
          <w:noProof/>
          <w:sz w:val="20"/>
          <w:szCs w:val="20"/>
        </w:rPr>
        <w:t>Žymos: b – laiko eilučių pertrūkis; e – prognozuojami įverčiai; p – negalutiniai duomenys; u – mažo patikimumo duomenys (mažas atvejų skaičius).</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noProof/>
        </w:rPr>
        <w:br w:type="page"/>
      </w:r>
    </w:p>
    <w:p>
      <w:pPr>
        <w:jc w:val="both"/>
        <w:rPr>
          <w:rFonts w:ascii="Times New Roman" w:hAnsi="Times New Roman" w:cs="Times New Roman"/>
          <w:b/>
          <w:noProof/>
          <w:sz w:val="24"/>
          <w:szCs w:val="24"/>
        </w:rPr>
      </w:pPr>
      <w:r>
        <w:rPr>
          <w:rFonts w:ascii="Times New Roman" w:hAnsi="Times New Roman"/>
          <w:b/>
          <w:noProof/>
          <w:sz w:val="24"/>
          <w:szCs w:val="24"/>
        </w:rPr>
        <w:t>3 priedas. Socialinių rodiklių suvestinės darbo rinkos rodikliai: metiniai lygiai ir taškinės diagramos</w:t>
      </w:r>
    </w:p>
    <w:tbl>
      <w:tblPr>
        <w:tblW w:w="8854" w:type="dxa"/>
        <w:tblInd w:w="113" w:type="dxa"/>
        <w:tblLayout w:type="fixed"/>
        <w:tblLook w:val="04A0" w:firstRow="1" w:lastRow="0" w:firstColumn="1" w:lastColumn="0" w:noHBand="0" w:noVBand="1"/>
      </w:tblPr>
      <w:tblGrid>
        <w:gridCol w:w="704"/>
        <w:gridCol w:w="548"/>
        <w:gridCol w:w="557"/>
        <w:gridCol w:w="568"/>
        <w:gridCol w:w="560"/>
        <w:gridCol w:w="560"/>
        <w:gridCol w:w="561"/>
        <w:gridCol w:w="6"/>
        <w:gridCol w:w="502"/>
        <w:gridCol w:w="581"/>
        <w:gridCol w:w="508"/>
        <w:gridCol w:w="532"/>
        <w:gridCol w:w="532"/>
        <w:gridCol w:w="532"/>
        <w:gridCol w:w="532"/>
        <w:gridCol w:w="532"/>
        <w:gridCol w:w="532"/>
        <w:gridCol w:w="7"/>
      </w:tblGrid>
      <w:tr>
        <w:trPr>
          <w:trHeight w:val="436"/>
        </w:trPr>
        <w:tc>
          <w:tcPr>
            <w:tcW w:w="704" w:type="dxa"/>
            <w:vMerge w:val="restart"/>
            <w:tcBorders>
              <w:top w:val="single" w:sz="4" w:space="0" w:color="auto"/>
              <w:left w:val="single" w:sz="4" w:space="0" w:color="auto"/>
              <w:right w:val="single" w:sz="4" w:space="0" w:color="auto"/>
            </w:tcBorders>
            <w:shd w:val="clear" w:color="auto" w:fill="EEECE1" w:themeFill="background2"/>
            <w:vAlign w:val="center"/>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Metai</w:t>
            </w:r>
          </w:p>
        </w:tc>
        <w:tc>
          <w:tcPr>
            <w:tcW w:w="3360" w:type="dxa"/>
            <w:gridSpan w:val="7"/>
            <w:tcBorders>
              <w:top w:val="single" w:sz="4" w:space="0" w:color="auto"/>
              <w:left w:val="single" w:sz="4" w:space="0" w:color="auto"/>
              <w:bottom w:val="single" w:sz="4" w:space="0" w:color="auto"/>
              <w:right w:val="single" w:sz="4" w:space="0" w:color="000000"/>
            </w:tcBorders>
            <w:shd w:val="clear" w:color="000000" w:fill="EEECE1"/>
            <w:vAlign w:val="center"/>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Lygios galimybės ir galimybė įsidarbinti</w:t>
            </w:r>
          </w:p>
        </w:tc>
        <w:tc>
          <w:tcPr>
            <w:tcW w:w="4790" w:type="dxa"/>
            <w:gridSpan w:val="10"/>
            <w:tcBorders>
              <w:top w:val="single" w:sz="4" w:space="0" w:color="auto"/>
              <w:left w:val="nil"/>
              <w:bottom w:val="single" w:sz="4" w:space="0" w:color="auto"/>
              <w:right w:val="single" w:sz="4" w:space="0" w:color="000000"/>
            </w:tcBorders>
            <w:shd w:val="clear" w:color="000000" w:fill="EEECE1"/>
            <w:vAlign w:val="center"/>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Dinamiškos darbo rinkos ir tinkamos darbo sąlygos</w:t>
            </w:r>
          </w:p>
        </w:tc>
      </w:tr>
      <w:tr>
        <w:trPr>
          <w:gridAfter w:val="1"/>
          <w:wAfter w:w="7" w:type="dxa"/>
          <w:trHeight w:val="1473"/>
        </w:trPr>
        <w:tc>
          <w:tcPr>
            <w:tcW w:w="704" w:type="dxa"/>
            <w:vMerge/>
            <w:tcBorders>
              <w:left w:val="single" w:sz="4" w:space="0" w:color="auto"/>
              <w:right w:val="single" w:sz="4" w:space="0" w:color="auto"/>
            </w:tcBorders>
            <w:shd w:val="clear" w:color="auto" w:fill="EEECE1" w:themeFill="background2"/>
            <w:vAlign w:val="center"/>
            <w:hideMark/>
          </w:tcPr>
          <w:p>
            <w:pPr>
              <w:spacing w:after="0" w:line="240" w:lineRule="auto"/>
              <w:jc w:val="center"/>
              <w:rPr>
                <w:rFonts w:ascii="Arial Narrow" w:eastAsia="Times New Roman" w:hAnsi="Arial Narrow" w:cs="Calibri"/>
                <w:b/>
                <w:bCs/>
                <w:noProof/>
                <w:color w:val="000000"/>
                <w:sz w:val="16"/>
                <w:szCs w:val="16"/>
                <w:lang w:eastAsia="en-GB"/>
              </w:rPr>
            </w:pPr>
          </w:p>
        </w:tc>
        <w:tc>
          <w:tcPr>
            <w:tcW w:w="1673"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Lyčių užimtumo skirtumas</w:t>
            </w:r>
            <w:r>
              <w:rPr>
                <w:rFonts w:ascii="Arial Narrow" w:hAnsi="Arial Narrow"/>
                <w:b/>
                <w:bCs/>
                <w:noProof/>
                <w:color w:val="000000"/>
                <w:sz w:val="16"/>
                <w:szCs w:val="16"/>
              </w:rPr>
              <w:br/>
              <w:t>(proc. punktais)</w:t>
            </w:r>
          </w:p>
        </w:tc>
        <w:tc>
          <w:tcPr>
            <w:tcW w:w="1681"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highlight w:val="yellow"/>
              </w:rPr>
            </w:pPr>
            <w:r>
              <w:rPr>
                <w:rFonts w:ascii="Arial Narrow" w:hAnsi="Arial Narrow"/>
                <w:b/>
                <w:bCs/>
                <w:noProof/>
                <w:color w:val="000000"/>
                <w:sz w:val="16"/>
                <w:szCs w:val="16"/>
              </w:rPr>
              <w:t>NEET jaunimas (15–24 m. gyventojų proc. dalis)</w:t>
            </w:r>
          </w:p>
        </w:tc>
        <w:tc>
          <w:tcPr>
            <w:tcW w:w="1597" w:type="dxa"/>
            <w:gridSpan w:val="4"/>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Užimtumo lygis </w:t>
            </w:r>
            <w:r>
              <w:rPr>
                <w:rFonts w:ascii="Arial Narrow" w:hAnsi="Arial Narrow"/>
                <w:b/>
                <w:bCs/>
                <w:noProof/>
                <w:color w:val="000000"/>
                <w:sz w:val="16"/>
                <w:szCs w:val="16"/>
              </w:rPr>
              <w:br/>
              <w:t xml:space="preserve">(20–64 m. gyventojų </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proc. dalis)</w:t>
            </w:r>
          </w:p>
        </w:tc>
        <w:tc>
          <w:tcPr>
            <w:tcW w:w="1596"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Nedarbo lygis </w:t>
            </w:r>
            <w:r>
              <w:rPr>
                <w:rFonts w:ascii="Arial Narrow" w:hAnsi="Arial Narrow"/>
                <w:b/>
                <w:bCs/>
                <w:noProof/>
                <w:color w:val="000000"/>
                <w:sz w:val="16"/>
                <w:szCs w:val="16"/>
              </w:rPr>
              <w:br/>
              <w:t xml:space="preserve">(15–74 m. ekonomiškai aktyvių gyventojų proc. dalis) </w:t>
            </w:r>
          </w:p>
        </w:tc>
        <w:tc>
          <w:tcPr>
            <w:tcW w:w="1596" w:type="dxa"/>
            <w:gridSpan w:val="3"/>
            <w:tcBorders>
              <w:top w:val="single" w:sz="4" w:space="0" w:color="auto"/>
              <w:left w:val="nil"/>
              <w:bottom w:val="single" w:sz="4" w:space="0" w:color="auto"/>
              <w:right w:val="single" w:sz="4" w:space="0" w:color="000000"/>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 xml:space="preserve">Ilgalaikio nedarbo lygis </w:t>
            </w:r>
          </w:p>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(15–74 m. ekonomiškai aktyvių gyventojų proc. dalis)</w:t>
            </w:r>
          </w:p>
        </w:tc>
      </w:tr>
      <w:tr>
        <w:trPr>
          <w:gridAfter w:val="1"/>
          <w:wAfter w:w="7" w:type="dxa"/>
          <w:trHeight w:val="675"/>
        </w:trPr>
        <w:tc>
          <w:tcPr>
            <w:tcW w:w="704" w:type="dxa"/>
            <w:vMerge/>
            <w:tcBorders>
              <w:left w:val="single" w:sz="4" w:space="0" w:color="auto"/>
              <w:bottom w:val="single" w:sz="4" w:space="0" w:color="auto"/>
              <w:right w:val="single" w:sz="4" w:space="0" w:color="auto"/>
            </w:tcBorders>
            <w:shd w:val="clear" w:color="auto" w:fill="EEECE1" w:themeFill="background2"/>
            <w:vAlign w:val="center"/>
            <w:hideMark/>
          </w:tcPr>
          <w:p>
            <w:pPr>
              <w:spacing w:after="0" w:line="240" w:lineRule="auto"/>
              <w:jc w:val="center"/>
              <w:rPr>
                <w:rFonts w:ascii="Arial Narrow" w:eastAsia="Times New Roman" w:hAnsi="Arial Narrow" w:cs="Calibri"/>
                <w:b/>
                <w:bCs/>
                <w:noProof/>
                <w:color w:val="000000"/>
                <w:sz w:val="16"/>
                <w:szCs w:val="16"/>
                <w:lang w:eastAsia="en-GB"/>
              </w:rPr>
            </w:pPr>
          </w:p>
        </w:tc>
        <w:tc>
          <w:tcPr>
            <w:tcW w:w="548"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57"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8"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60"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60"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61"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08" w:type="dxa"/>
            <w:gridSpan w:val="2"/>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81"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08"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32" w:type="dxa"/>
            <w:tcBorders>
              <w:top w:val="nil"/>
              <w:left w:val="nil"/>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2017</w:t>
            </w:r>
          </w:p>
        </w:tc>
        <w:tc>
          <w:tcPr>
            <w:tcW w:w="532" w:type="dxa"/>
            <w:tcBorders>
              <w:top w:val="nil"/>
              <w:left w:val="single" w:sz="4" w:space="0" w:color="auto"/>
              <w:bottom w:val="single" w:sz="4" w:space="0" w:color="auto"/>
              <w:right w:val="nil"/>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2018</w:t>
            </w:r>
          </w:p>
        </w:tc>
        <w:tc>
          <w:tcPr>
            <w:tcW w:w="532" w:type="dxa"/>
            <w:tcBorders>
              <w:top w:val="nil"/>
              <w:left w:val="single" w:sz="4" w:space="0" w:color="auto"/>
              <w:bottom w:val="single" w:sz="4" w:space="0" w:color="auto"/>
              <w:right w:val="single" w:sz="4" w:space="0" w:color="auto"/>
            </w:tcBorders>
            <w:shd w:val="clear" w:color="000000" w:fill="EEECE1"/>
            <w:vAlign w:val="center"/>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2019</w:t>
            </w:r>
          </w:p>
        </w:tc>
      </w:tr>
      <w:tr>
        <w:trPr>
          <w:gridAfter w:val="1"/>
          <w:wAfter w:w="7" w:type="dxa"/>
          <w:trHeight w:val="227"/>
        </w:trPr>
        <w:tc>
          <w:tcPr>
            <w:tcW w:w="704" w:type="dxa"/>
            <w:tcBorders>
              <w:top w:val="single" w:sz="4" w:space="0" w:color="auto"/>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 27</w:t>
            </w:r>
          </w:p>
        </w:tc>
        <w:tc>
          <w:tcPr>
            <w:tcW w:w="548"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w:t>
            </w:r>
          </w:p>
        </w:tc>
        <w:tc>
          <w:tcPr>
            <w:tcW w:w="557"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68"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11,7</w:t>
            </w:r>
          </w:p>
        </w:tc>
        <w:tc>
          <w:tcPr>
            <w:tcW w:w="560"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0"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1"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08" w:type="dxa"/>
            <w:gridSpan w:val="2"/>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71,3</w:t>
            </w:r>
          </w:p>
        </w:tc>
        <w:tc>
          <w:tcPr>
            <w:tcW w:w="581"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08"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73,1</w:t>
            </w:r>
          </w:p>
        </w:tc>
        <w:tc>
          <w:tcPr>
            <w:tcW w:w="532" w:type="dxa"/>
            <w:tcBorders>
              <w:top w:val="single" w:sz="4" w:space="0" w:color="auto"/>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32" w:type="dxa"/>
            <w:tcBorders>
              <w:top w:val="single" w:sz="4" w:space="0" w:color="auto"/>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32" w:type="dxa"/>
            <w:tcBorders>
              <w:top w:val="single" w:sz="4" w:space="0" w:color="auto"/>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19 EZ</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ESnv</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73,7</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gridAfter w:val="1"/>
          <w:wAfter w:w="7"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EZnv</w:t>
            </w:r>
          </w:p>
        </w:tc>
        <w:tc>
          <w:tcPr>
            <w:tcW w:w="54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08" w:type="dxa"/>
            <w:gridSpan w:val="2"/>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72,0</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0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74,3</w:t>
            </w:r>
          </w:p>
        </w:tc>
        <w:tc>
          <w:tcPr>
            <w:tcW w:w="532" w:type="dxa"/>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4,1</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69,7</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70,5</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BG</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15,0</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CZ</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DK</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DE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79,2</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78,7</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IE</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74,1</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19,7</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12,5</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57,8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61,2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12,2</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ES</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12,4</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FR</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71,3</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71,6</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HR</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11,8</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63,6</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IT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63,0</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63,5</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CY</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75,7</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LV</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76,8</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77,8</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78,2</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LU</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5,9</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5,3</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71,5</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72,1</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HU</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10,7</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73,3</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75,3</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MT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24,1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21,9</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20,7</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75,5</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NL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10,1</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78,0</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79,2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AT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76,8</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PL</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14,6</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14,4</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15,4</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8,7 b</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70,9</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72,2</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73,0</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3,3</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0,7</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PT</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9,3</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8,4</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76,1</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2,8</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RO</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17,1</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15,2</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14,5</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14,7</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68,8</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69,9</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70,9</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3,9</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2,0</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1,8</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1,7</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SI</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7,0</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75,4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6,6</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4,5</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2,2</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1,9</w:t>
            </w:r>
          </w:p>
        </w:tc>
      </w:tr>
      <w:tr>
        <w:trPr>
          <w:gridAfter w:val="1"/>
          <w:wAfter w:w="7" w:type="dxa"/>
          <w:trHeight w:val="227"/>
        </w:trPr>
        <w:tc>
          <w:tcPr>
            <w:tcW w:w="704" w:type="dxa"/>
            <w:tcBorders>
              <w:top w:val="nil"/>
              <w:left w:val="single" w:sz="4" w:space="0" w:color="auto"/>
              <w:bottom w:val="nil"/>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SK</w:t>
            </w:r>
          </w:p>
        </w:tc>
        <w:tc>
          <w:tcPr>
            <w:tcW w:w="54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12,8</w:t>
            </w:r>
          </w:p>
        </w:tc>
        <w:tc>
          <w:tcPr>
            <w:tcW w:w="557"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13,7</w:t>
            </w:r>
          </w:p>
        </w:tc>
        <w:tc>
          <w:tcPr>
            <w:tcW w:w="568"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13,0</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12,1</w:t>
            </w:r>
          </w:p>
        </w:tc>
        <w:tc>
          <w:tcPr>
            <w:tcW w:w="560"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10,2</w:t>
            </w:r>
          </w:p>
        </w:tc>
        <w:tc>
          <w:tcPr>
            <w:tcW w:w="561"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10,3</w:t>
            </w:r>
          </w:p>
        </w:tc>
        <w:tc>
          <w:tcPr>
            <w:tcW w:w="508" w:type="dxa"/>
            <w:gridSpan w:val="2"/>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71,1</w:t>
            </w:r>
          </w:p>
        </w:tc>
        <w:tc>
          <w:tcPr>
            <w:tcW w:w="581"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72,4</w:t>
            </w:r>
          </w:p>
        </w:tc>
        <w:tc>
          <w:tcPr>
            <w:tcW w:w="508"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73,4</w:t>
            </w:r>
          </w:p>
        </w:tc>
        <w:tc>
          <w:tcPr>
            <w:tcW w:w="532" w:type="dxa"/>
            <w:tcBorders>
              <w:top w:val="nil"/>
              <w:left w:val="single" w:sz="4" w:space="0" w:color="auto"/>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6,5</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5,8</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5,1</w:t>
            </w:r>
          </w:p>
        </w:tc>
        <w:tc>
          <w:tcPr>
            <w:tcW w:w="532" w:type="dxa"/>
            <w:tcBorders>
              <w:top w:val="nil"/>
              <w:left w:val="nil"/>
              <w:bottom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32" w:type="dxa"/>
            <w:tcBorders>
              <w:top w:val="nil"/>
              <w:left w:val="nil"/>
              <w:bottom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3,4</w:t>
            </w:r>
          </w:p>
        </w:tc>
      </w:tr>
      <w:tr>
        <w:trPr>
          <w:gridAfter w:val="1"/>
          <w:wAfter w:w="7" w:type="dxa"/>
          <w:trHeight w:val="227"/>
        </w:trPr>
        <w:tc>
          <w:tcPr>
            <w:tcW w:w="704" w:type="dxa"/>
            <w:tcBorders>
              <w:top w:val="nil"/>
              <w:left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FI</w:t>
            </w:r>
          </w:p>
        </w:tc>
        <w:tc>
          <w:tcPr>
            <w:tcW w:w="548"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3,5</w:t>
            </w:r>
          </w:p>
        </w:tc>
        <w:tc>
          <w:tcPr>
            <w:tcW w:w="557"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3,7</w:t>
            </w:r>
          </w:p>
        </w:tc>
        <w:tc>
          <w:tcPr>
            <w:tcW w:w="568"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2,7</w:t>
            </w:r>
          </w:p>
        </w:tc>
        <w:tc>
          <w:tcPr>
            <w:tcW w:w="560"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9,4</w:t>
            </w:r>
          </w:p>
        </w:tc>
        <w:tc>
          <w:tcPr>
            <w:tcW w:w="560"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8,5</w:t>
            </w:r>
          </w:p>
        </w:tc>
        <w:tc>
          <w:tcPr>
            <w:tcW w:w="561"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w:t>
            </w:r>
          </w:p>
        </w:tc>
        <w:tc>
          <w:tcPr>
            <w:tcW w:w="508" w:type="dxa"/>
            <w:gridSpan w:val="2"/>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74,2</w:t>
            </w:r>
          </w:p>
        </w:tc>
        <w:tc>
          <w:tcPr>
            <w:tcW w:w="581"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76,3</w:t>
            </w:r>
          </w:p>
        </w:tc>
        <w:tc>
          <w:tcPr>
            <w:tcW w:w="508"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77,2</w:t>
            </w:r>
          </w:p>
        </w:tc>
        <w:tc>
          <w:tcPr>
            <w:tcW w:w="532" w:type="dxa"/>
            <w:tcBorders>
              <w:top w:val="nil"/>
              <w:left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8,6</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7,4</w:t>
            </w:r>
          </w:p>
        </w:tc>
        <w:tc>
          <w:tcPr>
            <w:tcW w:w="532"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2,1</w:t>
            </w:r>
          </w:p>
        </w:tc>
        <w:tc>
          <w:tcPr>
            <w:tcW w:w="532" w:type="dxa"/>
            <w:tcBorders>
              <w:top w:val="nil"/>
              <w:left w:val="nil"/>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1,6</w:t>
            </w:r>
          </w:p>
        </w:tc>
        <w:tc>
          <w:tcPr>
            <w:tcW w:w="532" w:type="dxa"/>
            <w:tcBorders>
              <w:top w:val="nil"/>
              <w:left w:val="nil"/>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r>
      <w:tr>
        <w:trPr>
          <w:gridAfter w:val="1"/>
          <w:wAfter w:w="7" w:type="dxa"/>
          <w:trHeight w:val="227"/>
        </w:trPr>
        <w:tc>
          <w:tcPr>
            <w:tcW w:w="704" w:type="dxa"/>
            <w:tcBorders>
              <w:top w:val="nil"/>
              <w:left w:val="single" w:sz="4" w:space="0" w:color="auto"/>
              <w:bottom w:val="single" w:sz="4" w:space="0" w:color="auto"/>
              <w:right w:val="single" w:sz="4" w:space="0" w:color="auto"/>
            </w:tcBorders>
            <w:shd w:val="clear" w:color="000000" w:fill="EEECE1"/>
            <w:noWrap/>
            <w:vAlign w:val="bottom"/>
            <w:hideMark/>
          </w:tcPr>
          <w:p>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color w:val="000000"/>
                <w:sz w:val="16"/>
                <w:szCs w:val="16"/>
              </w:rPr>
              <w:t>SE</w:t>
            </w:r>
          </w:p>
        </w:tc>
        <w:tc>
          <w:tcPr>
            <w:tcW w:w="54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4,0</w:t>
            </w:r>
          </w:p>
        </w:tc>
        <w:tc>
          <w:tcPr>
            <w:tcW w:w="557"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4,2</w:t>
            </w:r>
          </w:p>
        </w:tc>
        <w:tc>
          <w:tcPr>
            <w:tcW w:w="568"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4,7</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6,2</w:t>
            </w:r>
          </w:p>
        </w:tc>
        <w:tc>
          <w:tcPr>
            <w:tcW w:w="560"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6,0 b</w:t>
            </w:r>
          </w:p>
        </w:tc>
        <w:tc>
          <w:tcPr>
            <w:tcW w:w="561"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5,5</w:t>
            </w:r>
          </w:p>
        </w:tc>
        <w:tc>
          <w:tcPr>
            <w:tcW w:w="508" w:type="dxa"/>
            <w:gridSpan w:val="2"/>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81,8</w:t>
            </w:r>
          </w:p>
        </w:tc>
        <w:tc>
          <w:tcPr>
            <w:tcW w:w="581"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82,4 b</w:t>
            </w:r>
          </w:p>
        </w:tc>
        <w:tc>
          <w:tcPr>
            <w:tcW w:w="508"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82,1</w:t>
            </w:r>
          </w:p>
        </w:tc>
        <w:tc>
          <w:tcPr>
            <w:tcW w:w="532" w:type="dxa"/>
            <w:tcBorders>
              <w:top w:val="nil"/>
              <w:left w:val="single" w:sz="4" w:space="0" w:color="auto"/>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6,7</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6,4 b</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6,8</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1,2</w:t>
            </w:r>
          </w:p>
        </w:tc>
        <w:tc>
          <w:tcPr>
            <w:tcW w:w="532" w:type="dxa"/>
            <w:tcBorders>
              <w:top w:val="nil"/>
              <w:left w:val="nil"/>
              <w:bottom w:val="single" w:sz="4" w:space="0" w:color="auto"/>
              <w:right w:val="nil"/>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1,1 b</w:t>
            </w:r>
          </w:p>
        </w:tc>
        <w:tc>
          <w:tcPr>
            <w:tcW w:w="532" w:type="dxa"/>
            <w:tcBorders>
              <w:top w:val="nil"/>
              <w:left w:val="nil"/>
              <w:bottom w:val="single" w:sz="4" w:space="0" w:color="auto"/>
              <w:right w:val="single" w:sz="4" w:space="0" w:color="auto"/>
            </w:tcBorders>
            <w:shd w:val="clear" w:color="000000" w:fill="FFFFFF"/>
            <w:noWrap/>
            <w:vAlign w:val="bottom"/>
            <w:hideMark/>
          </w:tcPr>
          <w:p>
            <w:pPr>
              <w:spacing w:after="0" w:line="240" w:lineRule="auto"/>
              <w:jc w:val="right"/>
              <w:rPr>
                <w:rFonts w:ascii="Arial Narrow" w:eastAsia="Times New Roman" w:hAnsi="Arial Narrow" w:cs="Calibri"/>
                <w:noProof/>
                <w:color w:val="000000"/>
                <w:sz w:val="16"/>
                <w:szCs w:val="16"/>
              </w:rPr>
            </w:pPr>
            <w:r>
              <w:rPr>
                <w:rFonts w:ascii="Arial Narrow" w:hAnsi="Arial Narrow"/>
                <w:noProof/>
                <w:color w:val="000000"/>
                <w:sz w:val="16"/>
                <w:szCs w:val="16"/>
              </w:rPr>
              <w:t>0,9</w:t>
            </w:r>
          </w:p>
        </w:tc>
      </w:tr>
    </w:tbl>
    <w:p>
      <w:pPr>
        <w:rPr>
          <w:rFonts w:ascii="Times New Roman" w:hAnsi="Times New Roman" w:cs="Times New Roman"/>
          <w:b/>
          <w:noProof/>
          <w:sz w:val="24"/>
          <w:szCs w:val="24"/>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Šaltinis: Eurostatas.</w:t>
      </w:r>
    </w:p>
    <w:p>
      <w:pPr>
        <w:spacing w:after="0" w:line="240" w:lineRule="auto"/>
        <w:rPr>
          <w:rFonts w:ascii="Times New Roman" w:hAnsi="Times New Roman" w:cs="Times New Roman"/>
          <w:noProof/>
          <w:sz w:val="20"/>
          <w:szCs w:val="20"/>
        </w:rPr>
      </w:pPr>
      <w:r>
        <w:rPr>
          <w:rFonts w:ascii="Times New Roman" w:hAnsi="Times New Roman"/>
          <w:noProof/>
          <w:sz w:val="20"/>
          <w:szCs w:val="20"/>
        </w:rPr>
        <w:t>Pastaba. „ESnv“ ir „EZnv“ – nesvertiniai ES ir euro zonos vidurkiai.</w:t>
      </w:r>
    </w:p>
    <w:p>
      <w:pPr>
        <w:jc w:val="both"/>
        <w:rPr>
          <w:rFonts w:ascii="Times New Roman" w:hAnsi="Times New Roman" w:cs="Times New Roman"/>
          <w:noProof/>
          <w:sz w:val="20"/>
          <w:szCs w:val="20"/>
        </w:rPr>
      </w:pPr>
      <w:r>
        <w:rPr>
          <w:rFonts w:ascii="Times New Roman" w:hAnsi="Times New Roman"/>
          <w:noProof/>
          <w:sz w:val="20"/>
          <w:szCs w:val="20"/>
        </w:rPr>
        <w:t>Žymos: b – laiko eilučių pertrūkis; e – prognozuojami įverčiai; p – negalutiniai duomenys; u – mažo patikimumo duomenys (mažas atvejų skaičius).</w:t>
      </w:r>
    </w:p>
    <w:p>
      <w:pPr>
        <w:rPr>
          <w:rFonts w:ascii="Times New Roman" w:hAnsi="Times New Roman" w:cs="Times New Roman"/>
          <w:noProof/>
          <w:sz w:val="20"/>
          <w:szCs w:val="20"/>
        </w:rPr>
      </w:pPr>
      <w:r>
        <w:rPr>
          <w:noProof/>
        </w:rPr>
        <w:br w:type="page"/>
      </w:r>
    </w:p>
    <w:p>
      <w:pPr>
        <w:keepNext/>
        <w:spacing w:after="60" w:line="240" w:lineRule="auto"/>
        <w:jc w:val="both"/>
        <w:rPr>
          <w:rFonts w:ascii="Times New Roman" w:eastAsia="Calibri" w:hAnsi="Times New Roman" w:cs="Cordia New"/>
          <w:b/>
          <w:noProof/>
          <w:sz w:val="24"/>
          <w:szCs w:val="24"/>
        </w:rPr>
      </w:pPr>
      <w:r>
        <w:rPr>
          <w:rFonts w:ascii="Times New Roman" w:hAnsi="Times New Roman"/>
          <w:b/>
          <w:noProof/>
          <w:sz w:val="24"/>
          <w:szCs w:val="24"/>
        </w:rPr>
        <w:t>1 pav. Lyčių užimtumo skirtumas ir metinis pokytis</w:t>
      </w:r>
    </w:p>
    <w:p>
      <w:pPr>
        <w:keepNext/>
        <w:spacing w:after="60" w:line="240" w:lineRule="auto"/>
        <w:rPr>
          <w:rFonts w:ascii="Times New Roman" w:eastAsia="Calibri" w:hAnsi="Times New Roman" w:cs="Cordia New"/>
          <w:noProof/>
          <w:sz w:val="20"/>
          <w:szCs w:val="20"/>
        </w:rPr>
      </w:pPr>
      <w:r>
        <w:rPr>
          <w:noProof/>
          <w:lang w:val="en-GB" w:eastAsia="en-GB"/>
        </w:rPr>
        <w:drawing>
          <wp:inline distT="0" distB="0" distL="0" distR="0">
            <wp:extent cx="4698565" cy="3502473"/>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4493" cy="3506892"/>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Šaltinis: Eurostatas. Laikotarpis: 2019 m. lygiai ir metiniai pokyčiai, palyginti su 2018 m. Pastaba. Ašių susikirtimo taškas yra nesvertinis ES vidurkis. Paaiškinimas pateiktas 5 priede.</w:t>
      </w:r>
    </w:p>
    <w:p>
      <w:pPr>
        <w:jc w:val="both"/>
        <w:rPr>
          <w:rFonts w:ascii="Times New Roman" w:hAnsi="Times New Roman" w:cs="Times New Roman"/>
          <w:noProof/>
          <w:sz w:val="20"/>
          <w:szCs w:val="20"/>
        </w:rPr>
      </w:pPr>
    </w:p>
    <w:p>
      <w:pPr>
        <w:keepNext/>
        <w:spacing w:after="120" w:line="240" w:lineRule="auto"/>
        <w:jc w:val="both"/>
        <w:rPr>
          <w:rFonts w:ascii="Times New Roman" w:eastAsia="Calibri" w:hAnsi="Times New Roman" w:cs="Cordia New"/>
          <w:b/>
          <w:noProof/>
          <w:sz w:val="24"/>
          <w:szCs w:val="20"/>
        </w:rPr>
      </w:pPr>
      <w:r>
        <w:rPr>
          <w:rFonts w:ascii="Times New Roman" w:hAnsi="Times New Roman"/>
          <w:b/>
          <w:noProof/>
          <w:sz w:val="24"/>
          <w:szCs w:val="20"/>
        </w:rPr>
        <w:t>2 pav. NEET jaunimo (15–24 m.) dalis ir metinis pokytis</w:t>
      </w:r>
    </w:p>
    <w:p>
      <w:pPr>
        <w:keepNext/>
        <w:spacing w:after="120" w:line="240" w:lineRule="auto"/>
        <w:rPr>
          <w:rFonts w:ascii="Times New Roman" w:eastAsia="Calibri" w:hAnsi="Times New Roman" w:cs="Cordia New"/>
          <w:noProof/>
          <w:sz w:val="20"/>
          <w:szCs w:val="20"/>
        </w:rPr>
      </w:pPr>
      <w:r>
        <w:rPr>
          <w:noProof/>
          <w:lang w:val="en-GB" w:eastAsia="en-GB"/>
        </w:rPr>
        <w:drawing>
          <wp:inline distT="0" distB="0" distL="0" distR="0">
            <wp:extent cx="4546966" cy="347686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9349" cy="3486338"/>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Šaltinis: Eurostatas. Laikotarpis: 2019 m. lygiai ir metiniai pokyčiai, palyginti su 2018 m. Pastaba. Ašių susikirtimo taškas yra nesvertinis ES vidurkis. Paaiškinimas pateiktas 5 priede.</w:t>
      </w:r>
    </w:p>
    <w:p>
      <w:pPr>
        <w:rPr>
          <w:rFonts w:ascii="Times New Roman" w:hAnsi="Times New Roman" w:cs="Times New Roman"/>
          <w:b/>
          <w:noProof/>
          <w:sz w:val="24"/>
          <w:szCs w:val="24"/>
        </w:rPr>
      </w:pPr>
      <w:r>
        <w:rPr>
          <w:noProof/>
        </w:rPr>
        <w:br w:type="page"/>
      </w:r>
    </w:p>
    <w:p>
      <w:pPr>
        <w:pStyle w:val="caption4"/>
        <w:keepNext/>
        <w:spacing w:line="240" w:lineRule="auto"/>
        <w:rPr>
          <w:rFonts w:ascii="Times New Roman" w:hAnsi="Times New Roman"/>
          <w:bCs w:val="0"/>
          <w:noProof/>
          <w:sz w:val="24"/>
          <w:szCs w:val="20"/>
        </w:rPr>
      </w:pPr>
      <w:r>
        <w:rPr>
          <w:rFonts w:ascii="Times New Roman" w:hAnsi="Times New Roman"/>
          <w:bCs w:val="0"/>
          <w:noProof/>
          <w:sz w:val="24"/>
          <w:szCs w:val="20"/>
        </w:rPr>
        <w:t xml:space="preserve">3 pav. Užimtumo lygis (20–64 m. amžiaus grupėje) ir metinis pokytis </w:t>
      </w:r>
    </w:p>
    <w:p>
      <w:pPr>
        <w:spacing w:line="240" w:lineRule="auto"/>
        <w:rPr>
          <w:rFonts w:ascii="Times New Roman" w:hAnsi="Times New Roman"/>
          <w:noProof/>
          <w:sz w:val="20"/>
          <w:szCs w:val="20"/>
        </w:rPr>
      </w:pPr>
      <w:r>
        <w:rPr>
          <w:noProof/>
          <w:lang w:val="en-GB" w:eastAsia="en-GB"/>
        </w:rPr>
        <w:drawing>
          <wp:inline distT="0" distB="0" distL="0" distR="0">
            <wp:extent cx="4687986" cy="36000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6017" cy="3606233"/>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Šaltinis: Eurostatas. Laikotarpis: 2019 m. lygiai ir metiniai pokyčiai, palyginti su 2018 m. Pastaba. Ašių susikirtimo taškas yra nesvertinis ES vidurkis. Paaiškinimas pateiktas 5 priede.</w:t>
      </w:r>
    </w:p>
    <w:p>
      <w:pPr>
        <w:spacing w:line="240" w:lineRule="auto"/>
        <w:jc w:val="both"/>
        <w:rPr>
          <w:rFonts w:ascii="Times New Roman" w:eastAsia="Calibri" w:hAnsi="Times New Roman" w:cs="Cordia New"/>
          <w:noProof/>
          <w:sz w:val="20"/>
          <w:szCs w:val="20"/>
          <w:lang w:eastAsia="el-GR" w:bidi="el-GR"/>
        </w:rPr>
      </w:pPr>
    </w:p>
    <w:p>
      <w:pPr>
        <w:pStyle w:val="caption4"/>
        <w:keepNext/>
        <w:spacing w:after="0" w:line="240" w:lineRule="auto"/>
        <w:rPr>
          <w:rFonts w:ascii="Times New Roman" w:hAnsi="Times New Roman"/>
          <w:bCs w:val="0"/>
          <w:noProof/>
          <w:sz w:val="24"/>
          <w:szCs w:val="20"/>
        </w:rPr>
      </w:pPr>
      <w:r>
        <w:rPr>
          <w:rFonts w:ascii="Times New Roman" w:hAnsi="Times New Roman"/>
          <w:bCs w:val="0"/>
          <w:noProof/>
          <w:sz w:val="24"/>
          <w:szCs w:val="20"/>
        </w:rPr>
        <w:t>4 pav. Nedarbo lygis (15–74 m. amžiaus grupėje) ir metinis pokytis</w:t>
      </w:r>
    </w:p>
    <w:p>
      <w:pPr>
        <w:keepNext/>
        <w:pBdr>
          <w:between w:val="nil"/>
          <w:bar w:val="nil"/>
        </w:pBdr>
        <w:spacing w:before="120" w:after="120" w:line="240" w:lineRule="auto"/>
        <w:rPr>
          <w:noProof/>
        </w:rPr>
      </w:pPr>
      <w:r>
        <w:rPr>
          <w:noProof/>
          <w:lang w:val="en-GB" w:eastAsia="en-GB"/>
        </w:rPr>
        <w:drawing>
          <wp:inline distT="0" distB="0" distL="0" distR="0">
            <wp:extent cx="4712191" cy="36552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8217" cy="3659874"/>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Šaltinis: Eurostatas. Laikotarpis: 2019 m. lygiai ir metiniai pokyčiai, palyginti su 2018 m. Pastaba. Ašių susikirtimo taškas yra nesvertinis ES vidurkis. Paaiškinimas pateiktas 5 priede.</w:t>
      </w:r>
    </w:p>
    <w:p>
      <w:pPr>
        <w:keepNext/>
        <w:spacing w:after="0"/>
        <w:contextualSpacing/>
        <w:rPr>
          <w:rFonts w:ascii="Times New Roman" w:hAnsi="Times New Roman"/>
          <w:b/>
          <w:noProof/>
          <w:sz w:val="24"/>
          <w:szCs w:val="20"/>
        </w:rPr>
      </w:pPr>
      <w:r>
        <w:rPr>
          <w:noProof/>
        </w:rPr>
        <w:br w:type="page"/>
      </w:r>
      <w:r>
        <w:rPr>
          <w:rFonts w:ascii="Times New Roman" w:hAnsi="Times New Roman"/>
          <w:b/>
          <w:noProof/>
          <w:sz w:val="24"/>
          <w:szCs w:val="24"/>
        </w:rPr>
        <w:t xml:space="preserve">5 pav. </w:t>
      </w:r>
      <w:r>
        <w:rPr>
          <w:rFonts w:ascii="Times New Roman" w:hAnsi="Times New Roman"/>
          <w:b/>
          <w:noProof/>
          <w:sz w:val="24"/>
          <w:szCs w:val="20"/>
        </w:rPr>
        <w:t>Ilgalaikio nedarbo lygis (Socialinių rodiklių suvestinės esminis rodiklis)</w:t>
      </w:r>
    </w:p>
    <w:p>
      <w:pPr>
        <w:keepNext/>
        <w:spacing w:after="0" w:line="360" w:lineRule="auto"/>
        <w:rPr>
          <w:rFonts w:ascii="Times New Roman" w:hAnsi="Times New Roman"/>
          <w:b/>
          <w:noProof/>
          <w:sz w:val="24"/>
        </w:rPr>
      </w:pPr>
      <w:r>
        <w:rPr>
          <w:noProof/>
          <w:lang w:val="en-GB" w:eastAsia="en-GB"/>
        </w:rPr>
        <w:drawing>
          <wp:inline distT="0" distB="0" distL="0" distR="0">
            <wp:extent cx="4733476" cy="3687225"/>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7985" cy="3690737"/>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Šaltinis: Eurostatas. Laikotarpis: 2019 m. lygiai ir metiniai pokyčiai, palyginti su 2018 m. Pastaba. Ašių susikirtimo taškas yra nesvertinis ES vidurkis. Paaiškinimas pateiktas 5 priede.</w:t>
      </w:r>
    </w:p>
    <w:p>
      <w:pPr>
        <w:rPr>
          <w:rFonts w:ascii="Times New Roman" w:hAnsi="Times New Roman" w:cs="Times New Roman"/>
          <w:b/>
          <w:noProof/>
          <w:sz w:val="24"/>
          <w:szCs w:val="24"/>
        </w:rPr>
      </w:pPr>
    </w:p>
    <w:p>
      <w:pPr>
        <w:rPr>
          <w:rFonts w:ascii="Times New Roman" w:hAnsi="Times New Roman" w:cs="Times New Roman"/>
          <w:b/>
          <w:noProof/>
          <w:sz w:val="24"/>
          <w:szCs w:val="24"/>
        </w:rPr>
      </w:pPr>
      <w:r>
        <w:rPr>
          <w:noProof/>
        </w:rPr>
        <w:br w:type="page"/>
      </w:r>
    </w:p>
    <w:p>
      <w:pPr>
        <w:spacing w:line="240" w:lineRule="auto"/>
        <w:rPr>
          <w:rFonts w:ascii="Times New Roman" w:hAnsi="Times New Roman" w:cs="Times New Roman"/>
          <w:b/>
          <w:noProof/>
          <w:sz w:val="24"/>
          <w:szCs w:val="24"/>
        </w:rPr>
      </w:pPr>
      <w:r>
        <w:rPr>
          <w:rFonts w:ascii="Times New Roman" w:hAnsi="Times New Roman"/>
          <w:b/>
          <w:noProof/>
          <w:sz w:val="24"/>
          <w:szCs w:val="24"/>
        </w:rPr>
        <w:t>4 priedas. Atrinkti socialinių rodiklių suvestinės esminiai rodikliai pagal regionus</w:t>
      </w:r>
      <w:r>
        <w:rPr>
          <w:rStyle w:val="FootnoteReference"/>
          <w:rFonts w:ascii="Times New Roman" w:hAnsi="Times New Roman" w:cs="Times New Roman"/>
          <w:b/>
          <w:noProof/>
          <w:sz w:val="24"/>
          <w:szCs w:val="24"/>
        </w:rPr>
        <w:footnoteReference w:id="1"/>
      </w:r>
    </w:p>
    <w:p>
      <w:pPr>
        <w:spacing w:after="0" w:line="240" w:lineRule="auto"/>
        <w:rPr>
          <w:rFonts w:ascii="Times New Roman" w:hAnsi="Times New Roman" w:cs="Times New Roman"/>
          <w:b/>
          <w:bCs/>
          <w:noProof/>
          <w:sz w:val="24"/>
          <w:szCs w:val="24"/>
        </w:rPr>
      </w:pP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1 pav. Užimtumo lygis, 2019 m.</w:t>
      </w:r>
    </w:p>
    <w:p>
      <w:pPr>
        <w:spacing w:line="240" w:lineRule="auto"/>
        <w:rPr>
          <w:rFonts w:ascii="Times New Roman" w:hAnsi="Times New Roman" w:cs="Times New Roman"/>
          <w:bCs/>
          <w:noProof/>
          <w:sz w:val="24"/>
          <w:szCs w:val="24"/>
        </w:rPr>
      </w:pPr>
      <w:r>
        <w:rPr>
          <w:rFonts w:ascii="Times New Roman" w:hAnsi="Times New Roman"/>
          <w:bCs/>
          <w:noProof/>
          <w:sz w:val="24"/>
          <w:szCs w:val="24"/>
        </w:rPr>
        <w:t>(20–64 m. asmenų proc. dalis pagal NUTS 2 lygmens regionus)</w:t>
      </w:r>
    </w:p>
    <w:p>
      <w:pPr>
        <w:spacing w:line="240" w:lineRule="auto"/>
        <w:rPr>
          <w:rFonts w:ascii="Times New Roman" w:hAnsi="Times New Roman" w:cs="Times New Roman"/>
          <w:bCs/>
          <w:noProof/>
          <w:sz w:val="24"/>
          <w:szCs w:val="24"/>
        </w:rPr>
      </w:pPr>
      <w:r>
        <w:rPr>
          <w:noProof/>
          <w:lang w:val="en-GB" w:eastAsia="en-GB"/>
        </w:rPr>
        <w:drawing>
          <wp:inline distT="0" distB="0" distL="0" distR="0">
            <wp:extent cx="4908983" cy="612159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1467" cy="6124692"/>
                    </a:xfrm>
                    <a:prstGeom prst="rect">
                      <a:avLst/>
                    </a:prstGeom>
                  </pic:spPr>
                </pic:pic>
              </a:graphicData>
            </a:graphic>
          </wp:inline>
        </w:drawing>
      </w:r>
    </w:p>
    <w:p>
      <w:pPr>
        <w:spacing w:line="240" w:lineRule="auto"/>
        <w:rPr>
          <w:rFonts w:ascii="Times New Roman" w:hAnsi="Times New Roman" w:cs="Times New Roman"/>
          <w:bCs/>
          <w:noProof/>
          <w:sz w:val="20"/>
          <w:szCs w:val="20"/>
        </w:rPr>
      </w:pPr>
      <w:r>
        <w:rPr>
          <w:rFonts w:ascii="Times New Roman" w:hAnsi="Times New Roman"/>
          <w:bCs/>
          <w:noProof/>
          <w:sz w:val="20"/>
          <w:szCs w:val="20"/>
        </w:rPr>
        <w:t>Pastaba. Korsika (FRM0): mažo patikimumo duomenys.</w:t>
      </w:r>
    </w:p>
    <w:p>
      <w:pPr>
        <w:spacing w:line="240" w:lineRule="auto"/>
        <w:rPr>
          <w:rFonts w:ascii="Times New Roman" w:hAnsi="Times New Roman" w:cs="Times New Roman"/>
          <w:bCs/>
          <w:noProof/>
          <w:sz w:val="20"/>
          <w:szCs w:val="20"/>
        </w:rPr>
      </w:pPr>
      <w:r>
        <w:rPr>
          <w:rFonts w:ascii="Times New Roman" w:hAnsi="Times New Roman"/>
          <w:bCs/>
          <w:noProof/>
          <w:sz w:val="20"/>
          <w:szCs w:val="20"/>
        </w:rPr>
        <w:t>Šaltinis: Eurostatas (duomenų internete kodas: lfst_r_lfe2emprtn).</w:t>
      </w:r>
    </w:p>
    <w:p>
      <w:pPr>
        <w:spacing w:line="240" w:lineRule="auto"/>
        <w:rPr>
          <w:rFonts w:ascii="Times New Roman" w:hAnsi="Times New Roman" w:cs="Times New Roman"/>
          <w:bCs/>
          <w:noProof/>
          <w:sz w:val="20"/>
          <w:szCs w:val="20"/>
        </w:rPr>
      </w:pPr>
    </w:p>
    <w:p>
      <w:pPr>
        <w:spacing w:line="240" w:lineRule="auto"/>
        <w:rPr>
          <w:rFonts w:ascii="Times New Roman" w:hAnsi="Times New Roman" w:cs="Times New Roman"/>
          <w:b/>
          <w:bCs/>
          <w:noProof/>
          <w:sz w:val="24"/>
          <w:szCs w:val="24"/>
        </w:rPr>
      </w:pP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2 pav. Lyčių užimtumo skirtumas, 2019 m.</w:t>
      </w:r>
    </w:p>
    <w:p>
      <w:pPr>
        <w:spacing w:line="240" w:lineRule="auto"/>
        <w:rPr>
          <w:rFonts w:ascii="Times New Roman" w:hAnsi="Times New Roman" w:cs="Times New Roman"/>
          <w:bCs/>
          <w:noProof/>
          <w:sz w:val="24"/>
          <w:szCs w:val="24"/>
        </w:rPr>
      </w:pPr>
      <w:r>
        <w:rPr>
          <w:rFonts w:ascii="Times New Roman" w:hAnsi="Times New Roman"/>
          <w:bCs/>
          <w:noProof/>
          <w:sz w:val="24"/>
          <w:szCs w:val="24"/>
        </w:rPr>
        <w:t>(skirtumas proc. punktais, vyrų užimtumo lygio ir moterų užimtumo lygio skirtumas, 20–64 m. amžiaus grupėje, pagal NUTS 2 lygmens regionus)</w:t>
      </w:r>
    </w:p>
    <w:p>
      <w:pPr>
        <w:spacing w:line="240" w:lineRule="auto"/>
        <w:rPr>
          <w:rFonts w:ascii="Times New Roman" w:hAnsi="Times New Roman" w:cs="Times New Roman"/>
          <w:b/>
          <w:noProof/>
          <w:sz w:val="24"/>
          <w:szCs w:val="24"/>
        </w:rPr>
      </w:pPr>
      <w:r>
        <w:rPr>
          <w:noProof/>
          <w:lang w:val="en-GB" w:eastAsia="en-GB"/>
        </w:rPr>
        <w:drawing>
          <wp:inline distT="0" distB="0" distL="0" distR="0">
            <wp:extent cx="5207194" cy="63015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89" cy="6304485"/>
                    </a:xfrm>
                    <a:prstGeom prst="rect">
                      <a:avLst/>
                    </a:prstGeom>
                  </pic:spPr>
                </pic:pic>
              </a:graphicData>
            </a:graphic>
          </wp:inline>
        </w:drawing>
      </w:r>
    </w:p>
    <w:p>
      <w:pPr>
        <w:spacing w:line="240" w:lineRule="auto"/>
        <w:rPr>
          <w:rFonts w:ascii="Times New Roman" w:hAnsi="Times New Roman" w:cs="Times New Roman"/>
          <w:noProof/>
          <w:sz w:val="20"/>
          <w:szCs w:val="24"/>
        </w:rPr>
      </w:pPr>
      <w:r>
        <w:rPr>
          <w:rFonts w:ascii="Times New Roman" w:hAnsi="Times New Roman"/>
          <w:noProof/>
          <w:sz w:val="20"/>
          <w:szCs w:val="24"/>
        </w:rPr>
        <w:t>Pastaba. Lyčių užimtumo skirtumas apibrėžiamas kaip vyrų užimtumo lygio ir moterų užimtumo lygio 20–64 m. amžiaus grupėje skirtumas; visuose regionuose vyrų užimtumo lygis visada buvo aukštesnis už moterų užimtumo lygį.</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(duomenų internete kodas: lfst_r_lfe2emprtn).</w:t>
      </w:r>
    </w:p>
    <w:p>
      <w:pPr>
        <w:rPr>
          <w:noProof/>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3 pav. Nedarbo lygis, 2019 m.</w:t>
      </w:r>
    </w:p>
    <w:p>
      <w:pPr>
        <w:spacing w:line="240" w:lineRule="auto"/>
        <w:rPr>
          <w:rFonts w:ascii="Times New Roman" w:hAnsi="Times New Roman" w:cs="Times New Roman"/>
          <w:bCs/>
          <w:noProof/>
          <w:sz w:val="24"/>
          <w:szCs w:val="24"/>
        </w:rPr>
      </w:pPr>
      <w:r>
        <w:rPr>
          <w:rFonts w:ascii="Times New Roman" w:hAnsi="Times New Roman"/>
          <w:bCs/>
          <w:noProof/>
          <w:sz w:val="24"/>
          <w:szCs w:val="24"/>
        </w:rPr>
        <w:t>(15–74 m. ekonomiškai aktyvių gyventojų proc. dalis pagal NUTS 2 lygmens regionus)</w:t>
      </w:r>
    </w:p>
    <w:p>
      <w:pPr>
        <w:spacing w:line="240" w:lineRule="auto"/>
        <w:rPr>
          <w:rFonts w:ascii="Times New Roman" w:hAnsi="Times New Roman" w:cs="Times New Roman"/>
          <w:bCs/>
          <w:noProof/>
          <w:sz w:val="24"/>
          <w:szCs w:val="24"/>
        </w:rPr>
      </w:pPr>
      <w:r>
        <w:rPr>
          <w:noProof/>
          <w:lang w:val="en-GB" w:eastAsia="en-GB"/>
        </w:rPr>
        <w:drawing>
          <wp:inline distT="0" distB="0" distL="0" distR="0">
            <wp:extent cx="5319556" cy="647060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2373" cy="6474028"/>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napToGrid w:val="0"/>
          <w:color w:val="000000"/>
          <w:sz w:val="0"/>
          <w:szCs w:val="0"/>
          <w:u w:color="000000"/>
          <w:bdr w:val="none" w:sz="0" w:space="0" w:color="000000"/>
          <w:shd w:val="clear" w:color="000000" w:fill="000000"/>
        </w:rPr>
        <w:t xml:space="preserve"> </w:t>
      </w:r>
      <w:r>
        <w:rPr>
          <w:rFonts w:ascii="Times New Roman" w:hAnsi="Times New Roman"/>
          <w:noProof/>
          <w:sz w:val="20"/>
          <w:szCs w:val="24"/>
        </w:rPr>
        <w:t>Pastaba. Korsika (FRM0), Burgenlandas (AT11), Liubušas (PL43) ir Opolė (PL52), Kambrija (UKD1): mažesnis patikimumas dėl imties dydžio.</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(duomenų internete kodas: lfst_r_lfu3rt).</w:t>
      </w:r>
    </w:p>
    <w:p>
      <w:pPr>
        <w:spacing w:line="240" w:lineRule="auto"/>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4 pav. Ilgalaikio nedarbo lygis (12 mėn. ar ilgiau), 2019 m.</w:t>
      </w:r>
    </w:p>
    <w:p>
      <w:pPr>
        <w:spacing w:line="240" w:lineRule="auto"/>
        <w:rPr>
          <w:rFonts w:ascii="Times New Roman" w:hAnsi="Times New Roman" w:cs="Times New Roman"/>
          <w:bCs/>
          <w:noProof/>
          <w:sz w:val="24"/>
          <w:szCs w:val="24"/>
        </w:rPr>
      </w:pPr>
      <w:r>
        <w:rPr>
          <w:rFonts w:ascii="Times New Roman" w:hAnsi="Times New Roman"/>
          <w:bCs/>
          <w:noProof/>
          <w:sz w:val="24"/>
          <w:szCs w:val="24"/>
        </w:rPr>
        <w:t>(ekonomiškai aktyvių gyventojų proc. dalis pagal NUTS 2 lygmens regionus)</w:t>
      </w:r>
    </w:p>
    <w:p>
      <w:pPr>
        <w:spacing w:line="240" w:lineRule="auto"/>
        <w:rPr>
          <w:rFonts w:ascii="Times New Roman" w:hAnsi="Times New Roman" w:cs="Times New Roman"/>
          <w:b/>
          <w:noProof/>
          <w:sz w:val="24"/>
          <w:szCs w:val="24"/>
        </w:rPr>
      </w:pPr>
      <w:r>
        <w:rPr>
          <w:noProof/>
          <w:lang w:val="en-GB" w:eastAsia="en-GB"/>
        </w:rPr>
        <w:drawing>
          <wp:inline distT="0" distB="0" distL="0" distR="0">
            <wp:extent cx="5402511" cy="648456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8820" cy="6492134"/>
                    </a:xfrm>
                    <a:prstGeom prst="rect">
                      <a:avLst/>
                    </a:prstGeom>
                  </pic:spPr>
                </pic:pic>
              </a:graphicData>
            </a:graphic>
          </wp:inline>
        </w:drawing>
      </w:r>
    </w:p>
    <w:p>
      <w:pPr>
        <w:spacing w:line="240" w:lineRule="auto"/>
        <w:rPr>
          <w:rFonts w:ascii="Times New Roman" w:hAnsi="Times New Roman" w:cs="Times New Roman"/>
          <w:noProof/>
          <w:sz w:val="20"/>
          <w:szCs w:val="24"/>
        </w:rPr>
      </w:pPr>
      <w:r>
        <w:rPr>
          <w:rFonts w:ascii="Times New Roman" w:hAnsi="Times New Roman"/>
          <w:noProof/>
          <w:sz w:val="20"/>
          <w:szCs w:val="24"/>
        </w:rPr>
        <w:t>Pastaba. Įtraukti kai kurių regionų mažo patikimumo duomenys (per daug duomenų, kad būtų galima dokumentuoti).</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(duomenų internete kodas: tgs00053).</w:t>
      </w:r>
    </w:p>
    <w:p>
      <w:pPr>
        <w:rPr>
          <w:noProof/>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5 pav. Nedirbantis ir nesimokantis jaunimas (NEET), 2019 m.</w:t>
      </w:r>
    </w:p>
    <w:p>
      <w:pPr>
        <w:spacing w:line="240" w:lineRule="auto"/>
        <w:rPr>
          <w:noProof/>
        </w:rPr>
      </w:pPr>
      <w:r>
        <w:rPr>
          <w:rFonts w:ascii="Times New Roman" w:hAnsi="Times New Roman"/>
          <w:bCs/>
          <w:noProof/>
          <w:sz w:val="24"/>
          <w:szCs w:val="24"/>
        </w:rPr>
        <w:t>(15–24 m. asmenų proc. dalis pagal NUTS 2 lygmens regionus)</w:t>
      </w:r>
    </w:p>
    <w:p>
      <w:pPr>
        <w:spacing w:line="240" w:lineRule="auto"/>
        <w:rPr>
          <w:rFonts w:ascii="Times New Roman" w:hAnsi="Times New Roman" w:cs="Times New Roman"/>
          <w:bCs/>
          <w:noProof/>
          <w:sz w:val="24"/>
          <w:szCs w:val="24"/>
        </w:rPr>
      </w:pPr>
      <w:r>
        <w:rPr>
          <w:noProof/>
          <w:lang w:val="en-GB" w:eastAsia="en-GB"/>
        </w:rPr>
        <w:drawing>
          <wp:inline distT="0" distB="0" distL="0" distR="0">
            <wp:extent cx="5304082" cy="649095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2578" cy="6501349"/>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Pastaba. Mažo patikimumo – Belgijos (Valonų Brabanto ir Liuksemburgo provincijų) duomenys; taip pat – Čekijos (Prahos); Graikijos (Jonijos salų); Ispanijos (Kantabrijos, La Riochos, Seutos ir Meliljos); Lietuvos (sostinės regiono); Nyderlandų (Drentės); Austrijos (Karintijos, Zalcburgo, Tirolio ir Forarlbergo); Lenkijos (Liubušo, Opolės, Švento Kryžiaus vaivadijos, Palenkės vaivadijos ir Varšuvos sostinės regiono); Švedijos (Smolando) duomenys.</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(duomenų internete kodas: edat_lfse_22).</w:t>
      </w:r>
    </w:p>
    <w:p>
      <w:pPr>
        <w:spacing w:line="240" w:lineRule="auto"/>
        <w:jc w:val="both"/>
        <w:rPr>
          <w:rFonts w:ascii="Times New Roman" w:hAnsi="Times New Roman" w:cs="Times New Roman"/>
          <w:b/>
          <w:noProof/>
          <w:sz w:val="24"/>
          <w:szCs w:val="24"/>
        </w:rPr>
      </w:pPr>
    </w:p>
    <w:p>
      <w:pPr>
        <w:rPr>
          <w:rFonts w:ascii="Times New Roman" w:hAnsi="Times New Roman" w:cs="Times New Roman"/>
          <w:b/>
          <w:bCs/>
          <w:noProof/>
          <w:sz w:val="24"/>
          <w:szCs w:val="24"/>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6 pav. Mokyklos nebaigę asmenys, 2019 m.</w:t>
      </w:r>
    </w:p>
    <w:p>
      <w:pPr>
        <w:spacing w:line="240" w:lineRule="auto"/>
        <w:jc w:val="both"/>
        <w:rPr>
          <w:rFonts w:ascii="Times New Roman" w:hAnsi="Times New Roman" w:cs="Times New Roman"/>
          <w:b/>
          <w:noProof/>
          <w:sz w:val="24"/>
          <w:szCs w:val="24"/>
        </w:rPr>
      </w:pPr>
      <w:r>
        <w:rPr>
          <w:rFonts w:ascii="Times New Roman" w:hAnsi="Times New Roman"/>
          <w:bCs/>
          <w:noProof/>
          <w:sz w:val="24"/>
          <w:szCs w:val="24"/>
        </w:rPr>
        <w:t>(18–24 m. asmenų proc. dalis pagal NUTS 2 lygmens regionus)</w:t>
      </w:r>
    </w:p>
    <w:p>
      <w:pPr>
        <w:spacing w:line="240" w:lineRule="auto"/>
        <w:rPr>
          <w:rFonts w:ascii="Times New Roman" w:hAnsi="Times New Roman" w:cs="Times New Roman"/>
          <w:b/>
          <w:noProof/>
          <w:sz w:val="24"/>
          <w:szCs w:val="24"/>
        </w:rPr>
      </w:pPr>
      <w:r>
        <w:rPr>
          <w:noProof/>
          <w:lang w:val="en-GB" w:eastAsia="en-GB"/>
        </w:rPr>
        <w:drawing>
          <wp:inline distT="0" distB="0" distL="0" distR="0">
            <wp:extent cx="5383851" cy="6508454"/>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3023" cy="6519541"/>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Pastaba. Įtraukti kai kurių regionų mažo patikimumo duomenys (per daug duomenų, kad būtų galima dokumentuoti).</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(duomenų internete kodas: edat_lfse_16).</w:t>
      </w:r>
    </w:p>
    <w:p>
      <w:pPr>
        <w:spacing w:line="240" w:lineRule="auto"/>
        <w:rPr>
          <w:rFonts w:ascii="Times New Roman" w:hAnsi="Times New Roman" w:cs="Times New Roman"/>
          <w:b/>
          <w:noProof/>
          <w:sz w:val="24"/>
          <w:szCs w:val="24"/>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7 pav. Asmenys, kuriems gresia skurdas ar socialinė atskirtis, 2019 m.</w:t>
      </w:r>
    </w:p>
    <w:p>
      <w:pPr>
        <w:spacing w:line="240" w:lineRule="auto"/>
        <w:jc w:val="both"/>
        <w:rPr>
          <w:rFonts w:ascii="Times New Roman" w:hAnsi="Times New Roman" w:cs="Times New Roman"/>
          <w:b/>
          <w:noProof/>
          <w:sz w:val="24"/>
          <w:szCs w:val="24"/>
        </w:rPr>
      </w:pPr>
      <w:r>
        <w:rPr>
          <w:rFonts w:ascii="Times New Roman" w:hAnsi="Times New Roman"/>
          <w:bCs/>
          <w:noProof/>
          <w:sz w:val="24"/>
          <w:szCs w:val="24"/>
        </w:rPr>
        <w:t>(proc. dalis pagal NUTS 2 lygmens regionus)</w:t>
      </w:r>
    </w:p>
    <w:p>
      <w:pPr>
        <w:spacing w:line="240" w:lineRule="auto"/>
        <w:rPr>
          <w:noProof/>
        </w:rPr>
      </w:pPr>
      <w:r>
        <w:rPr>
          <w:noProof/>
          <w:lang w:val="en-GB" w:eastAsia="en-GB"/>
        </w:rPr>
        <w:drawing>
          <wp:inline distT="0" distB="0" distL="0" distR="0">
            <wp:extent cx="5240718" cy="63666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2403" cy="6368664"/>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Pastaba. Belgija, Lenkija: NUTS 1 lygmuo. Prancūzija: nacionaliniai duomenys. Vokietija: 2017 m. duomenys. ES 27, Airija, Prancūzija, Italija, Austrija ir Slovakija: 2018 m. duomenys. 27 ES valstybės narės, Vokietija ir Austrija: prognozuojami įverčiai. Belgija: duomenų eilutės lūžis. Burgenlandas (AT11) – mažo patikimumo duomenys.</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(duomenų internete kodas: ilc_peps11 ir ilc_peps01)</w:t>
      </w:r>
    </w:p>
    <w:p>
      <w:pPr>
        <w:rPr>
          <w:noProof/>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8 pav. Socialinių pervedimų (išskyrus pensijas) poveikis skurdo mažinimui, 2019 m.</w:t>
      </w:r>
    </w:p>
    <w:p>
      <w:pPr>
        <w:spacing w:line="240" w:lineRule="auto"/>
        <w:jc w:val="both"/>
        <w:rPr>
          <w:rFonts w:ascii="Times New Roman" w:hAnsi="Times New Roman" w:cs="Times New Roman"/>
          <w:b/>
          <w:noProof/>
          <w:sz w:val="24"/>
          <w:szCs w:val="24"/>
        </w:rPr>
      </w:pPr>
      <w:r>
        <w:rPr>
          <w:rFonts w:ascii="Times New Roman" w:hAnsi="Times New Roman"/>
          <w:bCs/>
          <w:noProof/>
          <w:sz w:val="24"/>
          <w:szCs w:val="24"/>
        </w:rPr>
        <w:t>(proc. dalis pagal NUTS 2 lygmens regionus)</w:t>
      </w:r>
    </w:p>
    <w:p>
      <w:pPr>
        <w:spacing w:line="240" w:lineRule="auto"/>
        <w:jc w:val="center"/>
        <w:rPr>
          <w:rFonts w:ascii="Times New Roman" w:hAnsi="Times New Roman" w:cs="Times New Roman"/>
          <w:noProof/>
          <w:sz w:val="20"/>
          <w:szCs w:val="24"/>
        </w:rPr>
      </w:pPr>
      <w:r>
        <w:rPr>
          <w:noProof/>
          <w:lang w:val="en-GB" w:eastAsia="en-GB"/>
        </w:rPr>
        <w:drawing>
          <wp:inline distT="0" distB="0" distL="0" distR="0">
            <wp:extent cx="5383506" cy="6571716"/>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6918" cy="6575882"/>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Pastaba. Belgija: NUTS 1 lygmuo. Vokietija, Prancūzija, Nyderlandai, Lenkija ir Portugalija: nacionaliniai duomenys. Prancūzija, Airija, Italija, Austrija ir Slovakija: 2018 m. duomenys. Belgija: duomenų eilutės lūžis. Austrija: prognozuojami įverčiai.</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(duomenų internete kodas: tespm050_r).</w:t>
      </w:r>
    </w:p>
    <w:p>
      <w:pPr>
        <w:spacing w:after="0" w:line="240" w:lineRule="auto"/>
        <w:rPr>
          <w:rFonts w:ascii="Times New Roman" w:hAnsi="Times New Roman" w:cs="Times New Roman"/>
          <w:b/>
          <w:bCs/>
          <w:noProof/>
          <w:sz w:val="24"/>
          <w:szCs w:val="24"/>
        </w:rPr>
      </w:pPr>
      <w:r>
        <w:rPr>
          <w:noProof/>
        </w:rPr>
        <w:br w:type="page"/>
      </w:r>
      <w:r>
        <w:rPr>
          <w:rFonts w:ascii="Times New Roman" w:hAnsi="Times New Roman"/>
          <w:b/>
          <w:bCs/>
          <w:noProof/>
          <w:sz w:val="24"/>
          <w:szCs w:val="24"/>
        </w:rPr>
        <w:t>9 pav. Asmenys, kurie nurodo turį nepatenkintų medicininės priežiūros poreikių, 2019 m.</w:t>
      </w:r>
    </w:p>
    <w:p>
      <w:pPr>
        <w:spacing w:line="240" w:lineRule="auto"/>
        <w:jc w:val="both"/>
        <w:rPr>
          <w:rFonts w:ascii="Times New Roman" w:hAnsi="Times New Roman" w:cs="Times New Roman"/>
          <w:bCs/>
          <w:noProof/>
          <w:sz w:val="24"/>
          <w:szCs w:val="24"/>
        </w:rPr>
      </w:pPr>
      <w:r>
        <w:rPr>
          <w:rFonts w:ascii="Times New Roman" w:hAnsi="Times New Roman"/>
          <w:bCs/>
          <w:noProof/>
          <w:sz w:val="24"/>
          <w:szCs w:val="24"/>
        </w:rPr>
        <w:t>(asmenų, kurie nurodo turį nepatenkintų poreikių dėl finansinių priežasčių, ilgo laukimo ar per didelio atstumo, proc. dalis pagal NUTS 2 lygmens regionus)</w:t>
      </w:r>
    </w:p>
    <w:p>
      <w:pPr>
        <w:jc w:val="center"/>
        <w:rPr>
          <w:noProof/>
        </w:rPr>
      </w:pPr>
      <w:r>
        <w:rPr>
          <w:noProof/>
          <w:lang w:val="en-GB" w:eastAsia="en-GB"/>
        </w:rPr>
        <w:drawing>
          <wp:inline distT="0" distB="0" distL="0" distR="0">
            <wp:extent cx="5409488" cy="655673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2697" cy="6560628"/>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Pastaba. Nyderlandai ir Lenkija: NUTS 1 lygmuo. Vokietija, Prancūzija, Austrija ir Portugalija: nacionaliniai duomenys. Belgija: duomenų eilutės lūžis. Airija, Prancūzija, Italija, Slovakija: 2018 m. duomenys.</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(interneto duomenų kodai: hlth_silc_08_r ir tespm110)</w:t>
      </w:r>
    </w:p>
    <w:p>
      <w:pPr>
        <w:rPr>
          <w:rFonts w:ascii="Times New Roman" w:eastAsia="Calibri" w:hAnsi="Times New Roman" w:cs="Times New Roman"/>
          <w:b/>
          <w:noProof/>
          <w:sz w:val="24"/>
          <w:szCs w:val="24"/>
        </w:rPr>
      </w:pPr>
      <w:r>
        <w:rPr>
          <w:noProof/>
        </w:rPr>
        <w:br w:type="page"/>
      </w:r>
    </w:p>
    <w:p>
      <w:pPr>
        <w:spacing w:after="0" w:line="240" w:lineRule="auto"/>
        <w:rPr>
          <w:rFonts w:ascii="Times New Roman" w:hAnsi="Times New Roman" w:cs="Times New Roman"/>
          <w:b/>
          <w:bCs/>
          <w:noProof/>
          <w:sz w:val="24"/>
          <w:szCs w:val="24"/>
        </w:rPr>
      </w:pPr>
      <w:r>
        <w:rPr>
          <w:rFonts w:ascii="Times New Roman" w:hAnsi="Times New Roman"/>
          <w:b/>
          <w:bCs/>
          <w:noProof/>
          <w:sz w:val="24"/>
          <w:szCs w:val="24"/>
        </w:rPr>
        <w:t>10 pav. Pajamų kvintilio dalies santykis, 2017 m.</w:t>
      </w:r>
    </w:p>
    <w:p>
      <w:pPr>
        <w:spacing w:line="240" w:lineRule="auto"/>
        <w:jc w:val="both"/>
        <w:rPr>
          <w:rFonts w:ascii="Times New Roman" w:hAnsi="Times New Roman" w:cs="Times New Roman"/>
          <w:bCs/>
          <w:noProof/>
          <w:sz w:val="24"/>
          <w:szCs w:val="24"/>
        </w:rPr>
      </w:pPr>
      <w:r>
        <w:rPr>
          <w:rFonts w:ascii="Times New Roman" w:hAnsi="Times New Roman"/>
          <w:bCs/>
          <w:noProof/>
          <w:sz w:val="24"/>
          <w:szCs w:val="24"/>
        </w:rPr>
        <w:t>(indeksas pagal NUTS 2 lygmens regionus)</w:t>
      </w:r>
    </w:p>
    <w:p>
      <w:pPr>
        <w:spacing w:line="240" w:lineRule="auto"/>
        <w:jc w:val="center"/>
        <w:rPr>
          <w:rFonts w:ascii="Times New Roman" w:eastAsia="Calibri" w:hAnsi="Times New Roman" w:cs="Times New Roman"/>
          <w:b/>
          <w:noProof/>
          <w:sz w:val="24"/>
          <w:szCs w:val="24"/>
        </w:rPr>
      </w:pPr>
      <w:r>
        <w:rPr>
          <w:noProof/>
          <w:lang w:val="en-GB" w:eastAsia="en-GB"/>
        </w:rPr>
        <w:drawing>
          <wp:inline distT="0" distB="0" distL="0" distR="0">
            <wp:extent cx="5485958" cy="673408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1780" cy="6741233"/>
                    </a:xfrm>
                    <a:prstGeom prst="rect">
                      <a:avLst/>
                    </a:prstGeom>
                  </pic:spPr>
                </pic:pic>
              </a:graphicData>
            </a:graphic>
          </wp:inline>
        </w:drawing>
      </w:r>
    </w:p>
    <w:p>
      <w:pPr>
        <w:spacing w:line="240" w:lineRule="auto"/>
        <w:jc w:val="both"/>
        <w:rPr>
          <w:rFonts w:ascii="Times New Roman" w:hAnsi="Times New Roman" w:cs="Times New Roman"/>
          <w:noProof/>
          <w:sz w:val="20"/>
          <w:szCs w:val="24"/>
        </w:rPr>
      </w:pPr>
      <w:r>
        <w:rPr>
          <w:rFonts w:ascii="Times New Roman" w:hAnsi="Times New Roman"/>
          <w:noProof/>
          <w:sz w:val="20"/>
          <w:szCs w:val="24"/>
        </w:rPr>
        <w:t>Pastaba. Belgija: NUTS 1 lygmuo. Vokietija, Prancūzija, Austrija, Lenkija ir Portugalija: nacionaliniai duomenys. Belgija: duomenų eilutės lūžis. Airija, Prancūzija, Slovakija: 2018 m. duomenys. Italija: 2017 m. duomenys. Ispanija (Seuta) ir Suomija (Alandai): mažo patikimumo duomenys.</w:t>
      </w:r>
    </w:p>
    <w:p>
      <w:pPr>
        <w:spacing w:line="240" w:lineRule="auto"/>
        <w:rPr>
          <w:rFonts w:ascii="Times New Roman" w:hAnsi="Times New Roman" w:cs="Times New Roman"/>
          <w:noProof/>
          <w:sz w:val="20"/>
          <w:szCs w:val="24"/>
        </w:rPr>
      </w:pPr>
      <w:r>
        <w:rPr>
          <w:rFonts w:ascii="Times New Roman" w:hAnsi="Times New Roman"/>
          <w:noProof/>
          <w:sz w:val="20"/>
          <w:szCs w:val="24"/>
        </w:rPr>
        <w:t>Šaltinis: Eurostatas (interneto duomenų kodai: ilc_di11_r ir ilc_di11)</w:t>
      </w:r>
    </w:p>
    <w:p>
      <w:pPr>
        <w:jc w:val="both"/>
        <w:rPr>
          <w:rFonts w:ascii="Times New Roman" w:eastAsia="Calibri" w:hAnsi="Times New Roman" w:cs="Times New Roman"/>
          <w:b/>
          <w:noProof/>
          <w:sz w:val="24"/>
          <w:szCs w:val="24"/>
        </w:rPr>
      </w:pPr>
    </w:p>
    <w:p>
      <w:pPr>
        <w:rPr>
          <w:rFonts w:ascii="Times New Roman" w:eastAsia="Calibri" w:hAnsi="Times New Roman" w:cs="Times New Roman"/>
          <w:b/>
          <w:noProof/>
          <w:sz w:val="24"/>
          <w:szCs w:val="24"/>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szCs w:val="24"/>
        </w:rPr>
        <w:t xml:space="preserve">5 priedas. Metodinės pastabos apie tendencijų ir lygio nustatymą rodiklių suvestinėje </w:t>
      </w:r>
    </w:p>
    <w:p>
      <w:pPr>
        <w:jc w:val="both"/>
        <w:rPr>
          <w:rFonts w:cs="Times New Roman"/>
          <w:noProof/>
          <w:sz w:val="20"/>
          <w:szCs w:val="20"/>
        </w:rPr>
      </w:pPr>
      <w:r>
        <w:rPr>
          <w:rFonts w:ascii="Times New Roman" w:hAnsi="Times New Roman"/>
          <w:noProof/>
          <w:sz w:val="20"/>
          <w:szCs w:val="20"/>
        </w:rPr>
        <w:t>2015 m. viduryje Europos Komisija, Užimtumo komitetas ir Socialinės apsaugos komitetas susitarė dėl valstybių narių veiklos vertinimo metodikos rengiant Pagrindinių užimtumo ir socialinių rodiklių suvestinę. Susitarta, kad remiantis taikytina metodika turėtų būti galima pagal kiekvieną rodiklį nustatyti santykinę kiekvienos valstybės narės padėties vertę, atsižvelgiant į rodiklio reikšmių (rezultatų) pasiskirstymą ES. Metodika taikoma tiek metų lygmenims (lygiai), tiek pokyčiams per vienus metus (pokyčiai), tokiu būdu sudarant sąlygas holistiškai įvertinti valstybių narių veiklą</w:t>
      </w:r>
      <w:r>
        <w:rPr>
          <w:rStyle w:val="FootnoteReference"/>
          <w:rFonts w:cs="Times New Roman"/>
          <w:noProof/>
          <w:sz w:val="20"/>
          <w:szCs w:val="20"/>
          <w:lang w:eastAsia="fr-BE"/>
        </w:rPr>
        <w:footnoteReference w:id="2"/>
      </w:r>
      <w:r>
        <w:rPr>
          <w:noProof/>
          <w:sz w:val="20"/>
          <w:szCs w:val="20"/>
        </w:rPr>
        <w:t>.</w:t>
      </w:r>
      <w:r>
        <w:rPr>
          <w:rFonts w:ascii="Times New Roman" w:hAnsi="Times New Roman"/>
          <w:noProof/>
          <w:sz w:val="20"/>
          <w:szCs w:val="20"/>
        </w:rPr>
        <w:t xml:space="preserve"> </w:t>
      </w:r>
    </w:p>
    <w:p>
      <w:pPr>
        <w:jc w:val="both"/>
        <w:rPr>
          <w:rFonts w:cs="Times New Roman"/>
          <w:noProof/>
          <w:sz w:val="20"/>
          <w:szCs w:val="20"/>
        </w:rPr>
      </w:pPr>
      <w:r>
        <w:rPr>
          <w:rFonts w:ascii="Times New Roman" w:hAnsi="Times New Roman"/>
          <w:noProof/>
          <w:sz w:val="20"/>
          <w:szCs w:val="20"/>
        </w:rPr>
        <w:t>Komisija, sutarusi su Užimtumo komitetu ir Socialinės apsaugos komitetu, 2017 m. nutarė taikyti Socialinių rodiklių suvestinės, papildančios Europos socialinių teisių ramstį, metodiką.</w:t>
      </w:r>
    </w:p>
    <w:p>
      <w:pPr>
        <w:jc w:val="both"/>
        <w:rPr>
          <w:rFonts w:ascii="Times New Roman" w:hAnsi="Times New Roman" w:cs="Times New Roman"/>
          <w:noProof/>
          <w:sz w:val="20"/>
        </w:rPr>
      </w:pPr>
      <w:r>
        <w:rPr>
          <w:rFonts w:ascii="Times New Roman" w:hAnsi="Times New Roman"/>
          <w:noProof/>
          <w:sz w:val="20"/>
          <w:szCs w:val="20"/>
        </w:rPr>
        <w:t xml:space="preserve">Kiekvienas rodiklis, lygiai ir pokyčiai yra paversti standartiniais balais (dar vadinamais z balais), kad visiems rodikliams būtų taikoma tokia pati matų sistema. </w:t>
      </w:r>
      <w:r>
        <w:rPr>
          <w:rFonts w:ascii="Times New Roman" w:hAnsi="Times New Roman"/>
          <w:noProof/>
          <w:sz w:val="20"/>
        </w:rPr>
        <w:t>Tai atliekama standartizuojant tiek lygių, tiek pokyčių pirmines reikšmes pagal formulę:</w:t>
      </w:r>
    </w:p>
    <w:p>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z-score for 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indicator -average </m:t>
                  </m:r>
                  <m:d>
                    <m:dPr>
                      <m:ctrlPr>
                        <w:rPr>
                          <w:rFonts w:ascii="Cambria Math" w:hAnsi="Cambria Math" w:cs="Times New Roman"/>
                          <w:i/>
                          <w:noProof/>
                          <w:sz w:val="20"/>
                        </w:rPr>
                      </m:ctrlPr>
                    </m:dPr>
                    <m:e>
                      <m:r>
                        <w:rPr>
                          <w:rFonts w:ascii="Cambria Math" w:hAnsi="Cambria Math" w:cs="Times New Roman"/>
                          <w:noProof/>
                          <w:sz w:val="20"/>
                        </w:rPr>
                        <m:t>MS indicator</m:t>
                      </m:r>
                    </m:e>
                  </m:d>
                </m:e>
              </m:d>
            </m:num>
            <m:den>
              <m:r>
                <w:rPr>
                  <w:rFonts w:ascii="Cambria Math" w:hAnsi="Cambria Math" w:cs="Times New Roman"/>
                  <w:noProof/>
                  <w:sz w:val="20"/>
                </w:rPr>
                <m:t>standard d</m:t>
              </m:r>
              <m:r>
                <w:rPr>
                  <w:rFonts w:ascii="Cambria Math" w:hAnsi="Cambria Math" w:cs="Times New Roman"/>
                  <w:noProof/>
                  <w:sz w:val="20"/>
                </w:rPr>
                <m:t>eviation (MS indicator)</m:t>
              </m:r>
            </m:den>
          </m:f>
        </m:oMath>
      </m:oMathPara>
    </w:p>
    <w:p>
      <w:pPr>
        <w:spacing w:after="120"/>
        <w:jc w:val="both"/>
        <w:rPr>
          <w:rFonts w:ascii="Times New Roman" w:hAnsi="Times New Roman" w:cs="Times New Roman"/>
          <w:noProof/>
          <w:sz w:val="20"/>
        </w:rPr>
      </w:pPr>
      <w:r>
        <w:rPr>
          <w:rFonts w:ascii="Times New Roman" w:hAnsi="Times New Roman"/>
          <w:noProof/>
          <w:sz w:val="20"/>
        </w:rPr>
        <w:t xml:space="preserve">Tada išanalizuojamas balų pasiskirstymas (atskirai lygių ir pokyčių). Taikant šį metodą galima kiekvienos valstybės narės pirminę rodiklio reikšmę išreikšti pagal tai, keliais standartiniais nuokrypiais ji skiriasi nuo (nesvertinio) vidurkio. Kiekvienos valstybės narės veiklos rezultatai įvertinami ir suklasifikuojami remiantis gautais z balų rezultatais, atsižvelgiant į iš anksto nustatytas ribines vertes, išreikštas standartinio nuokrypio kartotiniais. </w:t>
      </w:r>
    </w:p>
    <w:p>
      <w:pPr>
        <w:spacing w:after="120"/>
        <w:jc w:val="both"/>
        <w:rPr>
          <w:rFonts w:ascii="Times New Roman" w:hAnsi="Times New Roman" w:cs="Times New Roman"/>
          <w:noProof/>
          <w:sz w:val="20"/>
        </w:rPr>
      </w:pPr>
      <w:r>
        <w:rPr>
          <w:rFonts w:ascii="Times New Roman" w:hAnsi="Times New Roman"/>
          <w:noProof/>
          <w:sz w:val="20"/>
        </w:rPr>
        <w:t>Svarbiausias klausimas taikant šį metodą – kaip nustatyti atskyrimo reikšmes. Atsižvelgiant į tai, kad apie stebimų pirminių reikšmių pasiskirstymą</w:t>
      </w:r>
      <w:r>
        <w:rPr>
          <w:rStyle w:val="FootnoteReference"/>
          <w:rFonts w:cs="Times New Roman"/>
          <w:noProof/>
          <w:sz w:val="20"/>
        </w:rPr>
        <w:footnoteReference w:id="3"/>
      </w:r>
      <w:r>
        <w:rPr>
          <w:noProof/>
          <w:sz w:val="20"/>
        </w:rPr>
        <w:t xml:space="preserve"> </w:t>
      </w:r>
      <w:r>
        <w:rPr>
          <w:rFonts w:ascii="Times New Roman" w:hAnsi="Times New Roman"/>
          <w:noProof/>
          <w:sz w:val="20"/>
        </w:rPr>
        <w:t xml:space="preserve">negalima daryti jokių parametrinių prielaidų, pasirenkant ribines vertes įprasta vadovautis sveiko proto nuostatomis. Atsižvelgiant į rodiklių suvestinėje naudojamų pagrindinių rodiklių analizę, susitarta, kad:  </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 xml:space="preserve">Rodiklis mažesnis už −1 – labai geri veiklos rezultatai </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Rodiklis nuo −1 iki −0,5 – geri veiklos rezultatai</w:t>
      </w:r>
    </w:p>
    <w:p>
      <w:pPr>
        <w:pStyle w:val="ListParagraph"/>
        <w:numPr>
          <w:ilvl w:val="0"/>
          <w:numId w:val="1"/>
        </w:numPr>
        <w:spacing w:after="120"/>
        <w:rPr>
          <w:rFonts w:ascii="Times New Roman" w:hAnsi="Times New Roman" w:cs="Times New Roman"/>
          <w:noProof/>
          <w:sz w:val="20"/>
          <w:szCs w:val="20"/>
        </w:rPr>
      </w:pPr>
      <w:r>
        <w:rPr>
          <w:rFonts w:ascii="Times New Roman" w:hAnsi="Times New Roman"/>
          <w:noProof/>
          <w:sz w:val="20"/>
          <w:szCs w:val="20"/>
        </w:rPr>
        <w:t>Rodiklis nuo −0,5 iki 0,5 – neutralūs veiklos rezultatai</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Rodiklis nuo 0,5 iki 1 – blogi veiklos rezultatai</w:t>
      </w:r>
    </w:p>
    <w:p>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Rodiklis didesnis už 1 – labai blogi veiklos rezultatai</w:t>
      </w:r>
      <w:r>
        <w:rPr>
          <w:rStyle w:val="FootnoteReference"/>
          <w:rFonts w:cs="Times New Roman"/>
          <w:noProof/>
          <w:sz w:val="20"/>
          <w:szCs w:val="20"/>
        </w:rPr>
        <w:footnoteReference w:id="4"/>
      </w:r>
    </w:p>
    <w:p>
      <w:pPr>
        <w:pStyle w:val="caption4"/>
        <w:spacing w:before="240" w:after="0"/>
        <w:rPr>
          <w:rFonts w:ascii="Times New Roman" w:hAnsi="Times New Roman"/>
          <w:noProof/>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1</w:t>
      </w:r>
      <w:r>
        <w:rPr>
          <w:rFonts w:ascii="Times New Roman" w:hAnsi="Times New Roman"/>
          <w:noProof/>
          <w:sz w:val="20"/>
          <w:szCs w:val="20"/>
        </w:rPr>
        <w:fldChar w:fldCharType="end"/>
      </w:r>
      <w:r>
        <w:rPr>
          <w:noProof/>
        </w:rPr>
        <w:t xml:space="preserve"> </w:t>
      </w:r>
      <w:r>
        <w:rPr>
          <w:rFonts w:ascii="Times New Roman" w:hAnsi="Times New Roman"/>
          <w:noProof/>
          <w:sz w:val="20"/>
          <w:szCs w:val="20"/>
        </w:rPr>
        <w:t>lentelė</w:t>
      </w:r>
      <w:r>
        <w:rPr>
          <w:noProof/>
        </w:rPr>
        <w:t>.</w:t>
      </w:r>
      <w:r>
        <w:rPr>
          <w:rFonts w:ascii="Times New Roman" w:hAnsi="Times New Roman"/>
          <w:noProof/>
          <w:sz w:val="20"/>
          <w:szCs w:val="20"/>
        </w:rPr>
        <w:t xml:space="preserve"> Z balų ribinės reikšmės</w:t>
      </w:r>
    </w:p>
    <w:tbl>
      <w:tblPr>
        <w:tblStyle w:val="LightShading-Accent1"/>
        <w:tblW w:w="8997" w:type="dxa"/>
        <w:tblLook w:val="04A0" w:firstRow="1" w:lastRow="0" w:firstColumn="1" w:lastColumn="0" w:noHBand="0" w:noVBand="1"/>
      </w:tblPr>
      <w:tblGrid>
        <w:gridCol w:w="1725"/>
        <w:gridCol w:w="1428"/>
        <w:gridCol w:w="1558"/>
        <w:gridCol w:w="1428"/>
        <w:gridCol w:w="1428"/>
        <w:gridCol w:w="1430"/>
      </w:tblGrid>
      <w:tr>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pPr>
              <w:jc w:val="center"/>
              <w:rPr>
                <w:rFonts w:ascii="Times New Roman" w:hAnsi="Times New Roman" w:cs="Times New Roman"/>
                <w:noProof/>
                <w:color w:val="000000"/>
                <w:sz w:val="20"/>
              </w:rPr>
            </w:pPr>
            <w:r>
              <w:rPr>
                <w:rFonts w:ascii="Times New Roman" w:hAnsi="Times New Roman"/>
                <w:noProof/>
                <w:color w:val="000000"/>
                <w:sz w:val="20"/>
              </w:rPr>
              <w:t> </w:t>
            </w:r>
          </w:p>
        </w:tc>
        <w:tc>
          <w:tcPr>
            <w:tcW w:w="7271"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Z balų ribinės reikšmės</w:t>
            </w:r>
          </w:p>
        </w:tc>
      </w:tr>
      <w:tr>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55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28"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30"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(mažiau nei)</w:t>
            </w:r>
          </w:p>
        </w:tc>
        <w:tc>
          <w:tcPr>
            <w:tcW w:w="155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(mažiau nei)</w:t>
            </w:r>
          </w:p>
        </w:tc>
        <w:tc>
          <w:tcPr>
            <w:tcW w:w="1428"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i/>
                <w:noProof/>
                <w:color w:val="auto"/>
                <w:sz w:val="20"/>
              </w:rPr>
              <w:t>(nuo... iki...)</w:t>
            </w:r>
          </w:p>
        </w:tc>
        <w:tc>
          <w:tcPr>
            <w:tcW w:w="1428"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(daugiau nei)</w:t>
            </w:r>
          </w:p>
        </w:tc>
        <w:tc>
          <w:tcPr>
            <w:tcW w:w="1430"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color w:val="000000"/>
                <w:sz w:val="20"/>
              </w:rPr>
              <w:t>(daugiau nei)</w:t>
            </w:r>
          </w:p>
        </w:tc>
      </w:tr>
      <w:tr>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pPr>
              <w:rPr>
                <w:rFonts w:ascii="Times New Roman" w:hAnsi="Times New Roman" w:cs="Times New Roman"/>
                <w:noProof/>
                <w:color w:val="000000"/>
                <w:sz w:val="20"/>
                <w:lang w:eastAsia="it-IT"/>
              </w:rPr>
            </w:pPr>
          </w:p>
        </w:tc>
        <w:tc>
          <w:tcPr>
            <w:tcW w:w="7271"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bCs/>
                <w:noProof/>
                <w:color w:val="000000"/>
                <w:sz w:val="20"/>
              </w:rPr>
              <w:t>Įvertinimas</w:t>
            </w:r>
          </w:p>
        </w:tc>
      </w:tr>
      <w:tr>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Lygiai</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Labai žemas</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Žemas</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Vidutinis</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Aukštas</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Labai aukštas</w:t>
            </w:r>
          </w:p>
        </w:tc>
      </w:tr>
      <w:tr>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55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28"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lang w:eastAsia="it-IT"/>
              </w:rPr>
            </w:pPr>
          </w:p>
        </w:tc>
        <w:tc>
          <w:tcPr>
            <w:tcW w:w="1430"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pPr>
              <w:jc w:val="center"/>
              <w:rPr>
                <w:rFonts w:ascii="Times New Roman" w:hAnsi="Times New Roman" w:cs="Times New Roman"/>
                <w:noProof/>
                <w:color w:val="000000"/>
                <w:sz w:val="20"/>
              </w:rPr>
            </w:pPr>
            <w:r>
              <w:rPr>
                <w:rFonts w:ascii="Times New Roman" w:hAnsi="Times New Roman"/>
                <w:noProof/>
                <w:color w:val="000000"/>
                <w:sz w:val="20"/>
              </w:rPr>
              <w:t>Pokyčiai</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Daug mažesni už vidurkį</w:t>
            </w:r>
          </w:p>
        </w:tc>
        <w:tc>
          <w:tcPr>
            <w:tcW w:w="155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Mažesni už vidurkį</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Vidutiniai</w:t>
            </w:r>
          </w:p>
        </w:tc>
        <w:tc>
          <w:tcPr>
            <w:tcW w:w="1428"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Didesni už vidurkį</w:t>
            </w:r>
          </w:p>
        </w:tc>
        <w:tc>
          <w:tcPr>
            <w:tcW w:w="1430"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Daug didesni už vidurkį</w:t>
            </w:r>
          </w:p>
        </w:tc>
      </w:tr>
    </w:tbl>
    <w:p>
      <w:pPr>
        <w:jc w:val="both"/>
        <w:rPr>
          <w:rFonts w:ascii="Times New Roman" w:hAnsi="Times New Roman" w:cs="Times New Roman"/>
          <w:noProof/>
          <w:sz w:val="20"/>
        </w:rPr>
      </w:pPr>
      <w:r>
        <w:rPr>
          <w:noProof/>
        </w:rPr>
        <w:br w:type="page"/>
      </w:r>
      <w:r>
        <w:rPr>
          <w:rFonts w:ascii="Times New Roman" w:hAnsi="Times New Roman"/>
          <w:noProof/>
          <w:sz w:val="20"/>
        </w:rPr>
        <w:t xml:space="preserve">Derinant lygių ir pokyčių vertinimą bendrus šalies veiklos rezultatus galima pagal kiekvieną rodiklį priskirti vienai iš šių septynių kategorijų. Spalvų kodai atspindėti atitinkamuose šios ataskaitos paveiksluose. </w:t>
      </w:r>
    </w:p>
    <w:p>
      <w:pPr>
        <w:jc w:val="both"/>
        <w:rPr>
          <w:rFonts w:ascii="Times New Roman" w:hAnsi="Times New Roman" w:cs="Times New Roman"/>
          <w:noProof/>
          <w:sz w:val="20"/>
        </w:rPr>
      </w:pPr>
      <w:r>
        <w:rPr>
          <w:rFonts w:ascii="Times New Roman" w:hAnsi="Times New Roman"/>
          <w:noProof/>
          <w:sz w:val="20"/>
        </w:rPr>
        <w:t xml:space="preserve">Toliau pateikiamose lentelėse tų rodiklių, kurių </w:t>
      </w:r>
      <w:r>
        <w:rPr>
          <w:rFonts w:ascii="Times New Roman" w:hAnsi="Times New Roman"/>
          <w:noProof/>
          <w:sz w:val="20"/>
          <w:u w:val="single"/>
        </w:rPr>
        <w:t>žema vertė</w:t>
      </w:r>
      <w:r>
        <w:rPr>
          <w:rFonts w:ascii="Times New Roman" w:hAnsi="Times New Roman"/>
          <w:noProof/>
          <w:sz w:val="20"/>
        </w:rPr>
        <w:t xml:space="preserve"> rodo </w:t>
      </w:r>
      <w:r>
        <w:rPr>
          <w:rFonts w:ascii="Times New Roman" w:hAnsi="Times New Roman"/>
          <w:noProof/>
          <w:sz w:val="20"/>
          <w:u w:val="single"/>
        </w:rPr>
        <w:t>gerus rezultatus</w:t>
      </w:r>
      <w:r>
        <w:rPr>
          <w:rFonts w:ascii="Times New Roman" w:hAnsi="Times New Roman"/>
          <w:noProof/>
          <w:sz w:val="20"/>
        </w:rPr>
        <w:t xml:space="preserve"> (kaip antai, nedarbo lygio, AROPE ir pan.), klasifikacija yra grindžiama z balais. </w:t>
      </w:r>
    </w:p>
    <w:tbl>
      <w:tblPr>
        <w:tblStyle w:val="TableGrid"/>
        <w:tblW w:w="0" w:type="auto"/>
        <w:tblLook w:val="04A0" w:firstRow="1" w:lastRow="0" w:firstColumn="1" w:lastColumn="0" w:noHBand="0" w:noVBand="1"/>
      </w:tblPr>
      <w:tblGrid>
        <w:gridCol w:w="1927"/>
        <w:gridCol w:w="3595"/>
        <w:gridCol w:w="3766"/>
      </w:tblGrid>
      <w:tr>
        <w:tc>
          <w:tcPr>
            <w:tcW w:w="2508" w:type="dxa"/>
            <w:shd w:val="clear" w:color="auto" w:fill="00B050"/>
          </w:tcPr>
          <w:p>
            <w:pPr>
              <w:rPr>
                <w:rFonts w:ascii="Times New Roman" w:hAnsi="Times New Roman" w:cs="Times New Roman"/>
                <w:noProof/>
                <w:sz w:val="20"/>
                <w:szCs w:val="20"/>
              </w:rPr>
            </w:pPr>
            <w:r>
              <w:rPr>
                <w:rFonts w:ascii="Times New Roman" w:hAnsi="Times New Roman"/>
                <w:b/>
                <w:noProof/>
                <w:sz w:val="20"/>
                <w:szCs w:val="20"/>
              </w:rPr>
              <w:t>Geriausių rezultatų pasiekusios šalys</w:t>
            </w:r>
            <w:r>
              <w:rPr>
                <w:rFonts w:ascii="Times New Roman" w:hAnsi="Times New Roman"/>
                <w:noProof/>
                <w:sz w:val="20"/>
                <w:szCs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Lygio rezultatas mažesnis už −1,0, pokyčių rezultatas mažesnis už 1,0</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Valstybės narės, kurių lygis daug didesnis už ES vidurkį ir kurių padėtis gerėja arba neblogėja daug greičiau negu ES vidurkis.</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szCs w:val="20"/>
              </w:rPr>
              <w:t>Geresnių už vidurkį rezultatų pasiekusios šalys</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 xml:space="preserve">Lygio rezultatas nuo −1,0 iki −0,5, pokyčių rezultatas mažesnis už 1 </w:t>
            </w:r>
            <w:r>
              <w:rPr>
                <w:rFonts w:ascii="Times New Roman" w:hAnsi="Times New Roman"/>
                <w:noProof/>
                <w:sz w:val="20"/>
                <w:szCs w:val="20"/>
                <w:u w:val="single"/>
              </w:rPr>
              <w:t>arba</w:t>
            </w:r>
            <w:r>
              <w:rPr>
                <w:rFonts w:ascii="Times New Roman" w:hAnsi="Times New Roman"/>
                <w:noProof/>
                <w:sz w:val="20"/>
                <w:szCs w:val="20"/>
              </w:rPr>
              <w:t xml:space="preserve"> lygio rezultatas nuo −0,5 iki 0,5, pokyčių rezultatas mažesnis už −1,0</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Valstybės narės, kurių lygis aukštesnis už ES vidurkį ir kurių padėtis gerėja arba neblogėja daug greičiau negu ES vidurkis.</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szCs w:val="20"/>
              </w:rPr>
              <w:t>Šalys, pasiekusios gerų rezultatų, bet reikia stebėti padėtį</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Lygio rezultatas mažesnis už −0,5, pokyčių rezultatas didesnis už 1,0 ir pokytis didesnis už 0</w:t>
            </w:r>
            <w:r>
              <w:rPr>
                <w:rStyle w:val="FootnoteReference"/>
                <w:rFonts w:cs="Times New Roman"/>
                <w:noProof/>
                <w:sz w:val="20"/>
                <w:szCs w:val="20"/>
                <w:lang w:val="en-US"/>
              </w:rPr>
              <w:footnoteReference w:id="5"/>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Valstybės narės, kurių lygis aukštesnis arba daug aukštesnis už ES vidurkį, tačiau jų padėtis blogėja daug greičiau negu ES vidurkis.</w:t>
            </w:r>
          </w:p>
        </w:tc>
      </w:tr>
      <w:tr>
        <w:tc>
          <w:tcPr>
            <w:tcW w:w="2508" w:type="dxa"/>
          </w:tcPr>
          <w:p>
            <w:pPr>
              <w:rPr>
                <w:rFonts w:ascii="Times New Roman" w:hAnsi="Times New Roman" w:cs="Times New Roman"/>
                <w:noProof/>
                <w:sz w:val="20"/>
                <w:szCs w:val="20"/>
              </w:rPr>
            </w:pPr>
            <w:r>
              <w:rPr>
                <w:rFonts w:ascii="Times New Roman" w:hAnsi="Times New Roman"/>
                <w:b/>
                <w:noProof/>
                <w:sz w:val="20"/>
                <w:szCs w:val="20"/>
              </w:rPr>
              <w:t>Vidutinių / neutralių rezultatų pasiekusios šalys</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Lygio rezultatas nuo −0,5 iki 0,5, pokyčių rezultatas nuo −1,0 iki 1,0</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Valstybės narės, kurių lygis vidutinis ir kurių padėtis negerėja arba neblogėja daug greičiau negu ES vidurkis.</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szCs w:val="20"/>
              </w:rPr>
              <w:t>Prastų, bet gerėjančių rezultatų pasiekusios šalys</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Lygio rezultatas didesnis už 0,5, pokyčių rezultatas mažesnis už −1,0</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Valstybės narės, kurių lygis žemesnis arba daug žemesnis už ES vidurkį, tačiau jų padėtis gerėja daug greičiau negu ES vidurkis.</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szCs w:val="20"/>
              </w:rPr>
              <w:t>Padėtį reikia stebėti</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 xml:space="preserve">Lygio rezultatas nuo 0,5 iki 1,0, pokyčių rezultatas didesnis už −1,0 </w:t>
            </w:r>
            <w:r>
              <w:rPr>
                <w:rFonts w:ascii="Times New Roman" w:hAnsi="Times New Roman"/>
                <w:noProof/>
                <w:sz w:val="20"/>
                <w:szCs w:val="20"/>
                <w:u w:val="single"/>
              </w:rPr>
              <w:t>arba</w:t>
            </w:r>
            <w:r>
              <w:rPr>
                <w:rFonts w:ascii="Times New Roman" w:hAnsi="Times New Roman"/>
                <w:noProof/>
                <w:sz w:val="20"/>
                <w:szCs w:val="20"/>
              </w:rPr>
              <w:t xml:space="preserve"> lygio rezultatas nuo −0,5 iki 0,5, pokyčių rezultatas didesnis už 1,0 (</w:t>
            </w:r>
            <w:r>
              <w:rPr>
                <w:rFonts w:ascii="Times New Roman" w:hAnsi="Times New Roman"/>
                <w:i/>
                <w:iCs/>
                <w:noProof/>
                <w:sz w:val="20"/>
                <w:szCs w:val="20"/>
              </w:rPr>
              <w:t>ir</w:t>
            </w:r>
            <w:r>
              <w:rPr>
                <w:rFonts w:ascii="Times New Roman" w:hAnsi="Times New Roman"/>
                <w:noProof/>
                <w:sz w:val="20"/>
                <w:szCs w:val="20"/>
              </w:rPr>
              <w:t xml:space="preserve"> pokytis didesnis už 0</w:t>
            </w:r>
            <w:r>
              <w:rPr>
                <w:rStyle w:val="FootnoteReference"/>
                <w:rFonts w:cs="Times New Roman"/>
                <w:noProof/>
                <w:sz w:val="20"/>
                <w:szCs w:val="20"/>
                <w:lang w:val="en-US"/>
              </w:rPr>
              <w:footnoteReference w:id="6"/>
            </w:r>
            <w:r>
              <w:rPr>
                <w:rFonts w:ascii="Times New Roman" w:hAnsi="Times New Roman"/>
                <w:noProof/>
                <w:sz w:val="20"/>
                <w:szCs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Ši kategorija apima du skirtingus atvejus: i) valstybės narės, kurių lygis žemesnis už ES vidurkį ir kurių padėtis blogėja arba nepakankamai greitai gerėja; ii) valstybės narės, kurių lygis atitinka ES vidurkį, tačiau padėtis blogėja daug greičiau negu ES vidurkis.</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szCs w:val="20"/>
              </w:rPr>
              <w:t>Kritinė padėtis</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Lygio rezultatas didesnis už 1,0, pokyčių rezultatas didesnis už −1,0</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Valstybės narės, kurių lygis daug žemesnis už ES vidurkį ir kurių padėtis blogėja arba nepakankamai greitai gerėja.</w:t>
            </w:r>
          </w:p>
        </w:tc>
      </w:tr>
    </w:tbl>
    <w:p>
      <w:pPr>
        <w:jc w:val="both"/>
        <w:rPr>
          <w:rFonts w:ascii="Times New Roman" w:hAnsi="Times New Roman" w:cs="Times New Roman"/>
          <w:noProof/>
          <w:sz w:val="20"/>
          <w:szCs w:val="20"/>
        </w:rPr>
      </w:pPr>
    </w:p>
    <w:p>
      <w:pPr>
        <w:rPr>
          <w:rFonts w:ascii="Times New Roman" w:hAnsi="Times New Roman" w:cs="Times New Roman"/>
          <w:noProof/>
          <w:sz w:val="24"/>
          <w:szCs w:val="24"/>
        </w:rPr>
      </w:pPr>
    </w:p>
    <w:p>
      <w:pPr>
        <w:rPr>
          <w:rFonts w:ascii="Times New Roman" w:hAnsi="Times New Roman" w:cs="Times New Roman"/>
          <w:b/>
          <w:i/>
          <w:noProof/>
          <w:sz w:val="24"/>
          <w:szCs w:val="24"/>
        </w:rPr>
      </w:pPr>
      <w:r>
        <w:rPr>
          <w:noProof/>
          <w:lang w:val="en-GB" w:eastAsia="en-GB"/>
        </w:rPr>
        <w:drawing>
          <wp:inline distT="0" distB="0" distL="0" distR="0">
            <wp:extent cx="5760720" cy="132522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325228"/>
                    </a:xfrm>
                    <a:prstGeom prst="rect">
                      <a:avLst/>
                    </a:prstGeom>
                    <a:noFill/>
                    <a:ln>
                      <a:noFill/>
                    </a:ln>
                  </pic:spPr>
                </pic:pic>
              </a:graphicData>
            </a:graphic>
          </wp:inline>
        </w:drawing>
      </w:r>
    </w:p>
    <w:p>
      <w:pPr>
        <w:rPr>
          <w:rFonts w:ascii="Times New Roman" w:hAnsi="Times New Roman" w:cs="Times New Roman"/>
          <w:b/>
          <w:i/>
          <w:noProof/>
          <w:sz w:val="24"/>
          <w:szCs w:val="24"/>
          <w:lang w:val="en-US"/>
        </w:rPr>
      </w:pPr>
    </w:p>
    <w:p>
      <w:pPr>
        <w:jc w:val="both"/>
        <w:rPr>
          <w:rFonts w:ascii="Times New Roman" w:hAnsi="Times New Roman" w:cs="Times New Roman"/>
          <w:noProof/>
          <w:sz w:val="20"/>
        </w:rPr>
      </w:pPr>
      <w:r>
        <w:rPr>
          <w:rFonts w:ascii="Times New Roman" w:hAnsi="Times New Roman"/>
          <w:noProof/>
          <w:sz w:val="20"/>
        </w:rPr>
        <w:t xml:space="preserve">Toliau pateikiamose lentelėse tų rodiklių, kurių </w:t>
      </w:r>
      <w:r>
        <w:rPr>
          <w:rFonts w:ascii="Times New Roman" w:hAnsi="Times New Roman"/>
          <w:noProof/>
          <w:sz w:val="20"/>
          <w:u w:val="single"/>
        </w:rPr>
        <w:t>aukšta vertė</w:t>
      </w:r>
      <w:r>
        <w:rPr>
          <w:rFonts w:ascii="Times New Roman" w:hAnsi="Times New Roman"/>
          <w:noProof/>
          <w:sz w:val="20"/>
        </w:rPr>
        <w:t xml:space="preserve"> rodo </w:t>
      </w:r>
      <w:r>
        <w:rPr>
          <w:rFonts w:ascii="Times New Roman" w:hAnsi="Times New Roman"/>
          <w:noProof/>
          <w:sz w:val="20"/>
          <w:u w:val="single"/>
        </w:rPr>
        <w:t>gerus rezultatus</w:t>
      </w:r>
      <w:r>
        <w:rPr>
          <w:rFonts w:ascii="Times New Roman" w:hAnsi="Times New Roman"/>
          <w:noProof/>
          <w:sz w:val="20"/>
        </w:rPr>
        <w:t xml:space="preserve"> (kaip antai, užimtumo lygio, naudojimosi vaikų priežiūros paslaugomis ir pan.), klasifikacija yra grindžiama z balais. </w:t>
      </w:r>
    </w:p>
    <w:tbl>
      <w:tblPr>
        <w:tblStyle w:val="TableGrid"/>
        <w:tblW w:w="0" w:type="auto"/>
        <w:tblLook w:val="04A0" w:firstRow="1" w:lastRow="0" w:firstColumn="1" w:lastColumn="0" w:noHBand="0" w:noVBand="1"/>
      </w:tblPr>
      <w:tblGrid>
        <w:gridCol w:w="1927"/>
        <w:gridCol w:w="3595"/>
        <w:gridCol w:w="3766"/>
      </w:tblGrid>
      <w:tr>
        <w:tc>
          <w:tcPr>
            <w:tcW w:w="2508" w:type="dxa"/>
            <w:shd w:val="clear" w:color="auto" w:fill="00B050"/>
          </w:tcPr>
          <w:p>
            <w:pPr>
              <w:rPr>
                <w:rFonts w:ascii="Times New Roman" w:hAnsi="Times New Roman" w:cs="Times New Roman"/>
                <w:noProof/>
                <w:sz w:val="20"/>
                <w:szCs w:val="20"/>
              </w:rPr>
            </w:pPr>
            <w:r>
              <w:rPr>
                <w:rFonts w:ascii="Times New Roman" w:hAnsi="Times New Roman"/>
                <w:b/>
                <w:noProof/>
                <w:sz w:val="20"/>
                <w:szCs w:val="20"/>
              </w:rPr>
              <w:t>Geriausių rezultatų pasiekusios šalys</w:t>
            </w:r>
            <w:r>
              <w:rPr>
                <w:rFonts w:ascii="Times New Roman" w:hAnsi="Times New Roman"/>
                <w:noProof/>
                <w:sz w:val="20"/>
                <w:szCs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Lygio rezultatas didesnis už 1,0, pokyčių rezultatas didesnis už −1,0</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szCs w:val="20"/>
              </w:rPr>
              <w:t>Valstybės narės, kurių lygis daug didesnis už ES vidurkį ir kurių padėtis gerėja arba neblogėja daug greičiau negu ES vidurkis.</w:t>
            </w:r>
          </w:p>
        </w:tc>
      </w:tr>
      <w:tr>
        <w:tc>
          <w:tcPr>
            <w:tcW w:w="2508" w:type="dxa"/>
            <w:shd w:val="clear" w:color="auto" w:fill="92D050"/>
          </w:tcPr>
          <w:p>
            <w:pPr>
              <w:rPr>
                <w:rFonts w:ascii="Times New Roman" w:hAnsi="Times New Roman" w:cs="Times New Roman"/>
                <w:noProof/>
                <w:sz w:val="20"/>
                <w:szCs w:val="20"/>
              </w:rPr>
            </w:pPr>
            <w:r>
              <w:rPr>
                <w:rFonts w:ascii="Times New Roman" w:hAnsi="Times New Roman"/>
                <w:b/>
                <w:noProof/>
                <w:sz w:val="20"/>
                <w:szCs w:val="20"/>
              </w:rPr>
              <w:t>Geresnių už vidurkį rezultatų pasiekusios šalys</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 xml:space="preserve">Lygio rezultatas nuo 1,0 iki 0,5, pokyčių rezultatas didesnis už −1,0 </w:t>
            </w:r>
            <w:r>
              <w:rPr>
                <w:rFonts w:ascii="Times New Roman" w:hAnsi="Times New Roman"/>
                <w:noProof/>
                <w:sz w:val="20"/>
                <w:szCs w:val="20"/>
                <w:u w:val="single"/>
              </w:rPr>
              <w:t>arba</w:t>
            </w:r>
            <w:r>
              <w:rPr>
                <w:rFonts w:ascii="Times New Roman" w:hAnsi="Times New Roman"/>
                <w:noProof/>
                <w:sz w:val="20"/>
                <w:szCs w:val="20"/>
              </w:rPr>
              <w:t xml:space="preserve"> lygio rezultatas nuo −0,5 iki 0,5, pokyčių rezultatas didesnis už 1,0</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szCs w:val="20"/>
              </w:rPr>
              <w:t>Valstybės narės, kurių lygis aukštesnis už ES vidurkį ir kurių padėtis gerėja arba neblogėja daug greičiau negu ES vidurkis.</w:t>
            </w:r>
          </w:p>
        </w:tc>
      </w:tr>
      <w:tr>
        <w:tc>
          <w:tcPr>
            <w:tcW w:w="2508" w:type="dxa"/>
            <w:shd w:val="clear" w:color="auto" w:fill="4F81BD" w:themeFill="accent1"/>
          </w:tcPr>
          <w:p>
            <w:pPr>
              <w:rPr>
                <w:rFonts w:ascii="Times New Roman" w:hAnsi="Times New Roman" w:cs="Times New Roman"/>
                <w:noProof/>
                <w:sz w:val="20"/>
                <w:szCs w:val="20"/>
              </w:rPr>
            </w:pPr>
            <w:r>
              <w:rPr>
                <w:rFonts w:ascii="Times New Roman" w:hAnsi="Times New Roman"/>
                <w:b/>
                <w:noProof/>
                <w:sz w:val="20"/>
                <w:szCs w:val="20"/>
              </w:rPr>
              <w:t>Šalys, pasiekusios gerų rezultatų, bet reikia stebėti padėtį</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Lygio rezultatas didesnis už 0,5 ir pokyčių rezultatas mažesnis už −1,0 ir pokytis mažesnis už 0</w:t>
            </w:r>
            <w:r>
              <w:rPr>
                <w:rStyle w:val="FootnoteReference"/>
                <w:rFonts w:cs="Times New Roman"/>
                <w:noProof/>
                <w:sz w:val="20"/>
                <w:szCs w:val="20"/>
                <w:lang w:val="en-US"/>
              </w:rPr>
              <w:footnoteReference w:id="7"/>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szCs w:val="20"/>
              </w:rPr>
              <w:t>Valstybės narės, kurių lygis aukštesnis arba daug aukštesnis už ES vidurkį, tačiau jų padėtis blogėja daug greičiau negu ES vidurkis.</w:t>
            </w:r>
          </w:p>
        </w:tc>
      </w:tr>
      <w:tr>
        <w:tc>
          <w:tcPr>
            <w:tcW w:w="2508" w:type="dxa"/>
          </w:tcPr>
          <w:p>
            <w:pPr>
              <w:rPr>
                <w:rFonts w:ascii="Times New Roman" w:hAnsi="Times New Roman" w:cs="Times New Roman"/>
                <w:noProof/>
                <w:sz w:val="20"/>
                <w:szCs w:val="20"/>
              </w:rPr>
            </w:pPr>
            <w:r>
              <w:rPr>
                <w:rFonts w:ascii="Times New Roman" w:hAnsi="Times New Roman"/>
                <w:b/>
                <w:noProof/>
                <w:sz w:val="20"/>
                <w:szCs w:val="20"/>
              </w:rPr>
              <w:t>Vidutinių / neutralių rezultatų pasiekusios šalys</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Lygio rezultatas nuo −0,5 iki 0,5, pokyčių rezultatas nuo −1,0 iki 1,0</w:t>
            </w:r>
          </w:p>
        </w:tc>
        <w:tc>
          <w:tcPr>
            <w:tcW w:w="5640" w:type="dxa"/>
          </w:tcPr>
          <w:p>
            <w:pPr>
              <w:jc w:val="both"/>
              <w:rPr>
                <w:rFonts w:ascii="Times New Roman" w:hAnsi="Times New Roman" w:cs="Times New Roman"/>
                <w:noProof/>
                <w:sz w:val="20"/>
                <w:szCs w:val="20"/>
              </w:rPr>
            </w:pPr>
            <w:r>
              <w:rPr>
                <w:rFonts w:ascii="Times New Roman" w:hAnsi="Times New Roman"/>
                <w:noProof/>
                <w:sz w:val="20"/>
                <w:szCs w:val="20"/>
              </w:rPr>
              <w:t>Valstybės narės, kurių lygis vidutinis ir kurių padėtis negerėja arba neblogėja daug greičiau negu ES vidurkis.</w:t>
            </w:r>
          </w:p>
        </w:tc>
      </w:tr>
      <w:tr>
        <w:tc>
          <w:tcPr>
            <w:tcW w:w="2508" w:type="dxa"/>
            <w:shd w:val="clear" w:color="auto" w:fill="FFFF00"/>
          </w:tcPr>
          <w:p>
            <w:pPr>
              <w:rPr>
                <w:rFonts w:ascii="Times New Roman" w:hAnsi="Times New Roman" w:cs="Times New Roman"/>
                <w:noProof/>
                <w:sz w:val="20"/>
                <w:szCs w:val="20"/>
              </w:rPr>
            </w:pPr>
            <w:r>
              <w:rPr>
                <w:rFonts w:ascii="Times New Roman" w:hAnsi="Times New Roman"/>
                <w:b/>
                <w:noProof/>
                <w:sz w:val="20"/>
                <w:szCs w:val="20"/>
              </w:rPr>
              <w:t>Prastų, bet gerėjančių rezultatų pasiekusios šalys</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Lygio rezultatas mažesnis už −0,5, pokyčių rezultatas didesnis už 1,0</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szCs w:val="20"/>
              </w:rPr>
              <w:t>Valstybės narės, kurių lygis žemesnis arba daug žemesnis už ES vidurkį, tačiau jų padėtis gerėja daug greičiau negu ES vidurkis.</w:t>
            </w:r>
          </w:p>
        </w:tc>
      </w:tr>
      <w:tr>
        <w:tc>
          <w:tcPr>
            <w:tcW w:w="2508" w:type="dxa"/>
            <w:shd w:val="clear" w:color="auto" w:fill="FFC000"/>
          </w:tcPr>
          <w:p>
            <w:pPr>
              <w:rPr>
                <w:rFonts w:ascii="Times New Roman" w:hAnsi="Times New Roman" w:cs="Times New Roman"/>
                <w:noProof/>
                <w:sz w:val="20"/>
                <w:szCs w:val="20"/>
              </w:rPr>
            </w:pPr>
            <w:r>
              <w:rPr>
                <w:rFonts w:ascii="Times New Roman" w:hAnsi="Times New Roman"/>
                <w:b/>
                <w:noProof/>
                <w:sz w:val="20"/>
                <w:szCs w:val="20"/>
              </w:rPr>
              <w:t>Padėtį reikia stebėti</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 xml:space="preserve">Lygio rezultatas nuo −0,5 iki −1,0, pokyčių rezultatas mažesnis už 1,0 </w:t>
            </w:r>
            <w:r>
              <w:rPr>
                <w:rFonts w:ascii="Times New Roman" w:hAnsi="Times New Roman"/>
                <w:noProof/>
                <w:sz w:val="20"/>
                <w:szCs w:val="20"/>
                <w:u w:val="single"/>
              </w:rPr>
              <w:t>arba</w:t>
            </w:r>
            <w:r>
              <w:rPr>
                <w:rFonts w:ascii="Times New Roman" w:hAnsi="Times New Roman"/>
                <w:noProof/>
                <w:sz w:val="20"/>
                <w:szCs w:val="20"/>
              </w:rPr>
              <w:t xml:space="preserve"> lygio rezultatas nuo −0,5 iki 0,5, pokyčių rezultatas mažesnis už −1,0 (</w:t>
            </w:r>
            <w:r>
              <w:rPr>
                <w:rFonts w:ascii="Times New Roman" w:hAnsi="Times New Roman"/>
                <w:i/>
                <w:iCs/>
                <w:noProof/>
                <w:sz w:val="20"/>
                <w:szCs w:val="20"/>
              </w:rPr>
              <w:t>ir</w:t>
            </w:r>
            <w:r>
              <w:rPr>
                <w:rFonts w:ascii="Times New Roman" w:hAnsi="Times New Roman"/>
                <w:noProof/>
                <w:sz w:val="20"/>
                <w:szCs w:val="20"/>
              </w:rPr>
              <w:t xml:space="preserve"> pokytis mažesnis už 0</w:t>
            </w:r>
            <w:r>
              <w:rPr>
                <w:rStyle w:val="FootnoteReference"/>
                <w:rFonts w:cs="Times New Roman"/>
                <w:noProof/>
                <w:sz w:val="20"/>
                <w:szCs w:val="20"/>
                <w:lang w:val="en-US"/>
              </w:rPr>
              <w:footnoteReference w:id="8"/>
            </w:r>
            <w:r>
              <w:rPr>
                <w:rFonts w:ascii="Times New Roman" w:hAnsi="Times New Roman"/>
                <w:noProof/>
                <w:sz w:val="20"/>
                <w:szCs w:val="20"/>
              </w:rPr>
              <w:t>)</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szCs w:val="20"/>
              </w:rPr>
              <w:t>Ši kategorija apima du skirtingus atvejus: i) valstybės narės, kurių lygis žemesnis už ES vidurkį ir kurių padėtis blogėja arba nepakankamai greitai gerėja; ii) valstybės narės, kurių lygis atitinka ES vidurkį, tačiau padėtis blogėja daug greičiau negu ES vidurkis.</w:t>
            </w:r>
          </w:p>
        </w:tc>
      </w:tr>
      <w:tr>
        <w:tc>
          <w:tcPr>
            <w:tcW w:w="2508" w:type="dxa"/>
            <w:shd w:val="clear" w:color="auto" w:fill="FF0000"/>
          </w:tcPr>
          <w:p>
            <w:pPr>
              <w:rPr>
                <w:rFonts w:ascii="Times New Roman" w:hAnsi="Times New Roman" w:cs="Times New Roman"/>
                <w:noProof/>
                <w:sz w:val="20"/>
                <w:szCs w:val="20"/>
              </w:rPr>
            </w:pPr>
            <w:r>
              <w:rPr>
                <w:rFonts w:ascii="Times New Roman" w:hAnsi="Times New Roman"/>
                <w:b/>
                <w:noProof/>
                <w:sz w:val="20"/>
                <w:szCs w:val="20"/>
              </w:rPr>
              <w:t>Kritinė padėtis</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Lygio rezultatas mažesnis už 1,0, pokyčių rezultatas mažesnis už 1,0</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szCs w:val="20"/>
              </w:rPr>
              <w:t>Valstybės narės, kurių lygis daug žemesnis už ES vidurkį ir kurių padėtis blogėja arba nepakankamai greitai gerėja.</w:t>
            </w:r>
          </w:p>
        </w:tc>
      </w:tr>
    </w:tbl>
    <w:p>
      <w:pPr>
        <w:rPr>
          <w:rFonts w:ascii="Times New Roman" w:hAnsi="Times New Roman" w:cs="Times New Roman"/>
          <w:b/>
          <w:i/>
          <w:noProof/>
          <w:sz w:val="24"/>
          <w:szCs w:val="24"/>
        </w:rPr>
      </w:pPr>
    </w:p>
    <w:p>
      <w:pPr>
        <w:rPr>
          <w:rFonts w:ascii="Times New Roman" w:hAnsi="Times New Roman" w:cs="Times New Roman"/>
          <w:b/>
          <w:i/>
          <w:noProof/>
          <w:sz w:val="24"/>
          <w:szCs w:val="24"/>
        </w:rPr>
      </w:pPr>
    </w:p>
    <w:p>
      <w:pPr>
        <w:rPr>
          <w:rFonts w:ascii="Times New Roman" w:hAnsi="Times New Roman" w:cs="Times New Roman"/>
          <w:b/>
          <w:i/>
          <w:noProof/>
          <w:sz w:val="24"/>
          <w:szCs w:val="24"/>
        </w:rPr>
        <w:sectPr>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20"/>
          <w:docGrid w:linePitch="360"/>
        </w:sectPr>
      </w:pPr>
      <w:r>
        <w:rPr>
          <w:noProof/>
          <w:lang w:val="en-GB" w:eastAsia="en-GB"/>
        </w:rPr>
        <w:drawing>
          <wp:inline distT="0" distB="0" distL="0" distR="0">
            <wp:extent cx="5760720" cy="132522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325228"/>
                    </a:xfrm>
                    <a:prstGeom prst="rect">
                      <a:avLst/>
                    </a:prstGeom>
                    <a:noFill/>
                    <a:ln>
                      <a:noFill/>
                    </a:ln>
                  </pic:spPr>
                </pic:pic>
              </a:graphicData>
            </a:graphic>
          </wp:inline>
        </w:drawing>
      </w:r>
    </w:p>
    <w:p>
      <w:pPr>
        <w:spacing w:after="0"/>
        <w:rPr>
          <w:rFonts w:ascii="Times New Roman" w:hAnsi="Times New Roman" w:cs="Times New Roman"/>
          <w:b/>
          <w:i/>
          <w:noProof/>
          <w:sz w:val="24"/>
          <w:szCs w:val="24"/>
        </w:rPr>
      </w:pPr>
      <w:r>
        <w:rPr>
          <w:rFonts w:ascii="Times New Roman" w:hAnsi="Times New Roman"/>
          <w:b/>
          <w:i/>
          <w:noProof/>
          <w:sz w:val="24"/>
          <w:szCs w:val="24"/>
        </w:rPr>
        <w:t>Atskyrimo reikšmių suvestinė lentelė</w:t>
      </w:r>
    </w:p>
    <w:tbl>
      <w:tblPr>
        <w:tblW w:w="132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08"/>
        <w:gridCol w:w="845"/>
        <w:gridCol w:w="1476"/>
        <w:gridCol w:w="1559"/>
        <w:gridCol w:w="2019"/>
        <w:gridCol w:w="1532"/>
        <w:gridCol w:w="1492"/>
      </w:tblGrid>
      <w:tr>
        <w:trPr>
          <w:trHeight w:val="409"/>
        </w:trPr>
        <w:tc>
          <w:tcPr>
            <w:tcW w:w="4308" w:type="dxa"/>
            <w:shd w:val="clear" w:color="auto" w:fill="auto"/>
            <w:vAlign w:val="center"/>
            <w:hideMark/>
          </w:tcPr>
          <w:p>
            <w:pPr>
              <w:spacing w:after="0" w:line="240" w:lineRule="auto"/>
              <w:rPr>
                <w:rFonts w:ascii="Times New Roman" w:eastAsia="Times New Roman" w:hAnsi="Times New Roman" w:cs="Times New Roman"/>
                <w:b/>
                <w:noProof/>
                <w:color w:val="000000"/>
                <w:sz w:val="20"/>
                <w:szCs w:val="20"/>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20"/>
                <w:szCs w:val="20"/>
                <w:lang w:eastAsia="en-GB"/>
              </w:rPr>
            </w:pP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Labai žemas</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Žemas</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Vidutinis</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Aukštas</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Labai aukštas</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 xml:space="preserve">Mokyklos nebaigę asmenys </w:t>
            </w:r>
          </w:p>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(18–24 m. gyventojų proc. dalis)</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5,1 %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7,0 %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7,0 % iki 10,8 %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10,8 %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12,7 %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−0,9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−0,6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−0,6 proc. p. iki 0,2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0,2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0,5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Lyčių užimtumo skirtumas (proc. punktais)</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4,9 %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7,6 %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7,6 % iki 13,0 %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13,0 %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15,6 %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−1,4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−0,8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−0,8 proc. p. iki 0,2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0,2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0,7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Pajamų kvintilio dalies santykis (S80/S20)</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3,6</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4,2</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4,2 iki 5,4</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5,4</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6,0</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−0,3</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−0,2</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−0,2 iki 0,1</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0,1</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0,2</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Skurdo ar socialinės atskirties rizikos lygis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15,7 %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18,3 %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18,3 % iki 23,6 %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23,6 %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26,2 %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−1,4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−1,0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−1,0 proc. p. iki −0,2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–0,2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0,2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NEET jaunimas (15–24 m. gyventojų proc. dalis)</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7,4 %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9,2 %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9,2 % iki 12,3 %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12,3 %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14,4 %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highlight w:val="yellow"/>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0,3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0,9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0,9 proc. p. iki 2,1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2,1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2,7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 xml:space="preserve">Užimtumo lygis (20–64 m. gyventojų proc. dalis)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68,1 %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70,7 %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70,7 % iki 76,0 %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76,0 %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78,7 %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−2,3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−1,8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−1,4 proc. p. iki –0,8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−0,8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−0,3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 xml:space="preserve">Nedarbo lygis (15–74 m. gyventojų proc. dalis)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3,4 %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5,0 %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5,0 % iki 8,2 %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8,2 %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9,8 %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−0,4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0,1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0,1 proc. p. iki 1,1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1,1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1,6 proc. p.</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Ilgalaikio nedarbo lygis (15–74 m. gyventojų proc. dalis)</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0,0 %</w:t>
            </w:r>
          </w:p>
        </w:tc>
        <w:tc>
          <w:tcPr>
            <w:tcW w:w="155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1,0 %</w:t>
            </w:r>
          </w:p>
        </w:tc>
        <w:tc>
          <w:tcPr>
            <w:tcW w:w="201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1,0 % iki 3,1 %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3,1 %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4,1 %</w:t>
            </w:r>
          </w:p>
        </w:tc>
      </w:tr>
      <w:tr>
        <w:trPr>
          <w:trHeight w:hRule="exact" w:val="258"/>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−0,9 proc. p.</w:t>
            </w:r>
          </w:p>
        </w:tc>
        <w:tc>
          <w:tcPr>
            <w:tcW w:w="155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−0,6 proc. p.</w:t>
            </w:r>
          </w:p>
        </w:tc>
        <w:tc>
          <w:tcPr>
            <w:tcW w:w="201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−0,6 proc. p. iki 0,0 proc. p.</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0,0 proc. p.</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0,3 proc. p.</w:t>
            </w:r>
          </w:p>
        </w:tc>
      </w:tr>
      <w:tr>
        <w:trPr>
          <w:trHeight w:hRule="exact" w:val="258"/>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Realiosios bendros disponuojamosios namų ūkio pajamos vienam gyventojui (2008 m. = 100)</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100,2</w:t>
            </w:r>
          </w:p>
        </w:tc>
        <w:tc>
          <w:tcPr>
            <w:tcW w:w="155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106,6</w:t>
            </w:r>
          </w:p>
        </w:tc>
        <w:tc>
          <w:tcPr>
            <w:tcW w:w="201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106,6 iki 119,3</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119,3</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125,7</w:t>
            </w:r>
          </w:p>
        </w:tc>
      </w:tr>
      <w:tr>
        <w:trPr>
          <w:trHeight w:hRule="exact" w:val="258"/>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0,8 proc. p.</w:t>
            </w:r>
          </w:p>
        </w:tc>
        <w:tc>
          <w:tcPr>
            <w:tcW w:w="155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1,7 proc. p.</w:t>
            </w:r>
          </w:p>
        </w:tc>
        <w:tc>
          <w:tcPr>
            <w:tcW w:w="201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1,7 proc. p. iki 3,5 proc. p.</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3,5 proc. p.</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4,5 proc. p.</w:t>
            </w:r>
          </w:p>
        </w:tc>
      </w:tr>
      <w:tr>
        <w:trPr>
          <w:trHeight w:val="341"/>
        </w:trPr>
        <w:tc>
          <w:tcPr>
            <w:tcW w:w="4308" w:type="dxa"/>
            <w:vMerge w:val="restart"/>
            <w:shd w:val="clear" w:color="auto" w:fill="auto"/>
            <w:vAlign w:val="center"/>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Visą darbo laiką dirbančio ir vidutinį darbo užmokestį uždirbančio darbuotojo grynasis uždarbis (lygiai perkamosios galios standartais (PGS), pokyčiai – realiąja nacionaline valiuta)</w:t>
            </w: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14,030</w:t>
            </w:r>
          </w:p>
        </w:tc>
        <w:tc>
          <w:tcPr>
            <w:tcW w:w="155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17,456</w:t>
            </w:r>
          </w:p>
        </w:tc>
        <w:tc>
          <w:tcPr>
            <w:tcW w:w="201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17,456 iki 24,308</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24,308</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27,734</w:t>
            </w:r>
          </w:p>
        </w:tc>
      </w:tr>
      <w:tr>
        <w:trPr>
          <w:trHeight w:val="341"/>
        </w:trPr>
        <w:tc>
          <w:tcPr>
            <w:tcW w:w="4308" w:type="dxa"/>
            <w:vMerge/>
            <w:shd w:val="clear" w:color="auto" w:fill="auto"/>
            <w:vAlign w:val="center"/>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−0,1 %</w:t>
            </w:r>
          </w:p>
        </w:tc>
        <w:tc>
          <w:tcPr>
            <w:tcW w:w="155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1,4 %</w:t>
            </w:r>
          </w:p>
        </w:tc>
        <w:tc>
          <w:tcPr>
            <w:tcW w:w="2019"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1,4 % iki 4,5 %</w:t>
            </w:r>
          </w:p>
        </w:tc>
        <w:tc>
          <w:tcPr>
            <w:tcW w:w="153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4,5 %</w:t>
            </w:r>
          </w:p>
        </w:tc>
        <w:tc>
          <w:tcPr>
            <w:tcW w:w="1492" w:type="dxa"/>
            <w:shd w:val="clear" w:color="auto" w:fill="auto"/>
            <w:noWrap/>
            <w:vAlign w:val="center"/>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6,0 %</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Socialinių pervedimų (išskyrus pensijas) poveikis skurdo mažinimui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24,5 %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29,4 %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29,4 % iki 39,1 %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39,1 %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44,0 %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−3,9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−1,9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−1,9 proc. p. iki 2,1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2,1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4,1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Vaikai iki 3 m., kuriems teikiamos oficialios priežiūros paslaugos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17,8 %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26,7 %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26,7 % iki 44,6 %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44,6 %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53,5 %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−2,1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−0,3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−0,3 proc. p. iki 3,1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3,1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4,9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Asmenys, kurie nurodo turį nepatenkintų medicininės priežiūros poreikių (%)</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−0,8 %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0,9 %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0,9 % iki 4,3 %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4,3 %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6,0 %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−0,7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−0,5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−0,5 proc. p. iki 0,0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0,0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0,3 proc. p.</w:t>
            </w:r>
          </w:p>
        </w:tc>
      </w:tr>
      <w:tr>
        <w:trPr>
          <w:trHeight w:hRule="exact" w:val="258"/>
        </w:trPr>
        <w:tc>
          <w:tcPr>
            <w:tcW w:w="4308" w:type="dxa"/>
            <w:vMerge w:val="restart"/>
            <w:shd w:val="clear" w:color="auto" w:fill="auto"/>
            <w:vAlign w:val="center"/>
            <w:hideMark/>
          </w:tcPr>
          <w:p>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color w:val="000000"/>
                <w:sz w:val="16"/>
                <w:szCs w:val="16"/>
              </w:rPr>
              <w:t>Asmenys, turintys bazinius ar geresnius bendruosius skaitmeninius įgūdžius (16–74 m. gyventojų proc. dalis)</w:t>
            </w: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Lygiai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43,8 %</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49,9 %</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49,9 % iki 62,0 %</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62,0 %</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68,0 %</w:t>
            </w:r>
          </w:p>
        </w:tc>
      </w:tr>
      <w:tr>
        <w:trPr>
          <w:trHeight w:hRule="exact" w:val="258"/>
        </w:trPr>
        <w:tc>
          <w:tcPr>
            <w:tcW w:w="4308" w:type="dxa"/>
            <w:vMerge/>
            <w:shd w:val="clear" w:color="auto" w:fill="auto"/>
            <w:vAlign w:val="center"/>
            <w:hideMark/>
          </w:tcPr>
          <w:p>
            <w:pPr>
              <w:spacing w:after="0" w:line="240" w:lineRule="auto"/>
              <w:rPr>
                <w:rFonts w:ascii="Times New Roman" w:eastAsia="Times New Roman" w:hAnsi="Times New Roman" w:cs="Times New Roman"/>
                <w:b/>
                <w:noProof/>
                <w:color w:val="000000"/>
                <w:sz w:val="16"/>
                <w:szCs w:val="16"/>
                <w:lang w:eastAsia="en-GB"/>
              </w:rPr>
            </w:pPr>
          </w:p>
        </w:tc>
        <w:tc>
          <w:tcPr>
            <w:tcW w:w="845"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Pokyčiai</w:t>
            </w:r>
          </w:p>
        </w:tc>
        <w:tc>
          <w:tcPr>
            <w:tcW w:w="1476"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mažiau nei −5,7 proc. p.</w:t>
            </w:r>
          </w:p>
        </w:tc>
        <w:tc>
          <w:tcPr>
            <w:tcW w:w="155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8"/>
                <w:szCs w:val="18"/>
              </w:rPr>
            </w:pPr>
            <w:r>
              <w:rPr>
                <w:rFonts w:ascii="Times New Roman" w:hAnsi="Times New Roman"/>
                <w:noProof/>
                <w:color w:val="000000"/>
                <w:sz w:val="18"/>
                <w:szCs w:val="18"/>
              </w:rPr>
              <w:t>mažiau nei −3,0 proc. p.</w:t>
            </w:r>
          </w:p>
        </w:tc>
        <w:tc>
          <w:tcPr>
            <w:tcW w:w="2019"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nuo −3,0 proc. p. iki 2,6 proc. p.</w:t>
            </w:r>
          </w:p>
        </w:tc>
        <w:tc>
          <w:tcPr>
            <w:tcW w:w="153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2,6 proc. p.</w:t>
            </w:r>
          </w:p>
        </w:tc>
        <w:tc>
          <w:tcPr>
            <w:tcW w:w="1492" w:type="dxa"/>
            <w:shd w:val="clear" w:color="auto" w:fill="auto"/>
            <w:noWrap/>
            <w:vAlign w:val="center"/>
            <w:hideMark/>
          </w:tcPr>
          <w:p>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color w:val="000000"/>
                <w:sz w:val="16"/>
                <w:szCs w:val="16"/>
              </w:rPr>
              <w:t>daugiau nei 4,9 proc. p.</w:t>
            </w:r>
          </w:p>
        </w:tc>
      </w:tr>
    </w:tbl>
    <w:p>
      <w:pPr>
        <w:spacing w:line="240" w:lineRule="auto"/>
        <w:rPr>
          <w:noProof/>
        </w:rPr>
        <w:sectPr>
          <w:headerReference w:type="even" r:id="rId39"/>
          <w:headerReference w:type="default" r:id="rId40"/>
          <w:footerReference w:type="even" r:id="rId41"/>
          <w:footerReference w:type="default" r:id="rId42"/>
          <w:headerReference w:type="first" r:id="rId43"/>
          <w:footerReference w:type="first" r:id="rId44"/>
          <w:pgSz w:w="16838" w:h="11906" w:orient="landscape"/>
          <w:pgMar w:top="1417" w:right="1417" w:bottom="1417" w:left="1417" w:header="708" w:footer="708" w:gutter="0"/>
          <w:cols w:space="720"/>
          <w:docGrid w:linePitch="360"/>
        </w:sectPr>
      </w:pPr>
    </w:p>
    <w:p>
      <w:pPr>
        <w:jc w:val="both"/>
        <w:rPr>
          <w:rFonts w:ascii="Times New Roman" w:eastAsia="Calibri" w:hAnsi="Times New Roman" w:cs="Times New Roman"/>
          <w:b/>
          <w:noProof/>
          <w:sz w:val="24"/>
          <w:szCs w:val="24"/>
        </w:rPr>
      </w:pPr>
      <w:r>
        <w:rPr>
          <w:rFonts w:ascii="Times New Roman" w:hAnsi="Times New Roman"/>
          <w:b/>
          <w:noProof/>
          <w:sz w:val="24"/>
          <w:szCs w:val="24"/>
        </w:rPr>
        <w:t>6 priedas. Glausta užimtumo tendencijų, kurias reikia stebėti, ir valstybių narių, kuriose padėtis blogėja arba gerėja, kaip nustatyta 2020 m. Užimtumo rodiklių apžvalgoje, skaičiaus apžvalga</w:t>
      </w:r>
    </w:p>
    <w:p>
      <w:pPr>
        <w:spacing w:line="240" w:lineRule="auto"/>
        <w:rPr>
          <w:rFonts w:ascii="Times New Roman" w:hAnsi="Times New Roman" w:cs="Times New Roman"/>
          <w:noProof/>
          <w:sz w:val="24"/>
          <w:szCs w:val="24"/>
        </w:rPr>
      </w:pPr>
      <w:r>
        <w:rPr>
          <w:noProof/>
          <w:lang w:val="en-GB" w:eastAsia="en-GB"/>
        </w:rPr>
        <w:drawing>
          <wp:inline distT="0" distB="0" distL="0" distR="0">
            <wp:extent cx="5760720" cy="29617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961742"/>
                    </a:xfrm>
                    <a:prstGeom prst="rect">
                      <a:avLst/>
                    </a:prstGeom>
                    <a:noFill/>
                    <a:ln>
                      <a:noFill/>
                    </a:ln>
                  </pic:spPr>
                </pic:pic>
              </a:graphicData>
            </a:graphic>
          </wp:inline>
        </w:drawing>
      </w:r>
    </w:p>
    <w:p>
      <w:pPr>
        <w:spacing w:line="240" w:lineRule="auto"/>
        <w:rPr>
          <w:noProof/>
        </w:rPr>
      </w:pPr>
    </w:p>
    <w:p>
      <w:pPr>
        <w:jc w:val="both"/>
        <w:rPr>
          <w:rFonts w:ascii="Times New Roman" w:hAnsi="Times New Roman" w:cs="Times New Roman"/>
          <w:noProof/>
          <w:sz w:val="20"/>
        </w:rPr>
      </w:pPr>
      <w:r>
        <w:rPr>
          <w:rFonts w:ascii="Times New Roman" w:hAnsi="Times New Roman"/>
          <w:noProof/>
          <w:sz w:val="20"/>
        </w:rPr>
        <w:t>Pastaba. 2018–2019 m. pokyčiai; 2017–2018 m. bedarbių skurdo rizikos lygio, nedarbo spąstų ir vyrų ir moterų darbo užmokesčio skirtumų pokyčiai.</w:t>
      </w:r>
    </w:p>
    <w:p>
      <w:pPr>
        <w:spacing w:line="240" w:lineRule="auto"/>
        <w:rPr>
          <w:noProof/>
        </w:rPr>
      </w:pPr>
    </w:p>
    <w:p>
      <w:pPr>
        <w:rPr>
          <w:rFonts w:ascii="Times New Roman" w:eastAsia="Calibri" w:hAnsi="Times New Roman" w:cs="Times New Roman"/>
          <w:b/>
          <w:noProof/>
          <w:sz w:val="24"/>
          <w:szCs w:val="24"/>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szCs w:val="24"/>
        </w:rPr>
        <w:t>7 priedas. Glausta socialinių tendencijų, kurias reikia stebėti, ir valstybių narių, kuriose padėtis 2017–2018 m. blogėjo arba gerėjo, kaip nustatyta 2020 m. birželio mėn. Socialinės apsaugos rodiklių apžvalgoje, skaičiaus apžvalga</w:t>
      </w:r>
    </w:p>
    <w:p>
      <w:pPr>
        <w:spacing w:line="240" w:lineRule="auto"/>
        <w:jc w:val="center"/>
        <w:rPr>
          <w:noProof/>
        </w:rPr>
      </w:pPr>
      <w:r>
        <w:rPr>
          <w:noProof/>
          <w:lang w:val="en-GB" w:eastAsia="en-GB"/>
        </w:rPr>
        <w:drawing>
          <wp:inline distT="0" distB="0" distL="0" distR="0">
            <wp:extent cx="5760720" cy="5701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5701354"/>
                    </a:xfrm>
                    <a:prstGeom prst="rect">
                      <a:avLst/>
                    </a:prstGeom>
                    <a:noFill/>
                    <a:ln>
                      <a:noFill/>
                    </a:ln>
                  </pic:spPr>
                </pic:pic>
              </a:graphicData>
            </a:graphic>
          </wp:inline>
        </w:drawing>
      </w:r>
    </w:p>
    <w:p>
      <w:pPr>
        <w:jc w:val="both"/>
        <w:rPr>
          <w:rFonts w:ascii="Times New Roman" w:hAnsi="Times New Roman" w:cs="Times New Roman"/>
          <w:iCs/>
          <w:noProof/>
          <w:sz w:val="24"/>
          <w:szCs w:val="24"/>
        </w:rPr>
      </w:pPr>
      <w:r>
        <w:rPr>
          <w:rFonts w:ascii="Times New Roman" w:hAnsi="Times New Roman"/>
          <w:noProof/>
          <w:sz w:val="20"/>
        </w:rPr>
        <w:t xml:space="preserve">Pastaba. ES SPGS duomenimis grindžiamų rodiklių atveju paprastai pateikiami 2016–2017 m. pajamų ir namų ūkių darbo intensyvumo rodiklių pokyčiai. </w:t>
      </w:r>
    </w:p>
    <w:p>
      <w:pPr>
        <w:spacing w:line="240" w:lineRule="auto"/>
        <w:rPr>
          <w:rFonts w:ascii="Times New Roman" w:hAnsi="Times New Roman" w:cs="Times New Roman"/>
          <w:noProof/>
          <w:sz w:val="24"/>
          <w:szCs w:val="24"/>
        </w:rPr>
      </w:pPr>
    </w:p>
    <w:p>
      <w:pPr>
        <w:spacing w:line="240" w:lineRule="auto"/>
        <w:rPr>
          <w:noProof/>
        </w:rPr>
      </w:pPr>
    </w:p>
    <w:sectPr>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084382"/>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28</w:t>
        </w:r>
        <w:r>
          <w:rPr>
            <w:rFonts w:ascii="Times New Roman" w:hAnsi="Times New Roman" w:cs="Times New Roman"/>
            <w:sz w:val="24"/>
            <w:szCs w:val="24"/>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199749"/>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256634"/>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26</w:t>
        </w:r>
        <w:r>
          <w:rPr>
            <w:rFonts w:ascii="Times New Roman" w:hAnsi="Times New Roman" w:cs="Times New Roman"/>
            <w:sz w:val="24"/>
            <w:szCs w:val="24"/>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b/>
        <w:t xml:space="preserve">Pastaba. Suskirstymas regioniniu (NUTS 2) lygmeniu. Jeigu suskirstymo regioniniu (NUTS 2) lygmeniu nėra arba jis statistiškai nepatikimas, žemėlapiuose pateikiama NUTS 1 arba nacionalinio lygmens duomenys. </w:t>
      </w:r>
    </w:p>
  </w:footnote>
  <w:footnote w:id="2">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t>Išskyrus vieno visą darbo dieną dirbančio, vaikų neturinčio ir vidutinį darbo užmokestį uždirbančio darbuotojo grynojo uždarbio rodiklį, kurio lygiams ir pokyčiams apskaičiuoti naudojamasi trejų metų vidurkiu, kad būtų sušvelninti trumpalaikiai svyravimai.</w:t>
      </w:r>
    </w:p>
  </w:footnote>
  <w:footnote w:id="3">
    <w:p>
      <w:pPr>
        <w:pStyle w:val="FootnoteText"/>
        <w:rPr>
          <w:rFonts w:ascii="Times New Roman" w:hAnsi="Times New Roman" w:cs="Times New Roman"/>
        </w:rPr>
      </w:pPr>
      <w:r>
        <w:rPr>
          <w:rStyle w:val="FootnoteReference"/>
          <w:rFonts w:cs="Times New Roman"/>
        </w:rPr>
        <w:footnoteRef/>
      </w:r>
      <w:r>
        <w:rPr>
          <w:rFonts w:ascii="Times New Roman" w:hAnsi="Times New Roman"/>
        </w:rPr>
        <w:tab/>
        <w:t>Buvo atlikti normaliojo pasiskirstymo ir T pasiskirstymo testai, po kurių atmesta bet kokio pasiskirstymo hipotezė.</w:t>
      </w:r>
    </w:p>
  </w:footnote>
  <w:footnote w:id="4">
    <w:p>
      <w:pPr>
        <w:pStyle w:val="FootnoteText"/>
        <w:rPr>
          <w:rFonts w:ascii="Times New Roman" w:hAnsi="Times New Roman" w:cs="Times New Roman"/>
        </w:rPr>
      </w:pPr>
      <w:r>
        <w:rPr>
          <w:rStyle w:val="FootnoteReference"/>
          <w:rFonts w:cs="Times New Roman"/>
        </w:rPr>
        <w:footnoteRef/>
      </w:r>
      <w:r>
        <w:tab/>
      </w:r>
      <w:r>
        <w:rPr>
          <w:rFonts w:ascii="Times New Roman" w:hAnsi="Times New Roman"/>
        </w:rPr>
        <w:t>Pasirinkus normalųjį pasiskirstymą, atskyrimo reikšmės apytikriai atitinka 15 proc., 30 proc., 50 proc., 70 proc. ir 85 proc. kumuliacinio pasiskirstymo.</w:t>
      </w:r>
    </w:p>
  </w:footnote>
  <w:footnote w:id="5">
    <w:p>
      <w:pPr>
        <w:pStyle w:val="FootnoteText"/>
        <w:jc w:val="both"/>
        <w:rPr>
          <w:rFonts w:ascii="Times New Roman" w:hAnsi="Times New Roman" w:cs="Times New Roman"/>
        </w:rPr>
      </w:pPr>
      <w:r>
        <w:rPr>
          <w:rStyle w:val="FootnoteReference"/>
          <w:rFonts w:cs="Times New Roman"/>
        </w:rPr>
        <w:footnoteRef/>
      </w:r>
      <w:r>
        <w:tab/>
      </w:r>
      <w:r>
        <w:rPr>
          <w:rFonts w:ascii="Times New Roman" w:hAnsi="Times New Roman"/>
        </w:rPr>
        <w:t>Dėl pastarosios sąlygos valstybės narės, kurios lygio rezultatai maži arba labai maži, padėties negalima pavadinti blogėjančia, jei pokytis daug didesnis už vidurkį, bet tebedidėja.</w:t>
      </w:r>
    </w:p>
  </w:footnote>
  <w:footnote w:id="6">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t>Dėl pastarosios sąlygos valstybės narės, kurios lygio rezultatai vidutiniai, negalima priskirti kategorijai „padėtį reikia stebėti“, jei pokytis daug didesnis už vidurkį, bet tebedidėja.</w:t>
      </w:r>
    </w:p>
  </w:footnote>
  <w:footnote w:id="7">
    <w:p>
      <w:pPr>
        <w:pStyle w:val="FootnoteText"/>
        <w:jc w:val="both"/>
        <w:rPr>
          <w:rFonts w:ascii="Times New Roman" w:hAnsi="Times New Roman" w:cs="Times New Roman"/>
        </w:rPr>
      </w:pPr>
      <w:r>
        <w:rPr>
          <w:rStyle w:val="FootnoteReference"/>
          <w:rFonts w:cs="Times New Roman"/>
        </w:rPr>
        <w:footnoteRef/>
      </w:r>
      <w:r>
        <w:tab/>
      </w:r>
      <w:r>
        <w:rPr>
          <w:rFonts w:ascii="Times New Roman" w:hAnsi="Times New Roman"/>
        </w:rPr>
        <w:t>Dėl pastarosios sąlygos valstybės narės, kurios lygio rezultatai dideli arba labai dideli, padėties negalima pavadinti blogėjančia, jei pokytis daug mažesnis už vidurkį, bet tebegerėja.</w:t>
      </w:r>
    </w:p>
  </w:footnote>
  <w:footnote w:id="8">
    <w:p>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ab/>
        <w:t>Dėl pastarosios sąlygos valstybės narės, kurios lygio rezultatai vidutiniai, negalima priskirti kategorijai „padėtį reikia stebėti“, jei pokytis daug mažesnis už vidurkį, bet tebedidėja.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prie"/>
    <w:docVar w:name="LW_ANNEX_NBR_FIRST" w:val="1"/>
    <w:docVar w:name="LW_ANNEX_NBR_LAST" w:val="7"/>
    <w:docVar w:name="LW_ANNEX_UNIQUE" w:val="0"/>
    <w:docVar w:name="LW_CORRIGENDUM" w:val="&lt;UNUSED&gt;"/>
    <w:docVar w:name="LW_COVERPAGE_EXISTS" w:val="True"/>
    <w:docVar w:name="LW_COVERPAGE_GUID" w:val="05C58608-FF84-4A31-A284-64035ECE2444"/>
    <w:docVar w:name="LW_COVERPAGE_TYPE" w:val="1"/>
    <w:docVar w:name="LW_CROSSREFERENCE" w:val="&lt;UNUSED&gt;"/>
    <w:docVar w:name="LW_DocType" w:val="NORMAL"/>
    <w:docVar w:name="LW_EMISSION" w:val="2020 11 18"/>
    <w:docVar w:name="LW_EMISSION_ISODATE" w:val="2020-11-18"/>
    <w:docVar w:name="LW_EMISSION_LOCATION" w:val="BRX"/>
    <w:docVar w:name="LW_EMISSION_PREFIX" w:val="Briuselis, "/>
    <w:docVar w:name="LW_EMISSION_SUFFIX" w:val=" "/>
    <w:docVar w:name="LW_ID_DOCTYPE_NONLW" w:val="CP-039"/>
    <w:docVar w:name="LW_LANGUE" w:val="LT"/>
    <w:docVar w:name="LW_LEVEL_OF_SENSITIVITY" w:val="Standard treatment"/>
    <w:docVar w:name="LW_NOM.INST" w:val="EUROPOS KOMISIJA"/>
    <w:docVar w:name="LW_NOM.INST_JOINTDOC" w:val="&lt;EMPTY&gt;"/>
    <w:docVar w:name="LW_OBJETACTEPRINCIPAL.CP" w:val=" "/>
    <w:docVar w:name="LW_PART_NBR" w:val="&lt;UNUSED&gt;"/>
    <w:docVar w:name="LW_PART_NBR_TOTAL" w:val="&lt;UNUSED&gt;"/>
    <w:docVar w:name="LW_REF.INST.NEW" w:val="COM"/>
    <w:docVar w:name="LW_REF.INST.NEW_ADOPTED" w:val="final"/>
    <w:docVar w:name="LW_REF.INST.NEW_TEXT" w:val="(2020) 7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IEDAI_x000b_"/>
    <w:docVar w:name="LW_TYPEACTEPRINCIPAL.CP" w:val="PASI\u362?LYMO D\u278?L KOMISIJOS IR TARYBOS_x000b_BENDROS U\u381?IMTUMO ATASKAITO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eastAsia="el-GR" w:bidi="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lt-LT"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lt-LT"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lt-LT"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lt-LT"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lt-LT"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lt-LT"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lt-LT"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lt-LT"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caption1,caption2,caption3"/>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eastAsia="el-GR" w:bidi="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lt-LT"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lt-LT"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lt-LT"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lt-LT"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lt-LT"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lt-LT"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lt-LT"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lt-LT"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caption1,caption2,caption3"/>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6100">
      <w:bodyDiv w:val="1"/>
      <w:marLeft w:val="0"/>
      <w:marRight w:val="0"/>
      <w:marTop w:val="0"/>
      <w:marBottom w:val="0"/>
      <w:divBdr>
        <w:top w:val="none" w:sz="0" w:space="0" w:color="auto"/>
        <w:left w:val="none" w:sz="0" w:space="0" w:color="auto"/>
        <w:bottom w:val="none" w:sz="0" w:space="0" w:color="auto"/>
        <w:right w:val="none" w:sz="0" w:space="0" w:color="auto"/>
      </w:divBdr>
    </w:div>
    <w:div w:id="608665227">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61758684">
      <w:bodyDiv w:val="1"/>
      <w:marLeft w:val="0"/>
      <w:marRight w:val="0"/>
      <w:marTop w:val="0"/>
      <w:marBottom w:val="0"/>
      <w:divBdr>
        <w:top w:val="none" w:sz="0" w:space="0" w:color="auto"/>
        <w:left w:val="none" w:sz="0" w:space="0" w:color="auto"/>
        <w:bottom w:val="none" w:sz="0" w:space="0" w:color="auto"/>
        <w:right w:val="none" w:sz="0" w:space="0" w:color="auto"/>
      </w:divBdr>
    </w:div>
    <w:div w:id="1203857457">
      <w:bodyDiv w:val="1"/>
      <w:marLeft w:val="0"/>
      <w:marRight w:val="0"/>
      <w:marTop w:val="0"/>
      <w:marBottom w:val="0"/>
      <w:divBdr>
        <w:top w:val="none" w:sz="0" w:space="0" w:color="auto"/>
        <w:left w:val="none" w:sz="0" w:space="0" w:color="auto"/>
        <w:bottom w:val="none" w:sz="0" w:space="0" w:color="auto"/>
        <w:right w:val="none" w:sz="0" w:space="0" w:color="auto"/>
      </w:divBdr>
    </w:div>
    <w:div w:id="19186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image" Target="media/image18.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image" Target="media/image19.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49"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footer" Target="footer9.xml"/><Relationship Id="rId52"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 Id="rId43" Type="http://schemas.openxmlformats.org/officeDocument/2006/relationships/header" Target="header9.xml"/><Relationship Id="rId48"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DB0BE-85D4-4022-B0CC-8DBFC4117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19</Pages>
  <Words>7343</Words>
  <Characters>34221</Characters>
  <Application>Microsoft Office Word</Application>
  <DocSecurity>0</DocSecurity>
  <Lines>4888</Lines>
  <Paragraphs>4618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DIGIT/C6</cp:lastModifiedBy>
  <cp:revision>12</cp:revision>
  <dcterms:created xsi:type="dcterms:W3CDTF">2020-11-09T10:49:00Z</dcterms:created>
  <dcterms:modified xsi:type="dcterms:W3CDTF">2020-12-20T19:52:00Z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6.0.1, Build 20180503</vt:lpwstr>
  </property>
  <property fmtid="{D5CDD505-2E9C-101B-9397-08002B2CF9AE}" pid="4" name="First annex">
    <vt:lpwstr>1</vt:lpwstr>
  </property>
  <property fmtid="{D5CDD505-2E9C-101B-9397-08002B2CF9AE}" pid="5" name="Last annex">
    <vt:lpwstr>7</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PTemplateID">
    <vt:lpwstr>CP-039</vt:lpwstr>
  </property>
</Properties>
</file>