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1057366"/>
      <w:bookmarkStart w:id="1" w:name="_Toc24637765"/>
      <w:bookmarkStart w:id="2" w:name="_Toc24705093"/>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0D34A4A4-A711-4B6F-91BE-1046D104CB57" style="width:449.85pt;height:379.2pt">
            <v:imagedata r:id="rId9" o:title=""/>
          </v:shape>
        </w:pict>
      </w:r>
    </w:p>
    <w:bookmarkEnd w:id="3"/>
    <w:p>
      <w:pPr>
        <w:rPr>
          <w:rFonts w:ascii="Times New Roman" w:hAnsi="Times New Roman"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line="240" w:lineRule="auto"/>
        <w:rPr>
          <w:rFonts w:cs="Times New Roman"/>
          <w:noProof/>
        </w:rPr>
      </w:pPr>
      <w:bookmarkStart w:id="4" w:name="_GoBack"/>
      <w:bookmarkEnd w:id="4"/>
      <w:r>
        <w:rPr>
          <w:rFonts w:cs="Times New Roman"/>
          <w:noProof/>
        </w:rPr>
        <w:lastRenderedPageBreak/>
        <w:t>PRÍLOHY</w:t>
      </w:r>
      <w:bookmarkEnd w:id="0"/>
      <w:bookmarkEnd w:id="1"/>
      <w:bookmarkEnd w:id="2"/>
    </w:p>
    <w:p>
      <w:pPr>
        <w:rPr>
          <w:rFonts w:ascii="Times New Roman" w:hAnsi="Times New Roman" w:cs="Times New Roman"/>
          <w:b/>
          <w:noProof/>
          <w:sz w:val="24"/>
          <w:szCs w:val="24"/>
        </w:rPr>
      </w:pPr>
      <w:r>
        <w:rPr>
          <w:rFonts w:ascii="Times New Roman" w:hAnsi="Times New Roman" w:cs="Times New Roman"/>
          <w:b/>
          <w:noProof/>
          <w:sz w:val="24"/>
          <w:szCs w:val="24"/>
        </w:rPr>
        <w:t>Príloha 1. Hlavné ukazovatele sociálneho prehľadu, úrovne</w:t>
      </w:r>
    </w:p>
    <w:tbl>
      <w:tblPr>
        <w:tblW w:w="0" w:type="auto"/>
        <w:tblLook w:val="04A0" w:firstRow="1" w:lastRow="0" w:firstColumn="1" w:lastColumn="0" w:noHBand="0" w:noVBand="1"/>
      </w:tblPr>
      <w:tblGrid>
        <w:gridCol w:w="698"/>
        <w:gridCol w:w="588"/>
        <w:gridCol w:w="515"/>
        <w:gridCol w:w="515"/>
        <w:gridCol w:w="607"/>
        <w:gridCol w:w="607"/>
        <w:gridCol w:w="607"/>
        <w:gridCol w:w="515"/>
        <w:gridCol w:w="515"/>
        <w:gridCol w:w="515"/>
        <w:gridCol w:w="588"/>
        <w:gridCol w:w="588"/>
        <w:gridCol w:w="588"/>
        <w:gridCol w:w="614"/>
        <w:gridCol w:w="614"/>
        <w:gridCol w:w="614"/>
      </w:tblGrid>
      <w:tr>
        <w:trPr>
          <w:trHeight w:val="34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w:t>
            </w:r>
          </w:p>
        </w:tc>
        <w:tc>
          <w:tcPr>
            <w:tcW w:w="0" w:type="auto"/>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Rovnosť príležitostí a prístup na trh práce</w:t>
            </w:r>
          </w:p>
        </w:tc>
      </w:tr>
      <w:tr>
        <w:trPr>
          <w:trHeight w:val="1527"/>
        </w:trPr>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Arial Narrow" w:eastAsia="Times New Roman" w:hAnsi="Arial Narrow" w:cs="Times New Roman"/>
                <w:b/>
                <w:bCs/>
                <w:noProof/>
                <w:color w:val="000000"/>
                <w:sz w:val="16"/>
                <w:szCs w:val="16"/>
                <w:lang w:eastAsia="en-GB"/>
              </w:rPr>
            </w:pPr>
          </w:p>
        </w:tc>
        <w:tc>
          <w:tcPr>
            <w:tcW w:w="0" w:type="auto"/>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Osoby, ktoré predčasne ukončili školskú dochádzku </w:t>
            </w:r>
            <w:r>
              <w:rPr>
                <w:rFonts w:ascii="Arial Narrow" w:hAnsi="Arial Narrow" w:cs="Times New Roman"/>
                <w:b/>
                <w:bCs/>
                <w:noProof/>
                <w:color w:val="000000"/>
                <w:sz w:val="16"/>
                <w:szCs w:val="16"/>
              </w:rPr>
              <w:br/>
              <w:t xml:space="preserve">(v % obyvateľstva </w:t>
            </w:r>
            <w:r>
              <w:rPr>
                <w:rFonts w:ascii="Arial Narrow" w:hAnsi="Arial Narrow" w:cs="Times New Roman"/>
                <w:b/>
                <w:bCs/>
                <w:noProof/>
                <w:color w:val="000000"/>
                <w:sz w:val="16"/>
                <w:szCs w:val="16"/>
              </w:rPr>
              <w:br/>
              <w:t>vo veku 18 – 24 rokov)</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Rozdiel v zamestnanosti žien a mužov (v perc. bodoch)</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Pomer príjmov horného a dolného kvintilu (S80/S20)</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Ohrození chudobou alebo sociálnym vylúčením (v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Miera NEET v prípade mladých ľudí (v % celkovej populácie vo veku 15 – 24 rokov)</w:t>
            </w:r>
          </w:p>
        </w:tc>
      </w:tr>
      <w:tr>
        <w:trPr>
          <w:cantSplit/>
          <w:trHeight w:val="1134"/>
        </w:trPr>
        <w:tc>
          <w:tcPr>
            <w:tcW w:w="0" w:type="auto"/>
            <w:tcBorders>
              <w:top w:val="single" w:sz="4" w:space="0" w:color="auto"/>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Rok</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ind w:left="-28"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ind w:left="-106" w:right="-97"/>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ind w:left="-122" w:right="-7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textDirection w:val="btLr"/>
            <w:vAlign w:val="center"/>
            <w:hideMark/>
          </w:tcPr>
          <w:p>
            <w:pPr>
              <w:spacing w:after="0" w:line="240" w:lineRule="auto"/>
              <w:ind w:left="113" w:right="-39"/>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39"/>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2020</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ind w:left="-64" w:right="-10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ind w:left="-116" w:right="-51"/>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ind w:left="-159" w:right="-141"/>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0" w:type="auto"/>
            <w:tcBorders>
              <w:top w:val="nil"/>
              <w:left w:val="single" w:sz="4" w:space="0" w:color="auto"/>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2020</w:t>
            </w:r>
          </w:p>
        </w:tc>
      </w:tr>
      <w:tr>
        <w:trPr>
          <w:trHeight w:val="227"/>
        </w:trPr>
        <w:tc>
          <w:tcPr>
            <w:tcW w:w="0" w:type="auto"/>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EÚ27</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11,7</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11,4</w:t>
            </w:r>
          </w:p>
        </w:tc>
        <w:tc>
          <w:tcPr>
            <w:tcW w:w="0" w:type="auto"/>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 e</w:t>
            </w:r>
          </w:p>
        </w:tc>
        <w:tc>
          <w:tcPr>
            <w:tcW w:w="0" w:type="auto"/>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 e</w:t>
            </w:r>
          </w:p>
        </w:tc>
        <w:tc>
          <w:tcPr>
            <w:tcW w:w="0" w:type="auto"/>
            <w:tcBorders>
              <w:top w:val="single" w:sz="4" w:space="0" w:color="auto"/>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 e</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22,5 e</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21,6 e</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21,1 e</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9,8</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11,6</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EZ19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 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21,1 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12,0</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 nev.</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w:t>
            </w:r>
          </w:p>
        </w:tc>
      </w:tr>
      <w:tr>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 nev.</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9,1</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8,9</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10,0</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0" w:type="auto"/>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0" w:type="auto"/>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w:t>
            </w:r>
          </w:p>
        </w:tc>
        <w:tc>
          <w:tcPr>
            <w:tcW w:w="0" w:type="auto"/>
            <w:tcBorders>
              <w:top w:val="nil"/>
              <w:left w:val="nil"/>
              <w:bottom w:val="single" w:sz="4" w:space="0" w:color="auto"/>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22,2</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21,7</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9,1</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8,9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19,5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BG</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CZ</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DK</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8,8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 pu</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EL</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ES</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15,1</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FR</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HR</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 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CY</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LV</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4,4</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17,7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19,7</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9,6</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NL</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AT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PL</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 b</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16,2</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SI</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SK</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11,3</w:t>
            </w:r>
          </w:p>
        </w:tc>
      </w:tr>
      <w:tr>
        <w:trPr>
          <w:trHeight w:val="227"/>
        </w:trPr>
        <w:tc>
          <w:tcPr>
            <w:tcW w:w="0" w:type="auto"/>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FI</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w:t>
            </w:r>
          </w:p>
        </w:tc>
        <w:tc>
          <w:tcPr>
            <w:tcW w:w="0" w:type="auto"/>
            <w:tcBorders>
              <w:top w:val="nil"/>
              <w:left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0" w:type="auto"/>
            <w:tcBorders>
              <w:top w:val="nil"/>
              <w:left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w:t>
            </w:r>
          </w:p>
        </w:tc>
        <w:tc>
          <w:tcPr>
            <w:tcW w:w="0" w:type="auto"/>
            <w:tcBorders>
              <w:top w:val="nil"/>
              <w:left w:val="nil"/>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15,7</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16,5</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15,6</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9,5</w:t>
            </w:r>
          </w:p>
        </w:tc>
      </w:tr>
      <w:tr>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SE</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 b</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0" w:type="auto"/>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0" w:type="auto"/>
            <w:tcBorders>
              <w:top w:val="nil"/>
              <w:left w:val="nil"/>
              <w:bottom w:val="single" w:sz="4" w:space="0" w:color="auto"/>
              <w:right w:val="single" w:sz="4" w:space="0" w:color="auto"/>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18,0</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18,8</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r>
    </w:tbl>
    <w:p>
      <w:pPr>
        <w:spacing w:line="240" w:lineRule="auto"/>
        <w:jc w:val="both"/>
        <w:rPr>
          <w:rFonts w:ascii="Times New Roman" w:hAnsi="Times New Roman" w:cs="Times New Roman"/>
          <w:b/>
          <w:bCs/>
          <w:noProof/>
          <w:sz w:val="24"/>
          <w:szCs w:val="24"/>
          <w:highlight w:val="yellow"/>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Zdroj: Eurostat.</w:t>
      </w: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Poznámka: EÚ nev. a EZ nev. odkazujú na nevážené priemery za EÚ a eurozónu.</w:t>
      </w:r>
    </w:p>
    <w:p>
      <w:pPr>
        <w:jc w:val="both"/>
        <w:rPr>
          <w:rFonts w:ascii="Times New Roman" w:hAnsi="Times New Roman" w:cs="Times New Roman"/>
          <w:noProof/>
          <w:sz w:val="20"/>
          <w:szCs w:val="20"/>
        </w:rPr>
      </w:pPr>
      <w:r>
        <w:rPr>
          <w:rFonts w:ascii="Times New Roman" w:hAnsi="Times New Roman" w:cs="Times New Roman"/>
          <w:noProof/>
          <w:sz w:val="20"/>
          <w:szCs w:val="20"/>
        </w:rPr>
        <w:t>Značky – b: zlom v časovom rade; e: odhadované; p: predbežné; u: nízka spoľahlivosť (malý počet zistení).</w:t>
      </w:r>
    </w:p>
    <w:p>
      <w:pPr>
        <w:spacing w:line="240" w:lineRule="auto"/>
        <w:jc w:val="both"/>
        <w:rPr>
          <w:rFonts w:ascii="Times New Roman" w:hAnsi="Times New Roman" w:cs="Times New Roman"/>
          <w:b/>
          <w:bCs/>
          <w:noProof/>
          <w:sz w:val="24"/>
          <w:szCs w:val="24"/>
          <w:highlight w:val="yellow"/>
        </w:rPr>
      </w:pPr>
    </w:p>
    <w:p>
      <w:pPr>
        <w:spacing w:line="240" w:lineRule="auto"/>
        <w:rPr>
          <w:rFonts w:ascii="Times New Roman" w:hAnsi="Times New Roman" w:cs="Times New Roman"/>
          <w:b/>
          <w:noProof/>
          <w:sz w:val="24"/>
          <w:szCs w:val="24"/>
        </w:rPr>
      </w:pPr>
      <w:r>
        <w:rPr>
          <w:rFonts w:ascii="Times New Roman" w:hAnsi="Times New Roman" w:cs="Times New Roman"/>
          <w:noProof/>
        </w:rPr>
        <w:br w:type="page"/>
      </w:r>
    </w:p>
    <w:p>
      <w:pPr>
        <w:rPr>
          <w:rFonts w:ascii="Times New Roman" w:hAnsi="Times New Roman" w:cs="Times New Roman"/>
          <w:b/>
          <w:noProof/>
          <w:sz w:val="24"/>
          <w:szCs w:val="24"/>
        </w:rPr>
      </w:pPr>
      <w:r>
        <w:rPr>
          <w:rFonts w:ascii="Times New Roman" w:hAnsi="Times New Roman" w:cs="Times New Roman"/>
          <w:b/>
          <w:noProof/>
          <w:sz w:val="24"/>
          <w:szCs w:val="24"/>
        </w:rPr>
        <w:t>Príloha 1 (pokračovanie). Hlavné ukazovatele sociálneho prehľadu, úrovne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600"/>
        <w:gridCol w:w="600"/>
        <w:gridCol w:w="600"/>
        <w:gridCol w:w="600"/>
        <w:gridCol w:w="617"/>
        <w:gridCol w:w="600"/>
        <w:gridCol w:w="600"/>
        <w:gridCol w:w="600"/>
        <w:gridCol w:w="600"/>
        <w:gridCol w:w="545"/>
        <w:gridCol w:w="545"/>
        <w:gridCol w:w="545"/>
        <w:gridCol w:w="682"/>
        <w:gridCol w:w="618"/>
        <w:gridCol w:w="765"/>
      </w:tblGrid>
      <w:tr>
        <w:trPr>
          <w:trHeight w:val="433"/>
        </w:trPr>
        <w:tc>
          <w:tcPr>
            <w:tcW w:w="710" w:type="dxa"/>
            <w:vMerge w:val="restart"/>
            <w:shd w:val="clear" w:color="000000" w:fill="EEECE1"/>
            <w:vAlign w:val="center"/>
          </w:tcPr>
          <w:p>
            <w:pPr>
              <w:spacing w:after="0" w:line="240" w:lineRule="auto"/>
              <w:rPr>
                <w:rFonts w:ascii="Arial Narrow" w:eastAsia="Times New Roman" w:hAnsi="Arial Narrow" w:cs="Times New Roman"/>
                <w:b/>
                <w:bCs/>
                <w:noProof/>
                <w:color w:val="000000"/>
                <w:sz w:val="16"/>
                <w:szCs w:val="16"/>
                <w:lang w:eastAsia="en-GB"/>
              </w:rPr>
            </w:pPr>
          </w:p>
        </w:tc>
        <w:tc>
          <w:tcPr>
            <w:tcW w:w="9037" w:type="dxa"/>
            <w:gridSpan w:val="15"/>
            <w:shd w:val="clear" w:color="000000" w:fill="EEECE1"/>
            <w:vAlign w:val="center"/>
          </w:tcPr>
          <w:p>
            <w:pPr>
              <w:spacing w:after="0" w:line="240" w:lineRule="auto"/>
              <w:jc w:val="center"/>
              <w:rPr>
                <w:rFonts w:ascii="Arial Narrow" w:hAnsi="Arial Narrow" w:cs="Times New Roman"/>
                <w:b/>
                <w:bCs/>
                <w:noProof/>
                <w:color w:val="000000"/>
                <w:sz w:val="16"/>
                <w:szCs w:val="16"/>
              </w:rPr>
            </w:pPr>
            <w:r>
              <w:rPr>
                <w:rFonts w:ascii="Arial Narrow" w:hAnsi="Arial Narrow" w:cs="Times New Roman"/>
                <w:b/>
                <w:bCs/>
                <w:noProof/>
                <w:color w:val="000000"/>
                <w:sz w:val="16"/>
                <w:szCs w:val="16"/>
              </w:rPr>
              <w:t>Dynamické trhy práce a spravodlivé pracovné podmienky</w:t>
            </w:r>
          </w:p>
        </w:tc>
      </w:tr>
      <w:tr>
        <w:trPr>
          <w:trHeight w:val="1473"/>
        </w:trPr>
        <w:tc>
          <w:tcPr>
            <w:tcW w:w="710" w:type="dxa"/>
            <w:vMerge/>
            <w:shd w:val="clear" w:color="000000" w:fill="EEECE1"/>
            <w:vAlign w:val="center"/>
            <w:hideMark/>
          </w:tcPr>
          <w:p>
            <w:pPr>
              <w:spacing w:after="0" w:line="240" w:lineRule="auto"/>
              <w:rPr>
                <w:rFonts w:ascii="Arial Narrow" w:eastAsia="Times New Roman" w:hAnsi="Arial Narrow" w:cs="Times New Roman"/>
                <w:b/>
                <w:bCs/>
                <w:noProof/>
                <w:color w:val="000000"/>
                <w:sz w:val="16"/>
                <w:szCs w:val="16"/>
                <w:lang w:eastAsia="en-GB"/>
              </w:rPr>
            </w:pPr>
          </w:p>
        </w:tc>
        <w:tc>
          <w:tcPr>
            <w:tcW w:w="1770" w:type="dxa"/>
            <w:gridSpan w:val="3"/>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Miera zamestnanosti </w:t>
            </w:r>
            <w:r>
              <w:rPr>
                <w:rFonts w:ascii="Arial Narrow" w:hAnsi="Arial Narrow" w:cs="Times New Roman"/>
                <w:b/>
                <w:bCs/>
                <w:noProof/>
                <w:color w:val="000000"/>
                <w:sz w:val="16"/>
                <w:szCs w:val="16"/>
              </w:rPr>
              <w:cr/>
            </w:r>
            <w:r>
              <w:rPr>
                <w:rFonts w:ascii="Arial Narrow" w:hAnsi="Arial Narrow" w:cs="Times New Roman"/>
                <w:b/>
                <w:bCs/>
                <w:noProof/>
                <w:color w:val="000000"/>
                <w:sz w:val="16"/>
                <w:szCs w:val="16"/>
              </w:rPr>
              <w:br/>
              <w:t>(v % obyvateľstva</w:t>
            </w:r>
            <w:r>
              <w:rPr>
                <w:rFonts w:ascii="Arial Narrow" w:hAnsi="Arial Narrow" w:cs="Times New Roman"/>
                <w:b/>
                <w:bCs/>
                <w:noProof/>
                <w:color w:val="000000"/>
                <w:sz w:val="16"/>
                <w:szCs w:val="16"/>
              </w:rPr>
              <w:br/>
              <w:t xml:space="preserve"> vo veku </w:t>
            </w:r>
          </w:p>
          <w:p>
            <w:pPr>
              <w:spacing w:after="0" w:line="240" w:lineRule="auto"/>
              <w:jc w:val="center"/>
              <w:rPr>
                <w:rFonts w:ascii="Arial Narrow" w:eastAsia="Times New Roman" w:hAnsi="Arial Narrow" w:cs="Times New Roman"/>
                <w:b/>
                <w:bCs/>
                <w:noProof/>
                <w:color w:val="000000"/>
                <w:sz w:val="16"/>
                <w:szCs w:val="16"/>
                <w:highlight w:val="yellow"/>
              </w:rPr>
            </w:pPr>
            <w:r>
              <w:rPr>
                <w:rFonts w:ascii="Arial Narrow" w:hAnsi="Arial Narrow" w:cs="Times New Roman"/>
                <w:b/>
                <w:bCs/>
                <w:noProof/>
                <w:color w:val="000000"/>
                <w:sz w:val="16"/>
                <w:szCs w:val="16"/>
              </w:rPr>
              <w:t>20 – 64 rokov)</w:t>
            </w:r>
          </w:p>
        </w:tc>
        <w:tc>
          <w:tcPr>
            <w:tcW w:w="1797" w:type="dxa"/>
            <w:gridSpan w:val="3"/>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highlight w:val="yellow"/>
              </w:rPr>
            </w:pPr>
            <w:r>
              <w:rPr>
                <w:rFonts w:ascii="Arial Narrow" w:hAnsi="Arial Narrow" w:cs="Times New Roman"/>
                <w:b/>
                <w:bCs/>
                <w:noProof/>
                <w:color w:val="000000"/>
                <w:sz w:val="16"/>
                <w:szCs w:val="16"/>
              </w:rPr>
              <w:t>Miera nezamestnanosti</w:t>
            </w:r>
            <w:r>
              <w:rPr>
                <w:rFonts w:ascii="Arial Narrow" w:hAnsi="Arial Narrow" w:cs="Times New Roman"/>
                <w:b/>
                <w:bCs/>
                <w:noProof/>
                <w:color w:val="000000"/>
                <w:sz w:val="16"/>
                <w:szCs w:val="16"/>
              </w:rPr>
              <w:br/>
              <w:t xml:space="preserve">(v % ekonomicky aktívneho obyvateľstva vo veku 15 – 74 rokov) </w:t>
            </w:r>
          </w:p>
        </w:tc>
        <w:tc>
          <w:tcPr>
            <w:tcW w:w="1770" w:type="dxa"/>
            <w:gridSpan w:val="3"/>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Miera dlhodobej nezamestnanosti </w:t>
            </w:r>
          </w:p>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(v % ekonomicky aktívneho obyvateľstva vo veku 15 – 74 rokov)</w:t>
            </w:r>
          </w:p>
        </w:tc>
        <w:tc>
          <w:tcPr>
            <w:tcW w:w="1635" w:type="dxa"/>
            <w:gridSpan w:val="3"/>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Reálny HDPD</w:t>
            </w:r>
            <w:r>
              <w:rPr>
                <w:rFonts w:ascii="Arial Narrow" w:hAnsi="Arial Narrow" w:cs="Times New Roman"/>
                <w:b/>
                <w:bCs/>
                <w:noProof/>
                <w:color w:val="000000"/>
                <w:sz w:val="16"/>
                <w:szCs w:val="16"/>
              </w:rPr>
              <w:br/>
              <w:t xml:space="preserve"> na obyvateľa </w:t>
            </w:r>
            <w:r>
              <w:rPr>
                <w:rFonts w:ascii="Arial Narrow" w:hAnsi="Arial Narrow" w:cs="Times New Roman"/>
                <w:b/>
                <w:bCs/>
                <w:noProof/>
                <w:color w:val="000000"/>
                <w:sz w:val="16"/>
                <w:szCs w:val="16"/>
              </w:rPr>
              <w:br/>
              <w:t>(2008 = 100)</w:t>
            </w:r>
          </w:p>
        </w:tc>
        <w:tc>
          <w:tcPr>
            <w:tcW w:w="2065" w:type="dxa"/>
            <w:gridSpan w:val="3"/>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Čistý príjem </w:t>
            </w:r>
            <w:r>
              <w:rPr>
                <w:rFonts w:ascii="Arial Narrow" w:hAnsi="Arial Narrow" w:cs="Times New Roman"/>
                <w:b/>
                <w:bCs/>
                <w:noProof/>
                <w:color w:val="000000"/>
                <w:sz w:val="16"/>
                <w:szCs w:val="16"/>
              </w:rPr>
              <w:br/>
              <w:t xml:space="preserve">slobodného zamestnanca </w:t>
            </w:r>
            <w:r>
              <w:rPr>
                <w:rFonts w:ascii="Arial Narrow" w:hAnsi="Arial Narrow" w:cs="Times New Roman"/>
                <w:b/>
                <w:bCs/>
                <w:noProof/>
                <w:color w:val="000000"/>
                <w:sz w:val="16"/>
                <w:szCs w:val="16"/>
              </w:rPr>
              <w:br/>
              <w:t xml:space="preserve">na plný pracovný čas </w:t>
            </w:r>
            <w:r>
              <w:rPr>
                <w:rFonts w:ascii="Arial Narrow" w:hAnsi="Arial Narrow" w:cs="Times New Roman"/>
                <w:b/>
                <w:bCs/>
                <w:noProof/>
                <w:color w:val="000000"/>
                <w:sz w:val="16"/>
                <w:szCs w:val="16"/>
              </w:rPr>
              <w:br/>
              <w:t>s priemernou mzdou (PPS)</w:t>
            </w:r>
          </w:p>
        </w:tc>
      </w:tr>
      <w:tr>
        <w:trPr>
          <w:cantSplit/>
          <w:trHeight w:val="1134"/>
        </w:trPr>
        <w:tc>
          <w:tcPr>
            <w:tcW w:w="710" w:type="dxa"/>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Rok</w:t>
            </w:r>
          </w:p>
        </w:tc>
        <w:tc>
          <w:tcPr>
            <w:tcW w:w="590"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90"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34" w:right="-206"/>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590"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2020</w:t>
            </w:r>
          </w:p>
        </w:tc>
        <w:tc>
          <w:tcPr>
            <w:tcW w:w="590"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617"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590"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2020</w:t>
            </w:r>
          </w:p>
        </w:tc>
        <w:tc>
          <w:tcPr>
            <w:tcW w:w="590"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90"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590" w:type="dxa"/>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 štvrťrok</w:t>
            </w:r>
          </w:p>
          <w:p>
            <w:pPr>
              <w:spacing w:after="0" w:line="240" w:lineRule="auto"/>
              <w:ind w:left="113" w:right="113"/>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2020</w:t>
            </w:r>
          </w:p>
        </w:tc>
        <w:tc>
          <w:tcPr>
            <w:tcW w:w="545" w:type="dxa"/>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545" w:type="dxa"/>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45" w:type="dxa"/>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682" w:type="dxa"/>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618" w:type="dxa"/>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765" w:type="dxa"/>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EÚ27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107,2</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EZ19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102,6</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104,2</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 nev.</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106,7</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109,2</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112,9</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19 813</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20 242</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20 882</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 nev.</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101,7</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109,1</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21 420</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21 843</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22 311</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BE</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100,1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100,7</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103,3</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25 373</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25 710</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26 364</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BG</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127,8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9 867</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10 416</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11 022</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CZ</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113,3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117,4</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120,6</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14 683</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15 320</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16 098</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DK</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112,9</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115,1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116,9</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26 902</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27 131</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30 668</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DE</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80,3 pu</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 pu</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111,5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113,4</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27 622</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28 001</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28 547</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EE</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 u</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 u</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115,1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129,4</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15 147</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15 911</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16 747</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IE</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99,8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104,5</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30 883</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31 171</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31 528</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EL</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19,5</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18 914</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18 855</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19 103</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ES</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15,4</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95,3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96,3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97,1</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23 316</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23 190</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23 327</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FR</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9,1</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103,4</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104,4</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106,3</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23 102</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23 360</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23 974</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HR</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 u</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 u</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106,2</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110,6</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13 561</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13 893</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14 348</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IT</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92,9</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93,6</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21 546</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21 696</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21 872</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CY</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89,5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93,9</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20 209</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23 247</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23 927</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LV</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109,2</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114,8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116,0</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10 703</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11 252</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11 979</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LT</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118,9</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124,5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134,5</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11 809</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12 524</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13 213</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LU</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104,4</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105,7</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33 276</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33 751</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34 326</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HU</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115,2</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123,5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127,1</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12 226</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12 876</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13 653</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MT</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 u</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 u</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20 694</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20 945</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21 453</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NL</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102,4</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105,3</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28 553</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28 565</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28 914</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AT</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97,4</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98,3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99,2</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27 698</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28 280</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28 601</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PL</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128,3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131,8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14 161</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14 602</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15 415</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PT</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103,9</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106,9</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15 900</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15 966</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16 183</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126,8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136,8</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142,6</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10 492</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11 240</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12 252</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SI</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75,0</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102,6</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106,4</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110,1</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15 222</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15 381</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15 777</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SK</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114,1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121,5</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123,4</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12 270</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12 374</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12 904</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FI</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76,2</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104,9</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107,0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109,3</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24 737</w:t>
            </w:r>
          </w:p>
        </w:tc>
        <w:tc>
          <w:tcPr>
            <w:tcW w:w="618"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24 848</w:t>
            </w:r>
          </w:p>
        </w:tc>
        <w:tc>
          <w:tcPr>
            <w:tcW w:w="76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25 177</w:t>
            </w:r>
          </w:p>
        </w:tc>
      </w:tr>
      <w:tr>
        <w:trPr>
          <w:trHeight w:val="227"/>
        </w:trPr>
        <w:tc>
          <w:tcPr>
            <w:tcW w:w="710" w:type="dxa"/>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SE</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80,6</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w:t>
            </w:r>
          </w:p>
        </w:tc>
        <w:tc>
          <w:tcPr>
            <w:tcW w:w="617"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90"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117,0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118,0</w:t>
            </w:r>
          </w:p>
        </w:tc>
        <w:tc>
          <w:tcPr>
            <w:tcW w:w="545"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120,5</w:t>
            </w:r>
          </w:p>
        </w:tc>
        <w:tc>
          <w:tcPr>
            <w:tcW w:w="682" w:type="dxa"/>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26 085</w:t>
            </w:r>
          </w:p>
        </w:tc>
        <w:tc>
          <w:tcPr>
            <w:tcW w:w="618" w:type="dxa"/>
            <w:shd w:val="clear" w:color="000000" w:fill="FFFFFF"/>
            <w:noWrap/>
            <w:vAlign w:val="bottom"/>
            <w:hideMark/>
          </w:tcPr>
          <w:p>
            <w:pPr>
              <w:spacing w:after="0" w:line="240" w:lineRule="auto"/>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26 022</w:t>
            </w:r>
          </w:p>
        </w:tc>
        <w:tc>
          <w:tcPr>
            <w:tcW w:w="765" w:type="dxa"/>
            <w:shd w:val="clear" w:color="000000" w:fill="FFFFFF"/>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26 437</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Zdroj: Eurostat, OECD.</w:t>
      </w:r>
    </w:p>
    <w:p>
      <w:pPr>
        <w:pStyle w:val="FootnoteText"/>
        <w:jc w:val="both"/>
        <w:rPr>
          <w:rStyle w:val="FootnoteReference"/>
          <w:rFonts w:ascii="Times New Roman" w:hAnsi="Times New Roman" w:cs="Times New Roman"/>
          <w:noProof/>
        </w:rPr>
      </w:pPr>
      <w:r>
        <w:rPr>
          <w:rFonts w:ascii="Times New Roman" w:hAnsi="Times New Roman" w:cs="Times New Roman"/>
          <w:noProof/>
        </w:rPr>
        <w:t>Poznámka: EÚ nev. a EZ nev. odkazujú na nevážené priemery za EÚ a eurozónu. Reálny HDPD sa meria pomocou „neupraveného príjmu“ (t. j. bez zarátania naturálnych sociálnych transferov) a bez úpravy o štandard kúpnej sily. Čisté príjmy slobodných zamestnancov na plný pracovný čas s priemernou mzdou</w:t>
      </w:r>
      <w:r>
        <w:rPr>
          <w:rStyle w:val="FootnoteReference"/>
          <w:rFonts w:ascii="Times New Roman" w:hAnsi="Times New Roman" w:cs="Times New Roman"/>
          <w:noProof/>
          <w:vertAlign w:val="baseline"/>
        </w:rPr>
        <w:t xml:space="preserve"> by sa mali čítať a vykladať v spojení s inými ukazovateľmi, ako je miera chudoby zamestnaných osôb, pomer medzi piatym a prvým decilom rozdelenia príjmov (D5/D1) a iné relevantné ukazovatele EPM/SPPM a rámca spoločného hodnotenia (JAF).</w:t>
      </w:r>
      <w:r>
        <w:rPr>
          <w:rFonts w:ascii="Times New Roman" w:hAnsi="Times New Roman" w:cs="Times New Roman"/>
          <w:noProof/>
        </w:rPr>
        <w:t xml:space="preserve"> Pri tomto ukazovateli sa používajú 3-ročné priemery na odstránenie krátkodobých výkyvov.</w:t>
      </w:r>
    </w:p>
    <w:p>
      <w:pPr>
        <w:jc w:val="both"/>
        <w:rPr>
          <w:rFonts w:ascii="Times New Roman" w:hAnsi="Times New Roman" w:cs="Times New Roman"/>
          <w:noProof/>
          <w:sz w:val="20"/>
          <w:szCs w:val="20"/>
        </w:rPr>
      </w:pPr>
      <w:r>
        <w:rPr>
          <w:rFonts w:ascii="Times New Roman" w:hAnsi="Times New Roman" w:cs="Times New Roman"/>
          <w:noProof/>
          <w:sz w:val="20"/>
          <w:szCs w:val="20"/>
        </w:rPr>
        <w:t>Značky – b: zlom v časovom rade; e: odhadované; p: predbežné; u: nízka spoľahlivosť (malý počet zistení).</w:t>
      </w:r>
    </w:p>
    <w:p>
      <w:pPr>
        <w:rPr>
          <w:rFonts w:ascii="Times New Roman" w:hAnsi="Times New Roman" w:cs="Times New Roman"/>
          <w:noProof/>
        </w:rPr>
      </w:pPr>
      <w:r>
        <w:rPr>
          <w:rFonts w:ascii="Times New Roman" w:hAnsi="Times New Roman" w:cs="Times New Roman"/>
          <w:noProof/>
        </w:rPr>
        <w:br w:type="page"/>
      </w:r>
    </w:p>
    <w:p>
      <w:pPr>
        <w:rPr>
          <w:rFonts w:ascii="Times New Roman" w:hAnsi="Times New Roman" w:cs="Times New Roman"/>
          <w:b/>
          <w:noProof/>
          <w:sz w:val="24"/>
          <w:szCs w:val="24"/>
        </w:rPr>
      </w:pPr>
      <w:r>
        <w:rPr>
          <w:rFonts w:ascii="Times New Roman" w:hAnsi="Times New Roman" w:cs="Times New Roman"/>
          <w:b/>
          <w:noProof/>
          <w:sz w:val="24"/>
          <w:szCs w:val="24"/>
        </w:rPr>
        <w:t>Príloha 1 (pokračovanie). Hlavné ukazovatele sociálneho prehľadu, úrovne</w:t>
      </w:r>
    </w:p>
    <w:tbl>
      <w:tblPr>
        <w:tblW w:w="0" w:type="auto"/>
        <w:tblInd w:w="113" w:type="dxa"/>
        <w:tblLayout w:type="fixed"/>
        <w:tblLook w:val="04A0" w:firstRow="1" w:lastRow="0" w:firstColumn="1" w:lastColumn="0" w:noHBand="0" w:noVBand="1"/>
      </w:tblPr>
      <w:tblGrid>
        <w:gridCol w:w="704"/>
        <w:gridCol w:w="634"/>
        <w:gridCol w:w="757"/>
        <w:gridCol w:w="757"/>
        <w:gridCol w:w="624"/>
        <w:gridCol w:w="714"/>
        <w:gridCol w:w="714"/>
        <w:gridCol w:w="599"/>
        <w:gridCol w:w="599"/>
        <w:gridCol w:w="599"/>
        <w:gridCol w:w="665"/>
        <w:gridCol w:w="721"/>
        <w:gridCol w:w="679"/>
        <w:gridCol w:w="11"/>
      </w:tblGrid>
      <w:tr>
        <w:trPr>
          <w:trHeight w:val="345"/>
        </w:trPr>
        <w:tc>
          <w:tcPr>
            <w:tcW w:w="704"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w:t>
            </w:r>
          </w:p>
        </w:tc>
        <w:tc>
          <w:tcPr>
            <w:tcW w:w="8073" w:type="dxa"/>
            <w:gridSpan w:val="1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Verejná podpora/sociálna ochrana a začlenenie</w:t>
            </w:r>
          </w:p>
        </w:tc>
      </w:tr>
      <w:tr>
        <w:trPr>
          <w:trHeight w:val="1671"/>
        </w:trPr>
        <w:tc>
          <w:tcPr>
            <w:tcW w:w="704" w:type="dxa"/>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Arial Narrow" w:eastAsia="Times New Roman" w:hAnsi="Arial Narrow" w:cs="Times New Roman"/>
                <w:b/>
                <w:bCs/>
                <w:noProof/>
                <w:color w:val="000000"/>
                <w:sz w:val="16"/>
                <w:szCs w:val="16"/>
                <w:lang w:eastAsia="en-GB"/>
              </w:rPr>
            </w:pPr>
          </w:p>
        </w:tc>
        <w:tc>
          <w:tcPr>
            <w:tcW w:w="2148"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Vplyv sociálnych transferov (okrem dôchodkov) </w:t>
            </w:r>
            <w:r>
              <w:rPr>
                <w:rFonts w:ascii="Arial Narrow" w:hAnsi="Arial Narrow" w:cs="Times New Roman"/>
                <w:b/>
                <w:bCs/>
                <w:noProof/>
                <w:color w:val="000000"/>
                <w:sz w:val="16"/>
                <w:szCs w:val="16"/>
              </w:rPr>
              <w:br/>
              <w:t>na znižovanie chudoby (v %)</w:t>
            </w:r>
          </w:p>
        </w:tc>
        <w:tc>
          <w:tcPr>
            <w:tcW w:w="2052"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Deti vo veku menej ako 3 roky navštevujúce zariadenia formálnej starostlivosti o deti (v %)</w:t>
            </w:r>
          </w:p>
        </w:tc>
        <w:tc>
          <w:tcPr>
            <w:tcW w:w="1797"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Subjektívne neuspokojená potreba lekárskeho vyšetrenia (v %)</w:t>
            </w:r>
          </w:p>
        </w:tc>
        <w:tc>
          <w:tcPr>
            <w:tcW w:w="2076" w:type="dxa"/>
            <w:gridSpan w:val="4"/>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Osoby s buď základnými, alebo pokročilejšími všeobecnými digitálnymi zručnosťami </w:t>
            </w:r>
            <w:r>
              <w:rPr>
                <w:rFonts w:ascii="Arial Narrow" w:hAnsi="Arial Narrow" w:cs="Times New Roman"/>
                <w:b/>
                <w:bCs/>
                <w:noProof/>
                <w:color w:val="000000"/>
                <w:sz w:val="16"/>
                <w:szCs w:val="16"/>
              </w:rPr>
              <w:br/>
              <w:t xml:space="preserve">(v % obyvateľstva </w:t>
            </w:r>
            <w:r>
              <w:rPr>
                <w:rFonts w:ascii="Arial Narrow" w:hAnsi="Arial Narrow" w:cs="Times New Roman"/>
                <w:b/>
                <w:bCs/>
                <w:noProof/>
                <w:color w:val="000000"/>
                <w:sz w:val="16"/>
                <w:szCs w:val="16"/>
              </w:rPr>
              <w:br/>
              <w:t>vo veku 16 – 74 rokov)</w:t>
            </w:r>
          </w:p>
        </w:tc>
      </w:tr>
      <w:tr>
        <w:trPr>
          <w:gridAfter w:val="1"/>
          <w:wAfter w:w="11" w:type="dxa"/>
          <w:trHeight w:val="675"/>
        </w:trPr>
        <w:tc>
          <w:tcPr>
            <w:tcW w:w="704" w:type="dxa"/>
            <w:tcBorders>
              <w:top w:val="single" w:sz="4" w:space="0" w:color="auto"/>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Rok</w:t>
            </w:r>
          </w:p>
        </w:tc>
        <w:tc>
          <w:tcPr>
            <w:tcW w:w="634"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75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757"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624"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714"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714"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599"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599"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99"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665"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721"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679"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r>
      <w:tr>
        <w:trPr>
          <w:gridAfter w:val="1"/>
          <w:wAfter w:w="11" w:type="dxa"/>
          <w:trHeight w:val="227"/>
        </w:trPr>
        <w:tc>
          <w:tcPr>
            <w:tcW w:w="704" w:type="dxa"/>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ind w:left="-110" w:right="-104"/>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EÚ27</w:t>
            </w:r>
          </w:p>
        </w:tc>
        <w:tc>
          <w:tcPr>
            <w:tcW w:w="63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32,4 e</w:t>
            </w:r>
          </w:p>
        </w:tc>
        <w:tc>
          <w:tcPr>
            <w:tcW w:w="75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32,8 e</w:t>
            </w:r>
          </w:p>
        </w:tc>
        <w:tc>
          <w:tcPr>
            <w:tcW w:w="75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32,7 e</w:t>
            </w:r>
          </w:p>
        </w:tc>
        <w:tc>
          <w:tcPr>
            <w:tcW w:w="62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34,5 e</w:t>
            </w:r>
          </w:p>
        </w:tc>
        <w:tc>
          <w:tcPr>
            <w:tcW w:w="71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34,7 e</w:t>
            </w:r>
          </w:p>
        </w:tc>
        <w:tc>
          <w:tcPr>
            <w:tcW w:w="714"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35,2 e</w:t>
            </w:r>
          </w:p>
        </w:tc>
        <w:tc>
          <w:tcPr>
            <w:tcW w:w="59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9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 e</w:t>
            </w:r>
          </w:p>
        </w:tc>
        <w:tc>
          <w:tcPr>
            <w:tcW w:w="599"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 e</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55,0</w:t>
            </w:r>
          </w:p>
        </w:tc>
        <w:tc>
          <w:tcPr>
            <w:tcW w:w="721" w:type="dxa"/>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ind w:left="-110" w:right="-104"/>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EZ19</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31,7</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32,7 e</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40,6 e</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 e</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 </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ind w:left="-110" w:right="-104"/>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 nev.</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34,3</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56,8</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55,9</w:t>
            </w:r>
          </w:p>
        </w:tc>
      </w:tr>
      <w:tr>
        <w:trPr>
          <w:gridAfter w:val="1"/>
          <w:wAfter w:w="11" w:type="dxa"/>
          <w:trHeight w:val="227"/>
        </w:trPr>
        <w:tc>
          <w:tcPr>
            <w:tcW w:w="704"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ind w:left="-110" w:right="-104"/>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 nev.</w:t>
            </w:r>
          </w:p>
        </w:tc>
        <w:tc>
          <w:tcPr>
            <w:tcW w:w="63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33,8</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33,7</w:t>
            </w:r>
          </w:p>
        </w:tc>
        <w:tc>
          <w:tcPr>
            <w:tcW w:w="75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34,7</w:t>
            </w:r>
          </w:p>
        </w:tc>
        <w:tc>
          <w:tcPr>
            <w:tcW w:w="62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35,3</w:t>
            </w:r>
          </w:p>
        </w:tc>
        <w:tc>
          <w:tcPr>
            <w:tcW w:w="71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36,9</w:t>
            </w:r>
          </w:p>
        </w:tc>
        <w:tc>
          <w:tcPr>
            <w:tcW w:w="71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41,2</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w:t>
            </w:r>
          </w:p>
        </w:tc>
        <w:tc>
          <w:tcPr>
            <w:tcW w:w="59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59,7</w:t>
            </w:r>
          </w:p>
        </w:tc>
        <w:tc>
          <w:tcPr>
            <w:tcW w:w="721" w:type="dxa"/>
            <w:tcBorders>
              <w:top w:val="nil"/>
              <w:left w:val="nil"/>
              <w:bottom w:val="single" w:sz="4" w:space="0" w:color="auto"/>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57,9</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BE</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41,7 b</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55,5 b</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 b</w:t>
            </w:r>
          </w:p>
        </w:tc>
        <w:tc>
          <w:tcPr>
            <w:tcW w:w="665"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BG</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23,7</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CZ</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38,5</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62,0 b</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DK</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71,7</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DE</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30,3</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EE</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27,3</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28,3</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15,5</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IE</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37,7</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EL</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15,8</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22,8</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40,9</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ES</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23,1</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FR</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44,4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42,1</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HR</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24,8</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24,7</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15,9</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IT</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21,6</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25,7</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 u </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42,0 b</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CY</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LV</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23,4</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43,0 b</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LT</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31,6</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20,3</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26,6</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LU</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34,0</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65,0 b</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HU</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38,5</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MT</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30,1</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30,6</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32,1</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NL</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39,7</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39,0</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AT</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PL</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37,5</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36,9</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 b</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44,0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PT</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22,5</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15,7</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SI</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44,6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45,5</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44,8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46,3</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55,0</w:t>
            </w:r>
          </w:p>
        </w:tc>
      </w:tr>
      <w:tr>
        <w:trPr>
          <w:gridAfter w:val="1"/>
          <w:wAfter w:w="11"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SK</w:t>
            </w:r>
          </w:p>
        </w:tc>
        <w:tc>
          <w:tcPr>
            <w:tcW w:w="6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29,1</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54,0</w:t>
            </w:r>
          </w:p>
        </w:tc>
      </w:tr>
      <w:tr>
        <w:trPr>
          <w:gridAfter w:val="1"/>
          <w:wAfter w:w="11" w:type="dxa"/>
          <w:trHeight w:val="227"/>
        </w:trPr>
        <w:tc>
          <w:tcPr>
            <w:tcW w:w="704"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FI</w:t>
            </w:r>
          </w:p>
        </w:tc>
        <w:tc>
          <w:tcPr>
            <w:tcW w:w="63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56,9</w:t>
            </w:r>
          </w:p>
        </w:tc>
        <w:tc>
          <w:tcPr>
            <w:tcW w:w="75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53,7</w:t>
            </w:r>
          </w:p>
        </w:tc>
        <w:tc>
          <w:tcPr>
            <w:tcW w:w="757"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54,0</w:t>
            </w:r>
          </w:p>
        </w:tc>
        <w:tc>
          <w:tcPr>
            <w:tcW w:w="62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33,3</w:t>
            </w:r>
          </w:p>
        </w:tc>
        <w:tc>
          <w:tcPr>
            <w:tcW w:w="71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37,2</w:t>
            </w:r>
          </w:p>
        </w:tc>
        <w:tc>
          <w:tcPr>
            <w:tcW w:w="714"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38,2</w:t>
            </w:r>
          </w:p>
        </w:tc>
        <w:tc>
          <w:tcPr>
            <w:tcW w:w="59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c>
          <w:tcPr>
            <w:tcW w:w="59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599"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665"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76,0</w:t>
            </w:r>
          </w:p>
        </w:tc>
        <w:tc>
          <w:tcPr>
            <w:tcW w:w="721" w:type="dxa"/>
            <w:tcBorders>
              <w:top w:val="nil"/>
              <w:left w:val="nil"/>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76,0</w:t>
            </w:r>
          </w:p>
        </w:tc>
      </w:tr>
      <w:tr>
        <w:trPr>
          <w:gridAfter w:val="1"/>
          <w:wAfter w:w="11" w:type="dxa"/>
          <w:trHeight w:val="227"/>
        </w:trPr>
        <w:tc>
          <w:tcPr>
            <w:tcW w:w="704"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SE</w:t>
            </w:r>
          </w:p>
        </w:tc>
        <w:tc>
          <w:tcPr>
            <w:tcW w:w="63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46,1</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43,3</w:t>
            </w:r>
          </w:p>
        </w:tc>
        <w:tc>
          <w:tcPr>
            <w:tcW w:w="75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40,8</w:t>
            </w:r>
          </w:p>
        </w:tc>
        <w:tc>
          <w:tcPr>
            <w:tcW w:w="62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52,7</w:t>
            </w:r>
          </w:p>
        </w:tc>
        <w:tc>
          <w:tcPr>
            <w:tcW w:w="71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49,4</w:t>
            </w:r>
          </w:p>
        </w:tc>
        <w:tc>
          <w:tcPr>
            <w:tcW w:w="71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53,1</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9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665"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 xml:space="preserve">77,0 </w:t>
            </w:r>
          </w:p>
        </w:tc>
        <w:tc>
          <w:tcPr>
            <w:tcW w:w="721" w:type="dxa"/>
            <w:tcBorders>
              <w:top w:val="nil"/>
              <w:left w:val="nil"/>
              <w:bottom w:val="single" w:sz="4" w:space="0" w:color="auto"/>
              <w:right w:val="nil"/>
            </w:tcBorders>
            <w:shd w:val="clear" w:color="000000" w:fill="FFFFFF"/>
            <w:noWrap/>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72,0 u</w:t>
            </w:r>
          </w:p>
        </w:tc>
      </w:tr>
    </w:tbl>
    <w:p>
      <w:pPr>
        <w:jc w:val="both"/>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Zdroj: Eurostat.</w:t>
      </w: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Poznámka: EÚ nev. a EZ nev. odkazujú na nevážené priemery za EÚ a eurozónu.</w:t>
      </w:r>
    </w:p>
    <w:p>
      <w:pPr>
        <w:jc w:val="both"/>
        <w:rPr>
          <w:rFonts w:ascii="Times New Roman" w:hAnsi="Times New Roman" w:cs="Times New Roman"/>
          <w:noProof/>
          <w:sz w:val="20"/>
          <w:szCs w:val="20"/>
        </w:rPr>
      </w:pPr>
      <w:r>
        <w:rPr>
          <w:rFonts w:ascii="Times New Roman" w:hAnsi="Times New Roman" w:cs="Times New Roman"/>
          <w:noProof/>
          <w:sz w:val="20"/>
          <w:szCs w:val="20"/>
        </w:rPr>
        <w:t>Značky – b: zlom v časovom rade; e: odhadované; p: predbežné; u: nízka spoľahlivosť (malý počet zistení).</w:t>
      </w:r>
    </w:p>
    <w:p>
      <w:pPr>
        <w:rPr>
          <w:rFonts w:ascii="Times New Roman" w:hAnsi="Times New Roman" w:cs="Times New Roman"/>
          <w:b/>
          <w:noProof/>
          <w:sz w:val="24"/>
          <w:szCs w:val="24"/>
        </w:rPr>
      </w:pPr>
      <w:r>
        <w:rPr>
          <w:rFonts w:ascii="Times New Roman" w:hAnsi="Times New Roman" w:cs="Times New Roman"/>
          <w:noProof/>
        </w:rPr>
        <w:br w:type="page"/>
      </w:r>
    </w:p>
    <w:p>
      <w:pPr>
        <w:rPr>
          <w:rFonts w:ascii="Times New Roman" w:hAnsi="Times New Roman" w:cs="Times New Roman"/>
          <w:b/>
          <w:noProof/>
          <w:sz w:val="24"/>
          <w:szCs w:val="24"/>
        </w:rPr>
      </w:pPr>
      <w:r>
        <w:rPr>
          <w:rFonts w:ascii="Times New Roman" w:hAnsi="Times New Roman" w:cs="Times New Roman"/>
          <w:b/>
          <w:noProof/>
          <w:sz w:val="24"/>
          <w:szCs w:val="24"/>
        </w:rPr>
        <w:t>Príloha 2. Hlavné ukazovatele sociálneho prehľadu, zmeny a vzdialenosť od EÚ</w:t>
      </w:r>
    </w:p>
    <w:tbl>
      <w:tblPr>
        <w:tblW w:w="9363" w:type="dxa"/>
        <w:tblLayout w:type="fixed"/>
        <w:tblCellMar>
          <w:left w:w="0" w:type="dxa"/>
          <w:right w:w="0" w:type="dxa"/>
        </w:tblCellMar>
        <w:tblLook w:val="04A0" w:firstRow="1" w:lastRow="0" w:firstColumn="1" w:lastColumn="0" w:noHBand="0" w:noVBand="1"/>
      </w:tblPr>
      <w:tblGrid>
        <w:gridCol w:w="567"/>
        <w:gridCol w:w="572"/>
        <w:gridCol w:w="426"/>
        <w:gridCol w:w="766"/>
        <w:gridCol w:w="586"/>
        <w:gridCol w:w="586"/>
        <w:gridCol w:w="586"/>
        <w:gridCol w:w="586"/>
        <w:gridCol w:w="586"/>
        <w:gridCol w:w="586"/>
        <w:gridCol w:w="586"/>
        <w:gridCol w:w="586"/>
        <w:gridCol w:w="586"/>
        <w:gridCol w:w="480"/>
        <w:gridCol w:w="567"/>
        <w:gridCol w:w="711"/>
      </w:tblGrid>
      <w:tr>
        <w:trPr>
          <w:trHeight w:val="312"/>
        </w:trPr>
        <w:tc>
          <w:tcPr>
            <w:tcW w:w="567"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hAnsi="Arial Narrow" w:cs="Times New Roman"/>
                <w:noProof/>
                <w:color w:val="000000"/>
                <w:sz w:val="16"/>
                <w:szCs w:val="16"/>
              </w:rPr>
            </w:pPr>
            <w:r>
              <w:rPr>
                <w:rFonts w:ascii="Arial Narrow" w:hAnsi="Arial Narrow" w:cs="Times New Roman"/>
                <w:noProof/>
                <w:color w:val="000000"/>
                <w:sz w:val="16"/>
                <w:szCs w:val="16"/>
              </w:rPr>
              <w:t> </w:t>
            </w:r>
          </w:p>
          <w:p>
            <w:pPr>
              <w:spacing w:after="0" w:line="240" w:lineRule="auto"/>
              <w:jc w:val="center"/>
              <w:rPr>
                <w:rFonts w:ascii="Arial Narrow" w:eastAsia="Times New Roman" w:hAnsi="Arial Narrow" w:cs="Times New Roman"/>
                <w:noProof/>
                <w:color w:val="000000"/>
                <w:sz w:val="16"/>
                <w:szCs w:val="16"/>
              </w:rPr>
            </w:pPr>
          </w:p>
        </w:tc>
        <w:tc>
          <w:tcPr>
            <w:tcW w:w="8796"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Rovnosť príležitostí a prístup na trh práce</w:t>
            </w:r>
          </w:p>
        </w:tc>
      </w:tr>
      <w:tr>
        <w:trPr>
          <w:trHeight w:val="848"/>
        </w:trPr>
        <w:tc>
          <w:tcPr>
            <w:tcW w:w="567"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Arial Narrow" w:eastAsia="Times New Roman" w:hAnsi="Arial Narrow" w:cs="Times New Roman"/>
                <w:noProof/>
                <w:color w:val="000000"/>
                <w:sz w:val="16"/>
                <w:szCs w:val="16"/>
                <w:lang w:eastAsia="en-GB"/>
              </w:rPr>
            </w:pPr>
          </w:p>
        </w:tc>
        <w:tc>
          <w:tcPr>
            <w:tcW w:w="176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Osoby, ktoré predčasne ukončili školskú dochádzku </w:t>
            </w:r>
            <w:r>
              <w:rPr>
                <w:rFonts w:ascii="Arial Narrow" w:hAnsi="Arial Narrow" w:cs="Times New Roman"/>
                <w:b/>
                <w:bCs/>
                <w:noProof/>
                <w:color w:val="000000"/>
                <w:sz w:val="16"/>
                <w:szCs w:val="16"/>
              </w:rPr>
              <w:br/>
              <w:t xml:space="preserve"> (v % obyvateľstva vo veku 18 – 24 rokov)</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Rozdiel v zamestnanosti žien a mužov </w:t>
            </w:r>
            <w:r>
              <w:rPr>
                <w:rFonts w:ascii="Arial Narrow" w:hAnsi="Arial Narrow" w:cs="Times New Roman"/>
                <w:b/>
                <w:bCs/>
                <w:noProof/>
                <w:color w:val="000000"/>
                <w:sz w:val="16"/>
                <w:szCs w:val="16"/>
              </w:rPr>
              <w:br/>
              <w:t>(v percent. bodoch)</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Pomer príjmov horného a dolného kvintilu (S80/S20)</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Ohrození chudobou alebo sociálnym vylúčením (v %)</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Miera NEET v prípade mladých ľudí (v % celkovej populácie vo veku 15 – 24 rokov)</w:t>
            </w:r>
          </w:p>
        </w:tc>
      </w:tr>
      <w:tr>
        <w:trPr>
          <w:trHeight w:val="312"/>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Rok</w:t>
            </w:r>
          </w:p>
        </w:tc>
        <w:tc>
          <w:tcPr>
            <w:tcW w:w="176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 štvrťrok 2020</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 štvrťrok 2020</w:t>
            </w:r>
          </w:p>
        </w:tc>
      </w:tr>
      <w:tr>
        <w:trPr>
          <w:cantSplit/>
          <w:trHeight w:val="236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 </w:t>
            </w:r>
          </w:p>
        </w:tc>
        <w:tc>
          <w:tcPr>
            <w:tcW w:w="572" w:type="dxa"/>
            <w:tcBorders>
              <w:top w:val="nil"/>
              <w:left w:val="single" w:sz="4" w:space="0" w:color="auto"/>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42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76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Rozdiel medzi medziročnou zmenou pre členský štát a medziročnou zmenou pre EÚ</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 xml:space="preserve">Rozdiel medzi medziročnou zmenou pre členský štát </w:t>
            </w:r>
          </w:p>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a medziročnou zmenou pre EÚ</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 xml:space="preserve">Rozdiel medzi medziročnou zmenou pre členský štát </w:t>
            </w:r>
          </w:p>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a medziročnou zmenou pre EÚ</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58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 xml:space="preserve">Rozdiel medzi medziročnou zmenou pre členský štát </w:t>
            </w:r>
          </w:p>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a medziročnou zmenou pre EÚ</w:t>
            </w:r>
          </w:p>
        </w:tc>
        <w:tc>
          <w:tcPr>
            <w:tcW w:w="480"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567"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711"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 xml:space="preserve">Rozdiel medzi medziročnou zmenou pre členský štát </w:t>
            </w:r>
          </w:p>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a medziročnou zmenou pre EÚ</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EÚ27</w:t>
            </w:r>
          </w:p>
        </w:tc>
        <w:tc>
          <w:tcPr>
            <w:tcW w:w="572"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42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76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480"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7"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711"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EZ19</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 nev.</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r>
      <w:tr>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 nev.</w:t>
            </w:r>
          </w:p>
        </w:tc>
        <w:tc>
          <w:tcPr>
            <w:tcW w:w="572"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42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76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480"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711"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BE</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 b</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 b</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BG</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CZ</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DK</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DE</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 pu</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EE</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IE</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EL</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–4,8</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ES</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FR</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HR</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 u</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IT</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9,8</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CY</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LV</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LT</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LU</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HU</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MT</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8,3</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NL</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 b</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AT</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PL</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PT</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SI</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SK</w:t>
            </w:r>
          </w:p>
        </w:tc>
        <w:tc>
          <w:tcPr>
            <w:tcW w:w="572"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42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76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480"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711"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r>
      <w:tr>
        <w:trPr>
          <w:trHeight w:val="227"/>
        </w:trPr>
        <w:tc>
          <w:tcPr>
            <w:tcW w:w="567"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FI</w:t>
            </w:r>
          </w:p>
        </w:tc>
        <w:tc>
          <w:tcPr>
            <w:tcW w:w="572"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42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76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480"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7"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711"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r>
      <w:tr>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SE</w:t>
            </w:r>
          </w:p>
        </w:tc>
        <w:tc>
          <w:tcPr>
            <w:tcW w:w="572"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42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76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480"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711"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r>
    </w:tbl>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 </w:t>
      </w: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Zdroj: Eurostat.</w:t>
      </w:r>
    </w:p>
    <w:p>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Poznámka: EÚ nev. a EZ nev. odkazujú na nevážené priemery za EÚ a eurozónu.</w:t>
      </w:r>
      <w:r>
        <w:rPr>
          <w:rFonts w:ascii="Times New Roman" w:hAnsi="Times New Roman" w:cs="Times New Roman"/>
          <w:noProof/>
          <w:color w:val="000000"/>
          <w:sz w:val="20"/>
          <w:szCs w:val="20"/>
        </w:rPr>
        <w:t xml:space="preserve"> Vzdialenosť od priemeru EÚ sa vypočítava z neváženého priemeru.</w:t>
      </w:r>
      <w:r>
        <w:rPr>
          <w:rFonts w:ascii="Times New Roman" w:hAnsi="Times New Roman" w:cs="Times New Roman"/>
          <w:noProof/>
          <w:sz w:val="20"/>
          <w:szCs w:val="20"/>
        </w:rPr>
        <w:tab/>
      </w: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Značky – b: zlom v časovom rade; e: odhadované; p: predbežné; u: nízka spoľahlivosť (malý počet zistení).</w:t>
      </w:r>
    </w:p>
    <w:p>
      <w:pPr>
        <w:rPr>
          <w:rFonts w:ascii="Times New Roman" w:hAnsi="Times New Roman" w:cs="Times New Roman"/>
          <w:noProof/>
          <w:sz w:val="20"/>
          <w:szCs w:val="20"/>
        </w:rPr>
      </w:pPr>
      <w:r>
        <w:rPr>
          <w:rFonts w:ascii="Times New Roman" w:hAnsi="Times New Roman" w:cs="Times New Roman"/>
          <w:noProof/>
          <w:sz w:val="20"/>
          <w:szCs w:val="20"/>
        </w:rPr>
        <w:br w:type="page"/>
      </w:r>
    </w:p>
    <w:p>
      <w:pPr>
        <w:rPr>
          <w:rFonts w:ascii="Times New Roman" w:hAnsi="Times New Roman" w:cs="Times New Roman"/>
          <w:b/>
          <w:noProof/>
          <w:sz w:val="24"/>
          <w:szCs w:val="24"/>
        </w:rPr>
      </w:pPr>
      <w:r>
        <w:rPr>
          <w:rFonts w:ascii="Times New Roman" w:hAnsi="Times New Roman" w:cs="Times New Roman"/>
          <w:b/>
          <w:noProof/>
          <w:sz w:val="24"/>
          <w:szCs w:val="24"/>
        </w:rPr>
        <w:t>Príloha 2 (pokračovanie). Hlavné ukazovatele sociálneho prehľadu, zmeny a vzdialenosť od EÚ</w:t>
      </w:r>
    </w:p>
    <w:tbl>
      <w:tblPr>
        <w:tblW w:w="9356" w:type="dxa"/>
        <w:tblInd w:w="108" w:type="dxa"/>
        <w:tblLayout w:type="fixed"/>
        <w:tblCellMar>
          <w:left w:w="0" w:type="dxa"/>
          <w:right w:w="0" w:type="dxa"/>
        </w:tblCellMar>
        <w:tblLook w:val="04A0" w:firstRow="1" w:lastRow="0" w:firstColumn="1" w:lastColumn="0" w:noHBand="0" w:noVBand="1"/>
      </w:tblPr>
      <w:tblGrid>
        <w:gridCol w:w="709"/>
        <w:gridCol w:w="564"/>
        <w:gridCol w:w="565"/>
        <w:gridCol w:w="565"/>
        <w:gridCol w:w="564"/>
        <w:gridCol w:w="565"/>
        <w:gridCol w:w="565"/>
        <w:gridCol w:w="565"/>
        <w:gridCol w:w="564"/>
        <w:gridCol w:w="565"/>
        <w:gridCol w:w="565"/>
        <w:gridCol w:w="565"/>
        <w:gridCol w:w="564"/>
        <w:gridCol w:w="565"/>
        <w:gridCol w:w="636"/>
        <w:gridCol w:w="670"/>
      </w:tblGrid>
      <w:tr>
        <w:trPr>
          <w:trHeight w:val="330"/>
        </w:trPr>
        <w:tc>
          <w:tcPr>
            <w:tcW w:w="709"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noProof/>
                <w:color w:val="000000"/>
                <w:sz w:val="16"/>
                <w:szCs w:val="16"/>
                <w:lang w:eastAsia="en-GB"/>
              </w:rPr>
            </w:pPr>
          </w:p>
        </w:tc>
        <w:tc>
          <w:tcPr>
            <w:tcW w:w="8647"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Dynamické trhy práce a spravodlivé pracovné podmienky</w:t>
            </w:r>
          </w:p>
        </w:tc>
      </w:tr>
      <w:tr>
        <w:trPr>
          <w:trHeight w:val="976"/>
        </w:trPr>
        <w:tc>
          <w:tcPr>
            <w:tcW w:w="709" w:type="dxa"/>
            <w:vMerge/>
            <w:tcBorders>
              <w:top w:val="single" w:sz="4" w:space="0" w:color="auto"/>
              <w:left w:val="single" w:sz="4" w:space="0" w:color="auto"/>
              <w:bottom w:val="nil"/>
              <w:right w:val="single" w:sz="4" w:space="0" w:color="auto"/>
            </w:tcBorders>
            <w:vAlign w:val="center"/>
            <w:hideMark/>
          </w:tcPr>
          <w:p>
            <w:pPr>
              <w:spacing w:after="0" w:line="240" w:lineRule="auto"/>
              <w:jc w:val="center"/>
              <w:rPr>
                <w:rFonts w:ascii="Arial Narrow" w:eastAsia="Times New Roman" w:hAnsi="Arial Narrow" w:cs="Times New Roman"/>
                <w:noProof/>
                <w:color w:val="000000"/>
                <w:sz w:val="16"/>
                <w:szCs w:val="16"/>
                <w:lang w:eastAsia="en-GB"/>
              </w:rPr>
            </w:pP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Miera zamestnanosti </w:t>
            </w:r>
            <w:r>
              <w:rPr>
                <w:rFonts w:ascii="Arial Narrow" w:hAnsi="Arial Narrow" w:cs="Times New Roman"/>
                <w:b/>
                <w:bCs/>
                <w:noProof/>
                <w:color w:val="000000"/>
                <w:sz w:val="16"/>
                <w:szCs w:val="16"/>
              </w:rPr>
              <w:br/>
              <w:t>(v % obyvateľstva vo veku 20 – 64 rokov)</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Miera nezamestnanosti </w:t>
            </w:r>
            <w:r>
              <w:rPr>
                <w:rFonts w:ascii="Arial Narrow" w:hAnsi="Arial Narrow" w:cs="Times New Roman"/>
                <w:b/>
                <w:bCs/>
                <w:noProof/>
                <w:color w:val="000000"/>
                <w:sz w:val="16"/>
                <w:szCs w:val="16"/>
              </w:rPr>
              <w:br/>
              <w:t xml:space="preserve">(v % ekonomicky aktívneho obyvateľstva </w:t>
            </w:r>
            <w:r>
              <w:rPr>
                <w:rFonts w:ascii="Arial Narrow" w:hAnsi="Arial Narrow" w:cs="Times New Roman"/>
                <w:b/>
                <w:bCs/>
                <w:noProof/>
                <w:color w:val="000000"/>
                <w:sz w:val="16"/>
                <w:szCs w:val="16"/>
              </w:rPr>
              <w:br/>
              <w:t xml:space="preserve">vo veku 15 – 74 rokov) </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Miera dlhodobej nezamestnanosti (v % ekonomicky aktívneho obyvateľstva vo veku 15 – 74 rokov)</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Reálny HDPD na obyvateľa </w:t>
            </w:r>
            <w:r>
              <w:rPr>
                <w:rFonts w:ascii="Arial Narrow" w:hAnsi="Arial Narrow" w:cs="Times New Roman"/>
                <w:b/>
                <w:bCs/>
                <w:noProof/>
                <w:color w:val="000000"/>
                <w:sz w:val="16"/>
                <w:szCs w:val="16"/>
              </w:rPr>
              <w:br/>
              <w:t>(2008 = 100)</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Čistý príjem </w:t>
            </w:r>
            <w:r>
              <w:rPr>
                <w:rFonts w:ascii="Arial Narrow" w:hAnsi="Arial Narrow" w:cs="Times New Roman"/>
                <w:b/>
                <w:bCs/>
                <w:noProof/>
                <w:color w:val="000000"/>
                <w:sz w:val="16"/>
                <w:szCs w:val="16"/>
              </w:rPr>
              <w:br/>
              <w:t xml:space="preserve">slobodného zamestnanca </w:t>
            </w:r>
            <w:r>
              <w:rPr>
                <w:rFonts w:ascii="Arial Narrow" w:hAnsi="Arial Narrow" w:cs="Times New Roman"/>
                <w:b/>
                <w:bCs/>
                <w:noProof/>
                <w:color w:val="000000"/>
                <w:sz w:val="16"/>
                <w:szCs w:val="16"/>
              </w:rPr>
              <w:br/>
              <w:t xml:space="preserve">na plný pracovný čas </w:t>
            </w:r>
            <w:r>
              <w:rPr>
                <w:rFonts w:ascii="Arial Narrow" w:hAnsi="Arial Narrow" w:cs="Times New Roman"/>
                <w:b/>
                <w:bCs/>
                <w:noProof/>
                <w:color w:val="000000"/>
                <w:sz w:val="16"/>
                <w:szCs w:val="16"/>
              </w:rPr>
              <w:br/>
              <w:t>s priemernou mzdou</w:t>
            </w:r>
          </w:p>
        </w:tc>
      </w:tr>
      <w:tr>
        <w:trPr>
          <w:trHeight w:val="312"/>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Rok</w:t>
            </w: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 štvrťrok 2020</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 štvrťrok 2020</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 štvrťrok 2020</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2019</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2019</w:t>
            </w:r>
          </w:p>
        </w:tc>
      </w:tr>
      <w:tr>
        <w:trPr>
          <w:cantSplit/>
          <w:trHeight w:val="2188"/>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noProof/>
                <w:color w:val="000000"/>
                <w:sz w:val="16"/>
                <w:szCs w:val="16"/>
              </w:rPr>
            </w:pPr>
          </w:p>
        </w:tc>
        <w:tc>
          <w:tcPr>
            <w:tcW w:w="564" w:type="dxa"/>
            <w:tcBorders>
              <w:top w:val="nil"/>
              <w:left w:val="single" w:sz="4" w:space="0" w:color="auto"/>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 xml:space="preserve">Rozdiel medzi medziročnou zmenou pre členský štát </w:t>
            </w:r>
          </w:p>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a medziročnou zmenou pre EÚ</w:t>
            </w:r>
          </w:p>
        </w:tc>
        <w:tc>
          <w:tcPr>
            <w:tcW w:w="564"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 xml:space="preserve">Rozdiel medzi medziročnou zmenou pre členský štát </w:t>
            </w:r>
          </w:p>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a medziročnou zmenou pre EÚ</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564"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 xml:space="preserve">Rozdiel medzi medziročnou zmenou pre členský štát </w:t>
            </w:r>
          </w:p>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a medziročnou zmenou pre EÚ</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564"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 xml:space="preserve">Rozdiel medzi medziročnou zmenou pre členský štát </w:t>
            </w:r>
          </w:p>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a medziročnou zmenou pre EÚ</w:t>
            </w:r>
          </w:p>
        </w:tc>
        <w:tc>
          <w:tcPr>
            <w:tcW w:w="565"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Medziročná zmena</w:t>
            </w:r>
          </w:p>
        </w:tc>
        <w:tc>
          <w:tcPr>
            <w:tcW w:w="63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Vzdialenosť od priemeru EÚ</w:t>
            </w:r>
          </w:p>
        </w:tc>
        <w:tc>
          <w:tcPr>
            <w:tcW w:w="670"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Arial Narrow" w:eastAsia="Times New Roman" w:hAnsi="Arial Narrow" w:cs="Times New Roman"/>
                <w:b/>
                <w:bCs/>
                <w:noProof/>
                <w:sz w:val="16"/>
                <w:szCs w:val="16"/>
              </w:rPr>
            </w:pPr>
            <w:r>
              <w:rPr>
                <w:rFonts w:ascii="Arial Narrow" w:hAnsi="Arial Narrow" w:cs="Times New Roman"/>
                <w:b/>
                <w:bCs/>
                <w:noProof/>
                <w:sz w:val="16"/>
                <w:szCs w:val="16"/>
              </w:rPr>
              <w:t>Rozdiel medzi medziročnou zmenou pre členský štát a medziročnou zmenou pre EÚ</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EÚ27</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564"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EZ19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 nev.</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r>
      <w:tr>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 nev.</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6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636" w:type="dxa"/>
            <w:tcBorders>
              <w:top w:val="nil"/>
              <w:left w:val="nil"/>
              <w:bottom w:val="nil"/>
              <w:right w:val="nil"/>
            </w:tcBorders>
            <w:shd w:val="clear" w:color="auto" w:fill="auto"/>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1 430</w:t>
            </w:r>
          </w:p>
        </w:tc>
        <w:tc>
          <w:tcPr>
            <w:tcW w:w="670"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63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5 482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BG</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–9 860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CZ</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–4 784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DK</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9 786</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 pu</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 pu</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7 665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–4 135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10 646</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–1 779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ES</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2 445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FR</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3 093</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HR</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–6 534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990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CY</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3 045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LV</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–8 903</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21,5</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–7 669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13 444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–7 229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NL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8 032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AT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7 719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–5 467</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–4 698</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29,7</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–8 629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SI</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–5 105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SK</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–7 977</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r>
      <w:tr>
        <w:trPr>
          <w:trHeight w:val="227"/>
        </w:trPr>
        <w:tc>
          <w:tcPr>
            <w:tcW w:w="709"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FI</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0,0</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0,3</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c>
          <w:tcPr>
            <w:tcW w:w="564"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63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4 295</w:t>
            </w:r>
          </w:p>
        </w:tc>
        <w:tc>
          <w:tcPr>
            <w:tcW w:w="670"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r>
      <w:tr>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SE</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–0,4</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0,2</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w:t>
            </w:r>
          </w:p>
        </w:tc>
        <w:tc>
          <w:tcPr>
            <w:tcW w:w="56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c>
          <w:tcPr>
            <w:tcW w:w="63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5 555</w:t>
            </w:r>
          </w:p>
        </w:tc>
        <w:tc>
          <w:tcPr>
            <w:tcW w:w="670"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r>
    </w:tbl>
    <w:p>
      <w:pPr>
        <w:spacing w:after="0" w:line="240" w:lineRule="auto"/>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Zdroj: Eurostat, OECD.</w:t>
      </w:r>
    </w:p>
    <w:p>
      <w:pPr>
        <w:pStyle w:val="FootnoteText"/>
        <w:jc w:val="both"/>
        <w:rPr>
          <w:rFonts w:ascii="Times New Roman" w:hAnsi="Times New Roman" w:cs="Times New Roman"/>
          <w:noProof/>
        </w:rPr>
      </w:pPr>
      <w:r>
        <w:rPr>
          <w:rFonts w:ascii="Times New Roman" w:hAnsi="Times New Roman" w:cs="Times New Roman"/>
          <w:noProof/>
        </w:rPr>
        <w:t>Poznámka: EÚ nev. a EZ nev. odkazujú na nevážené priemery za EÚ a eurozónu. Vzdialenosť od priemeru EÚ sa vypočítava z neváženého priemeru. Reálny HDPD sa meria pomocou „neupraveného príjmu“ (t. j. bez zarátania naturálnych sociálnych transferov) a bez úpravy o štandard kúpnej sily. Čisté príjmy slobodných zamestnancov na plný pracovný čas s priemernou mzdou</w:t>
      </w:r>
      <w:r>
        <w:rPr>
          <w:rStyle w:val="FootnoteReference"/>
          <w:rFonts w:ascii="Times New Roman" w:hAnsi="Times New Roman" w:cs="Times New Roman"/>
          <w:noProof/>
          <w:vertAlign w:val="baseline"/>
        </w:rPr>
        <w:t xml:space="preserve"> by sa mali čítať a vykladať v spojení s inými ukazovateľmi, ako je miera chudoby zamestnaných osôb, pomer medzi piatym a prvým decilom rozdelenia príjmov (D5/D1) a iné relevantné ukazovatele EPM/SPPM a rámca spoločného hodnotenia (JAF).</w:t>
      </w:r>
      <w:r>
        <w:rPr>
          <w:rFonts w:ascii="Times New Roman" w:hAnsi="Times New Roman" w:cs="Times New Roman"/>
          <w:noProof/>
        </w:rPr>
        <w:t xml:space="preserve"> V prípade tohto ukazovateľa je vzdialenosť od priemeru EÚ vyjadrená v štandardoch kúpnej sily (PPS), zatiaľ čo zmeny sú vyjadrené v reálnych hodnotách v národnej mene; pri úrovniach, ako aj zmenách, sa na odstránenie krátkodobých výkyvov používajú 3-ročné priemery.</w:t>
      </w:r>
    </w:p>
    <w:p>
      <w:pPr>
        <w:pStyle w:val="FootnoteText"/>
        <w:jc w:val="both"/>
        <w:rPr>
          <w:rFonts w:ascii="Times New Roman" w:hAnsi="Times New Roman" w:cs="Times New Roman"/>
          <w:noProof/>
        </w:rPr>
      </w:pPr>
      <w:r>
        <w:rPr>
          <w:rFonts w:ascii="Times New Roman" w:hAnsi="Times New Roman" w:cs="Times New Roman"/>
          <w:noProof/>
        </w:rPr>
        <w:t>Značky – b: zlom v časovom rade; e: odhadované; p: predbežné; u: nízka spoľahlivosť (malý počet zistení).</w:t>
      </w:r>
      <w:r>
        <w:rPr>
          <w:rFonts w:ascii="Times New Roman" w:hAnsi="Times New Roman" w:cs="Times New Roman"/>
          <w:noProof/>
        </w:rPr>
        <w:br w:type="page"/>
      </w:r>
    </w:p>
    <w:p>
      <w:pPr>
        <w:rPr>
          <w:rFonts w:ascii="Times New Roman" w:hAnsi="Times New Roman" w:cs="Times New Roman"/>
          <w:b/>
          <w:noProof/>
          <w:sz w:val="24"/>
          <w:szCs w:val="24"/>
        </w:rPr>
      </w:pPr>
      <w:r>
        <w:rPr>
          <w:rFonts w:ascii="Times New Roman" w:hAnsi="Times New Roman" w:cs="Times New Roman"/>
          <w:b/>
          <w:noProof/>
          <w:sz w:val="24"/>
          <w:szCs w:val="24"/>
        </w:rPr>
        <w:t>Príloha 2 (pokračovanie). Hlavné ukazovatele sociálneho prehľadu, zmeny a vzdialenosť od EÚ</w:t>
      </w:r>
    </w:p>
    <w:tbl>
      <w:tblPr>
        <w:tblW w:w="0" w:type="auto"/>
        <w:tblInd w:w="108" w:type="dxa"/>
        <w:tblLayout w:type="fixed"/>
        <w:tblLook w:val="04A0" w:firstRow="1" w:lastRow="0" w:firstColumn="1" w:lastColumn="0" w:noHBand="0" w:noVBand="1"/>
      </w:tblPr>
      <w:tblGrid>
        <w:gridCol w:w="709"/>
        <w:gridCol w:w="588"/>
        <w:gridCol w:w="717"/>
        <w:gridCol w:w="716"/>
        <w:gridCol w:w="717"/>
        <w:gridCol w:w="716"/>
        <w:gridCol w:w="717"/>
        <w:gridCol w:w="717"/>
        <w:gridCol w:w="716"/>
        <w:gridCol w:w="717"/>
        <w:gridCol w:w="716"/>
        <w:gridCol w:w="717"/>
        <w:gridCol w:w="717"/>
      </w:tblGrid>
      <w:tr>
        <w:trPr>
          <w:trHeight w:val="312"/>
        </w:trPr>
        <w:tc>
          <w:tcPr>
            <w:tcW w:w="709"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 </w:t>
            </w:r>
          </w:p>
        </w:tc>
        <w:tc>
          <w:tcPr>
            <w:tcW w:w="8471" w:type="dxa"/>
            <w:gridSpan w:val="12"/>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color w:val="000000"/>
                <w:sz w:val="16"/>
                <w:szCs w:val="16"/>
              </w:rPr>
            </w:pPr>
            <w:r>
              <w:rPr>
                <w:rFonts w:ascii="Times New Roman" w:hAnsi="Times New Roman" w:cs="Times New Roman"/>
                <w:b/>
                <w:bCs/>
                <w:noProof/>
                <w:color w:val="000000"/>
                <w:sz w:val="16"/>
                <w:szCs w:val="16"/>
              </w:rPr>
              <w:t>Verejná podpora/sociálna ochrana a začlenenie</w:t>
            </w:r>
          </w:p>
        </w:tc>
      </w:tr>
      <w:tr>
        <w:trPr>
          <w:trHeight w:val="1131"/>
        </w:trPr>
        <w:tc>
          <w:tcPr>
            <w:tcW w:w="709"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Arial Narrow" w:eastAsia="Times New Roman" w:hAnsi="Arial Narrow" w:cs="Times New Roman"/>
                <w:noProof/>
                <w:color w:val="000000"/>
                <w:sz w:val="16"/>
                <w:szCs w:val="16"/>
                <w:lang w:eastAsia="en-GB"/>
              </w:rPr>
            </w:pPr>
          </w:p>
        </w:tc>
        <w:tc>
          <w:tcPr>
            <w:tcW w:w="2021"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color w:val="000000"/>
                <w:sz w:val="16"/>
                <w:szCs w:val="16"/>
              </w:rPr>
            </w:pPr>
            <w:r>
              <w:rPr>
                <w:rFonts w:ascii="Times New Roman" w:hAnsi="Times New Roman" w:cs="Times New Roman"/>
                <w:b/>
                <w:bCs/>
                <w:noProof/>
                <w:color w:val="000000"/>
                <w:sz w:val="16"/>
                <w:szCs w:val="16"/>
              </w:rPr>
              <w:t>Vplyv sociálnych transferov (okrem dôchodkov) na znižovanie chudoby (v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color w:val="000000"/>
                <w:sz w:val="16"/>
                <w:szCs w:val="16"/>
              </w:rPr>
            </w:pPr>
            <w:r>
              <w:rPr>
                <w:rFonts w:ascii="Times New Roman" w:hAnsi="Times New Roman" w:cs="Times New Roman"/>
                <w:b/>
                <w:bCs/>
                <w:noProof/>
                <w:color w:val="000000"/>
                <w:sz w:val="16"/>
                <w:szCs w:val="16"/>
              </w:rPr>
              <w:t>Deti vo veku menej ako 3 roky navštevujúce zariadenia formálnej starostlivosti o deti (v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color w:val="000000"/>
                <w:sz w:val="16"/>
                <w:szCs w:val="16"/>
              </w:rPr>
            </w:pPr>
            <w:r>
              <w:rPr>
                <w:rFonts w:ascii="Times New Roman" w:hAnsi="Times New Roman" w:cs="Times New Roman"/>
                <w:b/>
                <w:bCs/>
                <w:noProof/>
                <w:color w:val="000000"/>
                <w:sz w:val="16"/>
                <w:szCs w:val="16"/>
              </w:rPr>
              <w:t>Subjektívne neuspokojená potreba lekárskeho vyšetrenia (v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color w:val="000000"/>
                <w:sz w:val="16"/>
                <w:szCs w:val="16"/>
              </w:rPr>
            </w:pPr>
            <w:r>
              <w:rPr>
                <w:rFonts w:ascii="Times New Roman" w:hAnsi="Times New Roman" w:cs="Times New Roman"/>
                <w:b/>
                <w:bCs/>
                <w:noProof/>
                <w:color w:val="000000"/>
                <w:sz w:val="16"/>
                <w:szCs w:val="16"/>
              </w:rPr>
              <w:t>Osoby s buď základnými, alebo pokročilejšími všeobecnými digitálnymi zručnosťami (v % obyvateľstva vo veku 16 – 74 rokov)</w:t>
            </w:r>
          </w:p>
        </w:tc>
      </w:tr>
      <w:tr>
        <w:trPr>
          <w:trHeight w:val="312"/>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Rok</w:t>
            </w:r>
          </w:p>
        </w:tc>
        <w:tc>
          <w:tcPr>
            <w:tcW w:w="2021"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2019</w:t>
            </w:r>
          </w:p>
        </w:tc>
      </w:tr>
      <w:tr>
        <w:trPr>
          <w:cantSplit/>
          <w:trHeight w:val="2474"/>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 </w:t>
            </w:r>
          </w:p>
        </w:tc>
        <w:tc>
          <w:tcPr>
            <w:tcW w:w="588" w:type="dxa"/>
            <w:tcBorders>
              <w:top w:val="nil"/>
              <w:left w:val="single" w:sz="4" w:space="0" w:color="auto"/>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Medziročná zmena</w:t>
            </w:r>
          </w:p>
        </w:tc>
        <w:tc>
          <w:tcPr>
            <w:tcW w:w="717"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Vzdialenosť od priemeru EÚ</w:t>
            </w:r>
          </w:p>
        </w:tc>
        <w:tc>
          <w:tcPr>
            <w:tcW w:w="71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Rozdiel medzi medziročnou zmenou pre členský štát a medziročnou zmenou pre EÚ</w:t>
            </w:r>
          </w:p>
        </w:tc>
        <w:tc>
          <w:tcPr>
            <w:tcW w:w="717"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Medziročná zmena</w:t>
            </w:r>
          </w:p>
        </w:tc>
        <w:tc>
          <w:tcPr>
            <w:tcW w:w="71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Vzdialenosť od priemeru EÚ</w:t>
            </w:r>
          </w:p>
        </w:tc>
        <w:tc>
          <w:tcPr>
            <w:tcW w:w="717"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Rozdiel medzi medziročnou zmenou pre členský štát a medziročnou zmenou pre EÚ</w:t>
            </w:r>
          </w:p>
        </w:tc>
        <w:tc>
          <w:tcPr>
            <w:tcW w:w="717"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Medziročná zmena</w:t>
            </w:r>
          </w:p>
        </w:tc>
        <w:tc>
          <w:tcPr>
            <w:tcW w:w="71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Vzdialenosť od priemeru EÚ</w:t>
            </w:r>
          </w:p>
        </w:tc>
        <w:tc>
          <w:tcPr>
            <w:tcW w:w="717"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Rozdiel medzi medziročnou zmenou pre členský štát a medziročnou zmenou pre EÚ</w:t>
            </w:r>
          </w:p>
        </w:tc>
        <w:tc>
          <w:tcPr>
            <w:tcW w:w="716"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Medziročná zmena</w:t>
            </w:r>
          </w:p>
        </w:tc>
        <w:tc>
          <w:tcPr>
            <w:tcW w:w="717"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Vzdialenosť od priemeru EÚ</w:t>
            </w:r>
          </w:p>
        </w:tc>
        <w:tc>
          <w:tcPr>
            <w:tcW w:w="717" w:type="dxa"/>
            <w:tcBorders>
              <w:top w:val="nil"/>
              <w:left w:val="nil"/>
              <w:bottom w:val="single" w:sz="4" w:space="0" w:color="auto"/>
              <w:right w:val="single" w:sz="4" w:space="0" w:color="auto"/>
            </w:tcBorders>
            <w:shd w:val="clear" w:color="000000" w:fill="EEECE1"/>
            <w:textDirection w:val="btLr"/>
            <w:vAlign w:val="center"/>
            <w:hideMark/>
          </w:tcPr>
          <w:p>
            <w:pPr>
              <w:spacing w:after="0" w:line="240" w:lineRule="auto"/>
              <w:ind w:left="113" w:right="113"/>
              <w:jc w:val="center"/>
              <w:rPr>
                <w:rFonts w:ascii="Times New Roman" w:eastAsia="Times New Roman" w:hAnsi="Times New Roman" w:cs="Times New Roman"/>
                <w:b/>
                <w:bCs/>
                <w:noProof/>
                <w:sz w:val="16"/>
                <w:szCs w:val="16"/>
              </w:rPr>
            </w:pPr>
            <w:r>
              <w:rPr>
                <w:rFonts w:ascii="Times New Roman" w:hAnsi="Times New Roman" w:cs="Times New Roman"/>
                <w:b/>
                <w:bCs/>
                <w:noProof/>
                <w:sz w:val="16"/>
                <w:szCs w:val="16"/>
              </w:rPr>
              <w:t>Rozdiel medzi medziročnou zmenou pre členský štát a medziročnou zmenou pre EÚ</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EÚ27</w:t>
            </w:r>
          </w:p>
        </w:tc>
        <w:tc>
          <w:tcPr>
            <w:tcW w:w="588"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w:t>
            </w:r>
          </w:p>
        </w:tc>
        <w:tc>
          <w:tcPr>
            <w:tcW w:w="71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0,5</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–0,5</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EZ19</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 nev.</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r>
      <w:tr>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 nev.</w:t>
            </w:r>
          </w:p>
        </w:tc>
        <w:tc>
          <w:tcPr>
            <w:tcW w:w="58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1,3</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0,5</w:t>
            </w:r>
          </w:p>
        </w:tc>
        <w:tc>
          <w:tcPr>
            <w:tcW w:w="71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4,3</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5,6</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BE</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6,6 b</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7,5</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 b</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 b</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BG</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–26,9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CZ</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4,9</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–29,4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DK</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13,0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2,8</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30,3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14,1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DE</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14,1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EE</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–6,1</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IE</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EL</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–11,4</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–8,5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5,5</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ES</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21,7</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FR</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7,9</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HR</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–9,6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–2,1</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IT</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 bu</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CY</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–2,7</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LV</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–10,8</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–7,4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1,7</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LT</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8,7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–2,7</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8,6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5,8</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–0,8</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–0,6</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LU</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HU</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–18,8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MT</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–8,0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6,2</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3,8</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NL</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4,1</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8,0</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5,6</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23,1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AT</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15,0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–13,0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PL</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–25,5</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PT</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17,2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SI</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0,6</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–1,8</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SK</w:t>
            </w:r>
          </w:p>
        </w:tc>
        <w:tc>
          <w:tcPr>
            <w:tcW w:w="588"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–4,6</w:t>
            </w:r>
          </w:p>
        </w:tc>
      </w:tr>
      <w:tr>
        <w:trPr>
          <w:trHeight w:val="227"/>
        </w:trPr>
        <w:tc>
          <w:tcPr>
            <w:tcW w:w="709" w:type="dxa"/>
            <w:tcBorders>
              <w:top w:val="nil"/>
              <w:left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FI</w:t>
            </w:r>
          </w:p>
        </w:tc>
        <w:tc>
          <w:tcPr>
            <w:tcW w:w="588" w:type="dxa"/>
            <w:tcBorders>
              <w:top w:val="nil"/>
              <w:left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7" w:type="dxa"/>
            <w:tcBorders>
              <w:top w:val="nil"/>
              <w:left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19,7</w:t>
            </w:r>
          </w:p>
        </w:tc>
        <w:tc>
          <w:tcPr>
            <w:tcW w:w="716" w:type="dxa"/>
            <w:tcBorders>
              <w:top w:val="nil"/>
              <w:left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7" w:type="dxa"/>
            <w:tcBorders>
              <w:top w:val="nil"/>
              <w:left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6" w:type="dxa"/>
            <w:tcBorders>
              <w:top w:val="nil"/>
              <w:left w:val="nil"/>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2,5</w:t>
            </w:r>
          </w:p>
        </w:tc>
        <w:tc>
          <w:tcPr>
            <w:tcW w:w="717" w:type="dxa"/>
            <w:tcBorders>
              <w:top w:val="nil"/>
              <w:left w:val="nil"/>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–2,7</w:t>
            </w:r>
          </w:p>
        </w:tc>
        <w:tc>
          <w:tcPr>
            <w:tcW w:w="717" w:type="dxa"/>
            <w:tcBorders>
              <w:top w:val="nil"/>
              <w:left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6" w:type="dxa"/>
            <w:tcBorders>
              <w:top w:val="nil"/>
              <w:left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2,1</w:t>
            </w:r>
          </w:p>
        </w:tc>
        <w:tc>
          <w:tcPr>
            <w:tcW w:w="717" w:type="dxa"/>
            <w:tcBorders>
              <w:top w:val="nil"/>
              <w:left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0,2</w:t>
            </w:r>
          </w:p>
        </w:tc>
        <w:tc>
          <w:tcPr>
            <w:tcW w:w="716" w:type="dxa"/>
            <w:tcBorders>
              <w:top w:val="nil"/>
              <w:left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0,0</w:t>
            </w:r>
          </w:p>
        </w:tc>
        <w:tc>
          <w:tcPr>
            <w:tcW w:w="717" w:type="dxa"/>
            <w:tcBorders>
              <w:top w:val="nil"/>
              <w:left w:val="nil"/>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20,1</w:t>
            </w:r>
          </w:p>
        </w:tc>
        <w:tc>
          <w:tcPr>
            <w:tcW w:w="717" w:type="dxa"/>
            <w:tcBorders>
              <w:top w:val="nil"/>
              <w:left w:val="nil"/>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0,4</w:t>
            </w:r>
          </w:p>
        </w:tc>
      </w:tr>
      <w:tr>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SE</w:t>
            </w:r>
          </w:p>
        </w:tc>
        <w:tc>
          <w:tcPr>
            <w:tcW w:w="58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–2,4</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6,6</w:t>
            </w:r>
          </w:p>
        </w:tc>
        <w:tc>
          <w:tcPr>
            <w:tcW w:w="71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–2,5</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–0,3</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17,4</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–2,7</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–1,2</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–5,0 u</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16,1</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–4,6</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Zdroj: Eurostat.</w:t>
      </w:r>
    </w:p>
    <w:p>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Poznámka: EÚ nev. a EZ nev. odkazujú na nevážené priemery za EÚ a eurozónu.</w:t>
      </w:r>
      <w:r>
        <w:rPr>
          <w:rFonts w:ascii="Times New Roman" w:hAnsi="Times New Roman" w:cs="Times New Roman"/>
          <w:noProof/>
          <w:color w:val="000000"/>
          <w:sz w:val="20"/>
          <w:szCs w:val="20"/>
        </w:rPr>
        <w:t xml:space="preserve"> Vzdialenosť od priemeru EÚ sa vypočítava z neváženého priemeru. Zmena individuálnej úrovne digitálnych zručností sa vypočítava na základe roka 2017 (údaje za rok 2018 nie sú k dispozícii).</w:t>
      </w:r>
      <w:r>
        <w:rPr>
          <w:rFonts w:ascii="Times New Roman" w:hAnsi="Times New Roman" w:cs="Times New Roman"/>
          <w:noProof/>
          <w:sz w:val="20"/>
          <w:szCs w:val="20"/>
        </w:rPr>
        <w:tab/>
      </w:r>
    </w:p>
    <w:p>
      <w:pPr>
        <w:spacing w:after="0" w:line="240" w:lineRule="auto"/>
        <w:rPr>
          <w:rFonts w:ascii="Times New Roman" w:hAnsi="Times New Roman" w:cs="Times New Roman"/>
          <w:b/>
          <w:noProof/>
          <w:sz w:val="24"/>
          <w:szCs w:val="24"/>
        </w:rPr>
      </w:pPr>
      <w:r>
        <w:rPr>
          <w:rFonts w:ascii="Times New Roman" w:hAnsi="Times New Roman" w:cs="Times New Roman"/>
          <w:noProof/>
          <w:sz w:val="20"/>
          <w:szCs w:val="20"/>
        </w:rPr>
        <w:t>Značky – b: zlom v časovom rade; e: odhadované; p: predbežné; u: nízka spoľahlivosť (malý počet zistení).</w:t>
      </w:r>
      <w:r>
        <w:rPr>
          <w:rFonts w:ascii="Times New Roman" w:hAnsi="Times New Roman" w:cs="Times New Roman"/>
          <w:noProof/>
        </w:rPr>
        <w:br w:type="page"/>
      </w:r>
    </w:p>
    <w:p>
      <w:pPr>
        <w:jc w:val="both"/>
        <w:rPr>
          <w:rFonts w:ascii="Times New Roman" w:hAnsi="Times New Roman" w:cs="Times New Roman"/>
          <w:b/>
          <w:noProof/>
          <w:sz w:val="24"/>
          <w:szCs w:val="24"/>
        </w:rPr>
      </w:pPr>
      <w:r>
        <w:rPr>
          <w:rFonts w:ascii="Times New Roman" w:hAnsi="Times New Roman" w:cs="Times New Roman"/>
          <w:b/>
          <w:noProof/>
          <w:sz w:val="24"/>
          <w:szCs w:val="24"/>
        </w:rPr>
        <w:t>Príloha 3. Hlavné ukazovatele sociálneho prehľadu týkajúce sa trhu práce: ročné úrovne a bodové grafy</w:t>
      </w:r>
    </w:p>
    <w:tbl>
      <w:tblPr>
        <w:tblW w:w="8854" w:type="dxa"/>
        <w:tblInd w:w="113" w:type="dxa"/>
        <w:tblLayout w:type="fixed"/>
        <w:tblLook w:val="04A0" w:firstRow="1" w:lastRow="0" w:firstColumn="1" w:lastColumn="0" w:noHBand="0" w:noVBand="1"/>
      </w:tblPr>
      <w:tblGrid>
        <w:gridCol w:w="704"/>
        <w:gridCol w:w="548"/>
        <w:gridCol w:w="557"/>
        <w:gridCol w:w="568"/>
        <w:gridCol w:w="560"/>
        <w:gridCol w:w="560"/>
        <w:gridCol w:w="561"/>
        <w:gridCol w:w="6"/>
        <w:gridCol w:w="502"/>
        <w:gridCol w:w="581"/>
        <w:gridCol w:w="508"/>
        <w:gridCol w:w="532"/>
        <w:gridCol w:w="532"/>
        <w:gridCol w:w="532"/>
        <w:gridCol w:w="532"/>
        <w:gridCol w:w="532"/>
        <w:gridCol w:w="532"/>
        <w:gridCol w:w="7"/>
      </w:tblGrid>
      <w:tr>
        <w:trPr>
          <w:trHeight w:val="436"/>
        </w:trPr>
        <w:tc>
          <w:tcPr>
            <w:tcW w:w="704" w:type="dxa"/>
            <w:vMerge w:val="restart"/>
            <w:tcBorders>
              <w:top w:val="single" w:sz="4" w:space="0" w:color="auto"/>
              <w:left w:val="single" w:sz="4" w:space="0" w:color="auto"/>
              <w:right w:val="single" w:sz="4" w:space="0" w:color="auto"/>
            </w:tcBorders>
            <w:shd w:val="clear" w:color="auto" w:fill="EEECE1" w:themeFill="background2"/>
            <w:vAlign w:val="center"/>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Rok</w:t>
            </w:r>
          </w:p>
        </w:tc>
        <w:tc>
          <w:tcPr>
            <w:tcW w:w="3360" w:type="dxa"/>
            <w:gridSpan w:val="7"/>
            <w:tcBorders>
              <w:top w:val="single" w:sz="4" w:space="0" w:color="auto"/>
              <w:left w:val="single" w:sz="4" w:space="0" w:color="auto"/>
              <w:bottom w:val="single" w:sz="4" w:space="0" w:color="auto"/>
              <w:right w:val="single" w:sz="4" w:space="0" w:color="000000"/>
            </w:tcBorders>
            <w:shd w:val="clear" w:color="000000" w:fill="EEECE1"/>
            <w:vAlign w:val="center"/>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Rovnosť príležitostí a prístup na trh práce</w:t>
            </w:r>
          </w:p>
        </w:tc>
        <w:tc>
          <w:tcPr>
            <w:tcW w:w="4790" w:type="dxa"/>
            <w:gridSpan w:val="10"/>
            <w:tcBorders>
              <w:top w:val="single" w:sz="4" w:space="0" w:color="auto"/>
              <w:left w:val="nil"/>
              <w:bottom w:val="single" w:sz="4" w:space="0" w:color="auto"/>
              <w:right w:val="single" w:sz="4" w:space="0" w:color="000000"/>
            </w:tcBorders>
            <w:shd w:val="clear" w:color="000000" w:fill="EEECE1"/>
            <w:vAlign w:val="center"/>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Dynamické trhy práce a spravodlivé pracovné podmienky</w:t>
            </w:r>
          </w:p>
        </w:tc>
      </w:tr>
      <w:tr>
        <w:trPr>
          <w:gridAfter w:val="1"/>
          <w:wAfter w:w="7" w:type="dxa"/>
          <w:trHeight w:val="1473"/>
        </w:trPr>
        <w:tc>
          <w:tcPr>
            <w:tcW w:w="704" w:type="dxa"/>
            <w:vMerge/>
            <w:tcBorders>
              <w:left w:val="single" w:sz="4" w:space="0" w:color="auto"/>
              <w:right w:val="single" w:sz="4" w:space="0" w:color="auto"/>
            </w:tcBorders>
            <w:shd w:val="clear" w:color="auto" w:fill="EEECE1" w:themeFill="background2"/>
            <w:vAlign w:val="center"/>
            <w:hideMark/>
          </w:tcPr>
          <w:p>
            <w:pPr>
              <w:spacing w:after="0" w:line="240" w:lineRule="auto"/>
              <w:jc w:val="center"/>
              <w:rPr>
                <w:rFonts w:ascii="Arial Narrow" w:eastAsia="Times New Roman" w:hAnsi="Arial Narrow" w:cs="Times New Roman"/>
                <w:b/>
                <w:bCs/>
                <w:noProof/>
                <w:color w:val="000000"/>
                <w:sz w:val="16"/>
                <w:szCs w:val="16"/>
                <w:lang w:eastAsia="en-GB"/>
              </w:rPr>
            </w:pPr>
          </w:p>
        </w:tc>
        <w:tc>
          <w:tcPr>
            <w:tcW w:w="1673"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highlight w:val="yellow"/>
              </w:rPr>
            </w:pPr>
            <w:r>
              <w:rPr>
                <w:rFonts w:ascii="Arial Narrow" w:hAnsi="Arial Narrow" w:cs="Times New Roman"/>
                <w:b/>
                <w:bCs/>
                <w:noProof/>
                <w:color w:val="000000"/>
                <w:sz w:val="16"/>
                <w:szCs w:val="16"/>
              </w:rPr>
              <w:t xml:space="preserve">Rozdiel v zamestnanosti žien a mužov </w:t>
            </w:r>
            <w:r>
              <w:rPr>
                <w:rFonts w:ascii="Arial Narrow" w:hAnsi="Arial Narrow" w:cs="Times New Roman"/>
                <w:b/>
                <w:bCs/>
                <w:noProof/>
                <w:color w:val="000000"/>
                <w:sz w:val="16"/>
                <w:szCs w:val="16"/>
              </w:rPr>
              <w:br/>
              <w:t>(v percent. bodoch)</w:t>
            </w:r>
          </w:p>
        </w:tc>
        <w:tc>
          <w:tcPr>
            <w:tcW w:w="168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highlight w:val="yellow"/>
              </w:rPr>
            </w:pPr>
            <w:r>
              <w:rPr>
                <w:rFonts w:ascii="Arial Narrow" w:hAnsi="Arial Narrow" w:cs="Times New Roman"/>
                <w:b/>
                <w:bCs/>
                <w:noProof/>
                <w:color w:val="000000"/>
                <w:sz w:val="16"/>
                <w:szCs w:val="16"/>
              </w:rPr>
              <w:t xml:space="preserve">Miera NEET v prípade mladých ľudí </w:t>
            </w:r>
            <w:r>
              <w:rPr>
                <w:rFonts w:ascii="Arial Narrow" w:hAnsi="Arial Narrow" w:cs="Times New Roman"/>
                <w:b/>
                <w:bCs/>
                <w:noProof/>
                <w:color w:val="000000"/>
                <w:sz w:val="16"/>
                <w:szCs w:val="16"/>
              </w:rPr>
              <w:br/>
              <w:t xml:space="preserve">(v % celkovej populácie </w:t>
            </w:r>
            <w:r>
              <w:rPr>
                <w:rFonts w:ascii="Arial Narrow" w:hAnsi="Arial Narrow" w:cs="Times New Roman"/>
                <w:b/>
                <w:bCs/>
                <w:noProof/>
                <w:color w:val="000000"/>
                <w:sz w:val="16"/>
                <w:szCs w:val="16"/>
              </w:rPr>
              <w:br/>
              <w:t>vo veku 15 – 24 rokov)</w:t>
            </w:r>
          </w:p>
        </w:tc>
        <w:tc>
          <w:tcPr>
            <w:tcW w:w="1597" w:type="dxa"/>
            <w:gridSpan w:val="4"/>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Miera zamestnanosti </w:t>
            </w:r>
            <w:r>
              <w:rPr>
                <w:rFonts w:ascii="Arial Narrow" w:hAnsi="Arial Narrow" w:cs="Times New Roman"/>
                <w:b/>
                <w:bCs/>
                <w:noProof/>
                <w:color w:val="000000"/>
                <w:sz w:val="16"/>
                <w:szCs w:val="16"/>
              </w:rPr>
              <w:br/>
              <w:t xml:space="preserve">(v % obyvateľstva </w:t>
            </w:r>
            <w:r>
              <w:rPr>
                <w:rFonts w:ascii="Arial Narrow" w:hAnsi="Arial Narrow" w:cs="Times New Roman"/>
                <w:b/>
                <w:bCs/>
                <w:noProof/>
                <w:color w:val="000000"/>
                <w:sz w:val="16"/>
                <w:szCs w:val="16"/>
              </w:rPr>
              <w:br/>
              <w:t xml:space="preserve">vo veku </w:t>
            </w:r>
            <w:r>
              <w:rPr>
                <w:rFonts w:ascii="Arial Narrow" w:hAnsi="Arial Narrow" w:cs="Times New Roman"/>
                <w:b/>
                <w:bCs/>
                <w:noProof/>
                <w:color w:val="000000"/>
                <w:sz w:val="16"/>
                <w:szCs w:val="16"/>
              </w:rPr>
              <w:br/>
              <w:t>20 – 64 rokov)</w:t>
            </w:r>
          </w:p>
        </w:tc>
        <w:tc>
          <w:tcPr>
            <w:tcW w:w="1596"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Miera nezamestnanosti </w:t>
            </w:r>
            <w:r>
              <w:rPr>
                <w:rFonts w:ascii="Arial Narrow" w:hAnsi="Arial Narrow" w:cs="Times New Roman"/>
                <w:b/>
                <w:bCs/>
                <w:noProof/>
                <w:color w:val="000000"/>
                <w:sz w:val="16"/>
                <w:szCs w:val="16"/>
              </w:rPr>
              <w:br/>
              <w:t xml:space="preserve">(v % ekonomicky aktívneho obyvateľstva vo veku 15 – 74 rokov) </w:t>
            </w:r>
          </w:p>
        </w:tc>
        <w:tc>
          <w:tcPr>
            <w:tcW w:w="1596"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 xml:space="preserve">Miera dlhodobej nezamestnanosti </w:t>
            </w:r>
          </w:p>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(v % ekonomicky aktívneho obyvateľstva vo veku 15 – 74 rokov)</w:t>
            </w:r>
          </w:p>
        </w:tc>
      </w:tr>
      <w:tr>
        <w:trPr>
          <w:gridAfter w:val="1"/>
          <w:wAfter w:w="7" w:type="dxa"/>
          <w:trHeight w:val="675"/>
        </w:trPr>
        <w:tc>
          <w:tcPr>
            <w:tcW w:w="704" w:type="dxa"/>
            <w:vMerge/>
            <w:tcBorders>
              <w:left w:val="single" w:sz="4" w:space="0" w:color="auto"/>
              <w:bottom w:val="single" w:sz="4" w:space="0" w:color="auto"/>
              <w:right w:val="single" w:sz="4" w:space="0" w:color="auto"/>
            </w:tcBorders>
            <w:shd w:val="clear" w:color="auto" w:fill="EEECE1" w:themeFill="background2"/>
            <w:vAlign w:val="center"/>
            <w:hideMark/>
          </w:tcPr>
          <w:p>
            <w:pPr>
              <w:spacing w:after="0" w:line="240" w:lineRule="auto"/>
              <w:jc w:val="center"/>
              <w:rPr>
                <w:rFonts w:ascii="Arial Narrow" w:eastAsia="Times New Roman" w:hAnsi="Arial Narrow" w:cs="Times New Roman"/>
                <w:b/>
                <w:bCs/>
                <w:noProof/>
                <w:color w:val="000000"/>
                <w:sz w:val="16"/>
                <w:szCs w:val="16"/>
                <w:lang w:eastAsia="en-GB"/>
              </w:rPr>
            </w:pPr>
          </w:p>
        </w:tc>
        <w:tc>
          <w:tcPr>
            <w:tcW w:w="548"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55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68"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560"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560"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61"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508" w:type="dxa"/>
            <w:gridSpan w:val="2"/>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581"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08"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532"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2017</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2018</w:t>
            </w:r>
          </w:p>
        </w:tc>
        <w:tc>
          <w:tcPr>
            <w:tcW w:w="532"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2019</w:t>
            </w:r>
          </w:p>
        </w:tc>
      </w:tr>
      <w:tr>
        <w:trPr>
          <w:gridAfter w:val="1"/>
          <w:wAfter w:w="7" w:type="dxa"/>
          <w:trHeight w:val="227"/>
        </w:trPr>
        <w:tc>
          <w:tcPr>
            <w:tcW w:w="704" w:type="dxa"/>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EÚ27</w:t>
            </w:r>
          </w:p>
        </w:tc>
        <w:tc>
          <w:tcPr>
            <w:tcW w:w="548"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11,7</w:t>
            </w:r>
          </w:p>
        </w:tc>
        <w:tc>
          <w:tcPr>
            <w:tcW w:w="55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568"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11,7</w:t>
            </w:r>
          </w:p>
        </w:tc>
        <w:tc>
          <w:tcPr>
            <w:tcW w:w="560"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c>
          <w:tcPr>
            <w:tcW w:w="560"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561"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w:t>
            </w:r>
          </w:p>
        </w:tc>
        <w:tc>
          <w:tcPr>
            <w:tcW w:w="508" w:type="dxa"/>
            <w:gridSpan w:val="2"/>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71,3</w:t>
            </w:r>
          </w:p>
        </w:tc>
        <w:tc>
          <w:tcPr>
            <w:tcW w:w="581"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72,4</w:t>
            </w:r>
          </w:p>
        </w:tc>
        <w:tc>
          <w:tcPr>
            <w:tcW w:w="508"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73,1</w:t>
            </w:r>
          </w:p>
        </w:tc>
        <w:tc>
          <w:tcPr>
            <w:tcW w:w="532" w:type="dxa"/>
            <w:tcBorders>
              <w:top w:val="single" w:sz="4" w:space="0" w:color="auto"/>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532"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532"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EZ19</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11,2</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EÚ nev.</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73,7</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r>
      <w:tr>
        <w:trPr>
          <w:gridAfter w:val="1"/>
          <w:wAfter w:w="7" w:type="dxa"/>
          <w:trHeight w:val="227"/>
        </w:trPr>
        <w:tc>
          <w:tcPr>
            <w:tcW w:w="704"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EZ nev.</w:t>
            </w:r>
          </w:p>
        </w:tc>
        <w:tc>
          <w:tcPr>
            <w:tcW w:w="54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w:t>
            </w:r>
          </w:p>
        </w:tc>
        <w:tc>
          <w:tcPr>
            <w:tcW w:w="5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568"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10,0</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561"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w:t>
            </w:r>
          </w:p>
        </w:tc>
        <w:tc>
          <w:tcPr>
            <w:tcW w:w="508" w:type="dxa"/>
            <w:gridSpan w:val="2"/>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72,0</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73,4</w:t>
            </w:r>
          </w:p>
        </w:tc>
        <w:tc>
          <w:tcPr>
            <w:tcW w:w="50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74,3</w:t>
            </w:r>
          </w:p>
        </w:tc>
        <w:tc>
          <w:tcPr>
            <w:tcW w:w="532" w:type="dxa"/>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8,5</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4,1</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69,7</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70,5</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BG</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15,0</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CZ</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DK</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DE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78,7</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74,1</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19,7</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12,5</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57,8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61,2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12,2</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ES</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12,4</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FR</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71,3</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HR</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11,8</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8,5</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IT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63,5</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CY</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LV</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76,8</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77,8</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LU</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5,3</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72,1</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HU</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10,7</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MT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24,1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21,9</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20,7</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NL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78,0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79,2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AT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14,6</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8,7 b</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0,7</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PT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8,4</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RO</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15,2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14,5</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14,7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70,9</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1,7</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SI</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75,4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SK</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13,7</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13,0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10,3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71,1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72,4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73,4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6,5</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3,4</w:t>
            </w:r>
          </w:p>
        </w:tc>
      </w:tr>
      <w:tr>
        <w:trPr>
          <w:gridAfter w:val="1"/>
          <w:wAfter w:w="7" w:type="dxa"/>
          <w:trHeight w:val="227"/>
        </w:trPr>
        <w:tc>
          <w:tcPr>
            <w:tcW w:w="704"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FI</w:t>
            </w:r>
          </w:p>
        </w:tc>
        <w:tc>
          <w:tcPr>
            <w:tcW w:w="548"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3,5</w:t>
            </w:r>
          </w:p>
        </w:tc>
        <w:tc>
          <w:tcPr>
            <w:tcW w:w="55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3,7</w:t>
            </w:r>
          </w:p>
        </w:tc>
        <w:tc>
          <w:tcPr>
            <w:tcW w:w="568"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2,7</w:t>
            </w:r>
          </w:p>
        </w:tc>
        <w:tc>
          <w:tcPr>
            <w:tcW w:w="560"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9,4</w:t>
            </w:r>
          </w:p>
        </w:tc>
        <w:tc>
          <w:tcPr>
            <w:tcW w:w="560"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8,5</w:t>
            </w:r>
          </w:p>
        </w:tc>
        <w:tc>
          <w:tcPr>
            <w:tcW w:w="561"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w:t>
            </w:r>
          </w:p>
        </w:tc>
        <w:tc>
          <w:tcPr>
            <w:tcW w:w="508" w:type="dxa"/>
            <w:gridSpan w:val="2"/>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74,2</w:t>
            </w:r>
          </w:p>
        </w:tc>
        <w:tc>
          <w:tcPr>
            <w:tcW w:w="581"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76,3</w:t>
            </w:r>
          </w:p>
        </w:tc>
        <w:tc>
          <w:tcPr>
            <w:tcW w:w="508"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77,2</w:t>
            </w:r>
          </w:p>
        </w:tc>
        <w:tc>
          <w:tcPr>
            <w:tcW w:w="532" w:type="dxa"/>
            <w:tcBorders>
              <w:top w:val="nil"/>
              <w:left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8,6</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7,4</w:t>
            </w:r>
          </w:p>
        </w:tc>
        <w:tc>
          <w:tcPr>
            <w:tcW w:w="532"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2,1</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1,6</w:t>
            </w:r>
          </w:p>
        </w:tc>
        <w:tc>
          <w:tcPr>
            <w:tcW w:w="532"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r>
      <w:tr>
        <w:trPr>
          <w:gridAfter w:val="1"/>
          <w:wAfter w:w="7" w:type="dxa"/>
          <w:trHeight w:val="227"/>
        </w:trPr>
        <w:tc>
          <w:tcPr>
            <w:tcW w:w="704"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Times New Roman"/>
                <w:b/>
                <w:bCs/>
                <w:noProof/>
                <w:color w:val="000000"/>
                <w:sz w:val="16"/>
                <w:szCs w:val="16"/>
              </w:rPr>
            </w:pPr>
            <w:r>
              <w:rPr>
                <w:rFonts w:ascii="Arial Narrow" w:hAnsi="Arial Narrow" w:cs="Times New Roman"/>
                <w:b/>
                <w:bCs/>
                <w:noProof/>
                <w:color w:val="000000"/>
                <w:sz w:val="16"/>
                <w:szCs w:val="16"/>
              </w:rPr>
              <w:t>SE</w:t>
            </w:r>
          </w:p>
        </w:tc>
        <w:tc>
          <w:tcPr>
            <w:tcW w:w="54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4,0</w:t>
            </w:r>
          </w:p>
        </w:tc>
        <w:tc>
          <w:tcPr>
            <w:tcW w:w="5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4,2</w:t>
            </w:r>
          </w:p>
        </w:tc>
        <w:tc>
          <w:tcPr>
            <w:tcW w:w="568"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4,7</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6,2</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6,0 b</w:t>
            </w:r>
          </w:p>
        </w:tc>
        <w:tc>
          <w:tcPr>
            <w:tcW w:w="561"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5,5</w:t>
            </w:r>
          </w:p>
        </w:tc>
        <w:tc>
          <w:tcPr>
            <w:tcW w:w="508" w:type="dxa"/>
            <w:gridSpan w:val="2"/>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81,8</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82,4 b</w:t>
            </w:r>
          </w:p>
        </w:tc>
        <w:tc>
          <w:tcPr>
            <w:tcW w:w="50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82,1</w:t>
            </w:r>
          </w:p>
        </w:tc>
        <w:tc>
          <w:tcPr>
            <w:tcW w:w="532" w:type="dxa"/>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6,7</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6,4 b</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6,8</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1,2</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1,1 b</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Times New Roman"/>
                <w:noProof/>
                <w:color w:val="000000"/>
                <w:sz w:val="16"/>
                <w:szCs w:val="16"/>
              </w:rPr>
            </w:pPr>
            <w:r>
              <w:rPr>
                <w:rFonts w:ascii="Arial Narrow" w:hAnsi="Arial Narrow" w:cs="Times New Roman"/>
                <w:noProof/>
                <w:color w:val="000000"/>
                <w:sz w:val="16"/>
                <w:szCs w:val="16"/>
              </w:rPr>
              <w:t>0,9</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Zdroj: Eurostat.</w:t>
      </w: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Poznámka: EÚ nev. a EZ nev. odkazujú na nevážené priemery za EÚ a eurozónu.</w:t>
      </w:r>
    </w:p>
    <w:p>
      <w:pPr>
        <w:jc w:val="both"/>
        <w:rPr>
          <w:rFonts w:ascii="Times New Roman" w:hAnsi="Times New Roman" w:cs="Times New Roman"/>
          <w:noProof/>
          <w:sz w:val="20"/>
          <w:szCs w:val="20"/>
        </w:rPr>
      </w:pPr>
      <w:r>
        <w:rPr>
          <w:rFonts w:ascii="Times New Roman" w:hAnsi="Times New Roman" w:cs="Times New Roman"/>
          <w:noProof/>
          <w:sz w:val="20"/>
          <w:szCs w:val="20"/>
        </w:rPr>
        <w:t>Značky – b: zlom v časovom rade; e: odhadované; p: predbežné; u: nízka spoľahlivosť (malý počet zistení).</w:t>
      </w:r>
    </w:p>
    <w:p>
      <w:pPr>
        <w:rPr>
          <w:rFonts w:ascii="Times New Roman" w:hAnsi="Times New Roman" w:cs="Times New Roman"/>
          <w:noProof/>
          <w:sz w:val="20"/>
          <w:szCs w:val="20"/>
        </w:rPr>
      </w:pPr>
      <w:r>
        <w:rPr>
          <w:rFonts w:ascii="Times New Roman" w:hAnsi="Times New Roman" w:cs="Times New Roman"/>
          <w:noProof/>
        </w:rPr>
        <w:br w:type="page"/>
      </w:r>
    </w:p>
    <w:p>
      <w:pPr>
        <w:keepNext/>
        <w:spacing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Graf 1: Rozdiel v zamestnanosti žien a mužov a ročná zmena</w:t>
      </w:r>
    </w:p>
    <w:p>
      <w:pPr>
        <w:keepNext/>
        <w:spacing w:after="6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lang w:val="en-GB" w:eastAsia="en-GB"/>
        </w:rPr>
        <w:drawing>
          <wp:inline distT="0" distB="0" distL="0" distR="0">
            <wp:extent cx="4602480" cy="343016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2705" cy="3445235"/>
                    </a:xfrm>
                    <a:prstGeom prst="rect">
                      <a:avLst/>
                    </a:prstGeom>
                    <a:noFill/>
                  </pic:spPr>
                </pic:pic>
              </a:graphicData>
            </a:graphic>
          </wp:inline>
        </w:drawing>
      </w:r>
    </w:p>
    <w:p>
      <w:pPr>
        <w:keepNext/>
        <w:spacing w:after="60" w:line="240" w:lineRule="auto"/>
        <w:rPr>
          <w:rFonts w:ascii="Times New Roman" w:eastAsia="Calibri" w:hAnsi="Times New Roman" w:cs="Times New Roman"/>
          <w:noProof/>
          <w:sz w:val="20"/>
          <w:szCs w:val="20"/>
        </w:rPr>
      </w:pPr>
    </w:p>
    <w:p>
      <w:pPr>
        <w:spacing w:line="240" w:lineRule="auto"/>
        <w:jc w:val="both"/>
        <w:rPr>
          <w:rFonts w:ascii="Times New Roman" w:eastAsia="Calibri" w:hAnsi="Times New Roman" w:cs="Times New Roman"/>
          <w:noProof/>
          <w:sz w:val="20"/>
          <w:szCs w:val="20"/>
        </w:rPr>
      </w:pPr>
      <w:r>
        <w:rPr>
          <w:rFonts w:ascii="Times New Roman" w:hAnsi="Times New Roman" w:cs="Times New Roman"/>
          <w:noProof/>
          <w:sz w:val="20"/>
          <w:szCs w:val="20"/>
        </w:rPr>
        <w:t>Zdroj: Eurostat. Obdobie: úrovne v roku 2019 a ročné zmeny v porovnaní s rokom 2018. Poznámka: Osi sú orientované podľa neváženého priemeru v EÚ. Legenda sa uvádza v prílohe 5.</w:t>
      </w:r>
    </w:p>
    <w:p>
      <w:pPr>
        <w:jc w:val="both"/>
        <w:rPr>
          <w:rFonts w:ascii="Times New Roman" w:hAnsi="Times New Roman" w:cs="Times New Roman"/>
          <w:noProof/>
          <w:sz w:val="20"/>
          <w:szCs w:val="20"/>
        </w:rPr>
      </w:pPr>
    </w:p>
    <w:p>
      <w:pPr>
        <w:keepNext/>
        <w:spacing w:after="120" w:line="240" w:lineRule="auto"/>
        <w:jc w:val="both"/>
        <w:rPr>
          <w:rFonts w:ascii="Times New Roman" w:hAnsi="Times New Roman" w:cs="Times New Roman"/>
          <w:b/>
          <w:noProof/>
          <w:sz w:val="24"/>
          <w:szCs w:val="20"/>
        </w:rPr>
      </w:pPr>
      <w:r>
        <w:rPr>
          <w:rFonts w:ascii="Times New Roman" w:hAnsi="Times New Roman" w:cs="Times New Roman"/>
          <w:b/>
          <w:noProof/>
          <w:sz w:val="24"/>
          <w:szCs w:val="20"/>
        </w:rPr>
        <w:t>Graf 2: Miera NEET (veková skupina 15 – 24 rokov) a ročná zmena</w:t>
      </w:r>
    </w:p>
    <w:p>
      <w:pPr>
        <w:keepNext/>
        <w:tabs>
          <w:tab w:val="left" w:pos="7371"/>
        </w:tabs>
        <w:spacing w:after="120" w:line="240" w:lineRule="auto"/>
        <w:jc w:val="both"/>
        <w:rPr>
          <w:rFonts w:ascii="Times New Roman" w:eastAsia="Calibri" w:hAnsi="Times New Roman" w:cs="Times New Roman"/>
          <w:noProof/>
          <w:sz w:val="20"/>
          <w:szCs w:val="20"/>
        </w:rPr>
      </w:pPr>
      <w:r>
        <w:rPr>
          <w:rFonts w:ascii="Times New Roman" w:eastAsia="Calibri" w:hAnsi="Times New Roman" w:cs="Times New Roman"/>
          <w:b/>
          <w:noProof/>
          <w:sz w:val="24"/>
          <w:szCs w:val="20"/>
          <w:lang w:val="en-GB" w:eastAsia="en-GB"/>
        </w:rPr>
        <w:drawing>
          <wp:inline distT="0" distB="0" distL="0" distR="0">
            <wp:extent cx="4677610" cy="3483479"/>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7561" cy="3498337"/>
                    </a:xfrm>
                    <a:prstGeom prst="rect">
                      <a:avLst/>
                    </a:prstGeom>
                    <a:noFill/>
                  </pic:spPr>
                </pic:pic>
              </a:graphicData>
            </a:graphic>
          </wp:inline>
        </w:drawing>
      </w:r>
    </w:p>
    <w:p>
      <w:pPr>
        <w:spacing w:line="240" w:lineRule="auto"/>
        <w:jc w:val="both"/>
        <w:rPr>
          <w:rFonts w:ascii="Times New Roman" w:eastAsia="Calibri" w:hAnsi="Times New Roman" w:cs="Times New Roman"/>
          <w:noProof/>
          <w:sz w:val="20"/>
          <w:szCs w:val="20"/>
        </w:rPr>
      </w:pPr>
      <w:r>
        <w:rPr>
          <w:rFonts w:ascii="Times New Roman" w:hAnsi="Times New Roman" w:cs="Times New Roman"/>
          <w:noProof/>
          <w:sz w:val="20"/>
          <w:szCs w:val="20"/>
        </w:rPr>
        <w:t>Zdroj: Eurostat. Obdobie: úrovne v roku 2019 a ročné zmeny v porovnaní s rokom 2018. Poznámka: Osi sú orientované podľa neváženého priemeru v EÚ. Legenda sa uvádza v prílohe 5.</w:t>
      </w:r>
    </w:p>
    <w:p>
      <w:pPr>
        <w:pStyle w:val="caption4"/>
        <w:keepNext/>
        <w:spacing w:line="240" w:lineRule="auto"/>
        <w:rPr>
          <w:rFonts w:ascii="Times New Roman" w:hAnsi="Times New Roman"/>
          <w:bCs w:val="0"/>
          <w:noProof/>
          <w:sz w:val="24"/>
          <w:szCs w:val="20"/>
        </w:rPr>
      </w:pPr>
      <w:r>
        <w:rPr>
          <w:rFonts w:ascii="Times New Roman" w:hAnsi="Times New Roman"/>
          <w:bCs w:val="0"/>
          <w:noProof/>
          <w:sz w:val="24"/>
          <w:szCs w:val="20"/>
        </w:rPr>
        <w:t>Graf 3: Miera zamestnanosti (veková skupina 20 – 64 rokov) a ročná zmena</w:t>
      </w:r>
    </w:p>
    <w:p>
      <w:pPr>
        <w:pStyle w:val="caption4"/>
        <w:keepNext/>
        <w:tabs>
          <w:tab w:val="left" w:pos="7371"/>
        </w:tabs>
        <w:spacing w:line="240" w:lineRule="auto"/>
        <w:rPr>
          <w:rFonts w:ascii="Times New Roman" w:hAnsi="Times New Roman"/>
          <w:bCs w:val="0"/>
          <w:noProof/>
          <w:sz w:val="24"/>
          <w:szCs w:val="20"/>
        </w:rPr>
      </w:pPr>
      <w:r>
        <w:rPr>
          <w:rFonts w:ascii="Times New Roman" w:hAnsi="Times New Roman"/>
          <w:bCs w:val="0"/>
          <w:noProof/>
          <w:sz w:val="24"/>
          <w:szCs w:val="20"/>
        </w:rPr>
        <w:t xml:space="preserve"> </w:t>
      </w:r>
      <w:r>
        <w:rPr>
          <w:rFonts w:ascii="Times New Roman" w:hAnsi="Times New Roman"/>
          <w:bCs w:val="0"/>
          <w:noProof/>
          <w:sz w:val="24"/>
          <w:szCs w:val="20"/>
          <w:lang w:val="en-GB"/>
        </w:rPr>
        <w:drawing>
          <wp:inline distT="0" distB="0" distL="0" distR="0">
            <wp:extent cx="4667671" cy="35844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7762" cy="3592203"/>
                    </a:xfrm>
                    <a:prstGeom prst="rect">
                      <a:avLst/>
                    </a:prstGeom>
                    <a:noFill/>
                  </pic:spPr>
                </pic:pic>
              </a:graphicData>
            </a:graphic>
          </wp:inline>
        </w:drawing>
      </w:r>
    </w:p>
    <w:p>
      <w:pPr>
        <w:spacing w:line="240" w:lineRule="auto"/>
        <w:jc w:val="both"/>
        <w:rPr>
          <w:rFonts w:ascii="Times New Roman" w:eastAsia="Calibri" w:hAnsi="Times New Roman" w:cs="Times New Roman"/>
          <w:noProof/>
          <w:sz w:val="20"/>
          <w:szCs w:val="20"/>
        </w:rPr>
      </w:pPr>
      <w:r>
        <w:rPr>
          <w:rFonts w:ascii="Times New Roman" w:hAnsi="Times New Roman" w:cs="Times New Roman"/>
          <w:noProof/>
          <w:sz w:val="20"/>
          <w:szCs w:val="20"/>
        </w:rPr>
        <w:t>Zdroj: Eurostat. Obdobie: úrovne v roku 2019 a ročné zmeny v porovnaní s rokom 2018. Poznámka: Osi sú orientované podľa neváženého priemeru v EÚ. Legenda sa uvádza v prílohe 5.</w:t>
      </w:r>
    </w:p>
    <w:p>
      <w:pPr>
        <w:pStyle w:val="caption4"/>
        <w:keepNext/>
        <w:spacing w:after="0" w:line="240" w:lineRule="auto"/>
        <w:rPr>
          <w:rFonts w:ascii="Times New Roman" w:hAnsi="Times New Roman"/>
          <w:bCs w:val="0"/>
          <w:noProof/>
          <w:sz w:val="24"/>
          <w:szCs w:val="20"/>
        </w:rPr>
      </w:pPr>
      <w:r>
        <w:rPr>
          <w:rFonts w:ascii="Times New Roman" w:hAnsi="Times New Roman"/>
          <w:bCs w:val="0"/>
          <w:noProof/>
          <w:sz w:val="24"/>
          <w:szCs w:val="20"/>
        </w:rPr>
        <w:t>Graf 4: Miera nezamestnanosti (veková skupina 15 – 74 rokov) a ročná zmena</w:t>
      </w:r>
    </w:p>
    <w:p>
      <w:pPr>
        <w:rPr>
          <w:noProof/>
          <w:lang w:eastAsia="en-GB"/>
        </w:rPr>
      </w:pPr>
      <w:r>
        <w:rPr>
          <w:noProof/>
          <w:lang w:val="en-GB" w:eastAsia="en-GB"/>
        </w:rPr>
        <w:drawing>
          <wp:inline distT="0" distB="0" distL="0" distR="0">
            <wp:extent cx="4689184" cy="361811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9584" cy="3633857"/>
                    </a:xfrm>
                    <a:prstGeom prst="rect">
                      <a:avLst/>
                    </a:prstGeom>
                    <a:noFill/>
                  </pic:spPr>
                </pic:pic>
              </a:graphicData>
            </a:graphic>
          </wp:inline>
        </w:drawing>
      </w:r>
    </w:p>
    <w:p>
      <w:pPr>
        <w:spacing w:line="240" w:lineRule="auto"/>
        <w:jc w:val="both"/>
        <w:rPr>
          <w:rFonts w:ascii="Times New Roman" w:eastAsia="Calibri" w:hAnsi="Times New Roman" w:cs="Times New Roman"/>
          <w:noProof/>
          <w:sz w:val="20"/>
          <w:szCs w:val="20"/>
        </w:rPr>
      </w:pPr>
      <w:r>
        <w:rPr>
          <w:rFonts w:ascii="Times New Roman" w:hAnsi="Times New Roman" w:cs="Times New Roman"/>
          <w:noProof/>
          <w:sz w:val="20"/>
          <w:szCs w:val="20"/>
        </w:rPr>
        <w:t>Zdroj: Eurostat. Obdobie: úrovne v roku 2019 a ročné zmeny v porovnaní s rokom 2018. Poznámka: Osi sú orientované podľa neváženého priemeru v EÚ. Legenda sa uvádza v prílohe 5.</w:t>
      </w:r>
    </w:p>
    <w:p>
      <w:pPr>
        <w:keepNext/>
        <w:spacing w:after="0"/>
        <w:contextualSpacing/>
        <w:rPr>
          <w:rFonts w:ascii="Times New Roman" w:hAnsi="Times New Roman" w:cs="Times New Roman"/>
          <w:b/>
          <w:noProof/>
          <w:sz w:val="24"/>
          <w:szCs w:val="20"/>
        </w:rPr>
      </w:pPr>
      <w:r>
        <w:rPr>
          <w:rFonts w:ascii="Times New Roman" w:hAnsi="Times New Roman" w:cs="Times New Roman"/>
          <w:noProof/>
        </w:rPr>
        <w:br w:type="page"/>
      </w:r>
      <w:r>
        <w:rPr>
          <w:rFonts w:ascii="Times New Roman" w:hAnsi="Times New Roman" w:cs="Times New Roman"/>
          <w:b/>
          <w:noProof/>
          <w:sz w:val="24"/>
          <w:szCs w:val="24"/>
        </w:rPr>
        <w:t xml:space="preserve">Graf 5: </w:t>
      </w:r>
      <w:r>
        <w:rPr>
          <w:rFonts w:ascii="Times New Roman" w:hAnsi="Times New Roman" w:cs="Times New Roman"/>
          <w:b/>
          <w:noProof/>
          <w:sz w:val="24"/>
          <w:szCs w:val="20"/>
        </w:rPr>
        <w:t>Miera dlhodobej nezamestnanosti (hlavný ukazovateľ sociálneho prehľadu)</w:t>
      </w:r>
    </w:p>
    <w:p>
      <w:pPr>
        <w:keepNext/>
        <w:spacing w:after="0"/>
        <w:contextualSpacing/>
        <w:rPr>
          <w:rFonts w:ascii="Times New Roman" w:hAnsi="Times New Roman" w:cs="Times New Roman"/>
          <w:b/>
          <w:noProof/>
          <w:sz w:val="24"/>
          <w:szCs w:val="20"/>
        </w:rPr>
      </w:pPr>
    </w:p>
    <w:p>
      <w:pPr>
        <w:keepNext/>
        <w:spacing w:after="0"/>
        <w:contextualSpacing/>
        <w:rPr>
          <w:rFonts w:ascii="Times New Roman" w:hAnsi="Times New Roman" w:cs="Times New Roman"/>
          <w:b/>
          <w:noProof/>
          <w:sz w:val="24"/>
          <w:szCs w:val="20"/>
        </w:rPr>
      </w:pPr>
      <w:r>
        <w:rPr>
          <w:rFonts w:ascii="Times New Roman" w:hAnsi="Times New Roman" w:cs="Times New Roman"/>
          <w:b/>
          <w:noProof/>
          <w:sz w:val="24"/>
          <w:szCs w:val="20"/>
          <w:lang w:val="en-GB" w:eastAsia="en-GB"/>
        </w:rPr>
        <w:drawing>
          <wp:inline distT="0" distB="0" distL="0" distR="0">
            <wp:extent cx="4529033" cy="3480718"/>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3700" cy="3491990"/>
                    </a:xfrm>
                    <a:prstGeom prst="rect">
                      <a:avLst/>
                    </a:prstGeom>
                    <a:noFill/>
                  </pic:spPr>
                </pic:pic>
              </a:graphicData>
            </a:graphic>
          </wp:inline>
        </w:drawing>
      </w:r>
    </w:p>
    <w:p>
      <w:pPr>
        <w:keepNext/>
        <w:spacing w:after="0" w:line="360" w:lineRule="auto"/>
        <w:rPr>
          <w:rFonts w:ascii="Times New Roman" w:hAnsi="Times New Roman" w:cs="Times New Roman"/>
          <w:b/>
          <w:noProof/>
          <w:sz w:val="24"/>
        </w:rPr>
      </w:pPr>
    </w:p>
    <w:p>
      <w:pPr>
        <w:spacing w:line="240" w:lineRule="auto"/>
        <w:jc w:val="both"/>
        <w:rPr>
          <w:rFonts w:ascii="Times New Roman" w:eastAsia="Calibri" w:hAnsi="Times New Roman" w:cs="Times New Roman"/>
          <w:noProof/>
          <w:sz w:val="20"/>
          <w:szCs w:val="20"/>
        </w:rPr>
      </w:pPr>
      <w:r>
        <w:rPr>
          <w:rFonts w:ascii="Times New Roman" w:hAnsi="Times New Roman" w:cs="Times New Roman"/>
          <w:noProof/>
          <w:sz w:val="20"/>
          <w:szCs w:val="20"/>
        </w:rPr>
        <w:t>Zdroj: Eurostat. Obdobie: úrovne v roku 2019 a ročné zmeny v porovnaní s rokom 2018. Poznámka: Osi sú orientované podľa neváženého priemeru v EÚ. Legenda sa uvádza v prílohe 5.</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noProof/>
        </w:rPr>
        <w:br w:type="page"/>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Príloha 4. Vybraté hlavné ukazovatele sociálneho prehľadu v regionálnom členení</w:t>
      </w:r>
      <w:r>
        <w:rPr>
          <w:rStyle w:val="FootnoteReference"/>
          <w:rFonts w:ascii="Times New Roman" w:hAnsi="Times New Roman" w:cs="Times New Roman"/>
          <w:b/>
          <w:noProof/>
          <w:sz w:val="24"/>
          <w:szCs w:val="24"/>
        </w:rPr>
        <w:footnoteReference w:id="1"/>
      </w:r>
    </w:p>
    <w:p>
      <w:pPr>
        <w:spacing w:after="0" w:line="240" w:lineRule="auto"/>
        <w:rPr>
          <w:rFonts w:ascii="Times New Roman" w:hAnsi="Times New Roman" w:cs="Times New Roman"/>
          <w:b/>
          <w:bCs/>
          <w:noProof/>
          <w:sz w:val="24"/>
          <w:szCs w:val="24"/>
        </w:rPr>
      </w:pP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1: Miera nezamestnanosti, 2019</w:t>
      </w:r>
    </w:p>
    <w:p>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(v %, podiel osôb vo veku 20 – 64 rokov, podľa regiónov NUTS 2)</w:t>
      </w:r>
    </w:p>
    <w:p>
      <w:pPr>
        <w:spacing w:line="240" w:lineRule="auto"/>
        <w:rPr>
          <w:rFonts w:ascii="Times New Roman" w:hAnsi="Times New Roman" w:cs="Times New Roman"/>
          <w:bCs/>
          <w:noProof/>
          <w:sz w:val="24"/>
          <w:szCs w:val="24"/>
        </w:rPr>
      </w:pPr>
      <w:r>
        <w:rPr>
          <w:rFonts w:ascii="Times New Roman" w:hAnsi="Times New Roman" w:cs="Times New Roman"/>
          <w:noProof/>
          <w:lang w:val="en-GB" w:eastAsia="en-GB"/>
        </w:rPr>
        <w:drawing>
          <wp:inline distT="0" distB="0" distL="0" distR="0">
            <wp:extent cx="4908983" cy="612159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1467" cy="6124692"/>
                    </a:xfrm>
                    <a:prstGeom prst="rect">
                      <a:avLst/>
                    </a:prstGeom>
                  </pic:spPr>
                </pic:pic>
              </a:graphicData>
            </a:graphic>
          </wp:inline>
        </w:drawing>
      </w:r>
    </w:p>
    <w:p>
      <w:pPr>
        <w:spacing w:line="240" w:lineRule="auto"/>
        <w:rPr>
          <w:rFonts w:ascii="Times New Roman" w:hAnsi="Times New Roman" w:cs="Times New Roman"/>
          <w:bCs/>
          <w:noProof/>
          <w:sz w:val="20"/>
          <w:szCs w:val="20"/>
        </w:rPr>
      </w:pPr>
      <w:r>
        <w:rPr>
          <w:rFonts w:ascii="Times New Roman" w:hAnsi="Times New Roman" w:cs="Times New Roman"/>
          <w:bCs/>
          <w:noProof/>
          <w:sz w:val="20"/>
          <w:szCs w:val="20"/>
        </w:rPr>
        <w:t>Poznámka: Corse (FRM0): nízka spoľahlivosť.</w:t>
      </w:r>
    </w:p>
    <w:p>
      <w:pPr>
        <w:spacing w:line="240" w:lineRule="auto"/>
        <w:rPr>
          <w:rFonts w:ascii="Times New Roman" w:hAnsi="Times New Roman" w:cs="Times New Roman"/>
          <w:bCs/>
          <w:noProof/>
          <w:sz w:val="20"/>
          <w:szCs w:val="20"/>
        </w:rPr>
      </w:pPr>
      <w:r>
        <w:rPr>
          <w:rFonts w:ascii="Times New Roman" w:hAnsi="Times New Roman" w:cs="Times New Roman"/>
          <w:bCs/>
          <w:noProof/>
          <w:sz w:val="20"/>
          <w:szCs w:val="20"/>
        </w:rPr>
        <w:t>Zdroj: Eurostat (online údajový kód: lfst_r_lfe2emprtn).</w:t>
      </w:r>
    </w:p>
    <w:p>
      <w:pPr>
        <w:spacing w:line="240" w:lineRule="auto"/>
        <w:rPr>
          <w:rFonts w:ascii="Times New Roman" w:hAnsi="Times New Roman" w:cs="Times New Roman"/>
          <w:bCs/>
          <w:noProof/>
          <w:sz w:val="20"/>
          <w:szCs w:val="20"/>
        </w:rPr>
      </w:pPr>
    </w:p>
    <w:p>
      <w:pPr>
        <w:spacing w:line="240" w:lineRule="auto"/>
        <w:rPr>
          <w:rFonts w:ascii="Times New Roman" w:hAnsi="Times New Roman" w:cs="Times New Roman"/>
          <w:b/>
          <w:bCs/>
          <w:noProof/>
          <w:sz w:val="24"/>
          <w:szCs w:val="24"/>
        </w:rPr>
      </w:pP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2: Rozdiel v zamestnanosti žien a mužov, 2019</w:t>
      </w:r>
    </w:p>
    <w:p>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(rozdiel v percentuálnych bodoch, miera zamestnanosti mužov mínus miera zamestnanosti žien v rámci skupiny osôb vo veku 20 – 64 rokov, podľa regiónov NUTS 2)</w:t>
      </w:r>
    </w:p>
    <w:p>
      <w:pPr>
        <w:spacing w:line="240" w:lineRule="auto"/>
        <w:rPr>
          <w:rFonts w:ascii="Times New Roman" w:hAnsi="Times New Roman" w:cs="Times New Roman"/>
          <w:b/>
          <w:noProof/>
          <w:sz w:val="24"/>
          <w:szCs w:val="24"/>
        </w:rPr>
      </w:pPr>
      <w:r>
        <w:rPr>
          <w:rFonts w:ascii="Times New Roman" w:hAnsi="Times New Roman" w:cs="Times New Roman"/>
          <w:noProof/>
          <w:lang w:val="en-GB" w:eastAsia="en-GB"/>
        </w:rPr>
        <w:drawing>
          <wp:inline distT="0" distB="0" distL="0" distR="0">
            <wp:extent cx="5207194" cy="630158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89" cy="6304485"/>
                    </a:xfrm>
                    <a:prstGeom prst="rect">
                      <a:avLst/>
                    </a:prstGeom>
                  </pic:spPr>
                </pic:pic>
              </a:graphicData>
            </a:graphic>
          </wp:inline>
        </w:drawing>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Poznámka: Rozdiel v zamestnanosti žien a mužov je definovaný ako rozdiel medzi mierou zamestnanosti mužov a mierou zamestnanosti žien v rámci skupiny osôb vo veku 20 – 64 rokov; miera zamestnanosti mužov bola vo všetkých regiónoch trvalo vyššia ako miera zamestnanosti žien.</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údajový kód: lfst_r_lfe2emprtn).</w:t>
      </w:r>
    </w:p>
    <w:p>
      <w:pPr>
        <w:rPr>
          <w:rFonts w:ascii="Times New Roman" w:hAnsi="Times New Roman" w:cs="Times New Roman"/>
          <w:noProof/>
        </w:rPr>
      </w:pPr>
      <w:r>
        <w:rPr>
          <w:rFonts w:ascii="Times New Roman" w:hAnsi="Times New Roman" w:cs="Times New Roman"/>
          <w:noProof/>
        </w:rPr>
        <w:br w:type="page"/>
      </w: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3: Miera nezamestnanosti, 2019</w:t>
      </w:r>
    </w:p>
    <w:p>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(v %, podiel pracovných síl vo veku 15 – 74 rokov, podľa regiónov NUTS 2)</w:t>
      </w:r>
    </w:p>
    <w:p>
      <w:pPr>
        <w:spacing w:line="240" w:lineRule="auto"/>
        <w:rPr>
          <w:rFonts w:ascii="Times New Roman" w:hAnsi="Times New Roman" w:cs="Times New Roman"/>
          <w:bCs/>
          <w:noProof/>
          <w:sz w:val="24"/>
          <w:szCs w:val="24"/>
        </w:rPr>
      </w:pPr>
      <w:r>
        <w:rPr>
          <w:rFonts w:ascii="Times New Roman" w:hAnsi="Times New Roman" w:cs="Times New Roman"/>
          <w:noProof/>
          <w:lang w:val="en-GB" w:eastAsia="en-GB"/>
        </w:rPr>
        <w:drawing>
          <wp:inline distT="0" distB="0" distL="0" distR="0">
            <wp:extent cx="5319556" cy="647060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2373" cy="6474028"/>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cs="Times New Roman"/>
          <w:noProof/>
          <w:snapToGrid w:val="0"/>
          <w:color w:val="000000"/>
          <w:sz w:val="4"/>
          <w:szCs w:val="0"/>
          <w:u w:color="000000"/>
          <w:bdr w:val="none" w:sz="0" w:space="0" w:color="000000"/>
          <w:shd w:val="clear" w:color="000000" w:fill="000000"/>
        </w:rPr>
        <w:t xml:space="preserve"> </w:t>
      </w:r>
      <w:r>
        <w:rPr>
          <w:rFonts w:ascii="Times New Roman" w:hAnsi="Times New Roman" w:cs="Times New Roman"/>
          <w:noProof/>
          <w:sz w:val="20"/>
          <w:szCs w:val="24"/>
        </w:rPr>
        <w:t>Poznámka: Corse (FRM0), Burgenland (AT11), Lubuskie (PL43) a Opolskie (PL52), Cumbria (UKD1): znížená spoľahlivosť v dôsledku veľkosti vzorky.</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údajový kód: lfst_r_lfu3rt).</w:t>
      </w:r>
    </w:p>
    <w:p>
      <w:pPr>
        <w:spacing w:line="240" w:lineRule="auto"/>
        <w:rPr>
          <w:rFonts w:ascii="Times New Roman" w:eastAsia="Times New Roman" w:hAnsi="Times New Roman" w:cs="Times New Roman"/>
          <w:noProof/>
          <w:snapToGrid w:val="0"/>
          <w:color w:val="000000"/>
          <w:w w:val="0"/>
          <w:sz w:val="4"/>
          <w:szCs w:val="0"/>
          <w:u w:color="000000"/>
          <w:bdr w:val="none" w:sz="0" w:space="0" w:color="000000"/>
          <w:shd w:val="clear" w:color="000000" w:fill="000000"/>
        </w:rPr>
      </w:pPr>
      <w:r>
        <w:rPr>
          <w:rFonts w:ascii="Times New Roman" w:hAnsi="Times New Roman" w:cs="Times New Roman"/>
          <w:noProof/>
        </w:rPr>
        <w:br w:type="page"/>
      </w: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4: Miera dlhodobej nezamestnanosti (12 mesiacov alebo viac), 2019</w:t>
      </w:r>
    </w:p>
    <w:p>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(v %, podiel ekonomicky aktívnej populácie, podľa regiónov NUTS 2)</w:t>
      </w:r>
    </w:p>
    <w:p>
      <w:pPr>
        <w:spacing w:line="240" w:lineRule="auto"/>
        <w:rPr>
          <w:rFonts w:ascii="Times New Roman" w:hAnsi="Times New Roman" w:cs="Times New Roman"/>
          <w:b/>
          <w:noProof/>
          <w:sz w:val="24"/>
          <w:szCs w:val="24"/>
        </w:rPr>
      </w:pPr>
      <w:r>
        <w:rPr>
          <w:rFonts w:ascii="Times New Roman" w:hAnsi="Times New Roman" w:cs="Times New Roman"/>
          <w:noProof/>
          <w:lang w:val="en-GB" w:eastAsia="en-GB"/>
        </w:rPr>
        <w:drawing>
          <wp:inline distT="0" distB="0" distL="0" distR="0">
            <wp:extent cx="5402511" cy="648456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8820" cy="6492134"/>
                    </a:xfrm>
                    <a:prstGeom prst="rect">
                      <a:avLst/>
                    </a:prstGeom>
                  </pic:spPr>
                </pic:pic>
              </a:graphicData>
            </a:graphic>
          </wp:inline>
        </w:drawing>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Poznámka: V prípade niektorých regiónov (vzhľadom na veľké množstvo nie je možné ich uviesť) obsahuje údaje s nízkou spoľahlivosťou.</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údajový kód: tgs00053).</w:t>
      </w:r>
    </w:p>
    <w:p>
      <w:pPr>
        <w:rPr>
          <w:rFonts w:ascii="Times New Roman" w:hAnsi="Times New Roman" w:cs="Times New Roman"/>
          <w:noProof/>
        </w:rPr>
      </w:pPr>
      <w:r>
        <w:rPr>
          <w:rFonts w:ascii="Times New Roman" w:hAnsi="Times New Roman" w:cs="Times New Roman"/>
          <w:noProof/>
        </w:rPr>
        <w:br w:type="page"/>
      </w: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5: Mladí ľudia, ktorí nie sú zamestnaní, ani nie sú v procese vzdelávania alebo odbornej prípravy (NEET), 2019</w:t>
      </w:r>
    </w:p>
    <w:p>
      <w:pPr>
        <w:spacing w:line="240" w:lineRule="auto"/>
        <w:rPr>
          <w:rFonts w:ascii="Times New Roman" w:hAnsi="Times New Roman" w:cs="Times New Roman"/>
          <w:noProof/>
        </w:rPr>
      </w:pPr>
      <w:r>
        <w:rPr>
          <w:rFonts w:ascii="Times New Roman" w:hAnsi="Times New Roman" w:cs="Times New Roman"/>
          <w:bCs/>
          <w:noProof/>
          <w:sz w:val="24"/>
          <w:szCs w:val="24"/>
        </w:rPr>
        <w:t>(v %, podiel osôb vo veku 15 – 24 rokov, podľa regiónov NUTS 2)</w:t>
      </w:r>
    </w:p>
    <w:p>
      <w:pPr>
        <w:spacing w:line="240" w:lineRule="auto"/>
        <w:rPr>
          <w:rFonts w:ascii="Times New Roman" w:hAnsi="Times New Roman" w:cs="Times New Roman"/>
          <w:bCs/>
          <w:noProof/>
          <w:sz w:val="24"/>
          <w:szCs w:val="24"/>
        </w:rPr>
      </w:pPr>
      <w:r>
        <w:rPr>
          <w:rFonts w:ascii="Times New Roman" w:hAnsi="Times New Roman" w:cs="Times New Roman"/>
          <w:noProof/>
          <w:lang w:val="en-GB" w:eastAsia="en-GB"/>
        </w:rPr>
        <w:drawing>
          <wp:inline distT="0" distB="0" distL="0" distR="0">
            <wp:extent cx="5304082" cy="649095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2578" cy="6501349"/>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cs="Times New Roman"/>
          <w:noProof/>
          <w:sz w:val="20"/>
          <w:szCs w:val="24"/>
        </w:rPr>
        <w:t>Poznámka: Nízka spoľahlivosť v prípade Belgicka (provincie Brabant Wallon a Luxembourg); Česka (Praha); Grécka (Ionia Nisia); Španielska (Cantabria, La Rioja, Ciudad Autonomas de Ceuta a Melilla); Litva (Sostines regionas); Holandska (Drenthe); Rakúska (Kärnten, Salzburg, Tirol a Vorarlberg); Poľska (Lubuskie, Opolskie, Swietokrzyskie, Podlaskie a Warszawski stoleczny); Švédska (Småland med öarna).</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údajový kód: edat_lfse_22).</w:t>
      </w:r>
    </w:p>
    <w:p>
      <w:pPr>
        <w:spacing w:line="240" w:lineRule="auto"/>
        <w:jc w:val="both"/>
        <w:rPr>
          <w:rFonts w:ascii="Times New Roman" w:hAnsi="Times New Roman" w:cs="Times New Roman"/>
          <w:b/>
          <w:noProof/>
          <w:sz w:val="24"/>
          <w:szCs w:val="24"/>
        </w:rPr>
      </w:pPr>
    </w:p>
    <w:p>
      <w:pPr>
        <w:rPr>
          <w:rFonts w:ascii="Times New Roman" w:hAnsi="Times New Roman" w:cs="Times New Roman"/>
          <w:b/>
          <w:bCs/>
          <w:noProof/>
          <w:sz w:val="24"/>
          <w:szCs w:val="24"/>
        </w:rPr>
      </w:pPr>
      <w:r>
        <w:rPr>
          <w:rFonts w:ascii="Times New Roman" w:hAnsi="Times New Roman" w:cs="Times New Roman"/>
          <w:noProof/>
        </w:rPr>
        <w:br w:type="page"/>
      </w: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6: Osoby, ktoré predčasne ukončili školskú dochádzku, 2019</w:t>
      </w:r>
    </w:p>
    <w:p>
      <w:pPr>
        <w:spacing w:line="240" w:lineRule="auto"/>
        <w:jc w:val="both"/>
        <w:rPr>
          <w:rFonts w:ascii="Times New Roman" w:hAnsi="Times New Roman" w:cs="Times New Roman"/>
          <w:b/>
          <w:noProof/>
          <w:sz w:val="24"/>
          <w:szCs w:val="24"/>
        </w:rPr>
      </w:pPr>
      <w:r>
        <w:rPr>
          <w:rFonts w:ascii="Times New Roman" w:hAnsi="Times New Roman" w:cs="Times New Roman"/>
          <w:bCs/>
          <w:noProof/>
          <w:sz w:val="24"/>
          <w:szCs w:val="24"/>
        </w:rPr>
        <w:t>(v %, podiel osôb vo veku 18 – 24 rokov, podľa regiónov NUTS 2)</w:t>
      </w:r>
    </w:p>
    <w:p>
      <w:pPr>
        <w:spacing w:line="240" w:lineRule="auto"/>
        <w:rPr>
          <w:rFonts w:ascii="Times New Roman" w:hAnsi="Times New Roman" w:cs="Times New Roman"/>
          <w:b/>
          <w:noProof/>
          <w:sz w:val="24"/>
          <w:szCs w:val="24"/>
        </w:rPr>
      </w:pPr>
      <w:r>
        <w:rPr>
          <w:rFonts w:ascii="Times New Roman" w:hAnsi="Times New Roman" w:cs="Times New Roman"/>
          <w:noProof/>
          <w:lang w:val="en-GB" w:eastAsia="en-GB"/>
        </w:rPr>
        <w:drawing>
          <wp:inline distT="0" distB="0" distL="0" distR="0">
            <wp:extent cx="5383851" cy="6508454"/>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3023" cy="6519541"/>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cs="Times New Roman"/>
          <w:noProof/>
          <w:sz w:val="20"/>
          <w:szCs w:val="24"/>
        </w:rPr>
        <w:t>Poznámka: V prípade niektorých regiónov (vzhľadom na veľké množstvo nie je možné ich uviesť) obsahuje údaje s nízkou spoľahlivosťou.</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údajový kód: edat_lfse_16).</w:t>
      </w:r>
    </w:p>
    <w:p>
      <w:pPr>
        <w:spacing w:line="240" w:lineRule="auto"/>
        <w:rPr>
          <w:rFonts w:ascii="Times New Roman" w:hAnsi="Times New Roman" w:cs="Times New Roman"/>
          <w:b/>
          <w:noProof/>
          <w:sz w:val="24"/>
          <w:szCs w:val="24"/>
        </w:rPr>
      </w:pPr>
      <w:r>
        <w:rPr>
          <w:rFonts w:ascii="Times New Roman" w:hAnsi="Times New Roman" w:cs="Times New Roman"/>
          <w:noProof/>
        </w:rPr>
        <w:br w:type="page"/>
      </w: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7: Ľudia ohrození chudobou alebo sociálnym vylúčením, 2019</w:t>
      </w:r>
    </w:p>
    <w:p>
      <w:pPr>
        <w:spacing w:line="240" w:lineRule="auto"/>
        <w:jc w:val="both"/>
        <w:rPr>
          <w:rFonts w:ascii="Times New Roman" w:hAnsi="Times New Roman" w:cs="Times New Roman"/>
          <w:b/>
          <w:noProof/>
          <w:sz w:val="24"/>
          <w:szCs w:val="24"/>
        </w:rPr>
      </w:pPr>
      <w:r>
        <w:rPr>
          <w:rFonts w:ascii="Times New Roman" w:hAnsi="Times New Roman" w:cs="Times New Roman"/>
          <w:bCs/>
          <w:noProof/>
          <w:sz w:val="24"/>
          <w:szCs w:val="24"/>
        </w:rPr>
        <w:t>(v %, podľa regiónov NUTS 2)</w:t>
      </w:r>
    </w:p>
    <w:p>
      <w:pPr>
        <w:spacing w:line="240" w:lineRule="auto"/>
        <w:rPr>
          <w:rFonts w:ascii="Times New Roman" w:hAnsi="Times New Roman" w:cs="Times New Roman"/>
          <w:noProof/>
        </w:rPr>
      </w:pPr>
      <w:r>
        <w:rPr>
          <w:rFonts w:ascii="Times New Roman" w:hAnsi="Times New Roman" w:cs="Times New Roman"/>
          <w:noProof/>
          <w:lang w:val="en-GB" w:eastAsia="en-GB"/>
        </w:rPr>
        <w:drawing>
          <wp:inline distT="0" distB="0" distL="0" distR="0">
            <wp:extent cx="5240718" cy="63666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2403" cy="6368664"/>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cs="Times New Roman"/>
          <w:noProof/>
          <w:sz w:val="20"/>
          <w:szCs w:val="24"/>
        </w:rPr>
        <w:t>Poznámka: Belgicko, Poľsko: úroveň NUTS 1. Francúzsko: národné údaje. Nemecko: údaje za rok 2017. EÚ27, Írsko, Francúzsko, Taliansko, Rakúsko a Slovensko: údaje za rok 2018. EÚ27, Nemecko a Rakúsko: odhadované. Belgicko: zlom v rade. Burgenland (AT11): nízka spoľahlivosť.</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údajový kód: ilc_peps11 a ilc_peps01).</w:t>
      </w:r>
    </w:p>
    <w:p>
      <w:pPr>
        <w:rPr>
          <w:rFonts w:ascii="Times New Roman" w:hAnsi="Times New Roman" w:cs="Times New Roman"/>
          <w:noProof/>
        </w:rPr>
      </w:pPr>
      <w:r>
        <w:rPr>
          <w:rFonts w:ascii="Times New Roman" w:hAnsi="Times New Roman" w:cs="Times New Roman"/>
          <w:noProof/>
        </w:rPr>
        <w:br w:type="page"/>
      </w: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8: Vplyv sociálnych transferov (okrem dôchodkov) na znižovanie chudoby, 2019</w:t>
      </w:r>
    </w:p>
    <w:p>
      <w:pPr>
        <w:spacing w:line="240" w:lineRule="auto"/>
        <w:jc w:val="both"/>
        <w:rPr>
          <w:rFonts w:ascii="Times New Roman" w:hAnsi="Times New Roman" w:cs="Times New Roman"/>
          <w:b/>
          <w:noProof/>
          <w:sz w:val="24"/>
          <w:szCs w:val="24"/>
        </w:rPr>
      </w:pPr>
      <w:r>
        <w:rPr>
          <w:rFonts w:ascii="Times New Roman" w:hAnsi="Times New Roman" w:cs="Times New Roman"/>
          <w:bCs/>
          <w:noProof/>
          <w:sz w:val="24"/>
          <w:szCs w:val="24"/>
        </w:rPr>
        <w:t>(v %, podľa regiónov NUTS 2)</w:t>
      </w:r>
    </w:p>
    <w:p>
      <w:pPr>
        <w:spacing w:line="240" w:lineRule="auto"/>
        <w:jc w:val="center"/>
        <w:rPr>
          <w:rFonts w:ascii="Times New Roman" w:hAnsi="Times New Roman" w:cs="Times New Roman"/>
          <w:noProof/>
          <w:sz w:val="20"/>
          <w:szCs w:val="24"/>
        </w:rPr>
      </w:pPr>
      <w:r>
        <w:rPr>
          <w:rFonts w:ascii="Times New Roman" w:hAnsi="Times New Roman" w:cs="Times New Roman"/>
          <w:noProof/>
          <w:lang w:val="en-GB" w:eastAsia="en-GB"/>
        </w:rPr>
        <w:drawing>
          <wp:inline distT="0" distB="0" distL="0" distR="0">
            <wp:extent cx="5383506" cy="6571716"/>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6918" cy="6575882"/>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cs="Times New Roman"/>
          <w:noProof/>
          <w:sz w:val="20"/>
          <w:szCs w:val="24"/>
        </w:rPr>
        <w:t>Poznámka: Belgicko: úroveň NUTS 1. Nemecko, Francúzsko, Holandsko, Poľsko a Portugalsko: národné údaje. Francúzsko, Írsko, Taliansko, Rakúsko a Slovensko: údaje za rok 2018. Belgicko: zlom v rade. Rakúsko: odhadované.</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údajový kód: tespm050_r).</w:t>
      </w:r>
    </w:p>
    <w:p>
      <w:pPr>
        <w:spacing w:after="0" w:line="240" w:lineRule="auto"/>
        <w:rPr>
          <w:rFonts w:ascii="Times New Roman" w:hAnsi="Times New Roman" w:cs="Times New Roman"/>
          <w:b/>
          <w:bCs/>
          <w:noProof/>
          <w:sz w:val="24"/>
          <w:szCs w:val="24"/>
        </w:rPr>
      </w:pPr>
      <w:r>
        <w:rPr>
          <w:rFonts w:ascii="Times New Roman" w:hAnsi="Times New Roman" w:cs="Times New Roman"/>
          <w:noProof/>
        </w:rPr>
        <w:br w:type="page"/>
      </w:r>
      <w:r>
        <w:rPr>
          <w:rFonts w:ascii="Times New Roman" w:hAnsi="Times New Roman" w:cs="Times New Roman"/>
          <w:b/>
          <w:bCs/>
          <w:noProof/>
          <w:sz w:val="24"/>
          <w:szCs w:val="24"/>
        </w:rPr>
        <w:t>Graf 9: Subjektívne neuspokojené potreby lekárskeho vyšetrenia, 2019</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(v %, subjektívne neuspokojené potreby z „finančných dôvodov“, z dôvodu „čakacej lehoty“ alebo z dôvodu, že je to „priďaleko na cestovanie“, regióny NUTS 2)</w:t>
      </w:r>
    </w:p>
    <w:p>
      <w:pPr>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409488" cy="655673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2697" cy="6560628"/>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cs="Times New Roman"/>
          <w:noProof/>
          <w:sz w:val="20"/>
          <w:szCs w:val="24"/>
        </w:rPr>
        <w:t>Poznámka: Holandsko a Poľsko: úroveň NUTS 1. Nemecko, Francúzsko, Rakúsko a Portugalsko: národné údaje. Belgicko: zlom v rade. Írsko, Francúzsko, Taliansko, Slovensko: údaje za rok 2018.</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údajové kódy: hlth_silc_08_r a tespm110).</w:t>
      </w:r>
    </w:p>
    <w:p>
      <w:pPr>
        <w:rPr>
          <w:rFonts w:ascii="Times New Roman" w:eastAsia="Calibri" w:hAnsi="Times New Roman" w:cs="Times New Roman"/>
          <w:b/>
          <w:noProof/>
          <w:sz w:val="24"/>
          <w:szCs w:val="24"/>
        </w:rPr>
      </w:pPr>
      <w:r>
        <w:rPr>
          <w:rFonts w:ascii="Times New Roman" w:hAnsi="Times New Roman" w:cs="Times New Roman"/>
          <w:noProof/>
        </w:rPr>
        <w:br w:type="page"/>
      </w:r>
    </w:p>
    <w:p>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Graf 10: Pomer príjmov horného a dolného kvintilu, 2017</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(index, podľa regiónov NUTS 2)</w:t>
      </w:r>
    </w:p>
    <w:p>
      <w:pPr>
        <w:spacing w:line="240" w:lineRule="auto"/>
        <w:jc w:val="center"/>
        <w:rPr>
          <w:rFonts w:ascii="Times New Roman" w:eastAsia="Calibri" w:hAnsi="Times New Roman" w:cs="Times New Roman"/>
          <w:b/>
          <w:noProof/>
          <w:sz w:val="24"/>
          <w:szCs w:val="24"/>
        </w:rPr>
      </w:pPr>
      <w:r>
        <w:rPr>
          <w:rFonts w:ascii="Times New Roman" w:hAnsi="Times New Roman" w:cs="Times New Roman"/>
          <w:noProof/>
          <w:lang w:val="en-GB" w:eastAsia="en-GB"/>
        </w:rPr>
        <w:drawing>
          <wp:inline distT="0" distB="0" distL="0" distR="0">
            <wp:extent cx="5485958" cy="673408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1780" cy="6741233"/>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cs="Times New Roman"/>
          <w:noProof/>
          <w:sz w:val="20"/>
          <w:szCs w:val="24"/>
        </w:rPr>
        <w:t>Poznámka: Belgicko: úroveň NUTS 1. Nemecko, Francúzsko, Rakúsko, Poľsko a Portugalsko: národné údaje. Belgicko: zlom v rade. Írsko, Francúzsko, Slovensko: údaje za rok 2018. Taliansko: údaje za rok 2017. Španielsko: Ciudad autonoma de Ceuta a Fínsko: Alandy: nízka spoľahlivosť.</w:t>
      </w:r>
    </w:p>
    <w:p>
      <w:pPr>
        <w:spacing w:line="240" w:lineRule="auto"/>
        <w:rPr>
          <w:rFonts w:ascii="Times New Roman" w:hAnsi="Times New Roman" w:cs="Times New Roman"/>
          <w:noProof/>
          <w:sz w:val="20"/>
          <w:szCs w:val="24"/>
        </w:rPr>
      </w:pPr>
      <w:r>
        <w:rPr>
          <w:rFonts w:ascii="Times New Roman" w:hAnsi="Times New Roman" w:cs="Times New Roman"/>
          <w:noProof/>
          <w:sz w:val="20"/>
          <w:szCs w:val="24"/>
        </w:rPr>
        <w:t>Zdroj: Eurostat (online údajové kódy: ilc_di11_r a ilc_di11).</w:t>
      </w:r>
    </w:p>
    <w:p>
      <w:pPr>
        <w:jc w:val="both"/>
        <w:rPr>
          <w:rFonts w:ascii="Times New Roman" w:eastAsia="Calibri" w:hAnsi="Times New Roman" w:cs="Times New Roman"/>
          <w:b/>
          <w:noProof/>
          <w:sz w:val="24"/>
          <w:szCs w:val="24"/>
        </w:rPr>
      </w:pPr>
    </w:p>
    <w:p>
      <w:pPr>
        <w:rPr>
          <w:rFonts w:ascii="Times New Roman" w:eastAsia="Calibri" w:hAnsi="Times New Roman" w:cs="Times New Roman"/>
          <w:b/>
          <w:noProof/>
          <w:sz w:val="24"/>
          <w:szCs w:val="24"/>
        </w:rPr>
      </w:pPr>
      <w:r>
        <w:rPr>
          <w:rFonts w:ascii="Times New Roman" w:hAnsi="Times New Roman" w:cs="Times New Roman"/>
          <w:noProof/>
        </w:rPr>
        <w:br w:type="page"/>
      </w:r>
    </w:p>
    <w:p>
      <w:pPr>
        <w:jc w:val="both"/>
        <w:rPr>
          <w:rFonts w:ascii="Times New Roman" w:eastAsia="Calibri" w:hAnsi="Times New Roman" w:cs="Times New Roman"/>
          <w:b/>
          <w:noProof/>
          <w:sz w:val="24"/>
          <w:szCs w:val="24"/>
        </w:rPr>
      </w:pPr>
      <w:r>
        <w:rPr>
          <w:rFonts w:ascii="Times New Roman" w:hAnsi="Times New Roman" w:cs="Times New Roman"/>
          <w:b/>
          <w:noProof/>
          <w:sz w:val="24"/>
          <w:szCs w:val="24"/>
        </w:rPr>
        <w:t xml:space="preserve">Príloha 5. Metodická poznámka o identifikácii trendov a úrovní v hodnotiacej tabuľke </w:t>
      </w:r>
    </w:p>
    <w:p>
      <w:pPr>
        <w:jc w:val="both"/>
        <w:rPr>
          <w:rFonts w:ascii="Times New Roman" w:hAnsi="Times New Roman" w:cs="Times New Roman"/>
          <w:noProof/>
          <w:sz w:val="20"/>
          <w:szCs w:val="20"/>
        </w:rPr>
      </w:pPr>
      <w:r>
        <w:rPr>
          <w:rFonts w:ascii="Times New Roman" w:hAnsi="Times New Roman" w:cs="Times New Roman"/>
          <w:noProof/>
          <w:sz w:val="20"/>
          <w:szCs w:val="20"/>
        </w:rPr>
        <w:t>Európska komisia, Výbor pre zamestnanosť a Výbor pre sociálnu ochranu sa v polovici roka 2015 dohodli na metodike posudzovania výkonnosti členských štátov na základe hodnotiacej tabuľky kľúčových ukazovateľov zamestnanosti a sociálnej situácie. Dohodlo sa, že metodika by mala pri každom ukazovateli umožňovať meranie relatívneho postavenia pre každý členský štát v rámci rozdelenia hodnôt ukazovateľov (príslušných skóre) pre EÚ. Táto metodika sa uplatňuje na úrovne rokov (úrovne), ako aj na ročné zmeny (zmeny), čím sa umožňuje ucelené posudzovanie výkonnosti ČŠ</w:t>
      </w:r>
      <w:r>
        <w:rPr>
          <w:rStyle w:val="FootnoteReference"/>
          <w:rFonts w:ascii="Times New Roman" w:hAnsi="Times New Roman" w:cs="Times New Roman"/>
          <w:noProof/>
          <w:sz w:val="20"/>
          <w:szCs w:val="20"/>
          <w:lang w:eastAsia="fr-BE"/>
        </w:rPr>
        <w:footnoteReference w:id="2"/>
      </w:r>
      <w:r>
        <w:rPr>
          <w:rFonts w:ascii="Times New Roman" w:hAnsi="Times New Roman" w:cs="Times New Roman"/>
          <w:noProof/>
          <w:sz w:val="20"/>
          <w:szCs w:val="20"/>
        </w:rPr>
        <w:t xml:space="preserve">. </w:t>
      </w:r>
    </w:p>
    <w:p>
      <w:pPr>
        <w:jc w:val="both"/>
        <w:rPr>
          <w:rFonts w:ascii="Times New Roman" w:hAnsi="Times New Roman" w:cs="Times New Roman"/>
          <w:noProof/>
          <w:sz w:val="20"/>
          <w:szCs w:val="20"/>
        </w:rPr>
      </w:pPr>
      <w:r>
        <w:rPr>
          <w:rFonts w:ascii="Times New Roman" w:hAnsi="Times New Roman" w:cs="Times New Roman"/>
          <w:noProof/>
          <w:sz w:val="20"/>
          <w:szCs w:val="20"/>
        </w:rPr>
        <w:t>V roku 2017 sa Komisia po dohode s Výborom pre zamestnanosť a Výborom pre sociálnu ochranu rozhodla uplatniť metodiku na nový sociálny prehľad, ktorý by bol pripojený k Európskemu pilieru sociálnych práv.</w:t>
      </w:r>
    </w:p>
    <w:p>
      <w:pPr>
        <w:jc w:val="both"/>
        <w:rPr>
          <w:rFonts w:ascii="Times New Roman" w:hAnsi="Times New Roman" w:cs="Times New Roman"/>
          <w:noProof/>
          <w:sz w:val="20"/>
        </w:rPr>
      </w:pPr>
      <w:r>
        <w:rPr>
          <w:rFonts w:ascii="Times New Roman" w:hAnsi="Times New Roman" w:cs="Times New Roman"/>
          <w:noProof/>
          <w:sz w:val="20"/>
          <w:szCs w:val="20"/>
        </w:rPr>
        <w:t xml:space="preserve">Pre každý ukazovateľ sú úrovne a zmeny konvertované na štandardné skóre (známe aj ako Z-skóre), čo umožňuje uplatňovať rovnaký metrický systém na všetky ukazovatele. </w:t>
      </w:r>
      <w:r>
        <w:rPr>
          <w:rFonts w:ascii="Times New Roman" w:hAnsi="Times New Roman" w:cs="Times New Roman"/>
          <w:noProof/>
          <w:sz w:val="20"/>
        </w:rPr>
        <w:t>Dosiahne sa to štandardizáciou nespracovaných hodnôt úrovní a zmien podľa tohto vzorca:</w:t>
      </w:r>
    </w:p>
    <w:p>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Z-skóre pre ČŠ</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ukazovateľ ČŠ</m:t>
                      </m:r>
                    </m:e>
                    <m:sub>
                      <m:r>
                        <w:rPr>
                          <w:rFonts w:ascii="Cambria Math" w:hAnsi="Cambria Math" w:cs="Times New Roman"/>
                          <w:noProof/>
                          <w:sz w:val="20"/>
                        </w:rPr>
                        <m:t>X</m:t>
                      </m:r>
                    </m:sub>
                  </m:sSub>
                  <m:r>
                    <w:rPr>
                      <w:rFonts w:ascii="Cambria Math" w:hAnsi="Cambria Math" w:cs="Times New Roman"/>
                      <w:noProof/>
                      <w:sz w:val="20"/>
                    </w:rPr>
                    <m:t>-priemer (ukazovateľ ČŠ)</m:t>
                  </m:r>
                </m:e>
              </m:d>
            </m:num>
            <m:den>
              <m:r>
                <w:rPr>
                  <w:rFonts w:ascii="Cambria Math" w:hAnsi="Cambria Math" w:cs="Times New Roman"/>
                  <w:noProof/>
                  <w:sz w:val="20"/>
                </w:rPr>
                <m:t>štandardná odchýlka (ukazovateľ ČŠ)</m:t>
              </m:r>
            </m:den>
          </m:f>
        </m:oMath>
      </m:oMathPara>
    </w:p>
    <w:p>
      <w:pPr>
        <w:spacing w:after="120"/>
        <w:jc w:val="both"/>
        <w:rPr>
          <w:rFonts w:ascii="Times New Roman" w:hAnsi="Times New Roman" w:cs="Times New Roman"/>
          <w:noProof/>
          <w:sz w:val="20"/>
        </w:rPr>
      </w:pPr>
      <w:r>
        <w:rPr>
          <w:rFonts w:ascii="Times New Roman" w:hAnsi="Times New Roman" w:cs="Times New Roman"/>
          <w:noProof/>
          <w:sz w:val="20"/>
        </w:rPr>
        <w:t xml:space="preserve">Potom sa analyzujú rozdelenia skóre (samostatne pre úrovne a zmeny). Tento prístup umožňuje vyjadriť pre každý členský štát jeho nespracovanú hodnotu ukazovateľa z hľadiska toho, o koľko štandardných odchýlok sa táto hodnota líši od (neváženého) priemeru. Výsledky každého členského štátu sa posudzujú a klasifikujú na základe výsledného Z-skóre v porovnaní so súborom vopred stanovených prahových hodnôt vo forme násobkov štandardnej odchýlky. </w:t>
      </w:r>
    </w:p>
    <w:p>
      <w:pPr>
        <w:spacing w:after="120"/>
        <w:jc w:val="both"/>
        <w:rPr>
          <w:rFonts w:ascii="Times New Roman" w:hAnsi="Times New Roman" w:cs="Times New Roman"/>
          <w:noProof/>
          <w:sz w:val="20"/>
        </w:rPr>
      </w:pPr>
      <w:r>
        <w:rPr>
          <w:rFonts w:ascii="Times New Roman" w:hAnsi="Times New Roman" w:cs="Times New Roman"/>
          <w:noProof/>
          <w:sz w:val="20"/>
        </w:rPr>
        <w:t>Najdôležitejším problémom tohto prístupu je stanovenie medzných bodov. Keďže nie je možné určiť predpokladané parametre týkajúce sa rozdelenia pozorovaných nespracovaných hodnôt</w:t>
      </w:r>
      <w:r>
        <w:rPr>
          <w:rStyle w:val="FootnoteReference"/>
          <w:rFonts w:ascii="Times New Roman" w:hAnsi="Times New Roman" w:cs="Times New Roman"/>
          <w:noProof/>
          <w:sz w:val="20"/>
        </w:rPr>
        <w:footnoteReference w:id="3"/>
      </w:r>
      <w:r>
        <w:rPr>
          <w:rFonts w:ascii="Times New Roman" w:hAnsi="Times New Roman" w:cs="Times New Roman"/>
          <w:noProof/>
          <w:sz w:val="20"/>
        </w:rPr>
        <w:t xml:space="preserve">, bežným pravidlom je použiť pri výbere prahových hodnôt hrubú empirickú mierku. Podľa analýzy kľúčových ukazovateľov použitých v hodnotiacej tabuľke sa dohodlo, že sa posúdia tieto body: </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cs="Times New Roman"/>
          <w:noProof/>
          <w:sz w:val="20"/>
          <w:szCs w:val="20"/>
        </w:rPr>
        <w:t xml:space="preserve">Každé skóre pod –1 znamená veľmi dobré výsledky; </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cs="Times New Roman"/>
          <w:noProof/>
          <w:sz w:val="20"/>
          <w:szCs w:val="20"/>
        </w:rPr>
        <w:t>každé skóre v rozmedzí od –1 do –0,5 znamená dobré výsledky;</w:t>
      </w:r>
    </w:p>
    <w:p>
      <w:pPr>
        <w:pStyle w:val="ListParagraph"/>
        <w:numPr>
          <w:ilvl w:val="0"/>
          <w:numId w:val="1"/>
        </w:numPr>
        <w:spacing w:after="120"/>
        <w:rPr>
          <w:rFonts w:ascii="Times New Roman" w:hAnsi="Times New Roman" w:cs="Times New Roman"/>
          <w:noProof/>
          <w:sz w:val="20"/>
          <w:szCs w:val="20"/>
        </w:rPr>
      </w:pPr>
      <w:r>
        <w:rPr>
          <w:rFonts w:ascii="Times New Roman" w:hAnsi="Times New Roman" w:cs="Times New Roman"/>
          <w:noProof/>
          <w:sz w:val="20"/>
          <w:szCs w:val="20"/>
        </w:rPr>
        <w:t>každé skóre v rozmedzí od –0,5 do 0,5 znamená neutrálne výsledky;</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cs="Times New Roman"/>
          <w:noProof/>
          <w:sz w:val="20"/>
          <w:szCs w:val="20"/>
        </w:rPr>
        <w:t>každé skóre v rozmedzí od 0,5 do 1 znamená zlé výsledky;</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cs="Times New Roman"/>
          <w:noProof/>
          <w:sz w:val="20"/>
          <w:szCs w:val="20"/>
        </w:rPr>
        <w:t>každé skóre nad 1 znamená veľmi zlé výsledky</w:t>
      </w:r>
      <w:r>
        <w:rPr>
          <w:rStyle w:val="FootnoteReference"/>
          <w:rFonts w:ascii="Times New Roman" w:hAnsi="Times New Roman" w:cs="Times New Roman"/>
          <w:noProof/>
          <w:sz w:val="20"/>
          <w:szCs w:val="20"/>
        </w:rPr>
        <w:footnoteReference w:id="4"/>
      </w:r>
      <w:r>
        <w:rPr>
          <w:rFonts w:ascii="Times New Roman" w:hAnsi="Times New Roman" w:cs="Times New Roman"/>
          <w:noProof/>
          <w:sz w:val="20"/>
          <w:szCs w:val="20"/>
        </w:rPr>
        <w:t>.</w:t>
      </w:r>
    </w:p>
    <w:p>
      <w:pPr>
        <w:pStyle w:val="caption4"/>
        <w:spacing w:before="240" w:after="0"/>
        <w:rPr>
          <w:rFonts w:ascii="Times New Roman" w:hAnsi="Times New Roman"/>
          <w:noProof/>
          <w:sz w:val="20"/>
          <w:szCs w:val="20"/>
        </w:rPr>
      </w:pPr>
      <w:r>
        <w:rPr>
          <w:rFonts w:ascii="Times New Roman" w:hAnsi="Times New Roman"/>
          <w:noProof/>
          <w:sz w:val="20"/>
          <w:szCs w:val="20"/>
        </w:rPr>
        <w:t>Tabuľka </w:t>
      </w:r>
      <w:r>
        <w:rPr>
          <w:rFonts w:ascii="Times New Roman" w:hAnsi="Times New Roman"/>
          <w:noProof/>
          <w:sz w:val="20"/>
          <w:szCs w:val="20"/>
        </w:rPr>
        <w:fldChar w:fldCharType="begin"/>
      </w:r>
      <w:r>
        <w:rPr>
          <w:rFonts w:ascii="Times New Roman" w:hAnsi="Times New Roman"/>
          <w:noProof/>
          <w:sz w:val="20"/>
          <w:szCs w:val="20"/>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rPr>
        <w:t>1</w:t>
      </w:r>
      <w:r>
        <w:rPr>
          <w:rFonts w:ascii="Times New Roman" w:hAnsi="Times New Roman"/>
          <w:noProof/>
          <w:sz w:val="20"/>
          <w:szCs w:val="20"/>
        </w:rPr>
        <w:fldChar w:fldCharType="end"/>
      </w:r>
      <w:r>
        <w:rPr>
          <w:rFonts w:ascii="Times New Roman" w:hAnsi="Times New Roman"/>
          <w:noProof/>
          <w:sz w:val="20"/>
          <w:szCs w:val="20"/>
        </w:rPr>
        <w:t>: Prahové hodnoty pre Z-skóre</w:t>
      </w:r>
    </w:p>
    <w:tbl>
      <w:tblPr>
        <w:tblStyle w:val="LightShading-Accent1"/>
        <w:tblW w:w="8997" w:type="dxa"/>
        <w:tblLook w:val="04A0" w:firstRow="1" w:lastRow="0" w:firstColumn="1" w:lastColumn="0" w:noHBand="0" w:noVBand="1"/>
      </w:tblPr>
      <w:tblGrid>
        <w:gridCol w:w="1725"/>
        <w:gridCol w:w="1428"/>
        <w:gridCol w:w="1558"/>
        <w:gridCol w:w="1428"/>
        <w:gridCol w:w="1428"/>
        <w:gridCol w:w="1430"/>
      </w:tblGrid>
      <w:tr>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pPr>
              <w:jc w:val="center"/>
              <w:rPr>
                <w:rFonts w:ascii="Times New Roman" w:hAnsi="Times New Roman" w:cs="Times New Roman"/>
                <w:noProof/>
                <w:color w:val="000000"/>
                <w:sz w:val="20"/>
              </w:rPr>
            </w:pPr>
            <w:r>
              <w:rPr>
                <w:rFonts w:ascii="Times New Roman" w:hAnsi="Times New Roman" w:cs="Times New Roman"/>
                <w:noProof/>
                <w:color w:val="000000"/>
                <w:sz w:val="20"/>
              </w:rPr>
              <w:t> </w:t>
            </w:r>
          </w:p>
        </w:tc>
        <w:tc>
          <w:tcPr>
            <w:tcW w:w="7271"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Prahové hodnoty pre Z-skóre</w:t>
            </w:r>
          </w:p>
        </w:tc>
      </w:tr>
      <w:tr>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–1,0</w:t>
            </w:r>
          </w:p>
        </w:tc>
        <w:tc>
          <w:tcPr>
            <w:tcW w:w="155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–0,5</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0</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0,5</w:t>
            </w:r>
          </w:p>
        </w:tc>
        <w:tc>
          <w:tcPr>
            <w:tcW w:w="1430"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1,0</w:t>
            </w:r>
          </w:p>
        </w:tc>
      </w:tr>
      <w:tr>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cs="Times New Roman"/>
                <w:i/>
                <w:iCs/>
                <w:noProof/>
                <w:color w:val="000000"/>
                <w:sz w:val="20"/>
              </w:rPr>
              <w:t>(nižšia ako)</w:t>
            </w:r>
          </w:p>
        </w:tc>
        <w:tc>
          <w:tcPr>
            <w:tcW w:w="155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cs="Times New Roman"/>
                <w:i/>
                <w:iCs/>
                <w:noProof/>
                <w:color w:val="000000"/>
                <w:sz w:val="20"/>
              </w:rPr>
              <w:t>(nižšia ako)</w:t>
            </w:r>
          </w:p>
        </w:tc>
        <w:tc>
          <w:tcPr>
            <w:tcW w:w="1428"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rPr>
            </w:pPr>
            <w:r>
              <w:rPr>
                <w:rFonts w:ascii="Times New Roman" w:hAnsi="Times New Roman" w:cs="Times New Roman"/>
                <w:i/>
                <w:noProof/>
                <w:color w:val="auto"/>
                <w:sz w:val="20"/>
              </w:rPr>
              <w:t>(medzi)</w:t>
            </w: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cs="Times New Roman"/>
                <w:i/>
                <w:iCs/>
                <w:noProof/>
                <w:color w:val="000000"/>
                <w:sz w:val="20"/>
              </w:rPr>
              <w:t>(vyššia ako)</w:t>
            </w:r>
          </w:p>
        </w:tc>
        <w:tc>
          <w:tcPr>
            <w:tcW w:w="1430"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cs="Times New Roman"/>
                <w:i/>
                <w:iCs/>
                <w:noProof/>
                <w:color w:val="000000"/>
                <w:sz w:val="20"/>
              </w:rPr>
              <w:t>(vyššia ako)</w:t>
            </w:r>
          </w:p>
        </w:tc>
      </w:tr>
      <w:tr>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7271"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cs="Times New Roman"/>
                <w:b/>
                <w:bCs/>
                <w:noProof/>
                <w:color w:val="000000"/>
                <w:sz w:val="20"/>
              </w:rPr>
              <w:t>Posúdenie</w:t>
            </w:r>
          </w:p>
        </w:tc>
      </w:tr>
      <w:tr>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cs="Times New Roman"/>
                <w:noProof/>
                <w:color w:val="000000"/>
                <w:sz w:val="20"/>
              </w:rPr>
              <w:t>Úrovne</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veľmi nízka</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nízka</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priemerná</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vysoká</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veľmi vysoká</w:t>
            </w:r>
          </w:p>
        </w:tc>
      </w:tr>
      <w:tr>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pPr>
              <w:rPr>
                <w:rFonts w:ascii="Times New Roman" w:hAnsi="Times New Roman" w:cs="Times New Roman"/>
                <w:noProof/>
                <w:color w:val="000000"/>
                <w:sz w:val="20"/>
              </w:rPr>
            </w:pPr>
            <w:r>
              <w:rPr>
                <w:rFonts w:ascii="Times New Roman" w:hAnsi="Times New Roman" w:cs="Times New Roman"/>
                <w:noProof/>
                <w:color w:val="000000"/>
                <w:sz w:val="20"/>
              </w:rPr>
              <w:t> </w:t>
            </w: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55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30"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 </w:t>
            </w:r>
          </w:p>
        </w:tc>
      </w:tr>
      <w:tr>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cs="Times New Roman"/>
                <w:noProof/>
                <w:color w:val="000000"/>
                <w:sz w:val="20"/>
              </w:rPr>
              <w:t>Zmeny</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omnoho nižšia ako priemer</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nižšia ako priemer</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priemerná</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vyššia ako priemer</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omnoho vyššia ako priemer</w:t>
            </w:r>
          </w:p>
        </w:tc>
      </w:tr>
    </w:tbl>
    <w:p>
      <w:pPr>
        <w:jc w:val="both"/>
        <w:rPr>
          <w:rFonts w:ascii="Times New Roman" w:hAnsi="Times New Roman" w:cs="Times New Roman"/>
          <w:noProof/>
          <w:sz w:val="20"/>
        </w:rPr>
      </w:pPr>
      <w:r>
        <w:rPr>
          <w:rFonts w:ascii="Times New Roman" w:hAnsi="Times New Roman" w:cs="Times New Roman"/>
          <w:noProof/>
        </w:rPr>
        <w:br w:type="page"/>
      </w:r>
      <w:r>
        <w:rPr>
          <w:rFonts w:ascii="Times New Roman" w:hAnsi="Times New Roman" w:cs="Times New Roman"/>
          <w:bCs/>
          <w:noProof/>
          <w:sz w:val="20"/>
        </w:rPr>
        <w:t>Kombináciou hodnotenia úrovní a zmien je možné zaradiť celkovú výkonnosť krajiny podľa každého ukazovateľa do jednej z</w:t>
      </w:r>
      <w:r>
        <w:rPr>
          <w:rFonts w:ascii="Times New Roman" w:hAnsi="Times New Roman" w:cs="Times New Roman"/>
          <w:noProof/>
          <w:sz w:val="20"/>
        </w:rPr>
        <w:t xml:space="preserve"> týchto siedmich kategórií. Systém farebných kódov je použitý aj v príslušných grafoch v texte správy. </w:t>
      </w:r>
    </w:p>
    <w:p>
      <w:pPr>
        <w:jc w:val="both"/>
        <w:rPr>
          <w:rFonts w:ascii="Times New Roman" w:hAnsi="Times New Roman" w:cs="Times New Roman"/>
          <w:noProof/>
          <w:sz w:val="20"/>
        </w:rPr>
      </w:pPr>
      <w:r>
        <w:rPr>
          <w:rFonts w:ascii="Times New Roman" w:hAnsi="Times New Roman" w:cs="Times New Roman"/>
          <w:noProof/>
          <w:sz w:val="20"/>
        </w:rPr>
        <w:t xml:space="preserve">V nasledujúcich tabuľkách sa uvádza klasifikácia na základe Z-skóre v prípade tých ukazovateľov, pri ktorých sa </w:t>
      </w:r>
      <w:r>
        <w:rPr>
          <w:rFonts w:ascii="Times New Roman" w:hAnsi="Times New Roman" w:cs="Times New Roman"/>
          <w:noProof/>
          <w:sz w:val="20"/>
          <w:u w:val="single"/>
        </w:rPr>
        <w:t>nízka hodnota</w:t>
      </w:r>
      <w:r>
        <w:rPr>
          <w:rFonts w:ascii="Times New Roman" w:hAnsi="Times New Roman" w:cs="Times New Roman"/>
          <w:noProof/>
          <w:sz w:val="20"/>
        </w:rPr>
        <w:t xml:space="preserve"> považuje za </w:t>
      </w:r>
      <w:r>
        <w:rPr>
          <w:rFonts w:ascii="Times New Roman" w:hAnsi="Times New Roman" w:cs="Times New Roman"/>
          <w:noProof/>
          <w:sz w:val="20"/>
          <w:u w:val="single"/>
        </w:rPr>
        <w:t>dobrú výkonnosť</w:t>
      </w:r>
      <w:r>
        <w:rPr>
          <w:rFonts w:ascii="Times New Roman" w:hAnsi="Times New Roman" w:cs="Times New Roman"/>
          <w:noProof/>
          <w:sz w:val="20"/>
        </w:rPr>
        <w:t xml:space="preserve"> (napr. miera nezamestnanosti, miera rizika chudoby alebo sociálneho vylúčenia atď.). </w:t>
      </w:r>
    </w:p>
    <w:tbl>
      <w:tblPr>
        <w:tblStyle w:val="TableGrid"/>
        <w:tblW w:w="0" w:type="auto"/>
        <w:tblLook w:val="04A0" w:firstRow="1" w:lastRow="0" w:firstColumn="1" w:lastColumn="0" w:noHBand="0" w:noVBand="1"/>
      </w:tblPr>
      <w:tblGrid>
        <w:gridCol w:w="2577"/>
        <w:gridCol w:w="3234"/>
        <w:gridCol w:w="3477"/>
      </w:tblGrid>
      <w:tr>
        <w:tc>
          <w:tcPr>
            <w:tcW w:w="2508" w:type="dxa"/>
            <w:shd w:val="clear" w:color="auto" w:fill="00B050"/>
          </w:tcPr>
          <w:p>
            <w:pPr>
              <w:rPr>
                <w:rFonts w:ascii="Times New Roman" w:hAnsi="Times New Roman" w:cs="Times New Roman"/>
                <w:noProof/>
                <w:sz w:val="20"/>
                <w:szCs w:val="20"/>
              </w:rPr>
            </w:pPr>
            <w:r>
              <w:rPr>
                <w:rFonts w:ascii="Times New Roman" w:hAnsi="Times New Roman" w:cs="Times New Roman"/>
                <w:b/>
                <w:noProof/>
                <w:sz w:val="20"/>
                <w:szCs w:val="20"/>
              </w:rPr>
              <w:t>Krajiny s najlepšími výsledkami</w:t>
            </w:r>
            <w:r>
              <w:rPr>
                <w:rFonts w:ascii="Times New Roman" w:hAnsi="Times New Roman" w:cs="Times New Roman"/>
                <w:noProof/>
                <w:sz w:val="20"/>
                <w:szCs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cs="Times New Roman"/>
                <w:noProof/>
                <w:sz w:val="20"/>
                <w:szCs w:val="20"/>
              </w:rPr>
              <w:t>so skóre menej ako –1,0 pre úrovne a menej ako 1,0 pre zmeny</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omnoho lepšími úrovňami ako priemer EÚ, v ktorých sa situácia zlepšuje alebo sa nezhoršuje omnoho rýchlejšie ako v prípade priemeru EÚ.</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cs="Times New Roman"/>
                <w:b/>
                <w:noProof/>
                <w:sz w:val="20"/>
                <w:szCs w:val="20"/>
              </w:rPr>
              <w:t>Krajiny s výsledkami lepšími ako priemer EÚ</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cs="Times New Roman"/>
                <w:noProof/>
                <w:sz w:val="20"/>
                <w:szCs w:val="20"/>
              </w:rPr>
              <w:t xml:space="preserve">so skóre v rozmedzí od –1,0 do –0,5 pre úrovne a menej ako 1 pre zmeny </w:t>
            </w:r>
            <w:r>
              <w:rPr>
                <w:rFonts w:ascii="Times New Roman" w:hAnsi="Times New Roman" w:cs="Times New Roman"/>
                <w:noProof/>
                <w:sz w:val="20"/>
                <w:szCs w:val="20"/>
                <w:u w:val="single"/>
              </w:rPr>
              <w:t>alebo</w:t>
            </w:r>
            <w:r>
              <w:rPr>
                <w:rFonts w:ascii="Times New Roman" w:hAnsi="Times New Roman" w:cs="Times New Roman"/>
                <w:noProof/>
                <w:sz w:val="20"/>
                <w:szCs w:val="20"/>
              </w:rPr>
              <w:t xml:space="preserve"> v rozmedzí od –0,5 do 0,5 pre úrovne a menej ako –1,0 pre zmeny</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lepšími úrovňami ako priemer EÚ, v ktorých sa situácia zlepšuje alebo sa nezhoršuje omnoho rýchlejšie ako v prípade priemeru EÚ.</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cs="Times New Roman"/>
                <w:b/>
                <w:noProof/>
                <w:sz w:val="20"/>
                <w:szCs w:val="20"/>
              </w:rPr>
              <w:t>Krajiny s dobrými výsledkami, ktoré si však vyžadujú monitorovanie</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cs="Times New Roman"/>
                <w:noProof/>
                <w:sz w:val="20"/>
                <w:szCs w:val="20"/>
              </w:rPr>
              <w:t xml:space="preserve">so skóre menej ako –0,5 pre úrovne a viac ako 1,0 pre zmeny </w:t>
            </w:r>
            <w:r>
              <w:rPr>
                <w:rFonts w:ascii="Times New Roman" w:hAnsi="Times New Roman" w:cs="Times New Roman"/>
                <w:i/>
                <w:noProof/>
                <w:sz w:val="20"/>
                <w:szCs w:val="20"/>
              </w:rPr>
              <w:t>a</w:t>
            </w:r>
            <w:r>
              <w:rPr>
                <w:rFonts w:ascii="Times New Roman" w:hAnsi="Times New Roman" w:cs="Times New Roman"/>
                <w:noProof/>
                <w:sz w:val="20"/>
                <w:szCs w:val="20"/>
              </w:rPr>
              <w:t> ktoré predstavuje zmenu vyššiu ako nula</w:t>
            </w:r>
            <w:r>
              <w:rPr>
                <w:rStyle w:val="FootnoteReference"/>
                <w:rFonts w:ascii="Times New Roman" w:hAnsi="Times New Roman" w:cs="Times New Roman"/>
                <w:noProof/>
                <w:sz w:val="20"/>
                <w:szCs w:val="20"/>
              </w:rPr>
              <w:footnoteReference w:id="5"/>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lepšími alebo omnoho lepšími úrovňami ako priemer EÚ, v ktorých sa však situácia zhoršuje omnoho rýchlejšie ako v prípade priemeru EÚ.</w:t>
            </w:r>
          </w:p>
        </w:tc>
      </w:tr>
      <w:tr>
        <w:tc>
          <w:tcPr>
            <w:tcW w:w="2508" w:type="dxa"/>
          </w:tcPr>
          <w:p>
            <w:pPr>
              <w:rPr>
                <w:rFonts w:ascii="Times New Roman" w:hAnsi="Times New Roman" w:cs="Times New Roman"/>
                <w:noProof/>
                <w:sz w:val="20"/>
                <w:szCs w:val="20"/>
              </w:rPr>
            </w:pPr>
            <w:r>
              <w:rPr>
                <w:rFonts w:ascii="Times New Roman" w:hAnsi="Times New Roman" w:cs="Times New Roman"/>
                <w:b/>
                <w:noProof/>
                <w:sz w:val="20"/>
                <w:szCs w:val="20"/>
              </w:rPr>
              <w:t>Krajiny s priemernými/neutrálnymi výsledkami</w:t>
            </w:r>
          </w:p>
        </w:tc>
        <w:tc>
          <w:tcPr>
            <w:tcW w:w="5640" w:type="dxa"/>
          </w:tcPr>
          <w:p>
            <w:pPr>
              <w:jc w:val="both"/>
              <w:rPr>
                <w:rFonts w:ascii="Times New Roman" w:hAnsi="Times New Roman" w:cs="Times New Roman"/>
                <w:noProof/>
                <w:sz w:val="20"/>
                <w:szCs w:val="20"/>
              </w:rPr>
            </w:pPr>
            <w:r>
              <w:rPr>
                <w:rFonts w:ascii="Times New Roman" w:hAnsi="Times New Roman" w:cs="Times New Roman"/>
                <w:noProof/>
                <w:sz w:val="20"/>
                <w:szCs w:val="20"/>
              </w:rPr>
              <w:t>so skóre v rozmedzí od –0,5 do 0,5 pre úrovne a od –1,0 do 1,0 pre zmeny</w:t>
            </w:r>
          </w:p>
        </w:tc>
        <w:tc>
          <w:tcPr>
            <w:tcW w:w="5640" w:type="dxa"/>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priemernými úrovňami, v ktorých sa situácia nezlepšuje ani nezhoršuje omnoho rýchlejšie ako v prípade priemeru EÚ.</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cs="Times New Roman"/>
                <w:b/>
                <w:noProof/>
                <w:sz w:val="20"/>
                <w:szCs w:val="20"/>
              </w:rPr>
              <w:t>Krajiny so slabými, ale zlepšujúcimi sa výsledkami</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cs="Times New Roman"/>
                <w:noProof/>
                <w:sz w:val="20"/>
                <w:szCs w:val="20"/>
              </w:rPr>
              <w:t>so skóre viac ako 0,5 pre úrovne a menej ako –1,0 pre zmeny</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horšími alebo omnoho horšími úrovňami ako priemer EÚ, v ktorých sa však situácia zlepšuje omnoho rýchlejšie ako v prípade priemeru EÚ.</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cs="Times New Roman"/>
                <w:b/>
                <w:noProof/>
                <w:sz w:val="20"/>
                <w:szCs w:val="20"/>
              </w:rPr>
              <w:t>Krajiny s výsledkami, ktoré treba sledovať</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cs="Times New Roman"/>
                <w:noProof/>
                <w:sz w:val="20"/>
                <w:szCs w:val="20"/>
              </w:rPr>
              <w:t xml:space="preserve">so skóre v rozmedzí od 0,5 do 1,0 pre úrovne a viac ako –1,0 pre zmeny </w:t>
            </w:r>
            <w:r>
              <w:rPr>
                <w:rFonts w:ascii="Times New Roman" w:hAnsi="Times New Roman" w:cs="Times New Roman"/>
                <w:noProof/>
                <w:sz w:val="20"/>
                <w:szCs w:val="20"/>
                <w:u w:val="single"/>
              </w:rPr>
              <w:t>alebo</w:t>
            </w:r>
            <w:r>
              <w:rPr>
                <w:rFonts w:ascii="Times New Roman" w:hAnsi="Times New Roman" w:cs="Times New Roman"/>
                <w:noProof/>
                <w:sz w:val="20"/>
                <w:szCs w:val="20"/>
              </w:rPr>
              <w:t xml:space="preserve"> so skóre v rozmedzí od –0,5 do 0,5 pre úrovne a viac ako 1,0 pre zmeny (</w:t>
            </w:r>
            <w:r>
              <w:rPr>
                <w:rFonts w:ascii="Times New Roman" w:hAnsi="Times New Roman" w:cs="Times New Roman"/>
                <w:i/>
                <w:noProof/>
                <w:sz w:val="20"/>
                <w:szCs w:val="20"/>
              </w:rPr>
              <w:t>a</w:t>
            </w:r>
            <w:r>
              <w:rPr>
                <w:rFonts w:ascii="Times New Roman" w:hAnsi="Times New Roman" w:cs="Times New Roman"/>
                <w:noProof/>
                <w:sz w:val="20"/>
                <w:szCs w:val="20"/>
              </w:rPr>
              <w:t> ktoré predstavuje zmenu vyššiu ako nula</w:t>
            </w:r>
            <w:r>
              <w:rPr>
                <w:rStyle w:val="FootnoteReference"/>
                <w:rFonts w:ascii="Times New Roman" w:hAnsi="Times New Roman" w:cs="Times New Roman"/>
                <w:noProof/>
                <w:sz w:val="20"/>
                <w:szCs w:val="20"/>
              </w:rPr>
              <w:footnoteReference w:id="6"/>
            </w:r>
            <w:r>
              <w:rPr>
                <w:rFonts w:ascii="Times New Roman" w:hAnsi="Times New Roman" w:cs="Times New Roman"/>
                <w:noProof/>
                <w:sz w:val="20"/>
                <w:szCs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cs="Times New Roman"/>
                <w:noProof/>
                <w:sz w:val="20"/>
                <w:szCs w:val="20"/>
              </w:rPr>
              <w:t>Do tejto kategórie patria dva odlišné prípady: i) členské štáty s horšími úrovňami ako priemer EÚ, v ktorých sa situácia zhoršuje alebo sa nezlepšuje dostatočne rýchlo; ii) členské štáty s úrovňami zodpovedajúcimi priemeru EÚ, v ktorých sa však situácia zhoršuje omnoho rýchlejšie ako v prípade priemeru EÚ.</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cs="Times New Roman"/>
                <w:b/>
                <w:noProof/>
                <w:sz w:val="20"/>
                <w:szCs w:val="20"/>
              </w:rPr>
              <w:t>Krajiny s kritickou situáciou</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cs="Times New Roman"/>
                <w:noProof/>
                <w:sz w:val="20"/>
                <w:szCs w:val="20"/>
              </w:rPr>
              <w:t>so skóre viac ako 1,0 pre úrovne a viac ako –1,0 pre zmeny</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omnoho horšími úrovňami ako priemer EÚ, v ktorých sa situácia zhoršuje alebo sa nezlepšuje dostatočne rýchlo.</w:t>
            </w:r>
          </w:p>
        </w:tc>
      </w:tr>
    </w:tbl>
    <w:p>
      <w:pPr>
        <w:jc w:val="both"/>
        <w:rPr>
          <w:rFonts w:ascii="Times New Roman" w:hAnsi="Times New Roman" w:cs="Times New Roman"/>
          <w:noProof/>
          <w:sz w:val="20"/>
          <w:szCs w:val="20"/>
        </w:rPr>
      </w:pPr>
    </w:p>
    <w:p>
      <w:pPr>
        <w:jc w:val="both"/>
        <w:rPr>
          <w:rFonts w:ascii="Times New Roman" w:hAnsi="Times New Roman" w:cs="Times New Roman"/>
          <w:noProof/>
          <w:sz w:val="20"/>
          <w:szCs w:val="20"/>
        </w:rPr>
      </w:pPr>
    </w:p>
    <w:p>
      <w:pPr>
        <w:jc w:val="both"/>
        <w:rPr>
          <w:rFonts w:ascii="Times New Roman" w:hAnsi="Times New Roman" w:cs="Times New Roman"/>
          <w:noProof/>
          <w:sz w:val="20"/>
          <w:szCs w:val="20"/>
        </w:rPr>
      </w:pPr>
    </w:p>
    <w:p>
      <w:pPr>
        <w:jc w:val="both"/>
        <w:rPr>
          <w:rFonts w:ascii="Times New Roman" w:hAnsi="Times New Roman" w:cs="Times New Roman"/>
          <w:noProof/>
          <w:sz w:val="20"/>
          <w:szCs w:val="20"/>
        </w:rPr>
      </w:pPr>
    </w:p>
    <w:tbl>
      <w:tblPr>
        <w:tblW w:w="9437" w:type="dxa"/>
        <w:tblInd w:w="113" w:type="dxa"/>
        <w:tblLook w:val="04A0" w:firstRow="1" w:lastRow="0" w:firstColumn="1" w:lastColumn="0" w:noHBand="0" w:noVBand="1"/>
      </w:tblPr>
      <w:tblGrid>
        <w:gridCol w:w="1433"/>
        <w:gridCol w:w="1600"/>
        <w:gridCol w:w="1600"/>
        <w:gridCol w:w="1600"/>
        <w:gridCol w:w="1600"/>
        <w:gridCol w:w="1604"/>
      </w:tblGrid>
      <w:tr>
        <w:trPr>
          <w:trHeight w:val="283"/>
        </w:trPr>
        <w:tc>
          <w:tcPr>
            <w:tcW w:w="14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Úroveň</w:t>
            </w:r>
          </w:p>
        </w:tc>
        <w:tc>
          <w:tcPr>
            <w:tcW w:w="800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Zmena</w:t>
            </w:r>
          </w:p>
        </w:tc>
      </w:tr>
      <w:tr>
        <w:trPr>
          <w:trHeight w:val="481"/>
        </w:trPr>
        <w:tc>
          <w:tcPr>
            <w:tcW w:w="1433" w:type="dxa"/>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Times New Roman" w:eastAsia="Times New Roman" w:hAnsi="Times New Roman" w:cs="Times New Roman"/>
                <w:noProof/>
                <w:sz w:val="20"/>
                <w:szCs w:val="20"/>
              </w:rPr>
            </w:pPr>
          </w:p>
        </w:tc>
        <w:tc>
          <w:tcPr>
            <w:tcW w:w="160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Oveľa nižšia ako priemer</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Nižšia ako priemer</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Priemerná</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Vyššia ako priemer</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Oveľa vyššia ako priemer</w:t>
            </w:r>
          </w:p>
        </w:tc>
      </w:tr>
      <w:tr>
        <w:trPr>
          <w:trHeight w:val="283"/>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Veľmi nízka</w:t>
            </w:r>
          </w:p>
        </w:tc>
        <w:tc>
          <w:tcPr>
            <w:tcW w:w="1600" w:type="dxa"/>
            <w:tcBorders>
              <w:top w:val="nil"/>
              <w:left w:val="nil"/>
              <w:bottom w:val="single" w:sz="4" w:space="0" w:color="auto"/>
              <w:right w:val="single" w:sz="4" w:space="0" w:color="auto"/>
            </w:tcBorders>
            <w:shd w:val="clear" w:color="000000" w:fill="00B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00B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00B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00B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538DD5"/>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r>
        <w:trPr>
          <w:trHeight w:val="283"/>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Nízka</w:t>
            </w:r>
          </w:p>
        </w:tc>
        <w:tc>
          <w:tcPr>
            <w:tcW w:w="1600"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538DD5"/>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r>
        <w:trPr>
          <w:trHeight w:val="283"/>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Priemerná</w:t>
            </w:r>
          </w:p>
        </w:tc>
        <w:tc>
          <w:tcPr>
            <w:tcW w:w="1600"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r>
        <w:trPr>
          <w:trHeight w:val="283"/>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Vysoká</w:t>
            </w:r>
          </w:p>
        </w:tc>
        <w:tc>
          <w:tcPr>
            <w:tcW w:w="1600" w:type="dxa"/>
            <w:tcBorders>
              <w:top w:val="nil"/>
              <w:left w:val="nil"/>
              <w:bottom w:val="single" w:sz="4" w:space="0" w:color="auto"/>
              <w:right w:val="single" w:sz="4" w:space="0" w:color="auto"/>
            </w:tcBorders>
            <w:shd w:val="clear" w:color="000000" w:fill="FFFF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r>
        <w:trPr>
          <w:trHeight w:val="283"/>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Veľmi vysoká</w:t>
            </w:r>
          </w:p>
        </w:tc>
        <w:tc>
          <w:tcPr>
            <w:tcW w:w="1600" w:type="dxa"/>
            <w:tcBorders>
              <w:top w:val="nil"/>
              <w:left w:val="nil"/>
              <w:bottom w:val="single" w:sz="4" w:space="0" w:color="auto"/>
              <w:right w:val="single" w:sz="4" w:space="0" w:color="auto"/>
            </w:tcBorders>
            <w:shd w:val="clear" w:color="000000" w:fill="FFFF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0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0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0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600" w:type="dxa"/>
            <w:tcBorders>
              <w:top w:val="nil"/>
              <w:left w:val="nil"/>
              <w:bottom w:val="single" w:sz="4" w:space="0" w:color="auto"/>
              <w:right w:val="single" w:sz="4" w:space="0" w:color="auto"/>
            </w:tcBorders>
            <w:shd w:val="clear" w:color="000000" w:fill="FF0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bl>
    <w:p>
      <w:pPr>
        <w:rPr>
          <w:rFonts w:ascii="Times New Roman" w:hAnsi="Times New Roman" w:cs="Times New Roman"/>
          <w:noProof/>
          <w:sz w:val="24"/>
          <w:szCs w:val="24"/>
        </w:rPr>
      </w:pPr>
    </w:p>
    <w:p>
      <w:pPr>
        <w:jc w:val="both"/>
        <w:rPr>
          <w:rFonts w:ascii="Times New Roman" w:hAnsi="Times New Roman" w:cs="Times New Roman"/>
          <w:noProof/>
          <w:sz w:val="20"/>
        </w:rPr>
      </w:pPr>
      <w:r>
        <w:rPr>
          <w:rFonts w:ascii="Times New Roman" w:hAnsi="Times New Roman" w:cs="Times New Roman"/>
          <w:noProof/>
          <w:sz w:val="20"/>
        </w:rPr>
        <w:t xml:space="preserve">V nasledujúcich tabuľkách sa uvádza klasifikácia na základe Z-skóre v prípade tých ukazovateľov, pri ktorých sa </w:t>
      </w:r>
      <w:r>
        <w:rPr>
          <w:rFonts w:ascii="Times New Roman" w:hAnsi="Times New Roman" w:cs="Times New Roman"/>
          <w:noProof/>
          <w:sz w:val="20"/>
          <w:u w:val="single"/>
        </w:rPr>
        <w:t>vysoká hodnota</w:t>
      </w:r>
      <w:r>
        <w:rPr>
          <w:rFonts w:ascii="Times New Roman" w:hAnsi="Times New Roman" w:cs="Times New Roman"/>
          <w:noProof/>
          <w:sz w:val="20"/>
        </w:rPr>
        <w:t xml:space="preserve"> považuje za </w:t>
      </w:r>
      <w:r>
        <w:rPr>
          <w:rFonts w:ascii="Times New Roman" w:hAnsi="Times New Roman" w:cs="Times New Roman"/>
          <w:noProof/>
          <w:sz w:val="20"/>
          <w:u w:val="single"/>
        </w:rPr>
        <w:t>dobrú výkonnosť</w:t>
      </w:r>
      <w:r>
        <w:rPr>
          <w:rFonts w:ascii="Times New Roman" w:hAnsi="Times New Roman" w:cs="Times New Roman"/>
          <w:noProof/>
          <w:sz w:val="20"/>
        </w:rPr>
        <w:t xml:space="preserve"> (napr. miera zamestnanosti, účasť na starostlivosti o deti atď.). </w:t>
      </w:r>
    </w:p>
    <w:tbl>
      <w:tblPr>
        <w:tblStyle w:val="TableGrid"/>
        <w:tblW w:w="0" w:type="auto"/>
        <w:tblLook w:val="04A0" w:firstRow="1" w:lastRow="0" w:firstColumn="1" w:lastColumn="0" w:noHBand="0" w:noVBand="1"/>
      </w:tblPr>
      <w:tblGrid>
        <w:gridCol w:w="2577"/>
        <w:gridCol w:w="3234"/>
        <w:gridCol w:w="3477"/>
      </w:tblGrid>
      <w:tr>
        <w:tc>
          <w:tcPr>
            <w:tcW w:w="2508" w:type="dxa"/>
            <w:shd w:val="clear" w:color="auto" w:fill="00B050"/>
          </w:tcPr>
          <w:p>
            <w:pPr>
              <w:rPr>
                <w:rFonts w:ascii="Times New Roman" w:hAnsi="Times New Roman" w:cs="Times New Roman"/>
                <w:noProof/>
                <w:sz w:val="20"/>
                <w:szCs w:val="20"/>
              </w:rPr>
            </w:pPr>
            <w:r>
              <w:rPr>
                <w:rFonts w:ascii="Times New Roman" w:hAnsi="Times New Roman" w:cs="Times New Roman"/>
                <w:b/>
                <w:noProof/>
                <w:sz w:val="20"/>
                <w:szCs w:val="20"/>
              </w:rPr>
              <w:t>Krajiny s najlepšími výsledkami</w:t>
            </w:r>
            <w:r>
              <w:rPr>
                <w:rFonts w:ascii="Times New Roman" w:hAnsi="Times New Roman" w:cs="Times New Roman"/>
                <w:noProof/>
                <w:sz w:val="20"/>
                <w:szCs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cs="Times New Roman"/>
                <w:noProof/>
                <w:sz w:val="20"/>
                <w:szCs w:val="20"/>
              </w:rPr>
              <w:t>so skóre viac ako 1,0 pre úrovne a viac ako –1,0 pre zmeny</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omnoho lepšími úrovňami ako priemer EÚ, v ktorých sa situácia zlepšuje alebo sa nezhoršuje omnoho rýchlejšie ako v prípade priemeru EÚ.</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cs="Times New Roman"/>
                <w:b/>
                <w:noProof/>
                <w:sz w:val="20"/>
                <w:szCs w:val="20"/>
              </w:rPr>
              <w:t>Krajiny s výsledkami lepšími ako priemer EÚ</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cs="Times New Roman"/>
                <w:noProof/>
                <w:sz w:val="20"/>
                <w:szCs w:val="20"/>
              </w:rPr>
              <w:t xml:space="preserve">so skóre v rozmedzí od 1,0 do 0,5 pre úrovne a viac ako –1,0 pre zmeny </w:t>
            </w:r>
            <w:r>
              <w:rPr>
                <w:rFonts w:ascii="Times New Roman" w:hAnsi="Times New Roman" w:cs="Times New Roman"/>
                <w:noProof/>
                <w:sz w:val="20"/>
                <w:szCs w:val="20"/>
                <w:u w:val="single"/>
              </w:rPr>
              <w:t>alebo</w:t>
            </w:r>
            <w:r>
              <w:rPr>
                <w:rFonts w:ascii="Times New Roman" w:hAnsi="Times New Roman" w:cs="Times New Roman"/>
                <w:noProof/>
                <w:sz w:val="20"/>
                <w:szCs w:val="20"/>
              </w:rPr>
              <w:t xml:space="preserve"> so skóre v rozmedzí od –0,5 do 0,5 pre úrovne a viac ako 1,0 pre zmeny</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lepšími úrovňami ako priemer EÚ, v ktorých sa situácia zlepšuje alebo sa nezhoršuje omnoho rýchlejšie ako v prípade priemeru EÚ.</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cs="Times New Roman"/>
                <w:b/>
                <w:noProof/>
                <w:sz w:val="20"/>
                <w:szCs w:val="20"/>
              </w:rPr>
              <w:t>Krajiny s dobrými výsledkami, ktoré si však vyžadujú monitorovanie</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cs="Times New Roman"/>
                <w:noProof/>
                <w:sz w:val="20"/>
                <w:szCs w:val="20"/>
              </w:rPr>
              <w:t xml:space="preserve">so skóre viac ako 0,5 pre úrovne a menej ako –1 pre zmeny </w:t>
            </w:r>
            <w:r>
              <w:rPr>
                <w:rFonts w:ascii="Times New Roman" w:hAnsi="Times New Roman" w:cs="Times New Roman"/>
                <w:i/>
                <w:noProof/>
                <w:sz w:val="20"/>
                <w:szCs w:val="20"/>
              </w:rPr>
              <w:t>a</w:t>
            </w:r>
            <w:r>
              <w:rPr>
                <w:rFonts w:ascii="Times New Roman" w:hAnsi="Times New Roman" w:cs="Times New Roman"/>
                <w:noProof/>
                <w:sz w:val="20"/>
                <w:szCs w:val="20"/>
              </w:rPr>
              <w:t> ktoré predstavuje zmenu nižšiu ako nula</w:t>
            </w:r>
            <w:r>
              <w:rPr>
                <w:rStyle w:val="FootnoteReference"/>
                <w:rFonts w:ascii="Times New Roman" w:hAnsi="Times New Roman" w:cs="Times New Roman"/>
                <w:noProof/>
                <w:sz w:val="20"/>
                <w:szCs w:val="20"/>
              </w:rPr>
              <w:footnoteReference w:id="7"/>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lepšími alebo omnoho lepšími úrovňami ako priemer EÚ, v ktorých sa však situácia zhoršuje omnoho rýchlejšie ako v prípade priemeru EÚ.</w:t>
            </w:r>
          </w:p>
        </w:tc>
      </w:tr>
      <w:tr>
        <w:tc>
          <w:tcPr>
            <w:tcW w:w="2508" w:type="dxa"/>
          </w:tcPr>
          <w:p>
            <w:pPr>
              <w:rPr>
                <w:rFonts w:ascii="Times New Roman" w:hAnsi="Times New Roman" w:cs="Times New Roman"/>
                <w:noProof/>
                <w:sz w:val="20"/>
                <w:szCs w:val="20"/>
              </w:rPr>
            </w:pPr>
            <w:r>
              <w:rPr>
                <w:rFonts w:ascii="Times New Roman" w:hAnsi="Times New Roman" w:cs="Times New Roman"/>
                <w:b/>
                <w:noProof/>
                <w:sz w:val="20"/>
                <w:szCs w:val="20"/>
              </w:rPr>
              <w:t>Krajiny s priemernými/neutrálnymi výsledkami</w:t>
            </w:r>
          </w:p>
        </w:tc>
        <w:tc>
          <w:tcPr>
            <w:tcW w:w="5640" w:type="dxa"/>
          </w:tcPr>
          <w:p>
            <w:pPr>
              <w:jc w:val="both"/>
              <w:rPr>
                <w:rFonts w:ascii="Times New Roman" w:hAnsi="Times New Roman" w:cs="Times New Roman"/>
                <w:noProof/>
                <w:sz w:val="20"/>
                <w:szCs w:val="20"/>
              </w:rPr>
            </w:pPr>
            <w:r>
              <w:rPr>
                <w:rFonts w:ascii="Times New Roman" w:hAnsi="Times New Roman" w:cs="Times New Roman"/>
                <w:noProof/>
                <w:sz w:val="20"/>
                <w:szCs w:val="20"/>
              </w:rPr>
              <w:t>so skóre v rozmedzí od –0,5 do 0,5 pre úrovne a od –1,0 do 1,0 pre zmeny</w:t>
            </w:r>
          </w:p>
        </w:tc>
        <w:tc>
          <w:tcPr>
            <w:tcW w:w="5640" w:type="dxa"/>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priemernými úrovňami, v ktorých sa situácia nezlepšuje ani nezhoršuje omnoho rýchlejšie ako v prípade priemeru EÚ.</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cs="Times New Roman"/>
                <w:b/>
                <w:noProof/>
                <w:sz w:val="20"/>
                <w:szCs w:val="20"/>
              </w:rPr>
              <w:t>Krajiny so slabými, ale zlepšujúcimi sa výsledkami</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cs="Times New Roman"/>
                <w:noProof/>
                <w:sz w:val="20"/>
                <w:szCs w:val="20"/>
              </w:rPr>
              <w:t>so skóre menej ako –0,5 pre úrovne a menej ako 1,0 pre zmeny</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horšími alebo omnoho horšími úrovňami ako priemer EÚ, v ktorých sa však situácia zlepšuje omnoho rýchlejšie ako v prípade priemeru EÚ.</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cs="Times New Roman"/>
                <w:b/>
                <w:noProof/>
                <w:sz w:val="20"/>
                <w:szCs w:val="20"/>
              </w:rPr>
              <w:t>Krajiny s výsledkami, ktoré treba sledovať</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cs="Times New Roman"/>
                <w:noProof/>
                <w:sz w:val="20"/>
                <w:szCs w:val="20"/>
              </w:rPr>
              <w:t xml:space="preserve">so skóre v rozmedzí od –0,5 do –1,0 pre úrovne a menej ako 1,0 pre zmeny </w:t>
            </w:r>
            <w:r>
              <w:rPr>
                <w:rFonts w:ascii="Times New Roman" w:hAnsi="Times New Roman" w:cs="Times New Roman"/>
                <w:noProof/>
                <w:sz w:val="20"/>
                <w:szCs w:val="20"/>
                <w:u w:val="single"/>
              </w:rPr>
              <w:t>alebo</w:t>
            </w:r>
            <w:r>
              <w:rPr>
                <w:rFonts w:ascii="Times New Roman" w:hAnsi="Times New Roman" w:cs="Times New Roman"/>
                <w:noProof/>
                <w:sz w:val="20"/>
                <w:szCs w:val="20"/>
              </w:rPr>
              <w:t xml:space="preserve"> so skóre v rozmedzí od –0,5 do 0,5 pre úrovne a menej ako –1,0 pre zmeny (</w:t>
            </w:r>
            <w:r>
              <w:rPr>
                <w:rFonts w:ascii="Times New Roman" w:hAnsi="Times New Roman" w:cs="Times New Roman"/>
                <w:i/>
                <w:noProof/>
                <w:sz w:val="20"/>
                <w:szCs w:val="20"/>
              </w:rPr>
              <w:t>a</w:t>
            </w:r>
            <w:r>
              <w:rPr>
                <w:rFonts w:ascii="Times New Roman" w:hAnsi="Times New Roman" w:cs="Times New Roman"/>
                <w:noProof/>
                <w:sz w:val="20"/>
                <w:szCs w:val="20"/>
              </w:rPr>
              <w:t> ktoré predstavuje zmenu nižšiu ako nula</w:t>
            </w:r>
            <w:r>
              <w:rPr>
                <w:rStyle w:val="FootnoteReference"/>
                <w:rFonts w:ascii="Times New Roman" w:hAnsi="Times New Roman" w:cs="Times New Roman"/>
                <w:noProof/>
                <w:sz w:val="20"/>
                <w:szCs w:val="20"/>
              </w:rPr>
              <w:footnoteReference w:id="8"/>
            </w:r>
            <w:r>
              <w:rPr>
                <w:rFonts w:ascii="Times New Roman" w:hAnsi="Times New Roman" w:cs="Times New Roman"/>
                <w:noProof/>
                <w:sz w:val="20"/>
                <w:szCs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cs="Times New Roman"/>
                <w:noProof/>
                <w:sz w:val="20"/>
                <w:szCs w:val="20"/>
              </w:rPr>
              <w:t>Do tejto kategórie patria dva odlišné prípady: i) členské štáty s horšími úrovňami ako priemer EÚ, v ktorých sa situácia zhoršuje alebo sa nezlepšuje dostatočne rýchlo; ii) členské štáty s úrovňami zodpovedajúcimi priemeru EÚ, v ktorých sa však situácia zhoršuje omnoho rýchlejšie ako v prípade priemeru EÚ.</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cs="Times New Roman"/>
                <w:b/>
                <w:noProof/>
                <w:sz w:val="20"/>
                <w:szCs w:val="20"/>
              </w:rPr>
              <w:t>Krajiny s kritickou situáciou</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cs="Times New Roman"/>
                <w:noProof/>
                <w:sz w:val="20"/>
                <w:szCs w:val="20"/>
              </w:rPr>
              <w:t>so skóre menej ako 1,0 pre úrovne a menej ako 1,0 pre zmeny</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cs="Times New Roman"/>
                <w:noProof/>
                <w:sz w:val="20"/>
                <w:szCs w:val="20"/>
              </w:rPr>
              <w:t>Členské štáty s omnoho horšími úrovňami ako priemer EÚ, v ktorých sa situácia zhoršuje alebo sa nezlepšuje dostatočne rýchlo.</w:t>
            </w:r>
          </w:p>
        </w:tc>
      </w:tr>
    </w:tbl>
    <w:p>
      <w:pPr>
        <w:rPr>
          <w:rFonts w:ascii="Times New Roman" w:hAnsi="Times New Roman" w:cs="Times New Roman"/>
          <w:b/>
          <w:i/>
          <w:noProof/>
          <w:sz w:val="24"/>
          <w:szCs w:val="24"/>
        </w:rPr>
      </w:pPr>
    </w:p>
    <w:tbl>
      <w:tblPr>
        <w:tblW w:w="9179" w:type="dxa"/>
        <w:tblInd w:w="113" w:type="dxa"/>
        <w:tblLook w:val="04A0" w:firstRow="1" w:lastRow="0" w:firstColumn="1" w:lastColumn="0" w:noHBand="0" w:noVBand="1"/>
      </w:tblPr>
      <w:tblGrid>
        <w:gridCol w:w="1394"/>
        <w:gridCol w:w="1557"/>
        <w:gridCol w:w="1557"/>
        <w:gridCol w:w="1557"/>
        <w:gridCol w:w="1557"/>
        <w:gridCol w:w="1557"/>
      </w:tblGrid>
      <w:tr>
        <w:trPr>
          <w:trHeight w:val="262"/>
        </w:trPr>
        <w:tc>
          <w:tcPr>
            <w:tcW w:w="1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Úroveň</w:t>
            </w:r>
          </w:p>
        </w:tc>
        <w:tc>
          <w:tcPr>
            <w:tcW w:w="778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Zmena</w:t>
            </w:r>
          </w:p>
        </w:tc>
      </w:tr>
      <w:tr>
        <w:trPr>
          <w:trHeight w:val="445"/>
        </w:trPr>
        <w:tc>
          <w:tcPr>
            <w:tcW w:w="1394" w:type="dxa"/>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Times New Roman" w:eastAsia="Times New Roman" w:hAnsi="Times New Roman" w:cs="Times New Roman"/>
                <w:noProof/>
                <w:sz w:val="20"/>
                <w:szCs w:val="20"/>
              </w:rPr>
            </w:pPr>
          </w:p>
        </w:tc>
        <w:tc>
          <w:tcPr>
            <w:tcW w:w="1557"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Oveľa vyššia ako priemer</w:t>
            </w:r>
          </w:p>
        </w:tc>
        <w:tc>
          <w:tcPr>
            <w:tcW w:w="155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Oveľa vyššia ako priemer</w:t>
            </w:r>
          </w:p>
        </w:tc>
        <w:tc>
          <w:tcPr>
            <w:tcW w:w="155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Priemerná</w:t>
            </w:r>
          </w:p>
        </w:tc>
        <w:tc>
          <w:tcPr>
            <w:tcW w:w="155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Nižšia ako priemer</w:t>
            </w:r>
          </w:p>
        </w:tc>
        <w:tc>
          <w:tcPr>
            <w:tcW w:w="155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Oveľa nižšia ako priemer</w:t>
            </w:r>
          </w:p>
        </w:tc>
      </w:tr>
      <w:tr>
        <w:trPr>
          <w:trHeight w:val="262"/>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Veľmi vysoká</w:t>
            </w:r>
          </w:p>
        </w:tc>
        <w:tc>
          <w:tcPr>
            <w:tcW w:w="1557" w:type="dxa"/>
            <w:tcBorders>
              <w:top w:val="nil"/>
              <w:left w:val="nil"/>
              <w:bottom w:val="single" w:sz="4" w:space="0" w:color="auto"/>
              <w:right w:val="single" w:sz="4" w:space="0" w:color="auto"/>
            </w:tcBorders>
            <w:shd w:val="clear" w:color="000000" w:fill="00B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00B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00B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00B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538DD5"/>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r>
        <w:trPr>
          <w:trHeight w:val="262"/>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Vysoká</w:t>
            </w:r>
          </w:p>
        </w:tc>
        <w:tc>
          <w:tcPr>
            <w:tcW w:w="1557"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538DD5"/>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r>
        <w:trPr>
          <w:trHeight w:val="262"/>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Priemerná</w:t>
            </w:r>
          </w:p>
        </w:tc>
        <w:tc>
          <w:tcPr>
            <w:tcW w:w="1557" w:type="dxa"/>
            <w:tcBorders>
              <w:top w:val="nil"/>
              <w:left w:val="nil"/>
              <w:bottom w:val="single" w:sz="4" w:space="0" w:color="auto"/>
              <w:right w:val="single" w:sz="4" w:space="0" w:color="auto"/>
            </w:tcBorders>
            <w:shd w:val="clear" w:color="000000" w:fill="92D05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r>
        <w:trPr>
          <w:trHeight w:val="262"/>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Nízka</w:t>
            </w:r>
          </w:p>
        </w:tc>
        <w:tc>
          <w:tcPr>
            <w:tcW w:w="1557" w:type="dxa"/>
            <w:tcBorders>
              <w:top w:val="nil"/>
              <w:left w:val="nil"/>
              <w:bottom w:val="single" w:sz="4" w:space="0" w:color="auto"/>
              <w:right w:val="single" w:sz="4" w:space="0" w:color="auto"/>
            </w:tcBorders>
            <w:shd w:val="clear" w:color="000000" w:fill="FFFF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C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r>
        <w:trPr>
          <w:trHeight w:val="262"/>
        </w:trPr>
        <w:tc>
          <w:tcPr>
            <w:tcW w:w="1394"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Veľmi nízka</w:t>
            </w:r>
          </w:p>
        </w:tc>
        <w:tc>
          <w:tcPr>
            <w:tcW w:w="1557" w:type="dxa"/>
            <w:tcBorders>
              <w:top w:val="nil"/>
              <w:left w:val="nil"/>
              <w:bottom w:val="single" w:sz="4" w:space="0" w:color="auto"/>
              <w:right w:val="single" w:sz="4" w:space="0" w:color="auto"/>
            </w:tcBorders>
            <w:shd w:val="clear" w:color="000000" w:fill="FFFF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0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0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0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c>
          <w:tcPr>
            <w:tcW w:w="1557" w:type="dxa"/>
            <w:tcBorders>
              <w:top w:val="nil"/>
              <w:left w:val="nil"/>
              <w:bottom w:val="single" w:sz="4" w:space="0" w:color="auto"/>
              <w:right w:val="single" w:sz="4" w:space="0" w:color="auto"/>
            </w:tcBorders>
            <w:shd w:val="clear" w:color="000000" w:fill="FF0000"/>
            <w:vAlign w:val="center"/>
            <w:hideMark/>
          </w:tcPr>
          <w:p>
            <w:pPr>
              <w:spacing w:after="0" w:line="240" w:lineRule="auto"/>
              <w:jc w:val="cente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20"/>
              </w:rPr>
              <w:t> </w:t>
            </w:r>
          </w:p>
        </w:tc>
      </w:tr>
    </w:tbl>
    <w:p>
      <w:pPr>
        <w:rPr>
          <w:rFonts w:ascii="Times New Roman" w:hAnsi="Times New Roman" w:cs="Times New Roman"/>
          <w:b/>
          <w:i/>
          <w:noProof/>
          <w:sz w:val="24"/>
          <w:szCs w:val="24"/>
        </w:rPr>
      </w:pPr>
    </w:p>
    <w:p>
      <w:pPr>
        <w:rPr>
          <w:rFonts w:ascii="Times New Roman" w:hAnsi="Times New Roman" w:cs="Times New Roman"/>
          <w:b/>
          <w:i/>
          <w:noProof/>
          <w:sz w:val="24"/>
          <w:szCs w:val="24"/>
        </w:rPr>
        <w:sectPr>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20"/>
          <w:docGrid w:linePitch="360"/>
        </w:sectPr>
      </w:pPr>
    </w:p>
    <w:p>
      <w:pPr>
        <w:spacing w:after="0"/>
        <w:rPr>
          <w:rFonts w:ascii="Times New Roman" w:hAnsi="Times New Roman" w:cs="Times New Roman"/>
          <w:b/>
          <w:i/>
          <w:noProof/>
          <w:sz w:val="24"/>
          <w:szCs w:val="24"/>
        </w:rPr>
      </w:pPr>
      <w:r>
        <w:rPr>
          <w:rFonts w:ascii="Times New Roman" w:hAnsi="Times New Roman" w:cs="Times New Roman"/>
          <w:b/>
          <w:i/>
          <w:noProof/>
          <w:sz w:val="24"/>
          <w:szCs w:val="24"/>
        </w:rPr>
        <w:t>Súhrnná tabuľka medzných bodov</w:t>
      </w:r>
    </w:p>
    <w:tbl>
      <w:tblPr>
        <w:tblW w:w="132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08"/>
        <w:gridCol w:w="845"/>
        <w:gridCol w:w="1476"/>
        <w:gridCol w:w="1360"/>
        <w:gridCol w:w="2218"/>
        <w:gridCol w:w="1532"/>
        <w:gridCol w:w="1492"/>
      </w:tblGrid>
      <w:tr>
        <w:trPr>
          <w:trHeight w:val="409"/>
        </w:trPr>
        <w:tc>
          <w:tcPr>
            <w:tcW w:w="4308" w:type="dxa"/>
            <w:shd w:val="clear" w:color="auto" w:fill="auto"/>
            <w:vAlign w:val="center"/>
            <w:hideMark/>
          </w:tcPr>
          <w:p>
            <w:pPr>
              <w:spacing w:after="0" w:line="240" w:lineRule="auto"/>
              <w:rPr>
                <w:rFonts w:ascii="Times New Roman" w:eastAsia="Times New Roman" w:hAnsi="Times New Roman" w:cs="Times New Roman"/>
                <w:b/>
                <w:noProof/>
                <w:color w:val="000000"/>
                <w:sz w:val="20"/>
                <w:szCs w:val="20"/>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lang w:eastAsia="en-GB"/>
              </w:rPr>
            </w:pP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veľmi nízka</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nízka</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priemerná</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vysoká</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veľmi vysoká</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 xml:space="preserve">Osoby, ktoré predčasne ukončili školskú dochádzku </w:t>
            </w:r>
          </w:p>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(v % obyvateľstva vo veku 18 – 24 rokov)</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5,1 %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7,0 %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7,0 % a 10,8 %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10,8 %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12,7 %</w:t>
            </w:r>
          </w:p>
        </w:tc>
      </w:tr>
      <w:tr>
        <w:trPr>
          <w:trHeight w:hRule="exact" w:val="436"/>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–0,9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–0,6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highlight w:val="yellow"/>
              </w:rPr>
            </w:pPr>
            <w:r>
              <w:rPr>
                <w:rFonts w:ascii="Times New Roman" w:hAnsi="Times New Roman" w:cs="Times New Roman"/>
                <w:noProof/>
                <w:color w:val="000000"/>
                <w:sz w:val="16"/>
                <w:szCs w:val="16"/>
              </w:rPr>
              <w:t>medzi –0,6 a 0,2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0,2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0,5 perc. bodu</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Rozdiel v zamestnanosti žien a mužov (v perc. bodoch)</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4,9 %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7,6 %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7,6 % a 13,0 %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13,0 %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15,6 %</w:t>
            </w:r>
          </w:p>
        </w:tc>
      </w:tr>
      <w:tr>
        <w:trPr>
          <w:trHeight w:hRule="exact" w:val="459"/>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–1,4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–0,8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–0,8 a 0,2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0,2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0,7 perc. bodu</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Pomer príjmov horného a dolného kvintilu (S80/S20)</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3,6</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4,2</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4,2 a 5,4</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5,4</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6,0</w:t>
            </w:r>
          </w:p>
        </w:tc>
      </w:tr>
      <w:tr>
        <w:trPr>
          <w:trHeight w:hRule="exact" w:val="299"/>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–0,3</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–0,2</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–0,2 a 0,1</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0,1</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0,2</w:t>
            </w:r>
          </w:p>
        </w:tc>
      </w:tr>
      <w:tr>
        <w:trPr>
          <w:trHeight w:hRule="exact" w:val="289"/>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Ohrození chudobou alebo sociálnym vylúčením (v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15,7 %</w:t>
            </w:r>
          </w:p>
        </w:tc>
        <w:tc>
          <w:tcPr>
            <w:tcW w:w="1360" w:type="dxa"/>
            <w:shd w:val="clear" w:color="auto" w:fill="auto"/>
            <w:noWrap/>
            <w:vAlign w:val="center"/>
            <w:hideMark/>
          </w:tcPr>
          <w:p>
            <w:pPr>
              <w:spacing w:after="0" w:line="240" w:lineRule="auto"/>
              <w:ind w:left="-109" w:right="-27"/>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18,3 %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18,3 % a 23,6 %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23,6 %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26,2 %</w:t>
            </w:r>
          </w:p>
        </w:tc>
      </w:tr>
      <w:tr>
        <w:trPr>
          <w:trHeight w:hRule="exact" w:val="567"/>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–1,4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–1,0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–1,0 perc. bodu a –0,2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–0,2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0,2 perc. bodu</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Miera NEET v prípade mladých ľudí (v % celkovej populácie vo veku 15 – 24 rokov)</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7,4 %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9,2 %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9,2 % a 12,3 %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12,3 %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14,4 %</w:t>
            </w:r>
          </w:p>
        </w:tc>
      </w:tr>
      <w:tr>
        <w:trPr>
          <w:trHeight w:hRule="exact" w:val="465"/>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highlight w:val="yellow"/>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0,3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0,9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0,9 perc. bodu a 2,1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2,1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2,7 perc. bodu</w:t>
            </w:r>
          </w:p>
        </w:tc>
      </w:tr>
      <w:tr>
        <w:trPr>
          <w:trHeight w:hRule="exact" w:val="415"/>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 xml:space="preserve">Miera zamestnanosti (v % populácie vo veku 20 – 64 rokov)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68,1 %</w:t>
            </w:r>
          </w:p>
        </w:tc>
        <w:tc>
          <w:tcPr>
            <w:tcW w:w="1360" w:type="dxa"/>
            <w:shd w:val="clear" w:color="auto" w:fill="auto"/>
            <w:noWrap/>
            <w:vAlign w:val="center"/>
            <w:hideMark/>
          </w:tcPr>
          <w:p>
            <w:pPr>
              <w:spacing w:after="0" w:line="240" w:lineRule="auto"/>
              <w:ind w:left="-109" w:right="-27"/>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70,7 %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70,7 % a 76,0 %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76,0 %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78,7 %</w:t>
            </w:r>
          </w:p>
        </w:tc>
      </w:tr>
      <w:tr>
        <w:trPr>
          <w:trHeight w:hRule="exact" w:val="517"/>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–2,3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–1,8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–1,8 perc. bodu a –0,8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–0,8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–0,3 perc. bodu</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 xml:space="preserve">Miera nezamestnanosti (v % ekonomicky aktívneho obyvateľstva vo veku 15 – 74 rokov)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3,4 %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5,0 %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5,0 % a 8,2 %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8,2 %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9,8 %</w:t>
            </w:r>
          </w:p>
        </w:tc>
      </w:tr>
      <w:tr>
        <w:trPr>
          <w:trHeight w:hRule="exact" w:val="503"/>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–0,4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0,1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0,1 perc. bodu a 1,1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1,1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1,6 perc. bodu</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Miera dlhodobej nezamestnanosti (v % ekonomicky aktívneho obyvateľstva vo veku 15 – 74 rokov)</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0,0 %</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1,0 %</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1,0 % a 3,1 %</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3,1 %</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4,1 %</w:t>
            </w:r>
          </w:p>
        </w:tc>
      </w:tr>
      <w:tr>
        <w:trPr>
          <w:trHeight w:hRule="exact" w:val="442"/>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–0,9 perc. bodu</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–0,6 perc. bodu</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–0,6 perc. bodu a 0,0 perc. bodu</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0,0 perc. bodu</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0,3 perc. bodu</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Reálny HDPD na obyvateľa (2008 = 100)</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100,2</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106,6</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106,6 a 119,3</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119,3</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125,7</w:t>
            </w:r>
          </w:p>
        </w:tc>
      </w:tr>
      <w:tr>
        <w:trPr>
          <w:trHeight w:hRule="exact" w:val="453"/>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0,8 perc. bodu</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1,7 perc. bodu</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1,7 perc. bodu a 3,5 perc. bodu</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3,5 perc. bodu</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4,5 perc. bodu</w:t>
            </w:r>
          </w:p>
        </w:tc>
      </w:tr>
      <w:tr>
        <w:trPr>
          <w:trHeight w:val="341"/>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Čisté príjmy slobodného pracovníka na plný pracovný čas, ktorý zarába priemernú mzdu (úrovne v PPS, zmeny v národnej mene v reálnom vyjadrení)</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14 030</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17 456</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17 456 do 24 308</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24 308</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27 734</w:t>
            </w:r>
          </w:p>
        </w:tc>
      </w:tr>
      <w:tr>
        <w:trPr>
          <w:trHeight w:val="341"/>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–0,1 %</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1,4 %</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1,4 % a 4,5 %</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4,5 %</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6,0 %</w:t>
            </w:r>
          </w:p>
        </w:tc>
      </w:tr>
      <w:tr>
        <w:trPr>
          <w:trHeight w:hRule="exact" w:val="427"/>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Vplyv sociálnych transferov (okrem dôchodkov) na znižovanie chudoby (v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24,5 %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29,4 %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29,4 % a 39,1 %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39,1 %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44,0 %</w:t>
            </w:r>
          </w:p>
        </w:tc>
      </w:tr>
      <w:tr>
        <w:trPr>
          <w:trHeight w:hRule="exact" w:val="436"/>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–3,9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–1,9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–1,9 perc. bodu a 2,1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2,1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4,1 perc. bodu</w:t>
            </w:r>
          </w:p>
        </w:tc>
      </w:tr>
      <w:tr>
        <w:trPr>
          <w:trHeight w:hRule="exact" w:val="42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Deti vo veku menej ako 3 roky navštevujúce zariadenia formálnej starostlivosti o deti (v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17,8 %</w:t>
            </w:r>
          </w:p>
        </w:tc>
        <w:tc>
          <w:tcPr>
            <w:tcW w:w="1360" w:type="dxa"/>
            <w:shd w:val="clear" w:color="auto" w:fill="auto"/>
            <w:noWrap/>
            <w:vAlign w:val="center"/>
            <w:hideMark/>
          </w:tcPr>
          <w:p>
            <w:pPr>
              <w:spacing w:after="0" w:line="240" w:lineRule="auto"/>
              <w:ind w:right="-27"/>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26,7 %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26,7 % a 44,6 %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44,6 %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53,5 %</w:t>
            </w:r>
          </w:p>
        </w:tc>
      </w:tr>
      <w:tr>
        <w:trPr>
          <w:trHeight w:hRule="exact" w:val="459"/>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–2,1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–0,3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–0,3 perc. bodu a 3,1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3,1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4,9 perc. bodu</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Subjektívne neuspokojená potreba lekárskeho vyšetrenia (v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–0,8 %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0,9 %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0,9 % a 4,3 %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6,0 %</w:t>
            </w:r>
          </w:p>
        </w:tc>
      </w:tr>
      <w:tr>
        <w:trPr>
          <w:trHeight w:hRule="exact" w:val="415"/>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–0,7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–0,5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–0,5 perc. bodu a 0,0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0,0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0,3 perc. bodu</w:t>
            </w:r>
          </w:p>
        </w:tc>
      </w:tr>
      <w:tr>
        <w:trPr>
          <w:trHeight w:hRule="exact" w:val="435"/>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cs="Times New Roman"/>
                <w:b/>
                <w:noProof/>
                <w:color w:val="000000"/>
                <w:sz w:val="16"/>
                <w:szCs w:val="16"/>
              </w:rPr>
              <w:t>Osoby s buď základnými, alebo pokročilejšími všeobecnými digitálnymi zručnosťami (v % obyvateľstva vo veku 16 – 74 rokov)</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Úrovne</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43,8 %</w:t>
            </w:r>
          </w:p>
        </w:tc>
        <w:tc>
          <w:tcPr>
            <w:tcW w:w="1360" w:type="dxa"/>
            <w:shd w:val="clear" w:color="auto" w:fill="auto"/>
            <w:noWrap/>
            <w:vAlign w:val="center"/>
            <w:hideMark/>
          </w:tcPr>
          <w:p>
            <w:pPr>
              <w:spacing w:after="0" w:line="240" w:lineRule="auto"/>
              <w:ind w:left="-109" w:right="-27"/>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49,9 %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49,9 % a 62,0 %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62,0 %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68,0 %</w:t>
            </w:r>
          </w:p>
        </w:tc>
      </w:tr>
      <w:tr>
        <w:trPr>
          <w:trHeight w:hRule="exact" w:val="412"/>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Zmeny</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–5,7 perc. bodu</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menej ako –3,0 perc. bodu</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medzi –3,0 perc. bodu a 2,6 perc. bodu</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2,6 perc. bodu</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cs="Times New Roman"/>
                <w:noProof/>
                <w:color w:val="000000"/>
                <w:sz w:val="16"/>
                <w:szCs w:val="16"/>
              </w:rPr>
              <w:t>viac ako 4,9 perc. bodu</w:t>
            </w:r>
          </w:p>
        </w:tc>
      </w:tr>
    </w:tbl>
    <w:p>
      <w:pPr>
        <w:spacing w:line="240" w:lineRule="auto"/>
        <w:rPr>
          <w:rFonts w:ascii="Times New Roman" w:hAnsi="Times New Roman" w:cs="Times New Roman"/>
          <w:noProof/>
        </w:rPr>
        <w:sectPr>
          <w:headerReference w:type="even" r:id="rId37"/>
          <w:headerReference w:type="default" r:id="rId38"/>
          <w:footerReference w:type="even" r:id="rId39"/>
          <w:footerReference w:type="default" r:id="rId40"/>
          <w:headerReference w:type="first" r:id="rId41"/>
          <w:footerReference w:type="first" r:id="rId42"/>
          <w:pgSz w:w="16838" w:h="11906" w:orient="landscape"/>
          <w:pgMar w:top="1417" w:right="1417" w:bottom="1417" w:left="1417" w:header="708" w:footer="708" w:gutter="0"/>
          <w:cols w:space="720"/>
          <w:docGrid w:linePitch="360"/>
        </w:sectPr>
      </w:pPr>
    </w:p>
    <w:p>
      <w:pPr>
        <w:jc w:val="both"/>
        <w:rPr>
          <w:rFonts w:ascii="Times New Roman" w:eastAsia="Calibri" w:hAnsi="Times New Roman" w:cs="Times New Roman"/>
          <w:b/>
          <w:noProof/>
          <w:sz w:val="24"/>
          <w:szCs w:val="24"/>
        </w:rPr>
      </w:pPr>
      <w:r>
        <w:rPr>
          <w:rFonts w:ascii="Times New Roman" w:hAnsi="Times New Roman" w:cs="Times New Roman"/>
          <w:b/>
          <w:noProof/>
          <w:sz w:val="24"/>
          <w:szCs w:val="24"/>
        </w:rPr>
        <w:t>Príloha 6. Súhrnný prehľad „trendov zamestnanosti, ktoré treba sledovať“, a počet členských štátov, ktoré zaznamenali zhoršenie alebo zlepšenie, podľa zistení z monitora výsledkov v oblasti zamestnanosti za rok 2020.</w:t>
      </w:r>
    </w:p>
    <w:p>
      <w:pPr>
        <w:spacing w:line="240" w:lineRule="auto"/>
        <w:rPr>
          <w:rFonts w:ascii="Times New Roman" w:hAnsi="Times New Roman" w:cs="Times New Roman"/>
          <w:noProof/>
          <w:sz w:val="24"/>
          <w:szCs w:val="24"/>
        </w:rPr>
      </w:pPr>
      <w:r>
        <w:rPr>
          <w:noProof/>
          <w:lang w:val="en-GB" w:eastAsia="en-GB"/>
        </w:rPr>
        <w:drawing>
          <wp:inline distT="0" distB="0" distL="0" distR="0">
            <wp:extent cx="5760720" cy="35118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511881"/>
                    </a:xfrm>
                    <a:prstGeom prst="rect">
                      <a:avLst/>
                    </a:prstGeom>
                    <a:noFill/>
                    <a:ln>
                      <a:noFill/>
                    </a:ln>
                  </pic:spPr>
                </pic:pic>
              </a:graphicData>
            </a:graphic>
          </wp:inline>
        </w:drawing>
      </w:r>
    </w:p>
    <w:p>
      <w:pPr>
        <w:spacing w:line="240" w:lineRule="auto"/>
        <w:rPr>
          <w:rFonts w:ascii="Times New Roman" w:hAnsi="Times New Roman" w:cs="Times New Roman"/>
          <w:noProof/>
        </w:rPr>
      </w:pPr>
    </w:p>
    <w:p>
      <w:pPr>
        <w:jc w:val="both"/>
        <w:rPr>
          <w:rFonts w:ascii="Times New Roman" w:hAnsi="Times New Roman" w:cs="Times New Roman"/>
          <w:noProof/>
          <w:sz w:val="20"/>
        </w:rPr>
      </w:pPr>
      <w:r>
        <w:rPr>
          <w:rFonts w:ascii="Times New Roman" w:hAnsi="Times New Roman" w:cs="Times New Roman"/>
          <w:noProof/>
          <w:sz w:val="20"/>
        </w:rPr>
        <w:t>Poznámka: zmeny 2018 – 2019, s výnimkou miery rizika chudoby nezamestnaných a pasce nezamestnanosti a rozdielov v odmeňovaní žien a mužov, kde sa skúma obdobie 2017 – 2018.</w:t>
      </w:r>
    </w:p>
    <w:p>
      <w:pPr>
        <w:spacing w:line="240" w:lineRule="auto"/>
        <w:rPr>
          <w:rFonts w:ascii="Times New Roman" w:hAnsi="Times New Roman" w:cs="Times New Roman"/>
          <w:noProof/>
        </w:rPr>
      </w:pPr>
    </w:p>
    <w:p>
      <w:pPr>
        <w:rPr>
          <w:rFonts w:ascii="Times New Roman" w:eastAsia="Calibri" w:hAnsi="Times New Roman" w:cs="Times New Roman"/>
          <w:b/>
          <w:noProof/>
          <w:sz w:val="24"/>
          <w:szCs w:val="24"/>
        </w:rPr>
      </w:pPr>
      <w:r>
        <w:rPr>
          <w:rFonts w:ascii="Times New Roman" w:hAnsi="Times New Roman" w:cs="Times New Roman"/>
          <w:noProof/>
        </w:rPr>
        <w:br w:type="page"/>
      </w:r>
    </w:p>
    <w:p>
      <w:pPr>
        <w:jc w:val="both"/>
        <w:rPr>
          <w:rFonts w:ascii="Times New Roman" w:hAnsi="Times New Roman" w:cs="Times New Roman"/>
          <w:b/>
          <w:noProof/>
          <w:sz w:val="24"/>
          <w:szCs w:val="24"/>
        </w:rPr>
      </w:pPr>
      <w:r>
        <w:rPr>
          <w:rFonts w:ascii="Times New Roman" w:hAnsi="Times New Roman" w:cs="Times New Roman"/>
          <w:b/>
          <w:noProof/>
          <w:sz w:val="24"/>
          <w:szCs w:val="24"/>
        </w:rPr>
        <w:t>Príloha 7. Súhrnný prehľad „sociálnych trendov, ktoré treba sledovať“, a počet členských štátov, ktoré v období 2017 – 2018 zaznamenali zhoršenie alebo zlepšenie, podľa zistení monitora výsledkov v oblasti sociálnej ochrany z júna 2020.</w:t>
      </w:r>
    </w:p>
    <w:p>
      <w:pPr>
        <w:jc w:val="both"/>
        <w:rPr>
          <w:rFonts w:ascii="Times New Roman" w:eastAsia="Calibri" w:hAnsi="Times New Roman" w:cs="Times New Roman"/>
          <w:b/>
          <w:noProof/>
          <w:sz w:val="24"/>
          <w:szCs w:val="24"/>
        </w:rPr>
      </w:pPr>
    </w:p>
    <w:p>
      <w:pPr>
        <w:spacing w:line="240" w:lineRule="auto"/>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888990" cy="5718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8990" cy="5718810"/>
                    </a:xfrm>
                    <a:prstGeom prst="rect">
                      <a:avLst/>
                    </a:prstGeom>
                    <a:noFill/>
                  </pic:spPr>
                </pic:pic>
              </a:graphicData>
            </a:graphic>
          </wp:inline>
        </w:drawing>
      </w:r>
    </w:p>
    <w:p>
      <w:pPr>
        <w:jc w:val="both"/>
        <w:rPr>
          <w:rFonts w:ascii="Times New Roman" w:hAnsi="Times New Roman" w:cs="Times New Roman"/>
          <w:iCs/>
          <w:noProof/>
          <w:sz w:val="24"/>
          <w:szCs w:val="24"/>
        </w:rPr>
      </w:pPr>
      <w:r>
        <w:rPr>
          <w:rFonts w:ascii="Times New Roman" w:hAnsi="Times New Roman" w:cs="Times New Roman"/>
          <w:noProof/>
          <w:sz w:val="20"/>
        </w:rPr>
        <w:t xml:space="preserve">Poznámka: V prípade ukazovateľov založených na štatistike EÚ o príjmoch a životných podmienkach (EU-SILC) sa zmeny vo všeobecnosti vzťahujú na obdobie 2016 – 2017 pri ukazovateľoch príjmov a pracovnej intenzity domácností. </w:t>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rPr>
      </w:pPr>
    </w:p>
    <w:sectPr>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084382"/>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28</w:t>
        </w:r>
        <w:r>
          <w:rPr>
            <w:rFonts w:ascii="Times New Roman" w:hAnsi="Times New Roman" w:cs="Times New Roman"/>
            <w:sz w:val="24"/>
            <w:szCs w:val="24"/>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199749"/>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256634"/>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27</w:t>
        </w:r>
        <w:r>
          <w:rPr>
            <w:rFonts w:ascii="Times New Roman" w:hAnsi="Times New Roman" w:cs="Times New Roman"/>
            <w:sz w:val="24"/>
            <w:szCs w:val="24"/>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 xml:space="preserve">Poznámka: Členenia na regionálnej úrovni (NUTS 2). Ak nie je regionálne členenie (NUTS 2) k dispozícii alebo je štatisticky nespoľahlivé, v mapách sa uvádza regionálne členenie NUTS 1 alebo vnútroštátne členenie. </w:t>
      </w:r>
    </w:p>
  </w:footnote>
  <w:footnote w:id="2">
    <w:p>
      <w:pPr>
        <w:pStyle w:val="FootnoteText"/>
        <w:ind w:left="284" w:hanging="284"/>
        <w:jc w:val="both"/>
        <w:rPr>
          <w:rFonts w:ascii="Times New Roman" w:hAnsi="Times New Roman" w:cs="Times New Roman"/>
        </w:rPr>
      </w:pPr>
      <w:r>
        <w:rPr>
          <w:rStyle w:val="FootnoteReference"/>
          <w:rFonts w:cs="Times New Roman"/>
        </w:rPr>
        <w:footnoteRef/>
      </w:r>
      <w:r>
        <w:rPr>
          <w:rFonts w:ascii="Times New Roman" w:hAnsi="Times New Roman"/>
        </w:rPr>
        <w:t xml:space="preserve"> </w:t>
      </w:r>
      <w:r>
        <w:rPr>
          <w:rFonts w:ascii="Times New Roman" w:hAnsi="Times New Roman"/>
        </w:rPr>
        <w:tab/>
        <w:t>S výnimkou nového ukazovateľa „čisté príjmy slobodného bezdetného zamestnanca na plný pracovný čas s priemernou mzdou“, pri ktorom sa na odstránenie krátkodobých výkyvov používajú 3-ročné priemery pre úrovne, ako aj pre zmeny.</w:t>
      </w:r>
    </w:p>
  </w:footnote>
  <w:footnote w:id="3">
    <w:p>
      <w:pPr>
        <w:pStyle w:val="FootnoteText"/>
        <w:ind w:left="284" w:hanging="284"/>
        <w:jc w:val="both"/>
        <w:rPr>
          <w:rFonts w:ascii="Times New Roman" w:hAnsi="Times New Roman" w:cs="Times New Roman"/>
        </w:rPr>
      </w:pPr>
      <w:r>
        <w:rPr>
          <w:rStyle w:val="FootnoteReference"/>
          <w:rFonts w:cs="Times New Roman"/>
        </w:rPr>
        <w:footnoteRef/>
      </w:r>
      <w:r>
        <w:rPr>
          <w:rFonts w:ascii="Times New Roman" w:hAnsi="Times New Roman"/>
        </w:rPr>
        <w:t xml:space="preserve"> </w:t>
      </w:r>
      <w:r>
        <w:rPr>
          <w:rFonts w:ascii="Times New Roman" w:hAnsi="Times New Roman"/>
        </w:rPr>
        <w:tab/>
        <w:t>Boli vykonané kontrolné skúšky normality a rozdelenia v dvoch osiach (distribúcia v tvare T) a výsledkom bolo odmietnutie akejkoľvek distribučnej hypotézy.</w:t>
      </w:r>
    </w:p>
  </w:footnote>
  <w:footnote w:id="4">
    <w:p>
      <w:pPr>
        <w:pStyle w:val="FootnoteText"/>
        <w:ind w:left="284" w:hanging="284"/>
        <w:jc w:val="both"/>
        <w:rPr>
          <w:rFonts w:ascii="Times New Roman" w:hAnsi="Times New Roman" w:cs="Times New Roman"/>
        </w:rPr>
      </w:pPr>
      <w:r>
        <w:rPr>
          <w:rStyle w:val="FootnoteReference"/>
          <w:rFonts w:cs="Times New Roman"/>
        </w:rPr>
        <w:footnoteRef/>
      </w:r>
      <w:r>
        <w:rPr>
          <w:rFonts w:ascii="Times New Roman" w:hAnsi="Times New Roman"/>
        </w:rPr>
        <w:t xml:space="preserve"> </w:t>
      </w:r>
      <w:r>
        <w:rPr>
          <w:rFonts w:ascii="Times New Roman" w:hAnsi="Times New Roman"/>
        </w:rPr>
        <w:tab/>
        <w:t>V prípade normality zvolené medzné body zhruba zodpovedajú podielom 15 %, 30 %, 50 %, 70 % a 85 % kumulatívneho rozdelenia.</w:t>
      </w:r>
    </w:p>
  </w:footnote>
  <w:footnote w:id="5">
    <w:p>
      <w:pPr>
        <w:pStyle w:val="FootnoteText"/>
        <w:ind w:left="284" w:hanging="284"/>
        <w:jc w:val="both"/>
        <w:rPr>
          <w:rFonts w:ascii="Times New Roman" w:hAnsi="Times New Roman" w:cs="Times New Roman"/>
        </w:rPr>
      </w:pPr>
      <w:r>
        <w:rPr>
          <w:rStyle w:val="FootnoteReference"/>
          <w:rFonts w:cs="Times New Roman"/>
        </w:rPr>
        <w:footnoteRef/>
      </w:r>
      <w:r>
        <w:rPr>
          <w:rFonts w:ascii="Times New Roman" w:hAnsi="Times New Roman"/>
        </w:rPr>
        <w:t xml:space="preserve"> </w:t>
      </w:r>
      <w:r>
        <w:rPr>
          <w:rFonts w:ascii="Times New Roman" w:hAnsi="Times New Roman"/>
        </w:rPr>
        <w:tab/>
        <w:t>Posledná uvedená podmienka bráni tomu, aby bol členský štát, ktorý dosahuje „nízku“ alebo „veľmi nízku“ úroveň, označený za „krajinu so zhoršujúcimi sa výsledkami“, keď vykazuje zmenu „omnoho vyššiu ako priemer“, ale predsa zlepšujúcu sa.</w:t>
      </w:r>
    </w:p>
  </w:footnote>
  <w:footnote w:id="6">
    <w:p>
      <w:pPr>
        <w:pStyle w:val="FootnoteText"/>
        <w:ind w:left="284" w:hanging="284"/>
        <w:jc w:val="both"/>
        <w:rPr>
          <w:rFonts w:ascii="Times New Roman" w:hAnsi="Times New Roman" w:cs="Times New Roman"/>
        </w:rPr>
      </w:pPr>
      <w:r>
        <w:rPr>
          <w:rStyle w:val="FootnoteReference"/>
          <w:rFonts w:cs="Times New Roman"/>
        </w:rPr>
        <w:footnoteRef/>
      </w:r>
      <w:r>
        <w:rPr>
          <w:rFonts w:ascii="Times New Roman" w:hAnsi="Times New Roman"/>
        </w:rPr>
        <w:t xml:space="preserve"> </w:t>
      </w:r>
      <w:r>
        <w:rPr>
          <w:rFonts w:ascii="Times New Roman" w:hAnsi="Times New Roman"/>
        </w:rPr>
        <w:tab/>
        <w:t>Posledná uvedená podmienka bráni tomu, aby bol členský štát, ktorý dosahuje „priemernú“ úroveň, označený za „krajinu s výsledkami, ktoré treba sledovať“, keď vykazuje zmenu „omnoho vyššiu ako priemer“, ale predsa zlepšujúcu sa.</w:t>
      </w:r>
    </w:p>
  </w:footnote>
  <w:footnote w:id="7">
    <w:p>
      <w:pPr>
        <w:pStyle w:val="FootnoteText"/>
        <w:ind w:left="284" w:hanging="284"/>
        <w:jc w:val="both"/>
        <w:rPr>
          <w:rFonts w:ascii="Times New Roman" w:hAnsi="Times New Roman" w:cs="Times New Roman"/>
        </w:rPr>
      </w:pPr>
      <w:r>
        <w:rPr>
          <w:rStyle w:val="FootnoteReference"/>
          <w:rFonts w:cs="Times New Roman"/>
        </w:rPr>
        <w:footnoteRef/>
      </w:r>
      <w:r>
        <w:rPr>
          <w:rFonts w:ascii="Times New Roman" w:hAnsi="Times New Roman"/>
        </w:rPr>
        <w:t xml:space="preserve"> </w:t>
      </w:r>
      <w:r>
        <w:rPr>
          <w:rFonts w:ascii="Times New Roman" w:hAnsi="Times New Roman"/>
        </w:rPr>
        <w:tab/>
        <w:t>Posledná uvedená podmienka bráni tomu, aby bol členský štát, ktorý dosahuje „vysokú“ alebo „veľmi vysokú“ úroveň, označený za štát so „zhoršujúcimi sa výsledkami“, keď vykazuje zmenu „omnoho nižšiu ako priemer“, ale predsa zlepšujúcu sa.</w:t>
      </w:r>
    </w:p>
  </w:footnote>
  <w:footnote w:id="8">
    <w:p>
      <w:pPr>
        <w:pStyle w:val="FootnoteText"/>
        <w:ind w:left="284" w:hanging="284"/>
        <w:jc w:val="both"/>
        <w:rPr>
          <w:rFonts w:ascii="Times New Roman" w:hAnsi="Times New Roman" w:cs="Times New Roman"/>
        </w:rPr>
      </w:pPr>
      <w:r>
        <w:rPr>
          <w:rStyle w:val="FootnoteReference"/>
          <w:rFonts w:cs="Times New Roman"/>
        </w:rPr>
        <w:footnoteRef/>
      </w:r>
      <w:r>
        <w:rPr>
          <w:rFonts w:ascii="Times New Roman" w:hAnsi="Times New Roman"/>
        </w:rPr>
        <w:t xml:space="preserve"> </w:t>
      </w:r>
      <w:r>
        <w:rPr>
          <w:rFonts w:ascii="Times New Roman" w:hAnsi="Times New Roman"/>
        </w:rPr>
        <w:tab/>
        <w:t>Posledná uvedená podmienka bráni tomu, aby bol členský štát, ktorý dosahuje „priemernú“ úroveň, označený za „krajinu s výsledkami, ktoré treba sledovať“, keď vykazuje zmenu „omnoho nižšiu ako priemer“, ale predsa zlepšujúcu 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k"/>
    <w:docVar w:name="LW_ANNEX_NBR_FIRST" w:val="1"/>
    <w:docVar w:name="LW_ANNEX_NBR_LAST" w:val="7"/>
    <w:docVar w:name="LW_ANNEX_UNIQUE" w:val="0"/>
    <w:docVar w:name="LW_CORRIGENDUM" w:val="&lt;UNUSED&gt;"/>
    <w:docVar w:name="LW_COVERPAGE_EXISTS" w:val="True"/>
    <w:docVar w:name="LW_COVERPAGE_GUID" w:val="0D34A4A4-A711-4B6F-91BE-1046D104CB57"/>
    <w:docVar w:name="LW_COVERPAGE_TYPE" w:val="1"/>
    <w:docVar w:name="LW_CROSSREFERENCE" w:val="&lt;UNUSED&gt;"/>
    <w:docVar w:name="LW_DocType" w:val="NORMAL"/>
    <w:docVar w:name="LW_EMISSION" w:val="18. 11. 2020"/>
    <w:docVar w:name="LW_EMISSION_ISODATE" w:val="2020-11-18"/>
    <w:docVar w:name="LW_EMISSION_LOCATION" w:val="BRX"/>
    <w:docVar w:name="LW_EMISSION_PREFIX" w:val="V Bruseli"/>
    <w:docVar w:name="LW_EMISSION_SUFFIX" w:val=" "/>
    <w:docVar w:name="LW_ID_DOCTYPE_NONLW" w:val="CP-039"/>
    <w:docVar w:name="LW_LANGUE" w:val="SK"/>
    <w:docVar w:name="LW_LEVEL_OF_SENSITIVITY" w:val="Standard treatment"/>
    <w:docVar w:name="LW_NOM.INST" w:val="EURÓPSKA KOMISIA"/>
    <w:docVar w:name="LW_NOM.INST_JOINTDOC" w:val="&lt;EMPTY&gt;"/>
    <w:docVar w:name="LW_OBJETACTEPRINCIPAL.CP" w:val=" "/>
    <w:docVar w:name="LW_PART_NBR" w:val="&lt;UNUSED&gt;"/>
    <w:docVar w:name="LW_PART_NBR_TOTAL" w:val="&lt;UNUSED&gt;"/>
    <w:docVar w:name="LW_REF.INST.NEW" w:val="COM"/>
    <w:docVar w:name="LW_REF.INST.NEW_ADOPTED" w:val="final"/>
    <w:docVar w:name="LW_REF.INST.NEW_TEXT" w:val="(2020) 7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ÍLOHY_x000b_"/>
    <w:docVar w:name="LW_TYPEACTEPRINCIPAL.CP" w:val="NÁVRHU SPOLO\u268?NEJ SPRÁVY KOMISIE _x000b_A RADY O ZAMESTNANOSTI"/>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lang w:eastAsia="el-GR" w:bidi="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sk-SK" w:eastAsia="el-GR" w:bidi="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z w:val="24"/>
      <w:szCs w:val="28"/>
      <w:lang w:val="sk-SK"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sz w:val="32"/>
      <w:szCs w:val="28"/>
      <w:lang w:val="sk-SK"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z w:val="24"/>
      <w:szCs w:val="28"/>
      <w:lang w:val="sk-SK"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sz w:val="32"/>
      <w:szCs w:val="28"/>
      <w:lang w:val="sk-SK" w:eastAsia="el-GR" w:bidi="el-G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sz w:val="28"/>
      <w:szCs w:val="28"/>
      <w:lang w:val="sk-SK" w:eastAsia="el-GR" w:bidi="el-G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lang w:val="sk-SK"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rPr>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rPr>
      <w:lang w:val="sk-SK" w:eastAsia="el-GR" w:bidi="el-G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aliases w:val="caption,caption1,caption2,caption3"/>
    <w:basedOn w:val="Normal"/>
    <w:next w:val="Normal"/>
    <w:unhideWhenUsed/>
    <w:qFormat/>
    <w:rPr>
      <w:rFonts w:ascii="Calibri" w:eastAsia="Times New Roman" w:hAnsi="Calibri" w:cs="Times New Roman"/>
      <w:b/>
      <w:bCs/>
      <w:sz w:val="18"/>
      <w:szCs w:val="18"/>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lang w:eastAsia="el-GR" w:bidi="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sk-SK" w:eastAsia="el-GR" w:bidi="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z w:val="24"/>
      <w:szCs w:val="28"/>
      <w:lang w:val="sk-SK"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sz w:val="32"/>
      <w:szCs w:val="28"/>
      <w:lang w:val="sk-SK"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z w:val="24"/>
      <w:szCs w:val="28"/>
      <w:lang w:val="sk-SK"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sz w:val="32"/>
      <w:szCs w:val="28"/>
      <w:lang w:val="sk-SK" w:eastAsia="el-GR" w:bidi="el-G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sz w:val="28"/>
      <w:szCs w:val="28"/>
      <w:lang w:val="sk-SK" w:eastAsia="el-GR" w:bidi="el-G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lang w:val="sk-SK"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rPr>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rPr>
      <w:lang w:val="sk-SK" w:eastAsia="el-GR" w:bidi="el-G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aliases w:val="caption,caption1,caption2,caption3"/>
    <w:basedOn w:val="Normal"/>
    <w:next w:val="Normal"/>
    <w:unhideWhenUsed/>
    <w:qFormat/>
    <w:rPr>
      <w:rFonts w:ascii="Calibri" w:eastAsia="Times New Roman" w:hAnsi="Calibri" w:cs="Times New Roman"/>
      <w:b/>
      <w:bCs/>
      <w:sz w:val="18"/>
      <w:szCs w:val="18"/>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66100">
      <w:bodyDiv w:val="1"/>
      <w:marLeft w:val="0"/>
      <w:marRight w:val="0"/>
      <w:marTop w:val="0"/>
      <w:marBottom w:val="0"/>
      <w:divBdr>
        <w:top w:val="none" w:sz="0" w:space="0" w:color="auto"/>
        <w:left w:val="none" w:sz="0" w:space="0" w:color="auto"/>
        <w:bottom w:val="none" w:sz="0" w:space="0" w:color="auto"/>
        <w:right w:val="none" w:sz="0" w:space="0" w:color="auto"/>
      </w:divBdr>
    </w:div>
    <w:div w:id="608665227">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61758684">
      <w:bodyDiv w:val="1"/>
      <w:marLeft w:val="0"/>
      <w:marRight w:val="0"/>
      <w:marTop w:val="0"/>
      <w:marBottom w:val="0"/>
      <w:divBdr>
        <w:top w:val="none" w:sz="0" w:space="0" w:color="auto"/>
        <w:left w:val="none" w:sz="0" w:space="0" w:color="auto"/>
        <w:bottom w:val="none" w:sz="0" w:space="0" w:color="auto"/>
        <w:right w:val="none" w:sz="0" w:space="0" w:color="auto"/>
      </w:divBdr>
    </w:div>
    <w:div w:id="1203857457">
      <w:bodyDiv w:val="1"/>
      <w:marLeft w:val="0"/>
      <w:marRight w:val="0"/>
      <w:marTop w:val="0"/>
      <w:marBottom w:val="0"/>
      <w:divBdr>
        <w:top w:val="none" w:sz="0" w:space="0" w:color="auto"/>
        <w:left w:val="none" w:sz="0" w:space="0" w:color="auto"/>
        <w:bottom w:val="none" w:sz="0" w:space="0" w:color="auto"/>
        <w:right w:val="none" w:sz="0" w:space="0" w:color="auto"/>
      </w:divBdr>
    </w:div>
    <w:div w:id="1466385505">
      <w:bodyDiv w:val="1"/>
      <w:marLeft w:val="0"/>
      <w:marRight w:val="0"/>
      <w:marTop w:val="0"/>
      <w:marBottom w:val="0"/>
      <w:divBdr>
        <w:top w:val="none" w:sz="0" w:space="0" w:color="auto"/>
        <w:left w:val="none" w:sz="0" w:space="0" w:color="auto"/>
        <w:bottom w:val="none" w:sz="0" w:space="0" w:color="auto"/>
        <w:right w:val="none" w:sz="0" w:space="0" w:color="auto"/>
      </w:divBdr>
    </w:div>
    <w:div w:id="19186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footer" Target="footer10.xml"/><Relationship Id="rId50"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header" Target="header12.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image" Target="media/image1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 Id="rId43" Type="http://schemas.openxmlformats.org/officeDocument/2006/relationships/image" Target="media/image17.emf"/><Relationship Id="rId4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AF532-5AE9-4840-86A2-B6D57CA2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13</Pages>
  <Words>7991</Words>
  <Characters>34682</Characters>
  <Application>Microsoft Office Word</Application>
  <DocSecurity>0</DocSecurity>
  <Lines>4954</Lines>
  <Paragraphs>4741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WES PDFC Administrator</cp:lastModifiedBy>
  <cp:revision>40</cp:revision>
  <dcterms:created xsi:type="dcterms:W3CDTF">2020-11-09T10:49:00Z</dcterms:created>
  <dcterms:modified xsi:type="dcterms:W3CDTF">2020-12-20T19:52:00Z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First annex">
    <vt:lpwstr>1</vt:lpwstr>
  </property>
  <property fmtid="{D5CDD505-2E9C-101B-9397-08002B2CF9AE}" pid="5" name="Last annex">
    <vt:lpwstr>7</vt:lpwstr>
  </property>
  <property fmtid="{D5CDD505-2E9C-101B-9397-08002B2CF9AE}" pid="6" name="Unique annex">
    <vt:lpwstr>0</vt:lpwstr>
  </property>
  <property fmtid="{D5CDD505-2E9C-101B-9397-08002B2CF9AE}" pid="7" name="Part">
    <vt:lpwstr>&lt;UNUSED&gt;</vt:lpwstr>
  </property>
  <property fmtid="{D5CDD505-2E9C-101B-9397-08002B2CF9AE}" pid="8" name="Total parts">
    <vt:lpwstr>&lt;UNUSED&gt;</vt:lpwstr>
  </property>
  <property fmtid="{D5CDD505-2E9C-101B-9397-08002B2CF9AE}" pid="9" name="DocStatus">
    <vt:lpwstr>Green</vt:lpwstr>
  </property>
  <property fmtid="{D5CDD505-2E9C-101B-9397-08002B2CF9AE}" pid="10" name="CPTemplateID">
    <vt:lpwstr>CP-039</vt:lpwstr>
  </property>
</Properties>
</file>