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9A39FAC-460A-4338-8B6C-A19ACB0F6C6B" style="width:450.45pt;height:406.9pt">
            <v:imagedata r:id="rId9" o:title=""/>
          </v:shape>
        </w:pict>
      </w:r>
    </w:p>
    <w:bookmarkEnd w:id="0"/>
    <w:p>
      <w:pPr>
        <w:rPr>
          <w:noProof/>
          <w:lang w:val="en-GB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/>
          <w:noProof/>
        </w:rPr>
      </w:pPr>
      <w:bookmarkStart w:id="1" w:name="_GoBack"/>
      <w:bookmarkEnd w:id="1"/>
      <w:r>
        <w:rPr>
          <w:rFonts w:ascii="Times New Roman" w:hAnsi="Times New Roman"/>
          <w:noProof/>
        </w:rPr>
        <w:lastRenderedPageBreak/>
        <w:t xml:space="preserve">Akční plán </w:t>
      </w:r>
      <w:r>
        <w:rPr>
          <w:rStyle w:val="FootnoteReference"/>
          <w:rFonts w:ascii="Times New Roman" w:hAnsi="Times New Roman"/>
          <w:noProof/>
          <w:lang w:val="en-GB"/>
        </w:rPr>
        <w:footnoteReference w:id="2"/>
      </w:r>
    </w:p>
    <w:p>
      <w:pPr>
        <w:spacing w:after="0"/>
        <w:rPr>
          <w:rFonts w:ascii="Times New Roman" w:hAnsi="Times New Roman" w:cs="Times New Roman"/>
          <w:noProof/>
          <w:sz w:val="16"/>
          <w:szCs w:val="16"/>
          <w:lang w:val="en-GB" w:eastAsia="ja-JP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47"/>
        <w:gridCol w:w="1361"/>
      </w:tblGrid>
      <w:tr>
        <w:trPr>
          <w:tblHeader/>
        </w:trPr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>
            <w:pPr>
              <w:pStyle w:val="Text1"/>
              <w:keepNext/>
              <w:snapToGrid w:val="0"/>
              <w:spacing w:after="0"/>
              <w:ind w:left="55"/>
              <w:jc w:val="center"/>
              <w:rPr>
                <w:b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UDRŽITELNÁ MOBILITA </w:t>
            </w:r>
          </w:p>
        </w:tc>
      </w:tr>
      <w:tr>
        <w:trPr>
          <w:tblHeader/>
        </w:trPr>
        <w:tc>
          <w:tcPr>
            <w:tcW w:w="9408" w:type="dxa"/>
            <w:gridSpan w:val="2"/>
            <w:shd w:val="clear" w:color="auto" w:fill="EAF1DD"/>
            <w:vAlign w:val="bottom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noProof/>
                <w:sz w:val="20"/>
              </w:rPr>
            </w:pPr>
            <w:r>
              <w:rPr>
                <w:smallCaps/>
                <w:noProof/>
              </w:rPr>
              <w:t xml:space="preserve">Stěžejní iniciativa 1 – Podpora využívání vozidel s nulovými emisemi, obnovitelných a nízkouhlíkových paliv a související infrastruktury 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přepracovaného znění směrnice o obnovitelných zdrojích energie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Přijmout příslušné prováděcí právní předpisy v rámci přepracované směrnice o obnovitelných zdrojích energie stanovující metodiky měření úspor emisí skleníkových plynů a podpory obnovitelných a nízkouhlíkových paliv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výkonnostních emisních norem CO</w:t>
            </w:r>
            <w:r>
              <w:rPr>
                <w:noProof/>
                <w:sz w:val="20"/>
                <w:szCs w:val="20"/>
                <w:vertAlign w:val="subscript"/>
              </w:rPr>
              <w:t>2</w:t>
            </w:r>
            <w:r>
              <w:rPr>
                <w:noProof/>
                <w:sz w:val="20"/>
                <w:szCs w:val="20"/>
              </w:rPr>
              <w:t xml:space="preserve"> pro osobní automobily, dodávky a pro nákladní automobily a zavedení výkonnostních emisních norem CO</w:t>
            </w:r>
            <w:r>
              <w:rPr>
                <w:noProof/>
                <w:sz w:val="20"/>
                <w:szCs w:val="20"/>
                <w:vertAlign w:val="subscript"/>
              </w:rPr>
              <w:t>2</w:t>
            </w:r>
            <w:r>
              <w:rPr>
                <w:noProof/>
                <w:sz w:val="20"/>
                <w:szCs w:val="20"/>
              </w:rPr>
              <w:t xml:space="preserve"> pro autobusy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směrnice stanovující hmotnosti a rozměry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Prozkoumat výhody programů modernizace a obnovy v různých druzích dopravy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Navrhnout emisní normy následující po normách Euro 6/VI pro osobní automobily, dodávky, nákladní automobily a autobusy</w:t>
            </w:r>
            <w:r>
              <w:rPr>
                <w:noProof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Zlepšit testování emisí při technických prohlídkách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Vypracovat soudržná pravidla pro environmentální, energetickou a bezpečnostní výkonnost pneumatik       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Podporovat rozvoj opatření v oblasti energetické účinnosti a alternativních paliv v IMO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infrastruktuře pro alternativní paliva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3"/>
            </w:r>
            <w:r>
              <w:rPr>
                <w:noProof/>
                <w:sz w:val="20"/>
                <w:szCs w:val="20"/>
              </w:rPr>
              <w:t xml:space="preserve"> a plán zavádění s možnostmi financování a požadavky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energetické náročnosti budov včetně posílených ustanovení o zpoplatnění infrastruktury pro e-mobilitu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2 – Vytváření letišť a přístavů s nulovými emisemi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Zahájit iniciativu FuelEU Maritime – Zelený evropský námořní prostor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4"/>
            </w:r>
            <w:r>
              <w:rPr>
                <w:noProof/>
                <w:sz w:val="20"/>
                <w:szCs w:val="20"/>
              </w:rPr>
              <w:t xml:space="preserve"> a ReFuelEU Aviation – Udržitelná letecká paliva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Zvážit zřízení aliance hodnotového řetězce pro obnovitelná a nízkouhlíková paliva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5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rHeight w:val="159"/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směrnice o znečištění z lodí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rHeight w:val="159"/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nařízení EU o recyklaci lodí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6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nařízení o letištních časech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7"/>
            </w:r>
            <w:r>
              <w:rPr>
                <w:noProof/>
                <w:sz w:val="20"/>
                <w:szCs w:val="20"/>
              </w:rPr>
              <w:t xml:space="preserve"> a směrnice o letištních poplatcích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8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Stanovit kritéria udržitelné taxonomie pro všechny druhy dopravy</w:t>
            </w:r>
            <w:r>
              <w:rPr>
                <w:noProof/>
                <w:vertAlign w:val="superscript"/>
              </w:rPr>
              <w:footnoteReference w:id="9"/>
            </w:r>
            <w:r>
              <w:rPr>
                <w:noProof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3 – Zajištění udržitelnější a zdravější meziměstské a městské mobility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Iniciativa EU pro železniční koridory na rok 2021 – Akční plán na podporu osobní železniční dopravy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Zavést opatření pro lepší řízení a koordinaci mezinárodní železniční dopravy, případně i prostřednictvím revidovaných pravidel pro přidělování kapacity a zpoplatnění infrastruktury v železniční dopravě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0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cap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balíčku městské mobility z roku 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rHeight w:val="18"/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Akční plán pro nulové znečištění ovzduší, vod a půdy; revize norem kvality ovzduší a snížení hlukové zátěže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2021; 2022</w:t>
            </w:r>
          </w:p>
        </w:tc>
      </w:tr>
      <w:tr>
        <w:trPr>
          <w:trHeight w:val="18"/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Vydat pokyny na podporu bezpečného používání zařízení mikromobility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Posoudit potřebu opatření k zajištění rovných podmínek pro místní osobní dopravu na vyžádání a platformy „ride-hailing“ (jízdy na zavolání)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4 – Ekologizace nákladní dopravy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Iniciativa EU pro železniční koridory na rok 2021 – Revize nařízení o koridorech pro železniční nákladní dopravu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Přezkum regulačního rámce pro intermodální dopravu, včetně směrnice o kombinované dopravě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Spustit program NAIADES III s cílem využít nevyužitý potenciál vnitrozemské vodní dopravy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Umožnit multimodální výměnu údajů mezi podniky a správními orgány prostřednictvím provedení nařízení o e-FTI a prostředí jednotného námořního portálu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2025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Vydat pokyny pro provozovatele a platformy k informování uživatelů o uhlíkové stopě jejich dodávek a nabídce udržitelných možností dodávek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1"/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č. 5 – Stanovení cen uhlíku a poskytování lepších pobídek pro uživatele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systému EU pro obchodování s emisemi (ETS), pokud jde o námořní dopravu, leteckou dopravu a program CORSIA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2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zdanění energie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3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Přezkoumat osvobození od DPH u mezinárodní osobní dopravy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Předložit v IMO tržní opatření pro lodní dopravu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Vytvořit rámec EU pro harmonizované měření emisí z dopravy a logistiky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Vydat pokyny pro provozovatele a platformy k informování cestujících o uhlíkové stopě jejich cesty, k tomu, aby cestující mohli dobrovolně kompenzovat emise u svých cest, a k širšímu využívání ekologického směrování ve (vestavěném) navigačním softwaru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Vývoj programu environmentálních značek pro letectví agenturou EASA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>
            <w:pPr>
              <w:pStyle w:val="Text1"/>
              <w:keepNext/>
              <w:snapToGrid w:val="0"/>
              <w:spacing w:after="0"/>
              <w:ind w:left="0"/>
              <w:jc w:val="center"/>
              <w:rPr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INTELIGENTNÍ MOBILITA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6 – Realizace propojené a automatizované multimodální mobility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Revidovat nařízení v přenesené pravomoci 2015/962 o poskytování informačních služeb o dopravním provozu v reálném čase za účelem rozšíření zeměpisného pokrytí a souborů údajů; revidovat nařízení v přenesené pravomoci 2017/1926 o poskytování multimodálních informačních služeb o cestování tak, aby zahrnovalo povinnou dostupnost nových dynamických datových souborů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2021; 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Posoudit potřebu regulačních opatření týkajících se práv a povinností poskytovatelů multimodálních digitálních služeb a vydat doporučení k zajištění toho, aby smlouvy o veřejných službách nebránily sdílení údajů a podporovaly rozvoj multimodálních služeb prodeje přepravních dokladů spolu s iniciativou týkající se prodeje přepravních dokladů, včetně prodeje železničních jízdenek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inteligentních dopravních systémech, včetně iniciativy týkající se multimodálních přepravních dokladů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Dokončit právní rámec EU pro schvalování automatizovaných vozidel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Posoudit potřebu agentury nebo jiného subjektu na podporu bezpečného, inteligentního a udržitelného provozu na pozemních komunikacích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4"/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Přijmout prováděcí právní předpisy pro schvalování propojených a automatizovaných vozidel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Přijmout balíček technických norem a specifikací pro železnice týkající se systému ERTMS / Řízení a zabezpečení (Control-Command and Signalling – CCS) a vypracovat povinné plány nasazení pro automatický provoz vlaků, automatizované řízení provozu a pokročilé CCS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harmonizovaných říčních informačních službách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Navrhnout opatření týkající se elektronických dokumentů pro vnitrozemské posádky a plavidla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 xml:space="preserve">Stěžejní iniciativa 7 – Inovace, data a umělá inteligence pro inteligentnější mobilitu 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Rozvíjet / obnovit partnerství v oblasti výzkumu a inovací: propojená, spolupracující a automatizovaná mobilita, Shift2Rail, SESAR, Waterborne, čisté letectví, partnerství pro čistý vodík, Inteligentní sítě a služby, UI, data a robotika a Klíčové digitální technologie.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2020–2021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Dále rozvíjet regulační rámec pro drony a bezpilotní letadla, včetně U-Space; přijmout strategii pro drony 2.0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2021–2023 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Posoudit potřebu regulačních opatření k zajištění bezpečnosti a ochrany nových účastníků a nových technologií, jako je hyperloop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Zřídit skupinu na vysoké úrovni („New Mobility Tech Group“) jako první krok k rozvoji soudržného přístupu EU a přijetí souboru doporučení pro usnadnění testování a zkoušek nově vznikajících technologií a řešení mobility v EU („European Mobility Test Beds“)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Vytvořit společný evropský datový prostor pro mobilitu a zavést silnější koordinační mechanismus pro vnitrostátní přístupová místa zřízená podle směrnice o ITS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 xml:space="preserve">2021 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Stanovit plán UI pro mobilitu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Přezkoumat regulační rámec pro interoperabilní sdílení údajů v železniční dopravě (ERTMS, využití telematiky v železniční dopravě)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Přezkoumat stávající právní předpisy EU o schvalování typu s cílem usnadnit databázové služby o automobilech včetně interakce s energetickým systémem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Navrhnout nový regulační rámec pro otevření přístupu k údajům o automobilech službám mobility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Navrhnout pravidla pro důvěryhodné prostředí pro výměnu údajů o koridorech na podporu logistiky založené na spolupráci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>
            <w:pPr>
              <w:pStyle w:val="Text1"/>
              <w:keepNext/>
              <w:snapToGrid w:val="0"/>
              <w:spacing w:after="0"/>
              <w:ind w:left="0"/>
              <w:jc w:val="center"/>
              <w:rPr>
                <w:rFonts w:eastAsiaTheme="majorEastAsia"/>
                <w:i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ODOLNÁ MOBILITA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8 – Posílení jednotného trhu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nařízení o transevropské dopravní síti (TEN-T)</w:t>
            </w:r>
            <w:r>
              <w:rPr>
                <w:noProof/>
                <w:vertAlign w:val="superscript"/>
              </w:rPr>
              <w:footnoteReference w:id="15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Posoudit dopady pandemie COVID-19 na propojenost a hospodářskou soutěž na trhu a případně navrhnout následná opatření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i/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Přezkoumat pravidla státní podpory týkající se dopravy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Připravit nouzový plán (nouzové plány) pro případ krize pro odvětví dopravy, včetně opatření v oblasti bezpečnosti a ochrany zdraví a provozních opatření a stanovení základních dopravních služeb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iCs/>
                <w:noProof/>
                <w:sz w:val="20"/>
              </w:rPr>
              <w:t>2021–2023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nařízení o leteckých službách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Navrhnout opatření na podporu přeshraničních pronájmů automobilů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Pokyny týkající se odolnosti dopravní infrastruktury, sítí a systémů vůči změně klimatu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9 – Zajištění slušné a spravedlivé mobility pro všechny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Přezkoumat pokyny pro výklad nařízení o závazcích veřejné služby v pozemní dopravě, revidovat pravidla o závazcích veřejné služby v letecké dopravě a poskytnout pokyny ohledně závazků veřejné služby v nákladní dopravě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0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2021; 2022; 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Přezkoumat regulační rámec v oblasti práv cestujících včetně zajištění odolnosti vůči rozsáhlým narušením dopravy a včetně možností týkajících se multimodálních přepravních dokladů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6"/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Posoudit možnosti a případně navrhnout přiměřený režim finanční ochrany, který by cestující chránil před rizikem krize likvidity nebo platební neschopnosti, pokud jde o vrácení peněz za přepravní doklady a v případě potřeby repatriaci.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kodexu chování pro používání počítačových rezervačních systémů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Posoudit potřebu návrhu vyžadujícího účinnou výměnu údajů z počítadel ujetých kilometrů v celé EU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směrnice o vydávání osvědčení strojvedoucím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Zahájit iniciativy na zlepšení životních a pracovních podmínek námořníků (včetně revize Mezinárodní úmluvy o normách výcviku, kvalifikace a strážní služby námořníků v IMO)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Vydat doporučení pro přechod na automatizaci a digitalizaci a jejich dopad na pracovní sílu v dopravě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Zahájit iniciativy ke zvýšení atraktivity odvětví dopravy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2021–2023</w:t>
            </w:r>
          </w:p>
        </w:tc>
      </w:tr>
      <w:tr>
        <w:trPr>
          <w:tblHeader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pStyle w:val="Text1"/>
              <w:keepNext/>
              <w:snapToGrid w:val="0"/>
              <w:spacing w:after="0"/>
              <w:ind w:left="132"/>
              <w:jc w:val="left"/>
              <w:rPr>
                <w:smallCaps/>
                <w:noProof/>
              </w:rPr>
            </w:pPr>
            <w:r>
              <w:rPr>
                <w:smallCaps/>
                <w:noProof/>
              </w:rPr>
              <w:t>Stěžejní iniciativa 10 – Zlepšení bezpečnosti a zabezpečení dopravy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přeshraničním vymáhání pravidel silničního provozu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2021–2022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Revize směrnice o řidičských průkazech s cílem řešit technologické inovace</w:t>
            </w:r>
            <w:r>
              <w:rPr>
                <w:rStyle w:val="FootnoteReference"/>
                <w:noProof/>
                <w:sz w:val="20"/>
                <w:szCs w:val="20"/>
              </w:rPr>
              <w:footnoteReference w:id="17"/>
            </w:r>
            <w:r>
              <w:rPr>
                <w:noProof/>
                <w:sz w:val="20"/>
                <w:szCs w:val="20"/>
              </w:rPr>
              <w:t>, včetně digitálních řidičských průkazů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Zvážit nové pokyny k otázkám, jako je maximální povolený obsah alkoholu v krvi řidičů motorových vozidel a používání alkoholových imobilizérů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jc w:val="left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Posoudit potřebu navrhnout pravidla pro audit, kontrolu a podávání zpráv o kvalitě infrastruktury mostů nebo jiné citlivé infrastruktury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Přizpůsobit právní rámec systému eCall novým telekomunikačním technologiím; zvážit rozšíření systému eCall na jednostopá vozidla, nákladní automobily, autobusy a zemědělské traktory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2021; 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Revize rámce námořní bezpečnosti (směrnice o odpovědnosti státu vlajky, státní přístavní inspekci a vyšetřování nehod)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2021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Revidovat mandát Evropské agentury pro námořní bezpečnost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Navrhnout požadavky EU na obsazení plavidla posádkou platné pro vnitrozemskou plavbu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2023–2024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Zvážit zřízení mechanismu včasného varování na úrovni EU pro oblast bezpečnosti, včetně kybernetických hrozeb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Prozkoumat, zda je třeba upravit stávající pravidla pro řešení kybernetických rizik a vnitřních hrozeb v souladu se souborem opatření pro kybernetickou bezpečnost sítí 5G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Zlepšit bezpečnost osobní železniční dopravy provedením výsledků akčního plánu pro bezpečnost železnic a platformy pro bezpečnost cestujících v železniční dopravě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</w:tr>
      <w:tr>
        <w:trPr>
          <w:tblHeader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Heading5"/>
              <w:numPr>
                <w:ilvl w:val="0"/>
                <w:numId w:val="7"/>
              </w:numPr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Vytvořit systém podle rámce pro certifikaci kybernetické bezpečnosti pro automatizovaná vozidla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1"/>
              <w:keepNext/>
              <w:snapToGrid w:val="0"/>
              <w:spacing w:after="0"/>
              <w:ind w:left="0"/>
              <w:rPr>
                <w:rFonts w:eastAsiaTheme="majorEastAsia"/>
                <w:noProof/>
                <w:sz w:val="20"/>
              </w:rPr>
            </w:pPr>
            <w:r>
              <w:rPr>
                <w:noProof/>
                <w:sz w:val="20"/>
              </w:rPr>
              <w:t>2023</w:t>
            </w:r>
          </w:p>
        </w:tc>
      </w:tr>
    </w:tbl>
    <w:p>
      <w:pPr>
        <w:tabs>
          <w:tab w:val="left" w:pos="7735"/>
        </w:tabs>
        <w:rPr>
          <w:noProof/>
          <w:lang w:val="en-GB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274" w:bottom="851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1560061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0"/>
        <w:ind w:left="0" w:firstLine="0"/>
        <w:rPr>
          <w:sz w:val="16"/>
          <w:szCs w:val="16"/>
          <w:u w:val="single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Pokud není uvedeno jinak, uvádí akční plán iniciativy Komise.</w:t>
      </w:r>
    </w:p>
  </w:footnote>
  <w:footnote w:id="3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2.</w:t>
      </w:r>
    </w:p>
  </w:footnote>
  <w:footnote w:id="4">
    <w:p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1.</w:t>
      </w:r>
    </w:p>
  </w:footnote>
  <w:footnote w:id="5">
    <w:p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1.</w:t>
      </w:r>
    </w:p>
  </w:footnote>
  <w:footnote w:id="6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10.</w:t>
      </w:r>
    </w:p>
  </w:footnote>
  <w:footnote w:id="7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5.</w:t>
      </w:r>
    </w:p>
  </w:footnote>
  <w:footnote w:id="8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5.</w:t>
      </w:r>
    </w:p>
  </w:footnote>
  <w:footnote w:id="9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1.</w:t>
      </w:r>
    </w:p>
  </w:footnote>
  <w:footnote w:id="10">
    <w:p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4.</w:t>
      </w:r>
    </w:p>
  </w:footnote>
  <w:footnote w:id="11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5.</w:t>
      </w:r>
    </w:p>
  </w:footnote>
  <w:footnote w:id="12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iniciativy č. 1–4. </w:t>
      </w:r>
    </w:p>
  </w:footnote>
  <w:footnote w:id="13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iniciativy č. 1–4. </w:t>
      </w:r>
    </w:p>
  </w:footnote>
  <w:footnote w:id="14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10. </w:t>
      </w:r>
    </w:p>
  </w:footnote>
  <w:footnote w:id="15">
    <w:p>
      <w:pPr>
        <w:pStyle w:val="FootnoteText"/>
        <w:spacing w:after="0"/>
        <w:ind w:left="0"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iniciativy č. 1–4.</w:t>
      </w:r>
    </w:p>
  </w:footnote>
  <w:footnote w:id="16">
    <w:p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6.</w:t>
      </w:r>
    </w:p>
  </w:footnote>
  <w:footnote w:id="17">
    <w:p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Aspekty tohoto kroku jsou důležité zejména pro stěžejní iniciativu č.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8E"/>
    <w:multiLevelType w:val="hybridMultilevel"/>
    <w:tmpl w:val="81E4872C"/>
    <w:lvl w:ilvl="0" w:tplc="71809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421"/>
    <w:multiLevelType w:val="hybridMultilevel"/>
    <w:tmpl w:val="E012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0649"/>
    <w:multiLevelType w:val="hybridMultilevel"/>
    <w:tmpl w:val="8B5CC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829CB"/>
    <w:multiLevelType w:val="hybridMultilevel"/>
    <w:tmpl w:val="FD8A5CA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BC42BB32">
      <w:start w:val="1"/>
      <w:numFmt w:val="lowerLetter"/>
      <w:lvlText w:val="%2."/>
      <w:lvlJc w:val="left"/>
      <w:pPr>
        <w:ind w:left="1797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F682223"/>
    <w:multiLevelType w:val="hybridMultilevel"/>
    <w:tmpl w:val="5E7AE3EC"/>
    <w:lvl w:ilvl="0" w:tplc="816CA6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C42BB3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911"/>
    <w:multiLevelType w:val="hybridMultilevel"/>
    <w:tmpl w:val="0E1C82AE"/>
    <w:lvl w:ilvl="0" w:tplc="C22460F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C42BB3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5611"/>
    <w:multiLevelType w:val="hybridMultilevel"/>
    <w:tmpl w:val="13424084"/>
    <w:styleLink w:val="ImportedStyle3"/>
    <w:lvl w:ilvl="0" w:tplc="65363096">
      <w:start w:val="1"/>
      <w:numFmt w:val="decimal"/>
      <w:lvlText w:val="%1."/>
      <w:lvlJc w:val="left"/>
      <w:pPr>
        <w:ind w:left="47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4FD38">
      <w:start w:val="1"/>
      <w:numFmt w:val="lowerLetter"/>
      <w:lvlText w:val="%2."/>
      <w:lvlJc w:val="left"/>
      <w:pPr>
        <w:ind w:left="952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24D20">
      <w:start w:val="1"/>
      <w:numFmt w:val="lowerRoman"/>
      <w:lvlText w:val="%3."/>
      <w:lvlJc w:val="left"/>
      <w:pPr>
        <w:ind w:left="1429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E7170">
      <w:start w:val="1"/>
      <w:numFmt w:val="lowerRoman"/>
      <w:lvlText w:val="%4."/>
      <w:lvlJc w:val="left"/>
      <w:pPr>
        <w:ind w:left="190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80E6E">
      <w:start w:val="1"/>
      <w:numFmt w:val="lowerRoman"/>
      <w:lvlText w:val="%5."/>
      <w:lvlJc w:val="left"/>
      <w:pPr>
        <w:ind w:left="2381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2BC16">
      <w:start w:val="1"/>
      <w:numFmt w:val="lowerRoman"/>
      <w:lvlText w:val="%6."/>
      <w:lvlJc w:val="left"/>
      <w:pPr>
        <w:ind w:left="28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3650">
      <w:start w:val="1"/>
      <w:numFmt w:val="lowerRoman"/>
      <w:lvlText w:val="%7."/>
      <w:lvlJc w:val="left"/>
      <w:pPr>
        <w:ind w:left="3333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6CB38">
      <w:start w:val="1"/>
      <w:numFmt w:val="lowerRoman"/>
      <w:lvlText w:val="%8."/>
      <w:lvlJc w:val="left"/>
      <w:pPr>
        <w:ind w:left="3809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5D80">
      <w:start w:val="1"/>
      <w:numFmt w:val="lowerRoman"/>
      <w:lvlText w:val="%9."/>
      <w:lvlJc w:val="left"/>
      <w:pPr>
        <w:ind w:left="428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01736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21A11AD"/>
    <w:multiLevelType w:val="hybridMultilevel"/>
    <w:tmpl w:val="1B4453B8"/>
    <w:lvl w:ilvl="0" w:tplc="B994E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D0E41"/>
    <w:multiLevelType w:val="hybridMultilevel"/>
    <w:tmpl w:val="0DB65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83E94"/>
    <w:multiLevelType w:val="hybridMultilevel"/>
    <w:tmpl w:val="366E9BC6"/>
    <w:lvl w:ilvl="0" w:tplc="0407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0E7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E7C2B5F"/>
    <w:multiLevelType w:val="hybridMultilevel"/>
    <w:tmpl w:val="A358013E"/>
    <w:lvl w:ilvl="0" w:tplc="1340CC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6E7A"/>
    <w:multiLevelType w:val="hybridMultilevel"/>
    <w:tmpl w:val="0BFE5B2A"/>
    <w:lvl w:ilvl="0" w:tplc="6988236A">
      <w:start w:val="14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926408A"/>
    <w:multiLevelType w:val="hybridMultilevel"/>
    <w:tmpl w:val="4B44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B5E07"/>
    <w:multiLevelType w:val="multilevel"/>
    <w:tmpl w:val="D020E4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0660ED"/>
    <w:multiLevelType w:val="hybridMultilevel"/>
    <w:tmpl w:val="0EB8EDFA"/>
    <w:lvl w:ilvl="0" w:tplc="518CBD2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1AE0"/>
    <w:multiLevelType w:val="hybridMultilevel"/>
    <w:tmpl w:val="CC10F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41676"/>
    <w:multiLevelType w:val="hybridMultilevel"/>
    <w:tmpl w:val="A1E0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C0CC1"/>
    <w:multiLevelType w:val="hybridMultilevel"/>
    <w:tmpl w:val="5E7AE3EC"/>
    <w:lvl w:ilvl="0" w:tplc="816CA6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C42BB3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19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10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removePersonalInformation/>
  <w:removeDateAndTime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9A39FAC-460A-4338-8B6C-A19ACB0F6C6B"/>
    <w:docVar w:name="LW_COVERPAGE_TYPE" w:val="1"/>
    <w:docVar w:name="LW_CROSSREFERENCE" w:val="{SWD(2020) 331 final}"/>
    <w:docVar w:name="LW_DocType" w:val="NORMAL"/>
    <w:docVar w:name="LW_EMISSION" w:val="9.12.2020"/>
    <w:docVar w:name="LW_EMISSION_ISODATE" w:val="2020-12-09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Strategie pro udr\u382?itelnou a inteligentní mobilitu \u8211? nasm\u283?rování evropské dopravy do budoucnosti"/>
    <w:docVar w:name="LW_PART_NBR" w:val="1"/>
    <w:docVar w:name="LW_PART_NBR_TOTAL" w:val="1"/>
    <w:docVar w:name="LW_REF.INST.NEW" w:val="COM"/>
    <w:docVar w:name="LW_REF.INST.NEW_ADOPTED" w:val="final"/>
    <w:docVar w:name="LW_REF.INST.NEW_TEXT" w:val="(2020) 7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SD\u282?LENÍ KOMISE EVROPSKÉMU PARLAMENTU, RAD\u282?, EVROPSKÉMU HOSPODÁ\u344?SKÉMU A SOCIÁLNÍMU VÝBORU A VÝBORU REGION\u36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pPr>
      <w:numPr>
        <w:ilvl w:val="0"/>
      </w:numPr>
      <w:jc w:val="both"/>
      <w:outlineLvl w:val="0"/>
    </w:pPr>
    <w:rPr>
      <w:rFonts w:ascii="Times New Roman Bold" w:hAnsi="Times New Roman Bold"/>
      <w:bCs/>
      <w:smallCaps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4"/>
      </w:numPr>
      <w:spacing w:before="40" w:after="120"/>
      <w:outlineLvl w:val="1"/>
    </w:pPr>
    <w:rPr>
      <w:rFonts w:ascii="Times New Roman" w:eastAsiaTheme="majorEastAsia" w:hAnsi="Times New Roman" w:cs="Times New Roman"/>
      <w:b/>
      <w:sz w:val="24"/>
      <w:szCs w:val="24"/>
      <w:u w:val="single" w:color="000000"/>
      <w:bdr w:val="nil"/>
      <w:lang w:eastAsia="ja-JP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numPr>
        <w:ilvl w:val="0"/>
        <w:numId w:val="0"/>
      </w:numPr>
      <w:jc w:val="both"/>
      <w:outlineLvl w:val="2"/>
    </w:pPr>
    <w:rPr>
      <w:b w:val="0"/>
      <w:smallCaps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numPr>
        <w:ilvl w:val="3"/>
        <w:numId w:val="14"/>
      </w:numPr>
      <w:outlineLvl w:val="3"/>
    </w:pPr>
    <w:rPr>
      <w:b/>
      <w:bCs/>
      <w:i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4"/>
      </w:numPr>
      <w:spacing w:after="0" w:line="240" w:lineRule="auto"/>
      <w:outlineLvl w:val="4"/>
    </w:pPr>
    <w:rPr>
      <w:rFonts w:ascii="Times New Roman" w:eastAsiaTheme="majorEastAsia" w:hAnsi="Times New Roman" w:cs="Times New Roman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Theme="majorEastAsia" w:hAnsi="Times New Roman Bold" w:cs="Times New Roman"/>
      <w:b/>
      <w:bCs/>
      <w:smallCaps/>
      <w:sz w:val="24"/>
      <w:szCs w:val="24"/>
      <w:u w:color="000000"/>
      <w:bdr w:val="nil"/>
      <w:lang w:val="cs-CZ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sz w:val="24"/>
      <w:szCs w:val="24"/>
      <w:u w:val="single" w:color="000000"/>
      <w:bdr w:val="nil"/>
      <w:lang w:val="cs-CZ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smallCaps/>
      <w:sz w:val="24"/>
      <w:szCs w:val="24"/>
      <w:u w:color="000000"/>
      <w:bdr w:val="nil"/>
      <w:lang w:val="cs-CZ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="Times New Roman"/>
      <w:b/>
      <w:bCs/>
      <w:i/>
      <w:caps/>
      <w:smallCaps/>
      <w:sz w:val="24"/>
      <w:szCs w:val="24"/>
      <w:u w:color="000000"/>
      <w:bdr w:val="nil"/>
      <w:lang w:val="cs-CZ"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Theme="majorEastAsia" w:hAnsi="Times New Roman" w:cs="Times New Roman"/>
      <w:lang w:val="cs-CZ" w:eastAsia="ja-JP"/>
    </w:rPr>
  </w:style>
  <w:style w:type="character" w:styleId="Hyperlink">
    <w:name w:val="Hyperlink"/>
    <w:rPr>
      <w:u w:val="single"/>
    </w:rPr>
  </w:style>
  <w:style w:type="paragraph" w:styleId="FootnoteText">
    <w:name w:val="footnote text"/>
    <w:aliases w:val="Schriftart: 9 pt,Schriftart: 10 pt,Schriftart: 8 pt,WB-Fußnotentext,fn,Footnotes,Footnote ak,Fußnotentextf,Fußnotentextr,stile 1,Footnote1,Footnote2,Footnote3,Footnote4,Footnote5,Footnote6,Footnote7,Footnote8,Footnote9,Footnote10,Char,ft,f"/>
    <w:link w:val="FootnoteTextChar"/>
    <w:qFormat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ja-JP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ußnotentextf Char,Fußnotentextr Char,stile 1 Char,Footnote1 Char,Footnote2 Char,Footnote3 Char,Char Char"/>
    <w:basedOn w:val="DefaultParagraphFont"/>
    <w:link w:val="FootnoteText"/>
    <w:qFormat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cs-CZ" w:eastAsia="ja-JP"/>
    </w:rPr>
  </w:style>
  <w:style w:type="character" w:styleId="FootnoteReference">
    <w:name w:val="footnote reference"/>
    <w:aliases w:val="SUPERS,Footnote symbol,Times 10 Point,Exposant 3 Point,BVI fnr,number,-E Fußnotenzeichen,Footnote reference number,note TESI,EN Footnote Reference,Footnote Reference/,Footnote Reference Number,styli,Footnote Reference Superscript,fr,o"/>
    <w:basedOn w:val="DefaultParagraphFont"/>
    <w:link w:val="FootnotesymbolCarZchn"/>
    <w:unhideWhenUsed/>
    <w:qFormat/>
    <w:rPr>
      <w:vertAlign w:val="superscript"/>
    </w:rPr>
  </w:style>
  <w:style w:type="paragraph" w:customStyle="1" w:styleId="LegalNumPar">
    <w:name w:val="LegalNumPar"/>
    <w:link w:val="LegalNumParChar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76"/>
      </w:tabs>
      <w:spacing w:after="24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ja-JP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1">
    <w:name w:val="Hyperlink.1"/>
    <w:basedOn w:val="DefaultParagraphFont"/>
  </w:style>
  <w:style w:type="character" w:customStyle="1" w:styleId="Hyperlink3">
    <w:name w:val="Hyperlink.3"/>
    <w:basedOn w:val="DefaultParagraphFont"/>
    <w:rPr>
      <w:vertAlign w:val="superscript"/>
    </w:rPr>
  </w:style>
  <w:style w:type="paragraph" w:styleId="ListParagraph">
    <w:name w:val="List Paragraph"/>
    <w:aliases w:val="Normal bullet 2,Bullet list,Numbered List,List Paragraph1,1st level - Bullet List Paragraph,Lettre d'introduction,Paragrafo elenco,Paragraph,Bullet EY,List Paragraph11,Normal bullet 21,List Paragraph111,Bullet list1,Bullet point 1,Dot pt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Theme="minorEastAsia" w:hAnsi="Calibri" w:cs="Calibri"/>
      <w:lang w:eastAsia="ja-JP"/>
    </w:rPr>
  </w:style>
  <w:style w:type="character" w:customStyle="1" w:styleId="None">
    <w:name w:val="None"/>
  </w:style>
  <w:style w:type="character" w:customStyle="1" w:styleId="ListParagraphChar">
    <w:name w:val="List Paragraph Char"/>
    <w:aliases w:val="Normal bullet 2 Char,Bullet list Char,Numbered List Char,List Paragraph1 Char,1st level - Bullet List Paragraph Char,Lettre d'introduction Char,Paragrafo elenco Char,Paragraph Char,Bullet EY Char,List Paragraph11 Char,Dot pt Char"/>
    <w:link w:val="ListParagraph"/>
    <w:uiPriority w:val="34"/>
    <w:qFormat/>
    <w:locked/>
    <w:rPr>
      <w:rFonts w:ascii="Calibri" w:eastAsiaTheme="minorEastAsia" w:hAnsi="Calibri" w:cs="Calibri"/>
      <w:lang w:val="cs-CZ" w:eastAsia="ja-JP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cs-CZ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val="cs-CZ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cs-CZ" w:eastAsia="ja-JP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lang w:eastAsia="ja-JP"/>
    </w:rPr>
  </w:style>
  <w:style w:type="character" w:customStyle="1" w:styleId="LegalNumParChar">
    <w:name w:val="LegalNumPar Char"/>
    <w:basedOn w:val="DefaultParagraphFont"/>
    <w:link w:val="LegalNumPar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ja-JP"/>
    </w:rPr>
  </w:style>
  <w:style w:type="paragraph" w:customStyle="1" w:styleId="legalnumpar0">
    <w:name w:val="legalnumpa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yperlink10">
    <w:name w:val="hyperlink1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  <w:link w:val="DateChar"/>
    <w:uiPriority w:val="99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line="240" w:lineRule="exact"/>
      <w:jc w:val="both"/>
    </w:pPr>
    <w:rPr>
      <w:vertAlign w:val="superscript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bumpedfont15">
    <w:name w:val="bumpedfont15"/>
    <w:basedOn w:val="DefaultParagraphFont"/>
  </w:style>
  <w:style w:type="paragraph" w:customStyle="1" w:styleId="content-intro">
    <w:name w:val="content-intr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pPr>
      <w:numPr>
        <w:ilvl w:val="0"/>
      </w:numPr>
      <w:jc w:val="both"/>
      <w:outlineLvl w:val="0"/>
    </w:pPr>
    <w:rPr>
      <w:rFonts w:ascii="Times New Roman Bold" w:hAnsi="Times New Roman Bold"/>
      <w:bCs/>
      <w:smallCaps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4"/>
      </w:numPr>
      <w:spacing w:before="40" w:after="120"/>
      <w:outlineLvl w:val="1"/>
    </w:pPr>
    <w:rPr>
      <w:rFonts w:ascii="Times New Roman" w:eastAsiaTheme="majorEastAsia" w:hAnsi="Times New Roman" w:cs="Times New Roman"/>
      <w:b/>
      <w:sz w:val="24"/>
      <w:szCs w:val="24"/>
      <w:u w:val="single" w:color="000000"/>
      <w:bdr w:val="nil"/>
      <w:lang w:eastAsia="ja-JP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numPr>
        <w:ilvl w:val="0"/>
        <w:numId w:val="0"/>
      </w:numPr>
      <w:jc w:val="both"/>
      <w:outlineLvl w:val="2"/>
    </w:pPr>
    <w:rPr>
      <w:b w:val="0"/>
      <w:smallCaps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numPr>
        <w:ilvl w:val="3"/>
        <w:numId w:val="14"/>
      </w:numPr>
      <w:outlineLvl w:val="3"/>
    </w:pPr>
    <w:rPr>
      <w:b/>
      <w:bCs/>
      <w:i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4"/>
      </w:numPr>
      <w:spacing w:after="0" w:line="240" w:lineRule="auto"/>
      <w:outlineLvl w:val="4"/>
    </w:pPr>
    <w:rPr>
      <w:rFonts w:ascii="Times New Roman" w:eastAsiaTheme="majorEastAsia" w:hAnsi="Times New Roman" w:cs="Times New Roman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 Bold" w:eastAsiaTheme="majorEastAsia" w:hAnsi="Times New Roman Bold" w:cs="Times New Roman"/>
      <w:b/>
      <w:bCs/>
      <w:smallCaps/>
      <w:sz w:val="24"/>
      <w:szCs w:val="24"/>
      <w:u w:color="000000"/>
      <w:bdr w:val="nil"/>
      <w:lang w:val="cs-CZ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/>
      <w:sz w:val="24"/>
      <w:szCs w:val="24"/>
      <w:u w:val="single" w:color="000000"/>
      <w:bdr w:val="nil"/>
      <w:lang w:val="cs-CZ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smallCaps/>
      <w:sz w:val="24"/>
      <w:szCs w:val="24"/>
      <w:u w:color="000000"/>
      <w:bdr w:val="nil"/>
      <w:lang w:val="cs-CZ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="Times New Roman"/>
      <w:b/>
      <w:bCs/>
      <w:i/>
      <w:caps/>
      <w:smallCaps/>
      <w:sz w:val="24"/>
      <w:szCs w:val="24"/>
      <w:u w:color="000000"/>
      <w:bdr w:val="nil"/>
      <w:lang w:val="cs-CZ"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Theme="majorEastAsia" w:hAnsi="Times New Roman" w:cs="Times New Roman"/>
      <w:lang w:val="cs-CZ" w:eastAsia="ja-JP"/>
    </w:rPr>
  </w:style>
  <w:style w:type="character" w:styleId="Hyperlink">
    <w:name w:val="Hyperlink"/>
    <w:rPr>
      <w:u w:val="single"/>
    </w:rPr>
  </w:style>
  <w:style w:type="paragraph" w:styleId="FootnoteText">
    <w:name w:val="footnote text"/>
    <w:aliases w:val="Schriftart: 9 pt,Schriftart: 10 pt,Schriftart: 8 pt,WB-Fußnotentext,fn,Footnotes,Footnote ak,Fußnotentextf,Fußnotentextr,stile 1,Footnote1,Footnote2,Footnote3,Footnote4,Footnote5,Footnote6,Footnote7,Footnote8,Footnote9,Footnote10,Char,ft,f"/>
    <w:link w:val="FootnoteTextChar"/>
    <w:qFormat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ja-JP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ußnotentextf Char,Fußnotentextr Char,stile 1 Char,Footnote1 Char,Footnote2 Char,Footnote3 Char,Char Char"/>
    <w:basedOn w:val="DefaultParagraphFont"/>
    <w:link w:val="FootnoteText"/>
    <w:qFormat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cs-CZ" w:eastAsia="ja-JP"/>
    </w:rPr>
  </w:style>
  <w:style w:type="character" w:styleId="FootnoteReference">
    <w:name w:val="footnote reference"/>
    <w:aliases w:val="SUPERS,Footnote symbol,Times 10 Point,Exposant 3 Point,BVI fnr,number,-E Fußnotenzeichen,Footnote reference number,note TESI,EN Footnote Reference,Footnote Reference/,Footnote Reference Number,styli,Footnote Reference Superscript,fr,o"/>
    <w:basedOn w:val="DefaultParagraphFont"/>
    <w:link w:val="FootnotesymbolCarZchn"/>
    <w:unhideWhenUsed/>
    <w:qFormat/>
    <w:rPr>
      <w:vertAlign w:val="superscript"/>
    </w:rPr>
  </w:style>
  <w:style w:type="paragraph" w:customStyle="1" w:styleId="LegalNumPar">
    <w:name w:val="LegalNumPar"/>
    <w:link w:val="LegalNumParChar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76"/>
      </w:tabs>
      <w:spacing w:after="24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ja-JP"/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Hyperlink1">
    <w:name w:val="Hyperlink.1"/>
    <w:basedOn w:val="DefaultParagraphFont"/>
  </w:style>
  <w:style w:type="character" w:customStyle="1" w:styleId="Hyperlink3">
    <w:name w:val="Hyperlink.3"/>
    <w:basedOn w:val="DefaultParagraphFont"/>
    <w:rPr>
      <w:vertAlign w:val="superscript"/>
    </w:rPr>
  </w:style>
  <w:style w:type="paragraph" w:styleId="ListParagraph">
    <w:name w:val="List Paragraph"/>
    <w:aliases w:val="Normal bullet 2,Bullet list,Numbered List,List Paragraph1,1st level - Bullet List Paragraph,Lettre d'introduction,Paragrafo elenco,Paragraph,Bullet EY,List Paragraph11,Normal bullet 21,List Paragraph111,Bullet list1,Bullet point 1,Dot pt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Theme="minorEastAsia" w:hAnsi="Calibri" w:cs="Calibri"/>
      <w:lang w:eastAsia="ja-JP"/>
    </w:rPr>
  </w:style>
  <w:style w:type="character" w:customStyle="1" w:styleId="None">
    <w:name w:val="None"/>
  </w:style>
  <w:style w:type="character" w:customStyle="1" w:styleId="ListParagraphChar">
    <w:name w:val="List Paragraph Char"/>
    <w:aliases w:val="Normal bullet 2 Char,Bullet list Char,Numbered List Char,List Paragraph1 Char,1st level - Bullet List Paragraph Char,Lettre d'introduction Char,Paragrafo elenco Char,Paragraph Char,Bullet EY Char,List Paragraph11 Char,Dot pt Char"/>
    <w:link w:val="ListParagraph"/>
    <w:uiPriority w:val="34"/>
    <w:qFormat/>
    <w:locked/>
    <w:rPr>
      <w:rFonts w:ascii="Calibri" w:eastAsiaTheme="minorEastAsia" w:hAnsi="Calibri" w:cs="Calibri"/>
      <w:lang w:val="cs-CZ" w:eastAsia="ja-JP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cs-CZ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val="cs-CZ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cs-CZ" w:eastAsia="ja-JP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lang w:eastAsia="ja-JP"/>
    </w:rPr>
  </w:style>
  <w:style w:type="character" w:customStyle="1" w:styleId="LegalNumParChar">
    <w:name w:val="LegalNumPar Char"/>
    <w:basedOn w:val="DefaultParagraphFont"/>
    <w:link w:val="LegalNumPar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ja-JP"/>
    </w:rPr>
  </w:style>
  <w:style w:type="paragraph" w:customStyle="1" w:styleId="legalnumpar0">
    <w:name w:val="legalnumpa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yperlink10">
    <w:name w:val="hyperlink1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  <w:link w:val="DateChar"/>
    <w:uiPriority w:val="99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line="240" w:lineRule="exact"/>
      <w:jc w:val="both"/>
    </w:pPr>
    <w:rPr>
      <w:vertAlign w:val="superscript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bumpedfont15">
    <w:name w:val="bumpedfont15"/>
    <w:basedOn w:val="DefaultParagraphFont"/>
  </w:style>
  <w:style w:type="paragraph" w:customStyle="1" w:styleId="content-intro">
    <w:name w:val="content-intr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</w:pPr>
    <w:rPr>
      <w:rFonts w:ascii="Times New Roman" w:hAnsi="Times New Roman" w:cs="Times New Roman"/>
      <w:i/>
      <w:sz w:val="28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4C6BEA-B536-429E-A861-2447E0A6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9725</Characters>
  <Application>Microsoft Office Word</Application>
  <DocSecurity>0</DocSecurity>
  <Lines>255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2020-12-05T17:34:00Z</dcterms:created>
  <dcterms:modified xsi:type="dcterms:W3CDTF">2020-12-20T21:08:00Z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7.0.1, Build 20190916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