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982DA212-BCBF-4F4C-ADC2-487A21554FE4" style="width:450.25pt;height:334.2pt">
            <v:imagedata r:id="rId9" o:title=""/>
          </v:shape>
        </w:pict>
      </w:r>
    </w:p>
    <w:bookmarkEnd w:id="0"/>
    <w:p>
      <w:pPr>
        <w:rPr>
          <w:rFonts w:eastAsiaTheme="minorHAnsi"/>
          <w:noProof/>
          <w:lang w:eastAsia="en-US"/>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spacing w:after="0"/>
        <w:jc w:val="both"/>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1. Einleitung</w:t>
      </w:r>
    </w:p>
    <w:p>
      <w:pPr>
        <w:spacing w:after="0"/>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Mit dem Europäischen Strafregisterinformationssystem (ECRIS) soll die Sicherheit der Bürger im Europäischen Raum der Freiheit, der Sicherheit und des Rechts mittels eines effizienten Informationsaustauschs zwischen Mitgliedstaaten über frühere strafrechtliche Verurteilungen durch EU-Strafgerichte verbessert werden. ECRIS wurde im April 2012 in Betrieb genommen. Seine Rechtsgrundlagen sind der Rahmenbeschluss 2009/315/JI des Rates vom 26. Februar 2009 über die Durchführung und den Inhalt des Austauschs von Informationen aus dem Strafregister zwischen den Mitgliedstaaten</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und der Beschluss 2009/316/JI des Rates vom 6. April 2009 zur Einrichtung des Europäischen Strafregisterinformationssystems</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Am 29. Juni 2017 veröffentlichte die Kommission ihren ersten statistischen Bericht gemäß Artikel 7 des Beschlusses 2009/316/JI des Rates vom 6. April 2009 für den Zeitraum </w:t>
      </w:r>
      <w:r>
        <w:rPr>
          <w:rFonts w:ascii="Times New Roman" w:hAnsi="Times New Roman"/>
          <w:noProof/>
          <w:sz w:val="24"/>
        </w:rPr>
        <w:t>April 2012 bis 31. Dezember 2016</w:t>
      </w:r>
      <w:r>
        <w:rPr>
          <w:rFonts w:ascii="Times New Roman" w:hAnsi="Times New Roman"/>
          <w:noProof/>
          <w:sz w:val="24"/>
          <w:szCs w:val="24"/>
        </w:rPr>
        <w:t>.</w:t>
      </w:r>
      <w:r>
        <w:rPr>
          <w:rFonts w:ascii="Times New Roman" w:hAnsi="Times New Roman"/>
          <w:noProof/>
          <w:sz w:val="24"/>
          <w:szCs w:val="24"/>
          <w:vertAlign w:val="superscript"/>
        </w:rPr>
        <w:t xml:space="preserve"> </w:t>
      </w:r>
      <w:r>
        <w:rPr>
          <w:rFonts w:ascii="Times New Roman" w:hAnsi="Times New Roman" w:cs="Times New Roman"/>
          <w:noProof/>
          <w:sz w:val="24"/>
          <w:szCs w:val="24"/>
          <w:vertAlign w:val="superscript"/>
        </w:rPr>
        <w:footnoteReference w:id="4"/>
      </w:r>
      <w:r>
        <w:rPr>
          <w:rFonts w:ascii="Times New Roman" w:hAnsi="Times New Roman"/>
          <w:noProof/>
          <w:sz w:val="24"/>
          <w:szCs w:val="24"/>
        </w:rPr>
        <w:t xml:space="preserve"> </w:t>
      </w:r>
    </w:p>
    <w:p>
      <w:pPr>
        <w:jc w:val="both"/>
        <w:rPr>
          <w:rFonts w:ascii="Times New Roman" w:hAnsi="Times New Roman"/>
          <w:noProof/>
          <w:sz w:val="24"/>
        </w:rPr>
      </w:pPr>
      <w:r>
        <w:rPr>
          <w:rFonts w:ascii="Times New Roman" w:hAnsi="Times New Roman"/>
          <w:noProof/>
          <w:sz w:val="24"/>
          <w:szCs w:val="24"/>
        </w:rPr>
        <w:t xml:space="preserve">Der vorliegende Bericht ist der zweite statistische Bericht der Kommission über den Austausch von Strafregisterinformationen zwischen den Mitgliedstaaten über ECRIS. </w:t>
      </w:r>
      <w:r>
        <w:rPr>
          <w:rFonts w:ascii="Times New Roman" w:hAnsi="Times New Roman"/>
          <w:noProof/>
          <w:sz w:val="24"/>
        </w:rPr>
        <w:t>Ziel des Berichts ist es, die Übereinstimmung des Informationsaustauschs der Mitgliedstaaten mit dem ECRIS-Rechtsrahmen darzulegen und etwaige Probleme in Bezug auf die Effizienz des Systems zwecks ihrer Lösung auszumachen. Die Kommission behält sich das Recht vor, alle geeigneten Maßnahmen zu ergreifen, um zu gewährleisten, dass die Mitgliedstaaten den im Rahmenbeschluss 2009/315/JI festgelegten rechtlichen Verpflichtungen nachkommen.</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bookmarkStart w:id="2" w:name="_Toc479267018"/>
      <w:r>
        <w:rPr>
          <w:rFonts w:ascii="Times New Roman" w:hAnsi="Times New Roman"/>
          <w:b/>
          <w:noProof/>
          <w:sz w:val="24"/>
          <w:szCs w:val="24"/>
        </w:rPr>
        <w:t>1.1. ECRIS-Statistiken</w:t>
      </w:r>
      <w:bookmarkEnd w:id="2"/>
      <w:r>
        <w:rPr>
          <w:rFonts w:ascii="Times New Roman" w:hAnsi="Times New Roman"/>
          <w:b/>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Der vorliegende Bericht </w:t>
      </w:r>
      <w:r>
        <w:rPr>
          <w:rFonts w:ascii="Times New Roman" w:hAnsi="Times New Roman"/>
          <w:noProof/>
          <w:sz w:val="24"/>
        </w:rPr>
        <w:t xml:space="preserve">bietet einen Überblick über den Einsatz von ECRIS vom </w:t>
      </w:r>
      <w:r>
        <w:rPr>
          <w:rFonts w:ascii="Times New Roman" w:hAnsi="Times New Roman"/>
          <w:b/>
          <w:noProof/>
          <w:sz w:val="24"/>
        </w:rPr>
        <w:t xml:space="preserve">1. Januar 2017 bis zum 31. Dezember 2019 mit Schwerpunkt auf dem Jahr </w:t>
      </w:r>
      <w:r>
        <w:rPr>
          <w:rFonts w:ascii="Times New Roman" w:hAnsi="Times New Roman"/>
          <w:b/>
          <w:noProof/>
          <w:sz w:val="24"/>
          <w:szCs w:val="24"/>
        </w:rPr>
        <w:t>2019</w:t>
      </w:r>
      <w:r>
        <w:rPr>
          <w:rFonts w:ascii="Times New Roman" w:hAnsi="Times New Roman"/>
          <w:noProof/>
          <w:sz w:val="24"/>
          <w:szCs w:val="24"/>
        </w:rPr>
        <w:t xml:space="preserve">. Dem Bericht liegt die Arbeitsunterlage der Kommissionsdienststellen </w:t>
      </w:r>
      <w:r>
        <w:rPr>
          <w:rFonts w:ascii="Times New Roman" w:hAnsi="Times New Roman"/>
          <w:noProof/>
          <w:color w:val="000000" w:themeColor="text1"/>
          <w:sz w:val="24"/>
          <w:szCs w:val="24"/>
        </w:rPr>
        <w:t xml:space="preserve">SWD/2020/378 </w:t>
      </w:r>
      <w:r>
        <w:rPr>
          <w:rFonts w:ascii="Times New Roman" w:hAnsi="Times New Roman"/>
          <w:noProof/>
          <w:sz w:val="24"/>
          <w:szCs w:val="24"/>
        </w:rPr>
        <w:t>(im Folgenden: Arbeitsunterlage der Kommissionsdienststellen) bei. Während sich die meisten Tabellen und Schaubilder im Bericht auf das Jahr 2019 beziehen, finden sich die entsprechenden Tabellen und Schaubilder für die Jahre 2017 und 2018 in der begleitenden Arbeitsunterlage der Kommissionsdienststellen. Einige in dem Bericht aufgeführte Statistiken geben einen allgemeinen Überblick über den Achtjahreszeitraum des ECRIS-Betriebs seit seiner Inbetriebnahme im April 2012.  Die vergleichbaren statistischen Daten zu allen Mitgliedstaaten und die (in Abschnitt 3 der Arbeitsunterlage der Kommissionsdienststellen aufgeführten) statistischen Tabellen der einzelnen Mitgliedstaaten decken jedoch den ECRIS-Informationsaustausch in den Jahren 2017-2019 ab. Gegebenenfalls wurden die Statistiken von 2016 als Bezugspunkt verwendet.</w:t>
      </w:r>
      <w:r>
        <w:rPr>
          <w:rFonts w:ascii="Times New Roman" w:hAnsi="Times New Roman"/>
          <w:noProof/>
          <w:sz w:val="24"/>
        </w:rPr>
        <w:t xml:space="preserve"> </w:t>
      </w:r>
      <w:r>
        <w:rPr>
          <w:rFonts w:ascii="Times New Roman" w:hAnsi="Times New Roman"/>
          <w:noProof/>
          <w:sz w:val="24"/>
          <w:szCs w:val="24"/>
        </w:rPr>
        <w:t>Der Bericht umfasst auch Daten aus dem Vereinigten Königreich – als Mitgliedstaat – bis 2019.</w:t>
      </w:r>
      <w:r>
        <w:rPr>
          <w:rFonts w:ascii="Times New Roman" w:hAnsi="Times New Roman"/>
          <w:noProof/>
          <w:sz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Der Bericht basiert auf statistischen, automatisch vom System erstellten Daten, die die Mitgliedstaaten an die Kommission übermittelt haben. Bei den 233 statistischen Indikatoren für ECRIS wurde eine Auswahl getroffen, um nur die relevantesten und aussagekräftigsten Informationen zu veröffentlichen. Ferner waren die Mitgliedstaaten auch aufgefordert, </w:t>
      </w:r>
      <w:r>
        <w:rPr>
          <w:rFonts w:ascii="Times New Roman" w:hAnsi="Times New Roman"/>
          <w:noProof/>
          <w:sz w:val="24"/>
          <w:szCs w:val="24"/>
        </w:rPr>
        <w:lastRenderedPageBreak/>
        <w:t>statistische Angaben zur Anzahl der Verurteilungen von Staatsangehörigen anderer Mitgliedstaaten (EU-Ausländer) in ihrem Hoheitsgebiet zu machen, um einen Überblick über die Durchführung des Mitteilungsverfahrens zu geben. Der Bericht enthält Verurteilungsdaten aus 23 Mitgliedstaaten.</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w:t>
      </w:r>
    </w:p>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1.2. Allgemeine Grundsätze des ECRIS-Systems</w:t>
      </w:r>
    </w:p>
    <w:p>
      <w:pPr>
        <w:jc w:val="both"/>
        <w:rPr>
          <w:rFonts w:ascii="Times New Roman" w:hAnsi="Times New Roman" w:cs="Times New Roman"/>
          <w:noProof/>
          <w:sz w:val="24"/>
          <w:szCs w:val="24"/>
        </w:rPr>
      </w:pPr>
      <w:r>
        <w:rPr>
          <w:rFonts w:ascii="Times New Roman" w:hAnsi="Times New Roman"/>
          <w:noProof/>
          <w:sz w:val="24"/>
          <w:szCs w:val="24"/>
        </w:rPr>
        <w:t>ECRIS basiert auf einer dezentralen Architektur, im Rahmen derer Strafregisterinformationen ausschließlich zwischen den zentralen Behörden der Mitgliedstaaten elektronisch ausgetauscht werden.</w:t>
      </w:r>
    </w:p>
    <w:p>
      <w:pPr>
        <w:jc w:val="both"/>
        <w:rPr>
          <w:rFonts w:ascii="Times New Roman" w:hAnsi="Times New Roman" w:cs="Times New Roman"/>
          <w:b/>
          <w:noProof/>
          <w:sz w:val="24"/>
          <w:szCs w:val="24"/>
        </w:rPr>
      </w:pPr>
      <w:r>
        <w:rPr>
          <w:rFonts w:ascii="Times New Roman" w:hAnsi="Times New Roman"/>
          <w:noProof/>
          <w:sz w:val="24"/>
          <w:szCs w:val="24"/>
        </w:rPr>
        <w:t>Jeder Mitgliedstaat, der einen Bürger eines anderen Mitgliedstaats verurteilt hat, ist rechtlich verpflichtet, an den betreffenden Mitgliedstaat (im Folgenden „Mitgliedstaat der Staatsangehörigkeit“) über ECRIS so schnell wie möglich alle Informationen im Zusammenhang mit der Verurteilung (</w:t>
      </w:r>
      <w:r>
        <w:rPr>
          <w:rFonts w:ascii="Times New Roman" w:hAnsi="Times New Roman"/>
          <w:b/>
          <w:noProof/>
          <w:sz w:val="24"/>
          <w:szCs w:val="24"/>
        </w:rPr>
        <w:t>Benachrichtigungen über neue Verurteilungen</w:t>
      </w:r>
      <w:r>
        <w:rPr>
          <w:rFonts w:ascii="Times New Roman" w:hAnsi="Times New Roman"/>
          <w:noProof/>
          <w:sz w:val="24"/>
          <w:szCs w:val="24"/>
        </w:rPr>
        <w:t>) und alle entsprechenden Aktualisierungen (</w:t>
      </w:r>
      <w:r>
        <w:rPr>
          <w:rFonts w:ascii="Times New Roman" w:hAnsi="Times New Roman"/>
          <w:b/>
          <w:noProof/>
          <w:sz w:val="24"/>
          <w:szCs w:val="24"/>
        </w:rPr>
        <w:t>Benachrichtigungen über Aktualisierungen</w:t>
      </w:r>
      <w:r>
        <w:rPr>
          <w:rFonts w:ascii="Times New Roman" w:hAnsi="Times New Roman"/>
          <w:noProof/>
          <w:sz w:val="24"/>
          <w:szCs w:val="24"/>
        </w:rPr>
        <w:t>) weiterzuleiten.</w:t>
      </w:r>
    </w:p>
    <w:p>
      <w:pPr>
        <w:jc w:val="both"/>
        <w:rPr>
          <w:rFonts w:ascii="Times New Roman" w:hAnsi="Times New Roman" w:cs="Times New Roman"/>
          <w:noProof/>
          <w:sz w:val="24"/>
          <w:szCs w:val="24"/>
        </w:rPr>
      </w:pPr>
      <w:r>
        <w:rPr>
          <w:rFonts w:ascii="Times New Roman" w:hAnsi="Times New Roman"/>
          <w:noProof/>
          <w:sz w:val="24"/>
          <w:szCs w:val="24"/>
        </w:rPr>
        <w:t xml:space="preserve">Neben in dem Mitgliedstaat selbst ergangenen Verurteilungen führt der Mitgliedstaat der Staatsangehörigkeit so ein Zentralregister mit allen in anderen EU-Mitgliedstaaten von Strafgerichten ergangenen Verurteilungen seiner Staatsangehörigen. Der Mitgliedstaat der Staatsangehörigkeit ist sodann verpflichtet, innerhalb </w:t>
      </w:r>
      <w:r>
        <w:rPr>
          <w:rFonts w:ascii="Times New Roman" w:hAnsi="Times New Roman"/>
          <w:b/>
          <w:noProof/>
          <w:sz w:val="24"/>
          <w:szCs w:val="24"/>
        </w:rPr>
        <w:t>kurzer Fristen von 10 oder 20 Tagen</w:t>
      </w:r>
      <w:r>
        <w:rPr>
          <w:rFonts w:ascii="Times New Roman" w:hAnsi="Times New Roman"/>
          <w:noProof/>
          <w:sz w:val="24"/>
          <w:szCs w:val="24"/>
        </w:rPr>
        <w:t xml:space="preserve"> alle über ECRIS eingehenden Informationen zu speichern und zu aktualisieren und auf Informationsersuchen vollständige Strafregisterinformationen (</w:t>
      </w:r>
      <w:r>
        <w:rPr>
          <w:rFonts w:ascii="Times New Roman" w:hAnsi="Times New Roman"/>
          <w:b/>
          <w:noProof/>
          <w:sz w:val="24"/>
          <w:szCs w:val="24"/>
        </w:rPr>
        <w:t>Antworten auf Ersuchen</w:t>
      </w:r>
      <w:r>
        <w:rPr>
          <w:rFonts w:ascii="Times New Roman" w:hAnsi="Times New Roman"/>
          <w:noProof/>
          <w:sz w:val="24"/>
          <w:szCs w:val="24"/>
        </w:rPr>
        <w:t>) bereitzustellen, wenn sie von einem anderen Mitgliedstaat angefordert werden (</w:t>
      </w:r>
      <w:r>
        <w:rPr>
          <w:rFonts w:ascii="Times New Roman" w:hAnsi="Times New Roman"/>
          <w:b/>
          <w:noProof/>
          <w:sz w:val="24"/>
          <w:szCs w:val="24"/>
        </w:rPr>
        <w:t>Informationsersuchen</w:t>
      </w:r>
      <w:r>
        <w:rPr>
          <w:rFonts w:ascii="Times New Roman" w:hAnsi="Times New Roman"/>
          <w:noProof/>
          <w:sz w:val="24"/>
          <w:szCs w:val="24"/>
        </w:rPr>
        <w:t>).</w:t>
      </w:r>
      <w:r>
        <w:rPr>
          <w:rStyle w:val="FootnoteReference"/>
          <w:rFonts w:ascii="Times New Roman" w:hAnsi="Times New Roman" w:cs="Times New Roman"/>
          <w:b/>
          <w:noProof/>
          <w:sz w:val="24"/>
          <w:szCs w:val="24"/>
        </w:rPr>
        <w:footnoteReference w:id="6"/>
      </w:r>
    </w:p>
    <w:p>
      <w:pPr>
        <w:spacing w:after="0"/>
        <w:jc w:val="both"/>
        <w:rPr>
          <w:rFonts w:ascii="Times New Roman" w:hAnsi="Times New Roman" w:cs="Times New Roman"/>
          <w:noProof/>
          <w:sz w:val="24"/>
          <w:szCs w:val="24"/>
        </w:rPr>
      </w:pPr>
      <w:bookmarkStart w:id="3" w:name="_Hlk480363534"/>
    </w:p>
    <w:p>
      <w:pPr>
        <w:spacing w:after="0"/>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bookmarkStart w:id="4" w:name="_Toc479267019"/>
      <w:bookmarkEnd w:id="3"/>
      <w:r>
        <w:rPr>
          <w:rFonts w:ascii="Times New Roman" w:hAnsi="Times New Roman"/>
          <w:b/>
          <w:noProof/>
          <w:sz w:val="24"/>
          <w:szCs w:val="24"/>
        </w:rPr>
        <w:t>2. ECRIS-Austausch in Zahlen</w:t>
      </w:r>
      <w:bookmarkStart w:id="5" w:name="_Ref366147146"/>
      <w:bookmarkStart w:id="6" w:name="_Toc479267020"/>
      <w:bookmarkEnd w:id="4"/>
    </w:p>
    <w:p>
      <w:pPr>
        <w:jc w:val="both"/>
        <w:rPr>
          <w:rFonts w:ascii="Times New Roman" w:hAnsi="Times New Roman" w:cs="Times New Roman"/>
          <w:bCs/>
          <w:smallCaps/>
          <w:noProof/>
          <w:sz w:val="24"/>
          <w:szCs w:val="24"/>
        </w:rPr>
      </w:pPr>
    </w:p>
    <w:p>
      <w:pPr>
        <w:jc w:val="both"/>
        <w:rPr>
          <w:rFonts w:ascii="Times New Roman" w:hAnsi="Times New Roman" w:cs="Times New Roman"/>
          <w:b/>
          <w:noProof/>
          <w:sz w:val="24"/>
          <w:szCs w:val="24"/>
        </w:rPr>
      </w:pPr>
      <w:r>
        <w:rPr>
          <w:rFonts w:ascii="Times New Roman" w:hAnsi="Times New Roman"/>
          <w:b/>
          <w:bCs/>
          <w:smallCaps/>
          <w:noProof/>
          <w:sz w:val="24"/>
          <w:szCs w:val="24"/>
        </w:rPr>
        <w:t xml:space="preserve">2.1. </w:t>
      </w:r>
      <w:r>
        <w:rPr>
          <w:rFonts w:ascii="Times New Roman" w:hAnsi="Times New Roman"/>
          <w:b/>
          <w:noProof/>
          <w:sz w:val="24"/>
          <w:szCs w:val="24"/>
        </w:rPr>
        <w:t>Verbundene Mitgliedstaaten</w:t>
      </w:r>
      <w:bookmarkEnd w:id="5"/>
      <w:bookmarkEnd w:id="6"/>
    </w:p>
    <w:p>
      <w:pPr>
        <w:jc w:val="both"/>
        <w:rPr>
          <w:rFonts w:ascii="Times New Roman" w:hAnsi="Times New Roman" w:cs="Times New Roman"/>
          <w:noProof/>
          <w:sz w:val="24"/>
          <w:szCs w:val="24"/>
        </w:rPr>
      </w:pPr>
      <w:r>
        <w:rPr>
          <w:rFonts w:ascii="Times New Roman" w:hAnsi="Times New Roman"/>
          <w:noProof/>
          <w:sz w:val="24"/>
          <w:szCs w:val="24"/>
        </w:rPr>
        <w:t xml:space="preserve">Bei ECRIS handelt es sich um ein dezentrales System, über das alle Mitgliedstaaten miteinander vernetzt sein sollten. Ein Mitgliedstaat gilt als mit dem ECRIS-System verbunden, wenn er Strafregisterinformationen mit zumindest einem anderen verbundenen Mitgliedstaat austauscht. </w:t>
      </w:r>
      <w:bookmarkStart w:id="7" w:name="_Hlk481158166"/>
      <w:r>
        <w:rPr>
          <w:rFonts w:ascii="Times New Roman" w:hAnsi="Times New Roman"/>
          <w:b/>
          <w:noProof/>
          <w:sz w:val="24"/>
          <w:szCs w:val="24"/>
        </w:rPr>
        <w:t>Alle Mitgliedstaaten sind derzeit an ECRIS angeschlossen</w:t>
      </w:r>
      <w:r>
        <w:rPr>
          <w:rFonts w:ascii="Times New Roman" w:hAnsi="Times New Roman"/>
          <w:noProof/>
          <w:sz w:val="24"/>
          <w:szCs w:val="24"/>
        </w:rPr>
        <w:t xml:space="preserve"> und tauschen Strafregisterinformationen </w:t>
      </w:r>
      <w:r>
        <w:rPr>
          <w:rFonts w:ascii="Times New Roman" w:hAnsi="Times New Roman"/>
          <w:b/>
          <w:bCs/>
          <w:noProof/>
          <w:sz w:val="24"/>
          <w:szCs w:val="24"/>
        </w:rPr>
        <w:t>mit</w:t>
      </w:r>
      <w:r>
        <w:rPr>
          <w:rFonts w:ascii="Times New Roman" w:hAnsi="Times New Roman"/>
          <w:noProof/>
          <w:sz w:val="24"/>
          <w:szCs w:val="24"/>
        </w:rPr>
        <w:t xml:space="preserve"> – </w:t>
      </w:r>
      <w:r>
        <w:rPr>
          <w:rFonts w:ascii="Times New Roman" w:hAnsi="Times New Roman"/>
          <w:b/>
          <w:bCs/>
          <w:noProof/>
          <w:sz w:val="24"/>
          <w:szCs w:val="24"/>
        </w:rPr>
        <w:t xml:space="preserve"> durchschnittlich – 24 anderen Mitgliedstaaten</w:t>
      </w:r>
      <w:r>
        <w:rPr>
          <w:rFonts w:ascii="Times New Roman" w:hAnsi="Times New Roman"/>
          <w:noProof/>
          <w:sz w:val="24"/>
          <w:szCs w:val="24"/>
        </w:rPr>
        <w:t xml:space="preserve"> aus.</w:t>
      </w:r>
      <w:bookmarkEnd w:id="7"/>
      <w:r>
        <w:rPr>
          <w:rStyle w:val="FootnoteReference"/>
          <w:rFonts w:ascii="Times New Roman" w:hAnsi="Times New Roman" w:cs="Times New Roman"/>
          <w:noProof/>
          <w:sz w:val="24"/>
          <w:szCs w:val="24"/>
        </w:rPr>
        <w:footnoteReference w:id="7"/>
      </w:r>
    </w:p>
    <w:p>
      <w:pPr>
        <w:jc w:val="both"/>
        <w:rPr>
          <w:rFonts w:ascii="Times New Roman" w:hAnsi="Times New Roman" w:cs="Times New Roman"/>
          <w:noProof/>
          <w:sz w:val="24"/>
          <w:szCs w:val="24"/>
        </w:rPr>
      </w:pPr>
      <w:r>
        <w:rPr>
          <w:rFonts w:ascii="Times New Roman" w:hAnsi="Times New Roman"/>
          <w:noProof/>
          <w:sz w:val="24"/>
          <w:szCs w:val="24"/>
        </w:rPr>
        <w:t>Die höchstmögliche Zahl solcher Verbindungen liegt bei 756 (27*28).</w:t>
      </w:r>
      <w:r>
        <w:rPr>
          <w:rStyle w:val="FootnoteReference"/>
          <w:rFonts w:ascii="Times New Roman" w:hAnsi="Times New Roman" w:cs="Times New Roman"/>
          <w:noProof/>
          <w:sz w:val="24"/>
          <w:szCs w:val="24"/>
        </w:rPr>
        <w:footnoteReference w:id="8"/>
      </w:r>
      <w:bookmarkStart w:id="8" w:name="_Hlk481160969"/>
      <w:r>
        <w:rPr>
          <w:rFonts w:ascii="Times New Roman" w:hAnsi="Times New Roman"/>
          <w:noProof/>
          <w:sz w:val="24"/>
          <w:szCs w:val="24"/>
        </w:rPr>
        <w:t xml:space="preserve">. Auch wenn alle Mitgliedstaaten derzeit an ECRIS angeschlossen sind, </w:t>
      </w:r>
      <w:r>
        <w:rPr>
          <w:rFonts w:ascii="Times New Roman" w:hAnsi="Times New Roman"/>
          <w:b/>
          <w:noProof/>
          <w:sz w:val="24"/>
          <w:szCs w:val="24"/>
        </w:rPr>
        <w:t xml:space="preserve">tauscht nur ein Mitgliedstaat tatsächlich mit allen anderen Informationen über ECRIS aus (ES). </w:t>
      </w:r>
      <w:r>
        <w:rPr>
          <w:rFonts w:ascii="Times New Roman" w:hAnsi="Times New Roman"/>
          <w:noProof/>
          <w:sz w:val="24"/>
          <w:szCs w:val="24"/>
        </w:rPr>
        <w:t>Für die Mehrheit der Mitgliedstaaten fehlen immer noch eine oder zwei Verbindungen.</w:t>
      </w:r>
    </w:p>
    <w:bookmarkEnd w:id="8"/>
    <w:p>
      <w:pPr>
        <w:jc w:val="cente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Das ECRIS-System wurde 2012 mit einer Gesamtzahl von 173 von 756 möglichen Verbindungen lanciert (bei aktuell 28 Mitgliedstaaten). </w:t>
      </w:r>
      <w:bookmarkStart w:id="9" w:name="_Hlk481158260"/>
      <w:r>
        <w:rPr>
          <w:rFonts w:ascii="Times New Roman" w:hAnsi="Times New Roman"/>
          <w:noProof/>
          <w:sz w:val="24"/>
          <w:szCs w:val="24"/>
        </w:rPr>
        <w:t xml:space="preserve">Ende 2019 waren </w:t>
      </w:r>
      <w:r>
        <w:rPr>
          <w:rFonts w:ascii="Times New Roman" w:hAnsi="Times New Roman"/>
          <w:b/>
          <w:bCs/>
          <w:noProof/>
          <w:sz w:val="24"/>
          <w:szCs w:val="24"/>
        </w:rPr>
        <w:t>670 Verbindungen</w:t>
      </w:r>
      <w:r>
        <w:rPr>
          <w:rFonts w:ascii="Times New Roman" w:hAnsi="Times New Roman"/>
          <w:noProof/>
          <w:sz w:val="24"/>
          <w:szCs w:val="24"/>
        </w:rPr>
        <w:t xml:space="preserve"> eingerichtet, was </w:t>
      </w:r>
      <w:r>
        <w:rPr>
          <w:rFonts w:ascii="Times New Roman" w:hAnsi="Times New Roman"/>
          <w:b/>
          <w:noProof/>
          <w:sz w:val="24"/>
          <w:szCs w:val="24"/>
        </w:rPr>
        <w:t>90 % der Gesamtzahl der möglichen Verbindungen entsprach.</w:t>
      </w:r>
      <w:r>
        <w:rPr>
          <w:rStyle w:val="FootnoteReference"/>
          <w:rFonts w:ascii="Times New Roman" w:hAnsi="Times New Roman" w:cs="Times New Roman"/>
          <w:b/>
          <w:noProof/>
          <w:sz w:val="24"/>
          <w:szCs w:val="24"/>
        </w:rPr>
        <w:footnoteReference w:id="9"/>
      </w:r>
      <w:r>
        <w:rPr>
          <w:rFonts w:ascii="Times New Roman" w:hAnsi="Times New Roman"/>
          <w:noProof/>
          <w:sz w:val="24"/>
          <w:szCs w:val="24"/>
        </w:rPr>
        <w:t xml:space="preserve"> </w:t>
      </w:r>
      <w:bookmarkStart w:id="10" w:name="_Hlk481160416"/>
    </w:p>
    <w:bookmarkEnd w:id="10"/>
    <w:p>
      <w:pPr>
        <w:jc w:val="both"/>
        <w:rPr>
          <w:rFonts w:ascii="Times New Roman" w:hAnsi="Times New Roman" w:cs="Times New Roman"/>
          <w:noProof/>
          <w:sz w:val="24"/>
          <w:szCs w:val="24"/>
        </w:rPr>
      </w:pPr>
      <w:r>
        <w:rPr>
          <w:rFonts w:ascii="Times New Roman" w:hAnsi="Times New Roman"/>
          <w:noProof/>
          <w:sz w:val="24"/>
          <w:szCs w:val="24"/>
        </w:rPr>
        <w:t>Dennoch ist das eigentliche Ziel noch nicht vollständig erreicht, da nicht alle Mitgliedstaaten über ECRIS verbunden sind und mit sämtlichen anderen Mitgliedstaaten Informationen austauschen. </w:t>
      </w:r>
    </w:p>
    <w:p>
      <w:pPr>
        <w:jc w:val="both"/>
        <w:rPr>
          <w:rFonts w:ascii="Times New Roman" w:hAnsi="Times New Roman" w:cs="Times New Roman"/>
          <w:b/>
          <w:bCs/>
          <w:smallCaps/>
          <w:noProof/>
          <w:sz w:val="24"/>
          <w:szCs w:val="24"/>
        </w:rPr>
      </w:pPr>
      <w:bookmarkStart w:id="11" w:name="_Toc479267021"/>
      <w:bookmarkEnd w:id="9"/>
    </w:p>
    <w:p>
      <w:pPr>
        <w:jc w:val="both"/>
        <w:rPr>
          <w:rFonts w:ascii="Times New Roman" w:hAnsi="Times New Roman" w:cs="Times New Roman"/>
          <w:b/>
          <w:noProof/>
          <w:sz w:val="24"/>
          <w:szCs w:val="24"/>
        </w:rPr>
      </w:pPr>
      <w:r>
        <w:rPr>
          <w:rFonts w:ascii="Times New Roman" w:hAnsi="Times New Roman"/>
          <w:b/>
          <w:bCs/>
          <w:smallCaps/>
          <w:noProof/>
          <w:sz w:val="24"/>
          <w:szCs w:val="24"/>
        </w:rPr>
        <w:t xml:space="preserve">2.2. </w:t>
      </w:r>
      <w:r>
        <w:rPr>
          <w:rFonts w:ascii="Times New Roman" w:hAnsi="Times New Roman"/>
          <w:b/>
          <w:noProof/>
          <w:sz w:val="24"/>
          <w:szCs w:val="24"/>
        </w:rPr>
        <w:t>Gesamtzahl der</w:t>
      </w:r>
      <w:bookmarkEnd w:id="11"/>
      <w:r>
        <w:rPr>
          <w:rFonts w:ascii="Times New Roman" w:hAnsi="Times New Roman"/>
          <w:b/>
          <w:noProof/>
          <w:sz w:val="24"/>
          <w:szCs w:val="24"/>
        </w:rPr>
        <w:t xml:space="preserve"> ausgetauschten Meldungen</w:t>
      </w:r>
    </w:p>
    <w:p>
      <w:pPr>
        <w:jc w:val="both"/>
        <w:rPr>
          <w:rFonts w:ascii="Times New Roman" w:hAnsi="Times New Roman" w:cs="Times New Roman"/>
          <w:noProof/>
          <w:sz w:val="24"/>
          <w:szCs w:val="24"/>
        </w:rPr>
      </w:pPr>
      <w:r>
        <w:rPr>
          <w:rFonts w:ascii="Times New Roman" w:hAnsi="Times New Roman"/>
          <w:noProof/>
          <w:sz w:val="24"/>
          <w:szCs w:val="24"/>
        </w:rPr>
        <w:t>Die nachstehende Grafik veranschaulicht die rasch steigende jährliche Zahl der zwischen den angeschlossenen Mitgliedstaaten ausgetauschten Meldungen seit der Inbetriebnahme von ECRIS im April 2012 bis zum 31. Dezember 2019. Es sei bemerkt, dass im Jahr 2012 nur eine achtmonatige Tätigkeit verzeichnet wurde.</w:t>
      </w:r>
    </w:p>
    <w:p>
      <w:pPr>
        <w:jc w:val="center"/>
        <w:rPr>
          <w:rFonts w:ascii="Times New Roman" w:hAnsi="Times New Roman" w:cs="Times New Roman"/>
          <w:noProof/>
          <w:sz w:val="24"/>
          <w:szCs w:val="24"/>
          <w:highlight w:val="yellow"/>
        </w:rPr>
      </w:pPr>
      <w:r>
        <w:rPr>
          <w:noProof/>
          <w:lang w:val="en-GB"/>
        </w:rPr>
        <w:drawing>
          <wp:inline distT="0" distB="0" distL="0" distR="0">
            <wp:extent cx="5397928" cy="36751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4074" cy="3679370"/>
                    </a:xfrm>
                    <a:prstGeom prst="rect">
                      <a:avLst/>
                    </a:prstGeom>
                  </pic:spPr>
                </pic:pic>
              </a:graphicData>
            </a:graphic>
          </wp:inline>
        </w:drawing>
      </w:r>
    </w:p>
    <w:p>
      <w:pPr>
        <w:jc w:val="both"/>
        <w:rPr>
          <w:rFonts w:ascii="Times New Roman" w:hAnsi="Times New Roman" w:cs="Times New Roman"/>
          <w:noProof/>
          <w:sz w:val="24"/>
          <w:szCs w:val="24"/>
        </w:rPr>
      </w:pPr>
      <w:bookmarkStart w:id="12" w:name="_Hlk481162649"/>
      <w:bookmarkStart w:id="13" w:name="_Hlk481160518"/>
      <w:r>
        <w:rPr>
          <w:rFonts w:ascii="Times New Roman" w:hAnsi="Times New Roman"/>
          <w:noProof/>
          <w:sz w:val="24"/>
          <w:szCs w:val="24"/>
        </w:rPr>
        <w:t xml:space="preserve">Ausgehend von den 2 Mio. ausgetauschten Meldungen aus allen verbundenen Mitgliedstaaten im Jahr 2016 stieg die Zahl mit </w:t>
      </w:r>
      <w:r>
        <w:rPr>
          <w:rFonts w:ascii="Times New Roman" w:hAnsi="Times New Roman"/>
          <w:b/>
          <w:noProof/>
          <w:sz w:val="24"/>
          <w:szCs w:val="24"/>
        </w:rPr>
        <w:t>durchschnittlich 348 000 Meldungen pro Monat</w:t>
      </w:r>
      <w:r>
        <w:rPr>
          <w:rFonts w:ascii="Times New Roman" w:hAnsi="Times New Roman"/>
          <w:noProof/>
          <w:sz w:val="24"/>
          <w:szCs w:val="24"/>
        </w:rPr>
        <w:t xml:space="preserve"> auf fast </w:t>
      </w:r>
      <w:r>
        <w:rPr>
          <w:rFonts w:ascii="Times New Roman" w:hAnsi="Times New Roman"/>
          <w:b/>
          <w:noProof/>
          <w:sz w:val="24"/>
          <w:szCs w:val="24"/>
        </w:rPr>
        <w:t>4,2 Mio. im Jahr 2019 an</w:t>
      </w:r>
      <w:r>
        <w:rPr>
          <w:rFonts w:ascii="Times New Roman" w:hAnsi="Times New Roman"/>
          <w:noProof/>
          <w:sz w:val="24"/>
          <w:szCs w:val="24"/>
        </w:rPr>
        <w:t>.</w:t>
      </w:r>
      <w:bookmarkEnd w:id="12"/>
      <w:r>
        <w:rPr>
          <w:rFonts w:ascii="Times New Roman" w:hAnsi="Times New Roman"/>
          <w:noProof/>
          <w:sz w:val="24"/>
          <w:szCs w:val="24"/>
        </w:rPr>
        <w:t xml:space="preserve"> Diese Daten beinhalten alle Arten von Meldungen: Mitteilungen, Aktualisierungen, Ersuchen, Antworten, Ablehnungen, andere Antworten, Austausch zusätzlicher Informationen usw. </w:t>
      </w:r>
    </w:p>
    <w:p>
      <w:pPr>
        <w:jc w:val="both"/>
        <w:rPr>
          <w:rFonts w:ascii="Times New Roman" w:hAnsi="Times New Roman" w:cs="Times New Roman"/>
          <w:noProof/>
          <w:sz w:val="24"/>
          <w:szCs w:val="24"/>
        </w:rPr>
      </w:pPr>
      <w:r>
        <w:rPr>
          <w:rFonts w:ascii="Times New Roman" w:hAnsi="Times New Roman"/>
          <w:noProof/>
          <w:sz w:val="24"/>
          <w:szCs w:val="24"/>
        </w:rPr>
        <w:t>Die nachfolgende Grafik verdeutlicht die Entwicklung der Mitteilungen, Ersuchen und Antworten auf Ersuchen während des achtjährigen ECRIS-Betriebs. Berücksichtigt wurden lediglich Mitteilungen über neue Verurteilungen (ohne Aktualisierungen). Die Antworten umfassen Antworten auf Ersuchen, Ablehnungen und sonstige Antworten.</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noProof/>
          <w:lang w:val="en-GB"/>
        </w:rPr>
        <w:drawing>
          <wp:inline distT="0" distB="0" distL="0" distR="0">
            <wp:extent cx="5896610" cy="27842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4252" cy="2792561"/>
                    </a:xfrm>
                    <a:prstGeom prst="rect">
                      <a:avLst/>
                    </a:prstGeom>
                  </pic:spPr>
                </pic:pic>
              </a:graphicData>
            </a:graphic>
          </wp:inline>
        </w:drawing>
      </w:r>
    </w:p>
    <w:p>
      <w:pPr>
        <w:jc w:val="both"/>
        <w:rPr>
          <w:rFonts w:ascii="Times New Roman" w:hAnsi="Times New Roman" w:cs="Times New Roman"/>
          <w:noProof/>
          <w:sz w:val="24"/>
          <w:szCs w:val="24"/>
        </w:rPr>
      </w:pPr>
      <w:bookmarkStart w:id="14" w:name="_Hlk481162482"/>
    </w:p>
    <w:p>
      <w:pPr>
        <w:jc w:val="both"/>
        <w:rPr>
          <w:rFonts w:ascii="Times New Roman" w:hAnsi="Times New Roman" w:cs="Times New Roman"/>
          <w:b/>
          <w:noProof/>
          <w:sz w:val="24"/>
          <w:szCs w:val="24"/>
        </w:rPr>
      </w:pPr>
      <w:r>
        <w:rPr>
          <w:rFonts w:ascii="Times New Roman" w:hAnsi="Times New Roman"/>
          <w:noProof/>
          <w:sz w:val="24"/>
          <w:szCs w:val="24"/>
        </w:rPr>
        <w:t xml:space="preserve">In den letzten drei Jahren haben sich die </w:t>
      </w:r>
      <w:r>
        <w:rPr>
          <w:rFonts w:ascii="Times New Roman" w:hAnsi="Times New Roman"/>
          <w:b/>
          <w:noProof/>
          <w:sz w:val="24"/>
          <w:szCs w:val="24"/>
        </w:rPr>
        <w:t>Verhältnisse zwischen</w:t>
      </w:r>
      <w:r>
        <w:rPr>
          <w:rFonts w:ascii="Times New Roman" w:hAnsi="Times New Roman"/>
          <w:noProof/>
          <w:sz w:val="24"/>
          <w:szCs w:val="24"/>
        </w:rPr>
        <w:t xml:space="preserve"> der Anzahl der Mitteilungen über neue </w:t>
      </w:r>
      <w:r>
        <w:rPr>
          <w:rFonts w:ascii="Times New Roman" w:hAnsi="Times New Roman"/>
          <w:b/>
          <w:bCs/>
          <w:noProof/>
          <w:sz w:val="24"/>
          <w:szCs w:val="24"/>
        </w:rPr>
        <w:t>Verurteilungen, Ersuchen und Antworten auf Ersuchen</w:t>
      </w:r>
      <w:r>
        <w:rPr>
          <w:rFonts w:ascii="Times New Roman" w:hAnsi="Times New Roman"/>
          <w:noProof/>
          <w:sz w:val="24"/>
          <w:szCs w:val="24"/>
        </w:rPr>
        <w:t xml:space="preserve"> </w:t>
      </w:r>
      <w:r>
        <w:rPr>
          <w:rFonts w:ascii="Times New Roman" w:hAnsi="Times New Roman"/>
          <w:b/>
          <w:noProof/>
          <w:sz w:val="24"/>
          <w:szCs w:val="24"/>
        </w:rPr>
        <w:t>grundlegend geändert</w:t>
      </w:r>
      <w:r>
        <w:rPr>
          <w:rFonts w:ascii="Times New Roman" w:hAnsi="Times New Roman"/>
          <w:noProof/>
          <w:sz w:val="24"/>
          <w:szCs w:val="24"/>
        </w:rPr>
        <w:t xml:space="preserve">. Im Jahr 2016 waren die Zahlen für jede dieser drei Kategorien fast gleich und beliefen sich auf ca. </w:t>
      </w:r>
      <w:r>
        <w:rPr>
          <w:rFonts w:ascii="Times New Roman" w:hAnsi="Times New Roman"/>
          <w:bCs/>
          <w:noProof/>
          <w:sz w:val="24"/>
          <w:szCs w:val="24"/>
        </w:rPr>
        <w:t>350 000 pro Jahr pro Kategorie. Im Jahr 2019 war die Zahl der Informationsersuchen und die entsprechende Zahl der Antworten auf Ersuchen mehr als drei Mal so hoch wie die Zahl der Mitteilungen.</w:t>
      </w:r>
    </w:p>
    <w:p>
      <w:pPr>
        <w:jc w:val="both"/>
        <w:rPr>
          <w:rFonts w:ascii="Times New Roman" w:hAnsi="Times New Roman" w:cs="Times New Roman"/>
          <w:noProof/>
          <w:sz w:val="24"/>
          <w:szCs w:val="24"/>
        </w:rPr>
      </w:pPr>
      <w:r>
        <w:rPr>
          <w:rFonts w:ascii="Times New Roman" w:hAnsi="Times New Roman"/>
          <w:noProof/>
          <w:sz w:val="24"/>
          <w:szCs w:val="24"/>
        </w:rPr>
        <w:t xml:space="preserve">Im Jahr 2017 </w:t>
      </w:r>
      <w:r>
        <w:rPr>
          <w:rFonts w:ascii="Times New Roman" w:hAnsi="Times New Roman"/>
          <w:b/>
          <w:noProof/>
          <w:sz w:val="24"/>
          <w:szCs w:val="24"/>
        </w:rPr>
        <w:t>fiel die Zahl der Mitteilungen über neue Verurteilungen</w:t>
      </w:r>
      <w:r>
        <w:rPr>
          <w:rFonts w:ascii="Times New Roman" w:hAnsi="Times New Roman"/>
          <w:noProof/>
          <w:sz w:val="24"/>
          <w:szCs w:val="24"/>
        </w:rPr>
        <w:t xml:space="preserve"> und hielt sich </w:t>
      </w:r>
      <w:r>
        <w:rPr>
          <w:rFonts w:ascii="Times New Roman" w:hAnsi="Times New Roman"/>
          <w:b/>
          <w:bCs/>
          <w:noProof/>
          <w:sz w:val="24"/>
          <w:szCs w:val="24"/>
        </w:rPr>
        <w:t>bis 2019 auf einem Niveau von ca. 310 000</w:t>
      </w:r>
      <w:r>
        <w:rPr>
          <w:rFonts w:ascii="Times New Roman" w:hAnsi="Times New Roman"/>
          <w:noProof/>
          <w:sz w:val="24"/>
          <w:szCs w:val="24"/>
        </w:rPr>
        <w:t>. Dieser rückläufige Trend ist angesichts der größeren Zahl an Verbindungen zwischen den Mitgliedstaaten überraschend. Wie in Abschnitt 2.4. dargelegt, hatten einige Mitgliedstaaten Probleme bei der Mitteilung aller neuen Verurteilungen.</w:t>
      </w:r>
    </w:p>
    <w:p>
      <w:pPr>
        <w:jc w:val="both"/>
        <w:rPr>
          <w:rFonts w:ascii="Times New Roman" w:hAnsi="Times New Roman" w:cs="Times New Roman"/>
          <w:noProof/>
          <w:sz w:val="24"/>
          <w:szCs w:val="24"/>
        </w:rPr>
      </w:pPr>
      <w:r>
        <w:rPr>
          <w:rFonts w:ascii="Times New Roman" w:hAnsi="Times New Roman"/>
          <w:noProof/>
          <w:sz w:val="24"/>
          <w:szCs w:val="24"/>
        </w:rPr>
        <w:t xml:space="preserve">Im Gegensatz dazu hat sich die </w:t>
      </w:r>
      <w:r>
        <w:rPr>
          <w:rFonts w:ascii="Times New Roman" w:hAnsi="Times New Roman"/>
          <w:b/>
          <w:noProof/>
          <w:sz w:val="24"/>
          <w:szCs w:val="24"/>
        </w:rPr>
        <w:t>Zahl der Informationsersuchen</w:t>
      </w:r>
      <w:r>
        <w:rPr>
          <w:rFonts w:ascii="Times New Roman" w:hAnsi="Times New Roman"/>
          <w:noProof/>
          <w:sz w:val="24"/>
          <w:szCs w:val="24"/>
        </w:rPr>
        <w:t xml:space="preserve"> und der entsprechenden Antworten auf Ersuchen </w:t>
      </w:r>
      <w:r>
        <w:rPr>
          <w:rFonts w:ascii="Times New Roman" w:hAnsi="Times New Roman"/>
          <w:b/>
          <w:noProof/>
          <w:sz w:val="24"/>
          <w:szCs w:val="24"/>
        </w:rPr>
        <w:t xml:space="preserve">seit 2017 verdreifacht und 2019 für diese Kategorien jeweils </w:t>
      </w:r>
      <w:r>
        <w:rPr>
          <w:rFonts w:ascii="Times New Roman" w:hAnsi="Times New Roman"/>
          <w:b/>
          <w:bCs/>
          <w:noProof/>
          <w:sz w:val="24"/>
          <w:szCs w:val="24"/>
        </w:rPr>
        <w:t>1 Mio.</w:t>
      </w:r>
      <w:r>
        <w:rPr>
          <w:rFonts w:ascii="Times New Roman" w:hAnsi="Times New Roman"/>
          <w:noProof/>
          <w:sz w:val="24"/>
          <w:szCs w:val="24"/>
        </w:rPr>
        <w:t xml:space="preserve"> erreicht. Dieser</w:t>
      </w:r>
      <w:r>
        <w:rPr>
          <w:rFonts w:ascii="Times New Roman" w:hAnsi="Times New Roman"/>
          <w:b/>
          <w:noProof/>
          <w:sz w:val="24"/>
          <w:szCs w:val="24"/>
        </w:rPr>
        <w:t xml:space="preserve"> dramatische Anstieg bei den Informationsersuchen </w:t>
      </w:r>
      <w:r>
        <w:rPr>
          <w:rFonts w:ascii="Times New Roman" w:hAnsi="Times New Roman"/>
          <w:noProof/>
          <w:sz w:val="24"/>
          <w:szCs w:val="24"/>
        </w:rPr>
        <w:t>lässt sich insbesondere auf die</w:t>
      </w:r>
      <w:r>
        <w:rPr>
          <w:rFonts w:ascii="Times New Roman" w:hAnsi="Times New Roman"/>
          <w:b/>
          <w:noProof/>
          <w:sz w:val="24"/>
          <w:szCs w:val="24"/>
        </w:rPr>
        <w:t xml:space="preserve"> </w:t>
      </w:r>
      <w:r>
        <w:rPr>
          <w:rFonts w:ascii="Times New Roman" w:hAnsi="Times New Roman"/>
          <w:b/>
          <w:bCs/>
          <w:noProof/>
          <w:sz w:val="24"/>
          <w:szCs w:val="24"/>
        </w:rPr>
        <w:t>geänderte Nutzung von ECRIS zurückführen, das nicht mehr hauptsächlich für Strafverfahrenszwecke genutzt wird, sondern zunehmend auch für andere Zwecke als Strafverfahren</w:t>
      </w:r>
      <w:r>
        <w:rPr>
          <w:rFonts w:ascii="Times New Roman" w:hAnsi="Times New Roman"/>
          <w:bCs/>
          <w:noProof/>
          <w:sz w:val="24"/>
          <w:szCs w:val="24"/>
        </w:rPr>
        <w:t>.</w:t>
      </w:r>
      <w:r>
        <w:rPr>
          <w:rFonts w:ascii="Times New Roman" w:hAnsi="Times New Roman"/>
          <w:noProof/>
          <w:sz w:val="24"/>
          <w:szCs w:val="24"/>
        </w:rPr>
        <w:t xml:space="preserve"> Weitere Einzelheiten siehe Abschnitt 2.8. Dies ist auch ein positives Zeichen für eine zunehmende Sensibilisierung der Mitgliedstaaten, auf ECRIS zurückzugreifen, wenn bei Strafverfahren Informationen angefordert werden, um früheren Verurteilungen im Einklang mit dem Rahmenbeschluss 2008/675/JI</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Rechnung zu tragen.</w:t>
      </w:r>
    </w:p>
    <w:p>
      <w:pPr>
        <w:jc w:val="both"/>
        <w:rPr>
          <w:rFonts w:ascii="Times New Roman" w:hAnsi="Times New Roman" w:cs="Times New Roman"/>
          <w:b/>
          <w:noProof/>
          <w:sz w:val="24"/>
          <w:szCs w:val="24"/>
        </w:rPr>
      </w:pPr>
      <w:bookmarkStart w:id="15" w:name="_Toc479267022"/>
      <w:bookmarkEnd w:id="13"/>
      <w:bookmarkEnd w:id="14"/>
    </w:p>
    <w:p>
      <w:pPr>
        <w:jc w:val="both"/>
        <w:rPr>
          <w:rFonts w:ascii="Times New Roman" w:hAnsi="Times New Roman" w:cs="Times New Roman"/>
          <w:b/>
          <w:noProof/>
          <w:sz w:val="24"/>
          <w:szCs w:val="24"/>
        </w:rPr>
      </w:pPr>
      <w:r>
        <w:rPr>
          <w:rFonts w:ascii="Times New Roman" w:hAnsi="Times New Roman"/>
          <w:b/>
          <w:noProof/>
          <w:sz w:val="24"/>
          <w:szCs w:val="24"/>
        </w:rPr>
        <w:t xml:space="preserve">2.3. Zahl der Mitteilungen, Ersuchen und </w:t>
      </w:r>
      <w:bookmarkEnd w:id="15"/>
      <w:r>
        <w:rPr>
          <w:rFonts w:ascii="Times New Roman" w:hAnsi="Times New Roman"/>
          <w:b/>
          <w:noProof/>
          <w:sz w:val="24"/>
          <w:szCs w:val="24"/>
        </w:rPr>
        <w:t>Antworten pro Mitgliedstaat</w:t>
      </w:r>
    </w:p>
    <w:p>
      <w:pPr>
        <w:jc w:val="both"/>
        <w:rPr>
          <w:rFonts w:ascii="Times New Roman" w:hAnsi="Times New Roman" w:cs="Times New Roman"/>
          <w:noProof/>
          <w:sz w:val="24"/>
          <w:szCs w:val="24"/>
        </w:rPr>
      </w:pPr>
      <w:r>
        <w:rPr>
          <w:rFonts w:ascii="Times New Roman" w:hAnsi="Times New Roman"/>
          <w:noProof/>
          <w:sz w:val="24"/>
          <w:szCs w:val="24"/>
        </w:rPr>
        <w:t>Die nachfolgende Grafik veranschaulicht die Zahl der Mitteilungen über neue Verurteilungen, Informationsersuchen und Antworten für alle verbundenen Mitgliedstaaten im Jahr 2019.</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w:t>
      </w:r>
    </w:p>
    <w:p>
      <w:pPr>
        <w:jc w:val="center"/>
        <w:rPr>
          <w:rFonts w:ascii="Times New Roman" w:hAnsi="Times New Roman" w:cs="Times New Roman"/>
          <w:b/>
          <w:noProof/>
          <w:sz w:val="24"/>
          <w:szCs w:val="24"/>
        </w:rPr>
      </w:pPr>
      <w:r>
        <w:rPr>
          <w:noProof/>
          <w:lang w:val="en-GB"/>
        </w:rPr>
        <w:drawing>
          <wp:inline distT="0" distB="0" distL="0" distR="0">
            <wp:extent cx="5924787" cy="3856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6419" cy="3857954"/>
                    </a:xfrm>
                    <a:prstGeom prst="rect">
                      <a:avLst/>
                    </a:prstGeom>
                  </pic:spPr>
                </pic:pic>
              </a:graphicData>
            </a:graphic>
          </wp:inline>
        </w:drawing>
      </w:r>
    </w:p>
    <w:p>
      <w:pPr>
        <w:jc w:val="both"/>
        <w:rPr>
          <w:rFonts w:ascii="Times New Roman" w:hAnsi="Times New Roman" w:cs="Times New Roman"/>
          <w:noProof/>
          <w:sz w:val="24"/>
          <w:szCs w:val="24"/>
        </w:rPr>
      </w:pPr>
      <w:bookmarkStart w:id="16" w:name="_Hlk481161857"/>
      <w:bookmarkStart w:id="17" w:name="_Hlk481162724"/>
    </w:p>
    <w:p>
      <w:pPr>
        <w:jc w:val="both"/>
        <w:rPr>
          <w:rFonts w:ascii="Times New Roman" w:hAnsi="Times New Roman" w:cs="Times New Roman"/>
          <w:noProof/>
          <w:sz w:val="24"/>
          <w:szCs w:val="24"/>
        </w:rPr>
      </w:pPr>
      <w:r>
        <w:rPr>
          <w:rFonts w:ascii="Times New Roman" w:hAnsi="Times New Roman"/>
          <w:noProof/>
          <w:sz w:val="24"/>
          <w:szCs w:val="24"/>
        </w:rPr>
        <w:t>Ähnlich wie in den vergangenen Jahren waren die aktivsten Mitgliedstaaten in Bezug auf die Gesamtzahl dieser drei Arten von Meldungen die unten ersichtlichen.</w:t>
      </w:r>
    </w:p>
    <w:bookmarkEnd w:id="16"/>
    <w:p>
      <w:pPr>
        <w:jc w:val="center"/>
        <w:rPr>
          <w:rFonts w:ascii="Times New Roman" w:hAnsi="Times New Roman" w:cs="Times New Roman"/>
          <w:noProof/>
          <w:sz w:val="24"/>
          <w:szCs w:val="24"/>
        </w:rPr>
      </w:pPr>
      <w:r>
        <w:rPr>
          <w:noProof/>
          <w:lang w:val="en-GB"/>
        </w:rPr>
        <w:drawing>
          <wp:inline distT="0" distB="0" distL="0" distR="0">
            <wp:extent cx="3969727" cy="17643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77259" cy="1767671"/>
                    </a:xfrm>
                    <a:prstGeom prst="rect">
                      <a:avLst/>
                    </a:prstGeom>
                  </pic:spPr>
                </pic:pic>
              </a:graphicData>
            </a:graphic>
          </wp:inline>
        </w:drawing>
      </w:r>
    </w:p>
    <w:p>
      <w:pPr>
        <w:jc w:val="cente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Die Zahlen zeigen </w:t>
      </w:r>
      <w:r>
        <w:rPr>
          <w:rFonts w:ascii="Times New Roman" w:hAnsi="Times New Roman"/>
          <w:b/>
          <w:noProof/>
          <w:sz w:val="24"/>
          <w:szCs w:val="24"/>
        </w:rPr>
        <w:t>erhebliche Unterschiede zwischen den ECRIS-Tätigkeiten der einzelnen Mitgliedstaaten und der Arbeitsbelastung</w:t>
      </w:r>
      <w:r>
        <w:rPr>
          <w:rFonts w:ascii="Times New Roman" w:hAnsi="Times New Roman"/>
          <w:noProof/>
          <w:sz w:val="24"/>
          <w:szCs w:val="24"/>
        </w:rPr>
        <w:t>.</w:t>
      </w:r>
    </w:p>
    <w:bookmarkEnd w:id="17"/>
    <w:p>
      <w:pPr>
        <w:jc w:val="both"/>
        <w:rPr>
          <w:rFonts w:ascii="Times New Roman" w:hAnsi="Times New Roman" w:cs="Times New Roman"/>
          <w:noProof/>
          <w:sz w:val="24"/>
          <w:szCs w:val="24"/>
        </w:rPr>
      </w:pPr>
      <w:r>
        <w:rPr>
          <w:rFonts w:ascii="Times New Roman" w:hAnsi="Times New Roman"/>
          <w:noProof/>
          <w:sz w:val="24"/>
          <w:szCs w:val="24"/>
        </w:rPr>
        <w:t xml:space="preserve">Einige Mitgliedstaaten </w:t>
      </w:r>
      <w:r>
        <w:rPr>
          <w:rFonts w:ascii="Times New Roman" w:hAnsi="Times New Roman"/>
          <w:b/>
          <w:bCs/>
          <w:noProof/>
          <w:sz w:val="24"/>
          <w:szCs w:val="24"/>
        </w:rPr>
        <w:t>fordern wesentlich öfter Informationen an</w:t>
      </w:r>
      <w:r>
        <w:rPr>
          <w:rFonts w:ascii="Times New Roman" w:hAnsi="Times New Roman"/>
          <w:noProof/>
          <w:sz w:val="24"/>
          <w:szCs w:val="24"/>
        </w:rPr>
        <w:t xml:space="preserve"> als sie Informationsersuchen erhalten haben: z. B. DE (745 000 übermittelte Ersuchen, 32 400 erhaltene Ersuchen), UK (91 000 übermittelt, 31 500 erhalten) und CZ (38 500 übermittelt, 24 700 erhalten). Andere Mitgliedstaaten sehen sich einer </w:t>
      </w:r>
      <w:r>
        <w:rPr>
          <w:rFonts w:ascii="Times New Roman" w:hAnsi="Times New Roman"/>
          <w:b/>
          <w:bCs/>
          <w:noProof/>
          <w:sz w:val="24"/>
          <w:szCs w:val="24"/>
        </w:rPr>
        <w:t>erheblichen Anzahl an Ersuchen</w:t>
      </w:r>
      <w:r>
        <w:rPr>
          <w:rFonts w:ascii="Times New Roman" w:hAnsi="Times New Roman"/>
          <w:noProof/>
          <w:sz w:val="24"/>
          <w:szCs w:val="24"/>
        </w:rPr>
        <w:t xml:space="preserve"> gegenüber, obwohl sie weniger Ersuchen übermitteln: z. B. PL (197 300 übermittelte Antworten, 15 400 übermittelte Ersuchen), RO (170 000 versus 1 200), IT (99 500 versus 1 500), HR (63 300 versus 3 000), SK (41 000 versus 900), HU (37 400 versus 500). Einige andere Mitgliedstaaten </w:t>
      </w:r>
      <w:r>
        <w:rPr>
          <w:rFonts w:ascii="Times New Roman" w:hAnsi="Times New Roman"/>
          <w:b/>
          <w:bCs/>
          <w:noProof/>
          <w:sz w:val="24"/>
          <w:szCs w:val="24"/>
        </w:rPr>
        <w:t>übermitteln eine hohe Zahl von Mitteilungen</w:t>
      </w:r>
      <w:r>
        <w:rPr>
          <w:rFonts w:ascii="Times New Roman" w:hAnsi="Times New Roman"/>
          <w:noProof/>
          <w:sz w:val="24"/>
          <w:szCs w:val="24"/>
        </w:rPr>
        <w:t xml:space="preserve"> über neue Verurteilungen an die Mitgliedstaaten der Staatsangehörigkeit des Straftäters bei gleichzeitiger Übermittlung weniger Ersuchen von eigener Seite: z. B. BE (36 300 übermittelte Mitteilungen, 5 200 übermittelte Ersuchen), IT (25 700 Mitteilungen, 1 500 Ersuchen).</w:t>
      </w:r>
    </w:p>
    <w:p>
      <w:pPr>
        <w:jc w:val="both"/>
        <w:rPr>
          <w:rFonts w:ascii="Times New Roman" w:hAnsi="Times New Roman" w:cs="Times New Roman"/>
          <w:b/>
          <w:noProof/>
          <w:sz w:val="24"/>
          <w:szCs w:val="24"/>
        </w:rPr>
      </w:pPr>
      <w:r>
        <w:rPr>
          <w:rFonts w:ascii="Times New Roman" w:hAnsi="Times New Roman"/>
          <w:b/>
          <w:noProof/>
          <w:sz w:val="24"/>
          <w:szCs w:val="24"/>
        </w:rPr>
        <w:t>2.4. Mitteilungen</w:t>
      </w:r>
    </w:p>
    <w:p>
      <w:pPr>
        <w:jc w:val="both"/>
        <w:rPr>
          <w:rFonts w:ascii="Times New Roman" w:hAnsi="Times New Roman" w:cs="Times New Roman"/>
          <w:noProof/>
          <w:sz w:val="24"/>
          <w:szCs w:val="24"/>
        </w:rPr>
      </w:pPr>
      <w:r>
        <w:rPr>
          <w:rFonts w:ascii="Times New Roman" w:hAnsi="Times New Roman"/>
          <w:noProof/>
          <w:sz w:val="24"/>
          <w:szCs w:val="24"/>
        </w:rPr>
        <w:t>Die nachfolgende Grafik veranschaulicht die Zahl der Mitteilungen seitens aller verbundenen Mitgliedstaaten im Jahr 2019, aufgeschlüsselt nach Mitteilungen über neue Verurteilungen und Mitteilungen zur Aktualisierung der bereits übermittelten Mitteilungen.</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t>
      </w:r>
    </w:p>
    <w:p>
      <w:pPr>
        <w:jc w:val="center"/>
        <w:rPr>
          <w:rStyle w:val="CommentReference"/>
          <w:rFonts w:ascii="Times New Roman" w:hAnsi="Times New Roman" w:cs="Times New Roman"/>
          <w:noProof/>
          <w:sz w:val="24"/>
          <w:szCs w:val="24"/>
        </w:rPr>
      </w:pPr>
      <w:bookmarkStart w:id="18" w:name="_Hlk481001185"/>
      <w:r>
        <w:rPr>
          <w:noProof/>
          <w:lang w:val="en-GB"/>
        </w:rPr>
        <w:drawing>
          <wp:inline distT="0" distB="0" distL="0" distR="0">
            <wp:extent cx="5244270" cy="335029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48732" cy="3353148"/>
                    </a:xfrm>
                    <a:prstGeom prst="rect">
                      <a:avLst/>
                    </a:prstGeom>
                  </pic:spPr>
                </pic:pic>
              </a:graphicData>
            </a:graphic>
          </wp:inline>
        </w:drawing>
      </w:r>
    </w:p>
    <w:p>
      <w:pPr>
        <w:jc w:val="both"/>
        <w:rPr>
          <w:rFonts w:ascii="Times New Roman" w:hAnsi="Times New Roman" w:cs="Times New Roman"/>
          <w:noProof/>
          <w:sz w:val="24"/>
          <w:szCs w:val="24"/>
        </w:rPr>
      </w:pPr>
      <w:r>
        <w:rPr>
          <w:rFonts w:ascii="Times New Roman" w:hAnsi="Times New Roman"/>
          <w:noProof/>
          <w:sz w:val="24"/>
          <w:szCs w:val="24"/>
        </w:rPr>
        <w:t xml:space="preserve">Die </w:t>
      </w:r>
      <w:r>
        <w:rPr>
          <w:rFonts w:ascii="Times New Roman" w:hAnsi="Times New Roman"/>
          <w:b/>
          <w:noProof/>
          <w:sz w:val="24"/>
          <w:szCs w:val="24"/>
        </w:rPr>
        <w:t>Zahl der Mitteilungen variiert zwischen den Mitgliedstaaten erheblich</w:t>
      </w:r>
      <w:r>
        <w:rPr>
          <w:rFonts w:ascii="Times New Roman" w:hAnsi="Times New Roman"/>
          <w:noProof/>
          <w:sz w:val="24"/>
          <w:szCs w:val="24"/>
        </w:rPr>
        <w:t>, d. h. von fast 112 000 (DE) bis zu 0 (MT, PT) Mitteilungen über neue Verurteilungen pro Jahr. Im Wesentlichen sind bei der Analyse dieser Abweichungen zwei Faktoren zu berücksichtigen: die Größe des Landes und die Zahl der Verurteilungen von Staatsangehörigen anderer Mitgliedstaaten (EU-Ausländer).</w:t>
      </w:r>
      <w:r>
        <w:rPr>
          <w:rStyle w:val="FootnoteReference"/>
          <w:rFonts w:ascii="Times New Roman" w:hAnsi="Times New Roman" w:cs="Times New Roman"/>
          <w:noProof/>
          <w:sz w:val="24"/>
          <w:szCs w:val="24"/>
        </w:rPr>
        <w:footnoteReference w:id="14"/>
      </w:r>
    </w:p>
    <w:p>
      <w:pPr>
        <w:jc w:val="both"/>
        <w:rPr>
          <w:rFonts w:ascii="Times New Roman" w:hAnsi="Times New Roman" w:cs="Times New Roman"/>
          <w:noProof/>
          <w:sz w:val="24"/>
          <w:szCs w:val="24"/>
        </w:rPr>
      </w:pPr>
      <w:bookmarkStart w:id="19" w:name="_Hlk480998606"/>
      <w:bookmarkStart w:id="20" w:name="_Hlk481162205"/>
      <w:r>
        <w:rPr>
          <w:rFonts w:ascii="Times New Roman" w:hAnsi="Times New Roman"/>
          <w:noProof/>
          <w:sz w:val="24"/>
          <w:szCs w:val="24"/>
        </w:rPr>
        <w:t xml:space="preserve">Die </w:t>
      </w:r>
      <w:r>
        <w:rPr>
          <w:rFonts w:ascii="Times New Roman" w:hAnsi="Times New Roman"/>
          <w:b/>
          <w:noProof/>
          <w:sz w:val="24"/>
          <w:szCs w:val="24"/>
        </w:rPr>
        <w:t>aktivsten</w:t>
      </w:r>
      <w:r>
        <w:rPr>
          <w:rFonts w:ascii="Times New Roman" w:hAnsi="Times New Roman"/>
          <w:noProof/>
          <w:sz w:val="24"/>
          <w:szCs w:val="24"/>
        </w:rPr>
        <w:t xml:space="preserve"> Mitgliedstaaten bei der Übermittlung von</w:t>
      </w:r>
      <w:r>
        <w:rPr>
          <w:rFonts w:ascii="Times New Roman" w:hAnsi="Times New Roman"/>
          <w:b/>
          <w:noProof/>
          <w:sz w:val="24"/>
          <w:szCs w:val="24"/>
        </w:rPr>
        <w:t xml:space="preserve"> Mitteilungen</w:t>
      </w:r>
      <w:r>
        <w:rPr>
          <w:rFonts w:ascii="Times New Roman" w:hAnsi="Times New Roman"/>
          <w:noProof/>
          <w:sz w:val="24"/>
          <w:szCs w:val="24"/>
        </w:rPr>
        <w:t xml:space="preserve"> über neue Verurteilungen waren die im folgenden Schaubild aufgeführten Mitgliedstaaten.</w:t>
      </w:r>
    </w:p>
    <w:p>
      <w:pPr>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noProof/>
          <w:lang w:val="en-GB"/>
        </w:rPr>
        <w:drawing>
          <wp:inline distT="0" distB="0" distL="0" distR="0">
            <wp:extent cx="3766771" cy="1747386"/>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0573" cy="1749150"/>
                    </a:xfrm>
                    <a:prstGeom prst="rect">
                      <a:avLst/>
                    </a:prstGeom>
                  </pic:spPr>
                </pic:pic>
              </a:graphicData>
            </a:graphic>
          </wp:inline>
        </w:drawing>
      </w:r>
    </w:p>
    <w:bookmarkEnd w:id="19"/>
    <w:p>
      <w:pPr>
        <w:jc w:val="both"/>
        <w:rPr>
          <w:rFonts w:ascii="Times New Roman" w:hAnsi="Times New Roman" w:cs="Times New Roman"/>
          <w:noProof/>
          <w:sz w:val="24"/>
          <w:szCs w:val="24"/>
        </w:rPr>
      </w:pPr>
      <w:r>
        <w:rPr>
          <w:rFonts w:ascii="Times New Roman" w:hAnsi="Times New Roman"/>
          <w:noProof/>
          <w:sz w:val="24"/>
          <w:szCs w:val="24"/>
        </w:rPr>
        <w:t>Unter Berücksichtigung aller übermittelten Mitteilungen, einschließlich Mitteilungen über Aktualisierungen, bleibt DE auf dem ersten Platz, wobei sich die weitere Rangfolge ändert.</w:t>
      </w:r>
    </w:p>
    <w:p>
      <w:pPr>
        <w:jc w:val="center"/>
        <w:rPr>
          <w:rFonts w:ascii="Times New Roman" w:hAnsi="Times New Roman" w:cs="Times New Roman"/>
          <w:noProof/>
          <w:sz w:val="24"/>
          <w:szCs w:val="24"/>
        </w:rPr>
      </w:pPr>
      <w:r>
        <w:rPr>
          <w:noProof/>
          <w:lang w:val="en-GB"/>
        </w:rPr>
        <w:drawing>
          <wp:inline distT="0" distB="0" distL="0" distR="0">
            <wp:extent cx="3680314" cy="172999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2333" cy="1735642"/>
                    </a:xfrm>
                    <a:prstGeom prst="rect">
                      <a:avLst/>
                    </a:prstGeom>
                  </pic:spPr>
                </pic:pic>
              </a:graphicData>
            </a:graphic>
          </wp:inline>
        </w:drawing>
      </w:r>
    </w:p>
    <w:p>
      <w:pPr>
        <w:jc w:val="both"/>
        <w:rPr>
          <w:rFonts w:ascii="Times New Roman" w:hAnsi="Times New Roman" w:cs="Times New Roman"/>
          <w:b/>
          <w:noProof/>
          <w:sz w:val="24"/>
          <w:szCs w:val="24"/>
        </w:rPr>
      </w:pPr>
    </w:p>
    <w:p>
      <w:pPr>
        <w:jc w:val="both"/>
        <w:rPr>
          <w:rFonts w:ascii="Times New Roman" w:hAnsi="Times New Roman" w:cs="Times New Roman"/>
          <w:bCs/>
          <w:noProof/>
          <w:sz w:val="24"/>
          <w:szCs w:val="24"/>
        </w:rPr>
      </w:pPr>
      <w:r>
        <w:rPr>
          <w:rFonts w:ascii="Times New Roman" w:hAnsi="Times New Roman"/>
          <w:noProof/>
          <w:sz w:val="24"/>
          <w:szCs w:val="24"/>
        </w:rPr>
        <w:t xml:space="preserve">Im Jahr 2019 machten </w:t>
      </w:r>
      <w:r>
        <w:rPr>
          <w:rFonts w:ascii="Times New Roman" w:hAnsi="Times New Roman"/>
          <w:b/>
          <w:noProof/>
          <w:sz w:val="24"/>
          <w:szCs w:val="24"/>
        </w:rPr>
        <w:t>Mitteilungen über neue Verurteilungen und Mitteilungen über Aktualisierungen 58 % bzw. 42 </w:t>
      </w:r>
      <w:r>
        <w:rPr>
          <w:rFonts w:ascii="Times New Roman" w:hAnsi="Times New Roman"/>
          <w:b/>
          <w:bCs/>
          <w:noProof/>
          <w:sz w:val="24"/>
          <w:szCs w:val="24"/>
        </w:rPr>
        <w:t>%</w:t>
      </w:r>
      <w:r>
        <w:rPr>
          <w:rFonts w:ascii="Times New Roman" w:hAnsi="Times New Roman"/>
          <w:noProof/>
          <w:sz w:val="24"/>
          <w:szCs w:val="24"/>
        </w:rPr>
        <w:t xml:space="preserve"> aus. Insgesamt wurden in jenem Jahr </w:t>
      </w:r>
      <w:r>
        <w:rPr>
          <w:rFonts w:ascii="Times New Roman" w:hAnsi="Times New Roman"/>
          <w:b/>
          <w:noProof/>
          <w:sz w:val="24"/>
          <w:szCs w:val="24"/>
        </w:rPr>
        <w:t>230 000 Mitteilungen über Aktualisierungen</w:t>
      </w:r>
      <w:r>
        <w:rPr>
          <w:rFonts w:ascii="Times New Roman" w:hAnsi="Times New Roman"/>
          <w:noProof/>
          <w:sz w:val="24"/>
          <w:szCs w:val="24"/>
        </w:rPr>
        <w:t xml:space="preserve"> übermittelt.</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w:t>
      </w:r>
      <w:r>
        <w:rPr>
          <w:rFonts w:ascii="Times New Roman" w:hAnsi="Times New Roman"/>
          <w:bCs/>
          <w:noProof/>
          <w:sz w:val="24"/>
          <w:szCs w:val="24"/>
        </w:rPr>
        <w:t xml:space="preserve">Es sei darauf verwiesen, dass Aktualisierungen vor dem Jahr 2017 nur etwa ein Viertel aller Mitteilungen darstellten. Die vorliegende </w:t>
      </w:r>
      <w:r>
        <w:rPr>
          <w:rFonts w:ascii="Times New Roman" w:hAnsi="Times New Roman"/>
          <w:b/>
          <w:bCs/>
          <w:noProof/>
          <w:sz w:val="24"/>
          <w:szCs w:val="24"/>
        </w:rPr>
        <w:t>erhebliche</w:t>
      </w:r>
      <w:r>
        <w:rPr>
          <w:rFonts w:ascii="Times New Roman" w:hAnsi="Times New Roman"/>
          <w:bCs/>
          <w:noProof/>
          <w:sz w:val="24"/>
          <w:szCs w:val="24"/>
        </w:rPr>
        <w:t xml:space="preserve"> </w:t>
      </w:r>
      <w:r>
        <w:rPr>
          <w:rFonts w:ascii="Times New Roman" w:hAnsi="Times New Roman"/>
          <w:b/>
          <w:noProof/>
          <w:sz w:val="24"/>
          <w:szCs w:val="24"/>
        </w:rPr>
        <w:t xml:space="preserve">Zunahme bei den Aktualisierungen </w:t>
      </w:r>
      <w:r>
        <w:rPr>
          <w:rFonts w:ascii="Times New Roman" w:hAnsi="Times New Roman"/>
          <w:bCs/>
          <w:noProof/>
          <w:sz w:val="24"/>
          <w:szCs w:val="24"/>
        </w:rPr>
        <w:t xml:space="preserve">für viele Mitgliedstaaten sollte als positives Anzeichen dafür gesehen werden, dass sie sich der Bedeutung der Übermittlung entsprechender Änderungen der ursprünglichen Mitteilungen bewusst sind. </w:t>
      </w:r>
    </w:p>
    <w:p>
      <w:pPr>
        <w:jc w:val="both"/>
        <w:rPr>
          <w:rFonts w:ascii="Times New Roman" w:hAnsi="Times New Roman" w:cs="Times New Roman"/>
          <w:noProof/>
          <w:sz w:val="24"/>
          <w:szCs w:val="24"/>
        </w:rPr>
      </w:pPr>
      <w:r>
        <w:rPr>
          <w:rFonts w:ascii="Times New Roman" w:hAnsi="Times New Roman"/>
          <w:b/>
          <w:noProof/>
          <w:sz w:val="24"/>
          <w:szCs w:val="24"/>
        </w:rPr>
        <w:t>Das Verhältnis zwischen Mitteilungen über neue Verurteilungen und Mitteilungen über Aktualisierungen variiert zwischen den Mitgliedstaaten erheblich</w:t>
      </w:r>
      <w:r>
        <w:rPr>
          <w:rFonts w:ascii="Times New Roman" w:hAnsi="Times New Roman"/>
          <w:noProof/>
          <w:sz w:val="24"/>
          <w:szCs w:val="24"/>
        </w:rPr>
        <w:t>, so gab es dreimal so hohe (z. B. FR, PL) oder doppelt so hohe (z. B. AT, CZ) Aktualisierungen wie Mitteilungen, fast gleiche Zahlen für beide Kategorien dieser Meldungen (z. B. ES, NL, IT, HU, FI, SK) und Aktualisierungen, die nur einen kleinen Teil aller Mitteilungen ausmachten (z. B. CY, DK, IE, RO). Für DE, FR und ES, die die höchste Zahl aller Mitteilungen übermittelten, machten die Aktualisierungen jeweils rund 34 % bzw. 76 % bzw. 57 % all ihrer 2019 übermittelten Mitteilungen aus.</w:t>
      </w:r>
    </w:p>
    <w:p>
      <w:pPr>
        <w:jc w:val="both"/>
        <w:rPr>
          <w:rFonts w:ascii="Times New Roman" w:hAnsi="Times New Roman" w:cs="Times New Roman"/>
          <w:noProof/>
          <w:sz w:val="24"/>
          <w:szCs w:val="24"/>
        </w:rPr>
      </w:pPr>
      <w:r>
        <w:rPr>
          <w:rFonts w:ascii="Times New Roman" w:hAnsi="Times New Roman"/>
          <w:noProof/>
          <w:sz w:val="24"/>
          <w:szCs w:val="24"/>
        </w:rPr>
        <w:t xml:space="preserve">Im ersten statistischen Bericht wurden zwei Hauptprobleme festgestellt: (i) viele Mitgliedstaaten </w:t>
      </w:r>
      <w:r>
        <w:rPr>
          <w:rFonts w:ascii="Times New Roman" w:hAnsi="Times New Roman"/>
          <w:b/>
          <w:noProof/>
          <w:sz w:val="24"/>
          <w:szCs w:val="24"/>
        </w:rPr>
        <w:t>übermittelten überhaupt keine oder lediglich wenige Mitteilungen über neue Verurteilungen</w:t>
      </w:r>
      <w:r>
        <w:rPr>
          <w:rFonts w:ascii="Times New Roman" w:hAnsi="Times New Roman"/>
          <w:noProof/>
          <w:sz w:val="24"/>
          <w:szCs w:val="24"/>
        </w:rPr>
        <w:t xml:space="preserve"> und (ii) viele Mitgliedstaaten </w:t>
      </w:r>
      <w:r>
        <w:rPr>
          <w:rFonts w:ascii="Times New Roman" w:hAnsi="Times New Roman"/>
          <w:b/>
          <w:noProof/>
          <w:sz w:val="24"/>
          <w:szCs w:val="24"/>
        </w:rPr>
        <w:t>übermittelten überhaupt keine</w:t>
      </w:r>
      <w:r>
        <w:rPr>
          <w:rFonts w:ascii="Times New Roman" w:hAnsi="Times New Roman"/>
          <w:noProof/>
          <w:sz w:val="24"/>
          <w:szCs w:val="24"/>
        </w:rPr>
        <w:t xml:space="preserve"> oder </w:t>
      </w:r>
      <w:r>
        <w:rPr>
          <w:rFonts w:ascii="Times New Roman" w:hAnsi="Times New Roman"/>
          <w:b/>
          <w:bCs/>
          <w:noProof/>
          <w:sz w:val="24"/>
          <w:szCs w:val="24"/>
        </w:rPr>
        <w:t>nur wenige</w:t>
      </w:r>
      <w:r>
        <w:rPr>
          <w:rFonts w:ascii="Times New Roman" w:hAnsi="Times New Roman"/>
          <w:b/>
          <w:noProof/>
          <w:sz w:val="24"/>
          <w:szCs w:val="24"/>
        </w:rPr>
        <w:t xml:space="preserve"> Aktualisierungen ihrer zuvor übermittelten Meldungen</w:t>
      </w:r>
      <w:r>
        <w:rPr>
          <w:rFonts w:ascii="Times New Roman" w:hAnsi="Times New Roman"/>
          <w:noProof/>
          <w:sz w:val="24"/>
          <w:szCs w:val="24"/>
        </w:rPr>
        <w:t>. Diese zwei Probleme ergeben sich auch aus der detaillierten Analyse der statistischen Daten für 2017-2019. Diesmal sind diese Probleme jedoch viel ausgeprägter, weil sie eine größere Zahl an Mitgliedstaaten betreffen.</w:t>
      </w:r>
    </w:p>
    <w:p>
      <w:pPr>
        <w:jc w:val="both"/>
        <w:rPr>
          <w:rFonts w:ascii="Times New Roman" w:hAnsi="Times New Roman" w:cs="Times New Roman"/>
          <w:noProof/>
          <w:sz w:val="24"/>
          <w:szCs w:val="24"/>
        </w:rPr>
      </w:pPr>
      <w:r>
        <w:rPr>
          <w:rFonts w:ascii="Times New Roman" w:hAnsi="Times New Roman"/>
          <w:noProof/>
          <w:sz w:val="24"/>
          <w:szCs w:val="24"/>
        </w:rPr>
        <w:t xml:space="preserve">So übermittelten viele Mitgliedstaaten zum einen </w:t>
      </w:r>
      <w:r>
        <w:rPr>
          <w:rFonts w:ascii="Times New Roman" w:hAnsi="Times New Roman"/>
          <w:b/>
          <w:noProof/>
          <w:sz w:val="24"/>
          <w:szCs w:val="24"/>
        </w:rPr>
        <w:t>überhaupt keine</w:t>
      </w:r>
      <w:r>
        <w:rPr>
          <w:rFonts w:ascii="Times New Roman" w:hAnsi="Times New Roman"/>
          <w:noProof/>
          <w:sz w:val="24"/>
          <w:szCs w:val="24"/>
        </w:rPr>
        <w:t xml:space="preserve"> (PT für 2019 und 2018, MT für 2019 und 2017, EE für 2018, EL für 2017) oder </w:t>
      </w:r>
      <w:r>
        <w:rPr>
          <w:rFonts w:ascii="Times New Roman" w:hAnsi="Times New Roman"/>
          <w:b/>
          <w:noProof/>
          <w:sz w:val="24"/>
          <w:szCs w:val="24"/>
        </w:rPr>
        <w:t>lediglich wenige Mitteilungen über neue Verurteilungen</w:t>
      </w:r>
      <w:r>
        <w:rPr>
          <w:rFonts w:ascii="Times New Roman" w:hAnsi="Times New Roman"/>
          <w:noProof/>
          <w:sz w:val="24"/>
          <w:szCs w:val="24"/>
        </w:rPr>
        <w:t xml:space="preserve"> zu sich in ihrem Land aufhaltenden EU-Ausländern und zur Anzahl an Verurteilungen (BG, EE, IE, LT, LU, NL, RO für 2019; BG, IE, LU, LT, RO, SI, SE, MT, EL, UK für 2018; BG, EE, IE, LT, LU, RO, SI, SE, PT, UK für 2017). </w:t>
      </w:r>
      <w:r>
        <w:rPr>
          <w:rFonts w:ascii="Times New Roman" w:hAnsi="Times New Roman"/>
          <w:b/>
          <w:noProof/>
          <w:sz w:val="24"/>
          <w:szCs w:val="24"/>
        </w:rPr>
        <w:t>Folglich wurden diese nicht mitgeteilten Verurteilungen in dem/den Mitgliedstaat/en der Staatsangehörigkeit nicht registriert.</w:t>
      </w:r>
    </w:p>
    <w:p>
      <w:pPr>
        <w:jc w:val="both"/>
        <w:rPr>
          <w:rFonts w:ascii="Times New Roman" w:hAnsi="Times New Roman" w:cs="Times New Roman"/>
          <w:noProof/>
          <w:sz w:val="24"/>
          <w:szCs w:val="24"/>
        </w:rPr>
      </w:pPr>
      <w:r>
        <w:rPr>
          <w:rFonts w:ascii="Times New Roman" w:hAnsi="Times New Roman"/>
          <w:noProof/>
          <w:sz w:val="24"/>
          <w:szCs w:val="24"/>
        </w:rPr>
        <w:t xml:space="preserve">Zum anderen übermittelten viele Mitgliedstaaten </w:t>
      </w:r>
      <w:r>
        <w:rPr>
          <w:rFonts w:ascii="Times New Roman" w:hAnsi="Times New Roman"/>
          <w:b/>
          <w:noProof/>
          <w:sz w:val="24"/>
          <w:szCs w:val="24"/>
        </w:rPr>
        <w:t>überhaupt keine</w:t>
      </w:r>
      <w:r>
        <w:rPr>
          <w:rFonts w:ascii="Times New Roman" w:hAnsi="Times New Roman"/>
          <w:noProof/>
          <w:sz w:val="24"/>
          <w:szCs w:val="24"/>
        </w:rPr>
        <w:t xml:space="preserve"> (BG, EE, EL, LV, LU, MT, PT, SI für 2019; BG, DK, EL, SI, PT, MT, LV, LU, IE, EE für 2018; DK, EE, EL, LV, LU, BG für 2017) oder </w:t>
      </w:r>
      <w:r>
        <w:rPr>
          <w:rFonts w:ascii="Times New Roman" w:hAnsi="Times New Roman"/>
          <w:b/>
          <w:noProof/>
          <w:sz w:val="24"/>
          <w:szCs w:val="24"/>
        </w:rPr>
        <w:t>nur wenige</w:t>
      </w:r>
      <w:r>
        <w:rPr>
          <w:rFonts w:ascii="Times New Roman" w:hAnsi="Times New Roman"/>
          <w:noProof/>
          <w:sz w:val="24"/>
          <w:szCs w:val="24"/>
        </w:rPr>
        <w:t xml:space="preserve"> Aktualisierungen ihrer zuvor übermittelten Meldungen (IE, RO, CY für 2019; RO, CY für 2018; SI, RO, PT, MT, IE, HR, CY für 2017). Fehlende Aktualisierungen der Informationen über Verurteilungen </w:t>
      </w:r>
      <w:r>
        <w:rPr>
          <w:rFonts w:ascii="Times New Roman" w:hAnsi="Times New Roman"/>
          <w:b/>
          <w:noProof/>
          <w:sz w:val="24"/>
          <w:szCs w:val="24"/>
        </w:rPr>
        <w:t>führen zur Verarbeitung veralteter und unzuverlässiger Informationen durch den Mitgliedstaat der Staatsangehörigkeit</w:t>
      </w:r>
      <w:r>
        <w:rPr>
          <w:rFonts w:ascii="Times New Roman" w:hAnsi="Times New Roman"/>
          <w:noProof/>
          <w:sz w:val="24"/>
          <w:szCs w:val="24"/>
        </w:rPr>
        <w:t>, einschließlich ihrer Verbreitung.</w:t>
      </w:r>
      <w:r>
        <w:rPr>
          <w:rStyle w:val="FootnoteReference"/>
          <w:rFonts w:ascii="Times New Roman" w:hAnsi="Times New Roman" w:cs="Times New Roman"/>
          <w:noProof/>
          <w:sz w:val="24"/>
          <w:szCs w:val="24"/>
        </w:rPr>
        <w:footnoteReference w:id="16"/>
      </w:r>
    </w:p>
    <w:bookmarkEnd w:id="18"/>
    <w:bookmarkEnd w:id="20"/>
    <w:p>
      <w:pPr>
        <w:spacing w:after="0"/>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2.5. Informationsersuchen</w:t>
      </w:r>
    </w:p>
    <w:p>
      <w:pPr>
        <w:jc w:val="both"/>
        <w:rPr>
          <w:rFonts w:ascii="Times New Roman" w:hAnsi="Times New Roman" w:cs="Times New Roman"/>
          <w:noProof/>
          <w:sz w:val="24"/>
          <w:szCs w:val="24"/>
        </w:rPr>
      </w:pPr>
      <w:r>
        <w:rPr>
          <w:rFonts w:ascii="Times New Roman" w:hAnsi="Times New Roman"/>
          <w:noProof/>
          <w:sz w:val="24"/>
          <w:szCs w:val="24"/>
        </w:rPr>
        <w:t>Die nachfolgende Grafik vergleicht die Zahl der von allen verbundenen Mitgliedstaaten 2019 übermittelten Informationsersuchen mit der Zahl der auf diese Ersuchen eingegangenen Antworten.</w:t>
      </w:r>
      <w:r>
        <w:rPr>
          <w:rStyle w:val="FootnoteReference"/>
          <w:rFonts w:ascii="Times New Roman" w:hAnsi="Times New Roman" w:cs="Times New Roman"/>
          <w:noProof/>
          <w:sz w:val="24"/>
          <w:szCs w:val="24"/>
        </w:rPr>
        <w:footnoteReference w:id="17"/>
      </w:r>
    </w:p>
    <w:p>
      <w:pPr>
        <w:jc w:val="both"/>
        <w:rPr>
          <w:rFonts w:ascii="Times New Roman" w:hAnsi="Times New Roman" w:cs="Times New Roman"/>
          <w:noProof/>
          <w:sz w:val="24"/>
          <w:szCs w:val="24"/>
        </w:rPr>
      </w:pPr>
      <w:r>
        <w:rPr>
          <w:noProof/>
          <w:lang w:val="en-GB"/>
        </w:rPr>
        <w:drawing>
          <wp:inline distT="0" distB="0" distL="0" distR="0">
            <wp:extent cx="5760085" cy="31807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3180715"/>
                    </a:xfrm>
                    <a:prstGeom prst="rect">
                      <a:avLst/>
                    </a:prstGeom>
                  </pic:spPr>
                </pic:pic>
              </a:graphicData>
            </a:graphic>
          </wp:inline>
        </w:drawing>
      </w:r>
    </w:p>
    <w:p>
      <w:pPr>
        <w:jc w:val="both"/>
        <w:rPr>
          <w:rFonts w:ascii="Times New Roman" w:hAnsi="Times New Roman" w:cs="Times New Roman"/>
          <w:noProof/>
          <w:sz w:val="24"/>
          <w:szCs w:val="24"/>
        </w:rPr>
      </w:pPr>
      <w:bookmarkStart w:id="21" w:name="_Hlk481003611"/>
      <w:r>
        <w:rPr>
          <w:rFonts w:ascii="Times New Roman" w:hAnsi="Times New Roman"/>
          <w:noProof/>
          <w:sz w:val="24"/>
          <w:szCs w:val="24"/>
        </w:rPr>
        <w:t xml:space="preserve">Wie in Abschnitt 2.2. dargestellt, hat sich die allgemeine </w:t>
      </w:r>
      <w:r>
        <w:rPr>
          <w:rFonts w:ascii="Times New Roman" w:hAnsi="Times New Roman"/>
          <w:b/>
          <w:noProof/>
          <w:sz w:val="24"/>
          <w:szCs w:val="24"/>
        </w:rPr>
        <w:t>Zahl der Informationsersuchen</w:t>
      </w:r>
      <w:r>
        <w:rPr>
          <w:rFonts w:ascii="Times New Roman" w:hAnsi="Times New Roman"/>
          <w:noProof/>
          <w:sz w:val="24"/>
          <w:szCs w:val="24"/>
        </w:rPr>
        <w:t xml:space="preserve"> </w:t>
      </w:r>
      <w:r>
        <w:rPr>
          <w:rFonts w:ascii="Times New Roman" w:hAnsi="Times New Roman"/>
          <w:b/>
          <w:noProof/>
          <w:sz w:val="24"/>
          <w:szCs w:val="24"/>
        </w:rPr>
        <w:t>seit 2017 verdreifacht</w:t>
      </w:r>
      <w:r>
        <w:rPr>
          <w:rFonts w:ascii="Times New Roman" w:hAnsi="Times New Roman"/>
          <w:noProof/>
          <w:sz w:val="24"/>
          <w:szCs w:val="24"/>
        </w:rPr>
        <w:t xml:space="preserve"> und im Jahr 2019 </w:t>
      </w:r>
      <w:r>
        <w:rPr>
          <w:rFonts w:ascii="Times New Roman" w:hAnsi="Times New Roman"/>
          <w:b/>
          <w:bCs/>
          <w:noProof/>
          <w:sz w:val="24"/>
          <w:szCs w:val="24"/>
        </w:rPr>
        <w:t>1 Mio.</w:t>
      </w:r>
      <w:r>
        <w:rPr>
          <w:rFonts w:ascii="Times New Roman" w:hAnsi="Times New Roman"/>
          <w:noProof/>
          <w:sz w:val="24"/>
          <w:szCs w:val="24"/>
        </w:rPr>
        <w:t xml:space="preserve"> erreicht. </w:t>
      </w:r>
    </w:p>
    <w:p>
      <w:pPr>
        <w:jc w:val="both"/>
        <w:rPr>
          <w:rFonts w:ascii="Times New Roman" w:hAnsi="Times New Roman" w:cs="Times New Roman"/>
          <w:noProof/>
          <w:sz w:val="24"/>
          <w:szCs w:val="24"/>
        </w:rPr>
      </w:pPr>
      <w:r>
        <w:rPr>
          <w:rFonts w:ascii="Times New Roman" w:hAnsi="Times New Roman"/>
          <w:noProof/>
          <w:sz w:val="24"/>
          <w:szCs w:val="24"/>
        </w:rPr>
        <w:t xml:space="preserve">Die </w:t>
      </w:r>
      <w:r>
        <w:rPr>
          <w:rFonts w:ascii="Times New Roman" w:hAnsi="Times New Roman"/>
          <w:b/>
          <w:noProof/>
          <w:sz w:val="24"/>
          <w:szCs w:val="24"/>
        </w:rPr>
        <w:t>Zahl der übermittelten Ersuchen variiert zwischen den Mitgliedstaaten erheblich</w:t>
      </w:r>
      <w:r>
        <w:rPr>
          <w:rFonts w:ascii="Times New Roman" w:hAnsi="Times New Roman"/>
          <w:noProof/>
          <w:sz w:val="24"/>
          <w:szCs w:val="24"/>
        </w:rPr>
        <w:t xml:space="preserve"> (von jährlich 745 000 (DE) bis 6 (EL)). Für den Zuwachs bei der Gesamtzahl der Ersuchen ist größtenteils DE verantwortlich, das die Anzahl seiner Ersuchen mehr als verfünffacht hat. ES, LT, NL und PL haben ihre Zahlen verdoppelt. Der bei der Analyse der Unterschiede zwischen den Zahlen der Ersuchen der Mitgliedstaaten zu berücksichtigende Hauptfaktor ist die Zahl der Staatsangehörigen anderer Mitgliedstaaten, die ihren Wohnsitz in einem bestimmten Mitgliedstaat haben.</w:t>
      </w:r>
    </w:p>
    <w:p>
      <w:pPr>
        <w:jc w:val="both"/>
        <w:rPr>
          <w:rFonts w:ascii="Times New Roman" w:hAnsi="Times New Roman" w:cs="Times New Roman"/>
          <w:noProof/>
          <w:sz w:val="24"/>
          <w:szCs w:val="24"/>
        </w:rPr>
      </w:pPr>
      <w:r>
        <w:rPr>
          <w:rFonts w:ascii="Times New Roman" w:hAnsi="Times New Roman"/>
          <w:noProof/>
          <w:sz w:val="24"/>
          <w:szCs w:val="24"/>
        </w:rPr>
        <w:t xml:space="preserve">Ähnlich wie in den vergangenen Jahren waren die </w:t>
      </w:r>
      <w:r>
        <w:rPr>
          <w:rFonts w:ascii="Times New Roman" w:hAnsi="Times New Roman"/>
          <w:b/>
          <w:noProof/>
          <w:sz w:val="24"/>
          <w:szCs w:val="24"/>
        </w:rPr>
        <w:t>aktivsten</w:t>
      </w:r>
      <w:r>
        <w:rPr>
          <w:rFonts w:ascii="Times New Roman" w:hAnsi="Times New Roman"/>
          <w:noProof/>
          <w:sz w:val="24"/>
          <w:szCs w:val="24"/>
        </w:rPr>
        <w:t xml:space="preserve"> Mitgliedstaaten im Hinblick auf </w:t>
      </w:r>
      <w:r>
        <w:rPr>
          <w:rFonts w:ascii="Times New Roman" w:hAnsi="Times New Roman"/>
          <w:b/>
          <w:noProof/>
          <w:sz w:val="24"/>
          <w:szCs w:val="24"/>
        </w:rPr>
        <w:t>übermittelte Ersuchen</w:t>
      </w:r>
      <w:r>
        <w:rPr>
          <w:rFonts w:ascii="Times New Roman" w:hAnsi="Times New Roman"/>
          <w:noProof/>
          <w:sz w:val="24"/>
          <w:szCs w:val="24"/>
        </w:rPr>
        <w:t xml:space="preserve"> folgende:</w:t>
      </w:r>
    </w:p>
    <w:p>
      <w:pPr>
        <w:jc w:val="center"/>
        <w:rPr>
          <w:rFonts w:ascii="Times New Roman" w:hAnsi="Times New Roman" w:cs="Times New Roman"/>
          <w:noProof/>
          <w:sz w:val="24"/>
          <w:szCs w:val="24"/>
        </w:rPr>
      </w:pPr>
      <w:r>
        <w:rPr>
          <w:noProof/>
          <w:lang w:val="en-GB"/>
        </w:rPr>
        <w:drawing>
          <wp:inline distT="0" distB="0" distL="0" distR="0">
            <wp:extent cx="3860556" cy="173682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70631" cy="1741353"/>
                    </a:xfrm>
                    <a:prstGeom prst="rect">
                      <a:avLst/>
                    </a:prstGeom>
                  </pic:spPr>
                </pic:pic>
              </a:graphicData>
            </a:graphic>
          </wp:inline>
        </w:drawing>
      </w:r>
    </w:p>
    <w:p>
      <w:pPr>
        <w:jc w:val="center"/>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Trotz des erheblichen Anstiegs der Zahl der Ersuchen im Allgemeinen besteht das bereits im ersten statistischen Bericht genannte Problem weiter fort, nämlich dass manche Mitgliedstaaten</w:t>
      </w:r>
      <w:r>
        <w:rPr>
          <w:rFonts w:ascii="Times New Roman" w:hAnsi="Times New Roman"/>
          <w:b/>
          <w:noProof/>
          <w:sz w:val="24"/>
          <w:szCs w:val="24"/>
        </w:rPr>
        <w:t xml:space="preserve"> fast überhaupt keine</w:t>
      </w:r>
      <w:r>
        <w:rPr>
          <w:rFonts w:ascii="Times New Roman" w:hAnsi="Times New Roman"/>
          <w:noProof/>
          <w:sz w:val="24"/>
          <w:szCs w:val="24"/>
        </w:rPr>
        <w:t xml:space="preserve"> (EL, CY, MT) oder </w:t>
      </w:r>
      <w:r>
        <w:rPr>
          <w:rFonts w:ascii="Times New Roman" w:hAnsi="Times New Roman"/>
          <w:b/>
          <w:noProof/>
          <w:sz w:val="24"/>
          <w:szCs w:val="24"/>
        </w:rPr>
        <w:t>lediglich eine geringe Zahl</w:t>
      </w:r>
      <w:r>
        <w:rPr>
          <w:rFonts w:ascii="Times New Roman" w:hAnsi="Times New Roman"/>
          <w:noProof/>
          <w:sz w:val="24"/>
          <w:szCs w:val="24"/>
        </w:rPr>
        <w:t xml:space="preserve"> (BG, EE, HU, IT, LV, RO SI für 2017-2019) an Ersuchen zu sich in ihrem Land aufhaltenden EU-Ausländern übermitteln. Dies führt mitunter zu einer Situation, dass Gerichte entgegen den Anforderungen des Rahmenbeschlusses 2008/675/JI ohne Kenntnis früherer Verurteilungen in anderen Mitgliedstaaten Urteile verkünden könnten. Darüber hinaus wird der präventive Effekt, der durch die Anforderung von Strafregisterauszügen zu anderen Zwecken als Strafverfahren, wie zur beschäftigungsbezogenen Überprüfung, erzielt wird, an Bedeutung verlieren.</w:t>
      </w:r>
    </w:p>
    <w:p>
      <w:pPr>
        <w:jc w:val="both"/>
        <w:rPr>
          <w:rFonts w:ascii="Times New Roman" w:hAnsi="Times New Roman" w:cs="Times New Roman"/>
          <w:noProof/>
          <w:sz w:val="24"/>
          <w:szCs w:val="24"/>
        </w:rPr>
      </w:pPr>
      <w:r>
        <w:rPr>
          <w:rFonts w:ascii="Times New Roman" w:hAnsi="Times New Roman"/>
          <w:noProof/>
          <w:sz w:val="24"/>
          <w:szCs w:val="24"/>
        </w:rPr>
        <w:t xml:space="preserve">Aus den oben veranschaulichten Daten kann auch abgeleitet werden, dass </w:t>
      </w:r>
      <w:r>
        <w:rPr>
          <w:rFonts w:ascii="Times New Roman" w:hAnsi="Times New Roman"/>
          <w:b/>
          <w:noProof/>
          <w:sz w:val="24"/>
          <w:szCs w:val="24"/>
        </w:rPr>
        <w:t xml:space="preserve">nicht alle Informationsersuchen beantwortet wurden </w:t>
      </w:r>
      <w:r>
        <w:rPr>
          <w:rFonts w:ascii="Times New Roman" w:hAnsi="Times New Roman"/>
          <w:bCs/>
          <w:noProof/>
          <w:sz w:val="24"/>
          <w:szCs w:val="24"/>
        </w:rPr>
        <w:t>(siehe auch Abschnitt 2.6.). I</w:t>
      </w:r>
      <w:r>
        <w:rPr>
          <w:rFonts w:ascii="Times New Roman" w:hAnsi="Times New Roman"/>
          <w:noProof/>
          <w:sz w:val="24"/>
          <w:szCs w:val="24"/>
        </w:rPr>
        <w:t>m Falle der im Hinblick auf die Übermittlung von Ersuchen aktivsten Mitgliedstaaten wurden 5,6 % der Ersuchen von DE (41 662) und 2,5 % der Ersuchen von AT (945) im Jahr 2019 nicht beantwortet, während UK und CZ im gleichen Jahr mehr Antworten als übermittelte Ersuchen verzeichneten.</w:t>
      </w:r>
    </w:p>
    <w:bookmarkEnd w:id="21"/>
    <w:p>
      <w:pPr>
        <w:jc w:val="both"/>
        <w:rPr>
          <w:rFonts w:ascii="Times New Roman" w:hAnsi="Times New Roman" w:cs="Times New Roman"/>
          <w:b/>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2.6. Antworten auf Ersuchen</w:t>
      </w:r>
    </w:p>
    <w:p>
      <w:pPr>
        <w:jc w:val="both"/>
        <w:rPr>
          <w:rFonts w:ascii="Times New Roman" w:hAnsi="Times New Roman" w:cs="Times New Roman"/>
          <w:noProof/>
          <w:sz w:val="24"/>
          <w:szCs w:val="24"/>
        </w:rPr>
      </w:pPr>
      <w:r>
        <w:rPr>
          <w:rFonts w:ascii="Times New Roman" w:hAnsi="Times New Roman"/>
          <w:noProof/>
          <w:sz w:val="24"/>
          <w:szCs w:val="24"/>
        </w:rPr>
        <w:t>Die nachfolgende Grafik verdeutlicht die Zahl der von allen verbundenen Mitgliedstaaten 2019 übermittelten Antworten im Vergleich mit der Zahl der entsprechenden erhaltenen Informationsersuchen.</w:t>
      </w:r>
      <w:r>
        <w:rPr>
          <w:rStyle w:val="FootnoteReference"/>
          <w:rFonts w:ascii="Times New Roman" w:hAnsi="Times New Roman" w:cs="Times New Roman"/>
          <w:noProof/>
          <w:sz w:val="24"/>
          <w:szCs w:val="24"/>
        </w:rPr>
        <w:footnoteReference w:id="18"/>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noProof/>
          <w:lang w:val="en-GB"/>
        </w:rPr>
        <w:drawing>
          <wp:inline distT="0" distB="0" distL="0" distR="0">
            <wp:extent cx="5760085" cy="33521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3352165"/>
                    </a:xfrm>
                    <a:prstGeom prst="rect">
                      <a:avLst/>
                    </a:prstGeom>
                  </pic:spPr>
                </pic:pic>
              </a:graphicData>
            </a:graphic>
          </wp:inline>
        </w:drawing>
      </w:r>
    </w:p>
    <w:p>
      <w:pPr>
        <w:jc w:val="both"/>
        <w:rPr>
          <w:rFonts w:ascii="Times New Roman" w:hAnsi="Times New Roman" w:cs="Times New Roman"/>
          <w:noProof/>
          <w:sz w:val="24"/>
          <w:szCs w:val="24"/>
        </w:rPr>
      </w:pPr>
      <w:bookmarkStart w:id="22" w:name="_Hlk481164813"/>
      <w:r>
        <w:rPr>
          <w:rFonts w:ascii="Times New Roman" w:hAnsi="Times New Roman"/>
          <w:noProof/>
          <w:sz w:val="24"/>
          <w:szCs w:val="24"/>
        </w:rPr>
        <w:t xml:space="preserve">Die </w:t>
      </w:r>
      <w:r>
        <w:rPr>
          <w:rFonts w:ascii="Times New Roman" w:hAnsi="Times New Roman"/>
          <w:b/>
          <w:noProof/>
          <w:sz w:val="24"/>
          <w:szCs w:val="24"/>
        </w:rPr>
        <w:t>Zahl der erhaltenen Ersuchen</w:t>
      </w:r>
      <w:r>
        <w:rPr>
          <w:rFonts w:ascii="Times New Roman" w:hAnsi="Times New Roman"/>
          <w:noProof/>
          <w:sz w:val="24"/>
          <w:szCs w:val="24"/>
        </w:rPr>
        <w:t xml:space="preserve"> und entsprechend </w:t>
      </w:r>
      <w:r>
        <w:rPr>
          <w:rFonts w:ascii="Times New Roman" w:hAnsi="Times New Roman"/>
          <w:b/>
          <w:noProof/>
          <w:sz w:val="24"/>
          <w:szCs w:val="24"/>
        </w:rPr>
        <w:t>übermittelten Antworten</w:t>
      </w:r>
      <w:r>
        <w:rPr>
          <w:rFonts w:ascii="Times New Roman" w:hAnsi="Times New Roman"/>
          <w:noProof/>
          <w:sz w:val="24"/>
          <w:szCs w:val="24"/>
        </w:rPr>
        <w:t xml:space="preserve"> </w:t>
      </w:r>
      <w:r>
        <w:rPr>
          <w:rFonts w:ascii="Times New Roman" w:hAnsi="Times New Roman"/>
          <w:b/>
          <w:noProof/>
          <w:sz w:val="24"/>
          <w:szCs w:val="24"/>
        </w:rPr>
        <w:t>variiert zwischen den Mitgliedstaaten erheblich</w:t>
      </w:r>
      <w:r>
        <w:rPr>
          <w:rFonts w:ascii="Times New Roman" w:hAnsi="Times New Roman"/>
          <w:noProof/>
          <w:sz w:val="24"/>
          <w:szCs w:val="24"/>
        </w:rPr>
        <w:t xml:space="preserve"> (von jährlich 179 000 (PL) bis 646 Ersuchen (MT)). Im Wesentlichen sind bei der Analyse dieser Abweichungen zwei Faktoren zu berücksichtigen: die Gesamtbevölkerung pro Mitgliedstaat und die Zahl seiner Staatsangehörigen mit Wohnsitz in anderen Mitgliedstaaten.</w:t>
      </w:r>
    </w:p>
    <w:p>
      <w:pPr>
        <w:jc w:val="both"/>
        <w:rPr>
          <w:rFonts w:ascii="Times New Roman" w:hAnsi="Times New Roman" w:cs="Times New Roman"/>
          <w:noProof/>
          <w:sz w:val="24"/>
          <w:szCs w:val="24"/>
        </w:rPr>
      </w:pPr>
      <w:r>
        <w:rPr>
          <w:rFonts w:ascii="Times New Roman" w:hAnsi="Times New Roman"/>
          <w:noProof/>
          <w:sz w:val="24"/>
          <w:szCs w:val="24"/>
        </w:rPr>
        <w:t xml:space="preserve">Die Mitgliedstaaten, die </w:t>
      </w:r>
      <w:r>
        <w:rPr>
          <w:rFonts w:ascii="Times New Roman" w:hAnsi="Times New Roman"/>
          <w:b/>
          <w:noProof/>
          <w:sz w:val="24"/>
          <w:szCs w:val="24"/>
        </w:rPr>
        <w:t>die meisten Ersuchen beantworteten</w:t>
      </w:r>
      <w:r>
        <w:rPr>
          <w:rFonts w:ascii="Times New Roman" w:hAnsi="Times New Roman"/>
          <w:noProof/>
          <w:sz w:val="24"/>
          <w:szCs w:val="24"/>
        </w:rPr>
        <w:t xml:space="preserve"> (in absoluten Zahlen – nicht unbedingt der höchste Anteil in Bezug auf die erhaltenen Ersuchen), waren:</w:t>
      </w:r>
    </w:p>
    <w:p>
      <w:pPr>
        <w:jc w:val="center"/>
        <w:rPr>
          <w:rFonts w:ascii="Times New Roman" w:hAnsi="Times New Roman" w:cs="Times New Roman"/>
          <w:noProof/>
          <w:sz w:val="24"/>
          <w:szCs w:val="24"/>
        </w:rPr>
      </w:pPr>
      <w:r>
        <w:rPr>
          <w:noProof/>
          <w:lang w:val="en-GB"/>
        </w:rPr>
        <w:drawing>
          <wp:inline distT="0" distB="0" distL="0" distR="0">
            <wp:extent cx="3841506" cy="1697017"/>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849682" cy="1700629"/>
                    </a:xfrm>
                    <a:prstGeom prst="rect">
                      <a:avLst/>
                    </a:prstGeom>
                  </pic:spPr>
                </pic:pic>
              </a:graphicData>
            </a:graphic>
          </wp:inline>
        </w:drawing>
      </w:r>
    </w:p>
    <w:p>
      <w:pPr>
        <w:jc w:val="both"/>
        <w:rPr>
          <w:rFonts w:ascii="Times New Roman" w:hAnsi="Times New Roman" w:cs="Times New Roman"/>
          <w:noProof/>
          <w:sz w:val="24"/>
          <w:szCs w:val="24"/>
        </w:rPr>
      </w:pPr>
    </w:p>
    <w:p>
      <w:pPr>
        <w:jc w:val="both"/>
        <w:rPr>
          <w:rFonts w:ascii="Times New Roman" w:hAnsi="Times New Roman" w:cs="Times New Roman"/>
          <w:bCs/>
          <w:noProof/>
          <w:sz w:val="24"/>
          <w:szCs w:val="24"/>
        </w:rPr>
      </w:pPr>
      <w:r>
        <w:rPr>
          <w:rFonts w:ascii="Times New Roman" w:hAnsi="Times New Roman"/>
          <w:noProof/>
          <w:sz w:val="24"/>
          <w:szCs w:val="24"/>
        </w:rPr>
        <w:t>Während alle Mitgliedstaaten im Allgemeinen auf Ersuchen antworten,</w:t>
      </w:r>
      <w:r>
        <w:rPr>
          <w:rFonts w:ascii="Times New Roman" w:hAnsi="Times New Roman"/>
          <w:b/>
          <w:noProof/>
          <w:sz w:val="24"/>
          <w:szCs w:val="24"/>
        </w:rPr>
        <w:t xml:space="preserve"> </w:t>
      </w:r>
      <w:r>
        <w:rPr>
          <w:rFonts w:ascii="Times New Roman" w:hAnsi="Times New Roman"/>
          <w:noProof/>
          <w:sz w:val="24"/>
          <w:szCs w:val="24"/>
        </w:rPr>
        <w:t xml:space="preserve">wurden im Jahr 2019 immer noch </w:t>
      </w:r>
      <w:r>
        <w:rPr>
          <w:rFonts w:ascii="Times New Roman" w:hAnsi="Times New Roman"/>
          <w:b/>
          <w:bCs/>
          <w:noProof/>
          <w:sz w:val="24"/>
          <w:szCs w:val="24"/>
        </w:rPr>
        <w:t>mehr als 42 000 </w:t>
      </w:r>
      <w:r>
        <w:rPr>
          <w:rFonts w:ascii="Times New Roman" w:hAnsi="Times New Roman"/>
          <w:b/>
          <w:noProof/>
          <w:sz w:val="24"/>
          <w:szCs w:val="24"/>
        </w:rPr>
        <w:t>Informationsersuchen nicht beantwortet</w:t>
      </w:r>
      <w:r>
        <w:rPr>
          <w:rFonts w:ascii="Times New Roman" w:hAnsi="Times New Roman"/>
          <w:noProof/>
          <w:sz w:val="24"/>
          <w:szCs w:val="24"/>
        </w:rPr>
        <w:t xml:space="preserve">. In den meisten Fällen lag die Zahl der übermittelten Antworten leicht unter der Zahl der erhaltenen Informationsersuchen, mit einem Durchschnittsabstand von </w:t>
      </w:r>
      <w:r>
        <w:rPr>
          <w:rFonts w:ascii="Times New Roman" w:hAnsi="Times New Roman"/>
          <w:b/>
          <w:noProof/>
          <w:sz w:val="24"/>
          <w:szCs w:val="24"/>
        </w:rPr>
        <w:t>rund 4,1 % im Vergleich zu 3,6 % im Jahr 2016.</w:t>
      </w:r>
    </w:p>
    <w:p>
      <w:pPr>
        <w:jc w:val="both"/>
        <w:rPr>
          <w:rFonts w:ascii="Times New Roman" w:hAnsi="Times New Roman" w:cs="Times New Roman"/>
          <w:noProof/>
          <w:sz w:val="24"/>
          <w:szCs w:val="24"/>
        </w:rPr>
      </w:pPr>
      <w:r>
        <w:rPr>
          <w:rFonts w:ascii="Times New Roman" w:hAnsi="Times New Roman"/>
          <w:noProof/>
          <w:sz w:val="24"/>
          <w:szCs w:val="24"/>
        </w:rPr>
        <w:t xml:space="preserve">Unter den Mitgliedstaaten, die 2019 die meisten Ersuchen erhielten, antwortete BG nicht auf 53 % der erhaltenen Ersuchen (30 975), EL nicht auf 38 % (19 564), IT nicht auf 8,9 % (9 720) und RO nicht auf 1,3 % (2 347). Für PL und HR war die Zahl der 2019 übermittelten Antworten höher als die Zahl der erhaltenen Ersuchen, was wahrscheinlich auf das Übermitteln noch ausstehender Antworten aus dem Vorjahr zurückzuführen ist. </w:t>
      </w:r>
      <w:bookmarkStart w:id="23" w:name="_Hlk481154445"/>
    </w:p>
    <w:p>
      <w:pPr>
        <w:jc w:val="both"/>
        <w:rPr>
          <w:rFonts w:ascii="Times New Roman" w:hAnsi="Times New Roman" w:cs="Times New Roman"/>
          <w:noProof/>
          <w:sz w:val="24"/>
          <w:szCs w:val="24"/>
        </w:rPr>
      </w:pPr>
      <w:bookmarkStart w:id="24" w:name="_Hlk481154348"/>
      <w:r>
        <w:rPr>
          <w:rFonts w:ascii="Times New Roman" w:hAnsi="Times New Roman"/>
          <w:noProof/>
          <w:sz w:val="24"/>
          <w:szCs w:val="24"/>
        </w:rPr>
        <w:t xml:space="preserve">Die </w:t>
      </w:r>
      <w:r>
        <w:rPr>
          <w:rFonts w:ascii="Times New Roman" w:hAnsi="Times New Roman"/>
          <w:b/>
          <w:bCs/>
          <w:noProof/>
          <w:sz w:val="24"/>
          <w:szCs w:val="24"/>
        </w:rPr>
        <w:t>Mitgliedstaaten, die 2019 anteilsmäßig am wenigsten auf Ersuchen antworteten</w:t>
      </w:r>
      <w:r>
        <w:rPr>
          <w:rFonts w:ascii="Times New Roman" w:hAnsi="Times New Roman"/>
          <w:noProof/>
          <w:sz w:val="24"/>
          <w:szCs w:val="24"/>
        </w:rPr>
        <w:t xml:space="preserve">, waren: MT (82 % der erhaltenen Ersuchen), CY (65 %), BG (53 %) und EL (38 %). Für eine detaillierte Analyse der Statistiken der einzelnen Mitgliedstaaten zu Antworten auf Ersuchen siehe die Arbeitsunterlage der Kommissionsdienststellen, Abschnitt 3. </w:t>
      </w:r>
    </w:p>
    <w:p>
      <w:pPr>
        <w:jc w:val="both"/>
        <w:rPr>
          <w:rFonts w:ascii="Times New Roman" w:hAnsi="Times New Roman" w:cs="Times New Roman"/>
          <w:noProof/>
          <w:sz w:val="24"/>
          <w:szCs w:val="24"/>
        </w:rPr>
      </w:pPr>
      <w:r>
        <w:rPr>
          <w:rFonts w:ascii="Times New Roman" w:hAnsi="Times New Roman"/>
          <w:noProof/>
          <w:sz w:val="24"/>
          <w:szCs w:val="24"/>
        </w:rPr>
        <w:t>Wird der Verpflichtung, auf Informationsersuchen zu antworten, nicht nachgekommen, kann dies tragische Folgen haben, wie in den vorangegangenen Absätzen verdeutlicht wurde.</w:t>
      </w:r>
    </w:p>
    <w:bookmarkEnd w:id="22"/>
    <w:bookmarkEnd w:id="23"/>
    <w:bookmarkEnd w:id="24"/>
    <w:p>
      <w:pPr>
        <w:jc w:val="both"/>
        <w:rPr>
          <w:rFonts w:ascii="Times New Roman" w:hAnsi="Times New Roman" w:cs="Times New Roman"/>
          <w:noProof/>
          <w:sz w:val="24"/>
          <w:szCs w:val="24"/>
        </w:rPr>
      </w:pPr>
    </w:p>
    <w:p>
      <w:pPr>
        <w:jc w:val="both"/>
        <w:rPr>
          <w:rFonts w:ascii="Times New Roman" w:hAnsi="Times New Roman" w:cs="Times New Roman"/>
          <w:b/>
          <w:noProof/>
          <w:sz w:val="24"/>
          <w:szCs w:val="24"/>
        </w:rPr>
      </w:pPr>
      <w:r>
        <w:rPr>
          <w:rFonts w:ascii="Times New Roman" w:hAnsi="Times New Roman"/>
          <w:b/>
          <w:noProof/>
          <w:sz w:val="24"/>
          <w:szCs w:val="24"/>
        </w:rPr>
        <w:t>2.7. Antworten nach Ablauf der Antwortfrist</w:t>
      </w:r>
    </w:p>
    <w:p>
      <w:pPr>
        <w:jc w:val="both"/>
        <w:rPr>
          <w:rFonts w:ascii="Times New Roman" w:hAnsi="Times New Roman" w:cs="Times New Roman"/>
          <w:noProof/>
          <w:sz w:val="24"/>
          <w:szCs w:val="24"/>
        </w:rPr>
      </w:pPr>
      <w:r>
        <w:rPr>
          <w:rFonts w:ascii="Times New Roman" w:hAnsi="Times New Roman"/>
          <w:noProof/>
          <w:sz w:val="24"/>
          <w:szCs w:val="24"/>
        </w:rPr>
        <w:t>Problematisch ist auch, dass einige Ersuchen nicht innerhalb der vorgeschriebenen Fristen beantwortet werden.</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Die nachfolgende Tabelle enthält für alle Mitgliedstaaten eine Übersicht der Zahlen für nicht fristgerechte Antworten im Jahr 2019, wobei die nach der Frist übermittelten Antworten und die Ersuchen mit abgelaufener Antwortfrist angegeben werden.</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w:t>
      </w:r>
    </w:p>
    <w:p>
      <w:pPr>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noProof/>
          <w:lang w:val="en-GB"/>
        </w:rPr>
        <w:drawing>
          <wp:inline distT="0" distB="0" distL="0" distR="0">
            <wp:extent cx="5760085" cy="37198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85" cy="3719830"/>
                    </a:xfrm>
                    <a:prstGeom prst="rect">
                      <a:avLst/>
                    </a:prstGeom>
                  </pic:spPr>
                </pic:pic>
              </a:graphicData>
            </a:graphic>
          </wp:inline>
        </w:drawing>
      </w:r>
    </w:p>
    <w:p>
      <w:pPr>
        <w:jc w:val="both"/>
        <w:rPr>
          <w:rFonts w:ascii="Times New Roman" w:hAnsi="Times New Roman" w:cs="Times New Roman"/>
          <w:b/>
          <w:bCs/>
          <w:noProof/>
          <w:sz w:val="24"/>
          <w:szCs w:val="24"/>
        </w:rPr>
      </w:pPr>
      <w:r>
        <w:rPr>
          <w:rFonts w:ascii="Times New Roman" w:hAnsi="Times New Roman"/>
          <w:noProof/>
          <w:sz w:val="24"/>
          <w:szCs w:val="24"/>
        </w:rPr>
        <w:t xml:space="preserve">2019 wurden </w:t>
      </w:r>
      <w:r>
        <w:rPr>
          <w:rFonts w:ascii="Times New Roman" w:hAnsi="Times New Roman"/>
          <w:b/>
          <w:bCs/>
          <w:noProof/>
          <w:sz w:val="24"/>
          <w:szCs w:val="24"/>
        </w:rPr>
        <w:t>1</w:t>
      </w:r>
      <w:r>
        <w:rPr>
          <w:rFonts w:ascii="Times New Roman" w:hAnsi="Times New Roman"/>
          <w:b/>
          <w:noProof/>
          <w:sz w:val="24"/>
          <w:szCs w:val="24"/>
        </w:rPr>
        <w:t xml:space="preserve">90 000 Ersuchen nach Ablauf der vorgeschriebenen Frist beantwortet, </w:t>
      </w:r>
      <w:r>
        <w:rPr>
          <w:rFonts w:ascii="Times New Roman" w:hAnsi="Times New Roman"/>
          <w:bCs/>
          <w:noProof/>
          <w:sz w:val="24"/>
          <w:szCs w:val="24"/>
        </w:rPr>
        <w:t>was</w:t>
      </w:r>
      <w:r>
        <w:rPr>
          <w:rFonts w:ascii="Times New Roman" w:hAnsi="Times New Roman"/>
          <w:noProof/>
          <w:sz w:val="24"/>
          <w:szCs w:val="24"/>
        </w:rPr>
        <w:t xml:space="preserve"> </w:t>
      </w:r>
      <w:r>
        <w:rPr>
          <w:rFonts w:ascii="Times New Roman" w:hAnsi="Times New Roman"/>
          <w:b/>
          <w:noProof/>
          <w:sz w:val="24"/>
          <w:szCs w:val="24"/>
        </w:rPr>
        <w:t>18,4 %</w:t>
      </w:r>
      <w:r>
        <w:rPr>
          <w:rFonts w:ascii="Times New Roman" w:hAnsi="Times New Roman"/>
          <w:noProof/>
          <w:sz w:val="24"/>
          <w:szCs w:val="24"/>
        </w:rPr>
        <w:t xml:space="preserve"> </w:t>
      </w:r>
      <w:r>
        <w:rPr>
          <w:rFonts w:ascii="Times New Roman" w:hAnsi="Times New Roman"/>
          <w:b/>
          <w:noProof/>
          <w:sz w:val="24"/>
          <w:szCs w:val="24"/>
        </w:rPr>
        <w:t>der Gesamtzahl</w:t>
      </w:r>
      <w:r>
        <w:rPr>
          <w:rFonts w:ascii="Times New Roman" w:hAnsi="Times New Roman"/>
          <w:noProof/>
          <w:sz w:val="24"/>
          <w:szCs w:val="24"/>
        </w:rPr>
        <w:t xml:space="preserve"> der Ersuchen entspricht. Außerdem wurden</w:t>
      </w:r>
      <w:r>
        <w:rPr>
          <w:rFonts w:ascii="Times New Roman" w:hAnsi="Times New Roman"/>
          <w:bCs/>
          <w:noProof/>
          <w:sz w:val="24"/>
          <w:szCs w:val="24"/>
        </w:rPr>
        <w:t xml:space="preserve"> </w:t>
      </w:r>
      <w:r>
        <w:rPr>
          <w:rFonts w:ascii="Times New Roman" w:hAnsi="Times New Roman"/>
          <w:b/>
          <w:noProof/>
          <w:sz w:val="24"/>
          <w:szCs w:val="24"/>
        </w:rPr>
        <w:t xml:space="preserve">42 000 Ersuchen mit abgelaufener Antwortfrist </w:t>
      </w:r>
      <w:r>
        <w:rPr>
          <w:rFonts w:ascii="Times New Roman" w:hAnsi="Times New Roman"/>
          <w:bCs/>
          <w:noProof/>
          <w:sz w:val="24"/>
          <w:szCs w:val="24"/>
        </w:rPr>
        <w:t>verzeichnet. D</w:t>
      </w:r>
      <w:r>
        <w:rPr>
          <w:rFonts w:ascii="Times New Roman" w:hAnsi="Times New Roman"/>
          <w:noProof/>
          <w:sz w:val="24"/>
          <w:szCs w:val="24"/>
        </w:rPr>
        <w:t xml:space="preserve">iese im Vergleich zu den Referenzdaten aus dem Jahr 2016 hohen Zahlen (13 800 (3,8 %) bzw. 13 000) zeigen </w:t>
      </w:r>
      <w:r>
        <w:rPr>
          <w:rFonts w:ascii="Times New Roman" w:hAnsi="Times New Roman"/>
          <w:b/>
          <w:bCs/>
          <w:noProof/>
          <w:sz w:val="24"/>
          <w:szCs w:val="24"/>
        </w:rPr>
        <w:t>einen besorgniserregenden Anstieg der Antworten nach Ablauf der Antwortfrist.</w:t>
      </w:r>
    </w:p>
    <w:p>
      <w:pPr>
        <w:jc w:val="both"/>
        <w:rPr>
          <w:rFonts w:ascii="Times New Roman" w:hAnsi="Times New Roman" w:cs="Times New Roman"/>
          <w:noProof/>
          <w:sz w:val="24"/>
          <w:szCs w:val="24"/>
        </w:rPr>
      </w:pPr>
      <w:r>
        <w:rPr>
          <w:rFonts w:ascii="Times New Roman" w:hAnsi="Times New Roman"/>
          <w:b/>
          <w:bCs/>
          <w:noProof/>
          <w:sz w:val="24"/>
          <w:szCs w:val="24"/>
        </w:rPr>
        <w:t xml:space="preserve">Dieser Trend betrifft nur wenige Mitgliedstaaten, </w:t>
      </w:r>
      <w:r>
        <w:rPr>
          <w:rFonts w:ascii="Times New Roman" w:hAnsi="Times New Roman"/>
          <w:noProof/>
          <w:sz w:val="24"/>
          <w:szCs w:val="24"/>
        </w:rPr>
        <w:t xml:space="preserve">insbesondere diejenigen, die sich </w:t>
      </w:r>
      <w:r>
        <w:rPr>
          <w:rFonts w:ascii="Times New Roman" w:hAnsi="Times New Roman"/>
          <w:b/>
          <w:bCs/>
          <w:noProof/>
          <w:sz w:val="24"/>
          <w:szCs w:val="24"/>
        </w:rPr>
        <w:t xml:space="preserve">einer hohen Zahl an Informationsersuchen gegenüber sahen, </w:t>
      </w:r>
      <w:r>
        <w:rPr>
          <w:rFonts w:ascii="Times New Roman" w:hAnsi="Times New Roman"/>
          <w:noProof/>
          <w:sz w:val="24"/>
          <w:szCs w:val="24"/>
        </w:rPr>
        <w:t>während die verspäteten Antworten der großen Mehrheit der Mitgliedstaaten weniger als 0,5 % ausmachten. Die Mitgliedstaaten, die 2019 die meisten Probleme bei der Einhaltung der Fristen aufwiesen, waren: PL mit 55 % der übermittelten Antworten verspätet (99 000), RO (30 %; 50 000), HR (43 %; 24 600), LV (47 %; 6 200), BE (18 %; 2 800) und BG (5 %; 3 300). Das Problem bezüglich Ersuchen mit abgelaufener Antwortfrist, das entweder zu verspäteten Antworten oder zu unbeantworteten Ersuchen führt, betraf 33 % der von MT und CY, 13,5 % der von LV und 8 % der von PL erhaltenen Ersuchen.</w:t>
      </w:r>
    </w:p>
    <w:p>
      <w:pPr>
        <w:rPr>
          <w:rFonts w:ascii="Times New Roman" w:hAnsi="Times New Roman" w:cs="Times New Roman"/>
          <w:b/>
          <w:noProof/>
          <w:sz w:val="24"/>
          <w:szCs w:val="24"/>
        </w:rPr>
      </w:pPr>
      <w:bookmarkStart w:id="25" w:name="_Toc479267023"/>
    </w:p>
    <w:p>
      <w:pPr>
        <w:rPr>
          <w:rFonts w:ascii="Times New Roman" w:hAnsi="Times New Roman" w:cs="Times New Roman"/>
          <w:b/>
          <w:noProof/>
          <w:sz w:val="24"/>
          <w:szCs w:val="24"/>
        </w:rPr>
      </w:pPr>
      <w:r>
        <w:rPr>
          <w:rFonts w:ascii="Times New Roman" w:hAnsi="Times New Roman"/>
          <w:b/>
          <w:noProof/>
          <w:sz w:val="24"/>
          <w:szCs w:val="24"/>
        </w:rPr>
        <w:t>2.8. Ersuchen im Rahmen von Strafverfahren und für sonstige Zwecke</w:t>
      </w:r>
      <w:bookmarkEnd w:id="25"/>
    </w:p>
    <w:p>
      <w:pPr>
        <w:spacing w:after="0"/>
        <w:jc w:val="both"/>
        <w:rPr>
          <w:rFonts w:ascii="Times New Roman" w:hAnsi="Times New Roman" w:cs="Times New Roman"/>
          <w:noProof/>
          <w:sz w:val="24"/>
          <w:szCs w:val="24"/>
        </w:rPr>
      </w:pPr>
      <w:bookmarkStart w:id="26" w:name="_Hlk481158644"/>
      <w:r>
        <w:rPr>
          <w:rFonts w:ascii="Times New Roman" w:hAnsi="Times New Roman"/>
          <w:noProof/>
          <w:sz w:val="24"/>
          <w:szCs w:val="24"/>
        </w:rPr>
        <w:t>Die folgenden Grafiken spiegeln das Verhältnis zwischen den Ersuchen im Rahmen von Strafverfahren und für sonstige Zwecke (Nicht-Strafverfahren) für den Zeitraum 2012 bis 2019 wider.</w:t>
      </w:r>
    </w:p>
    <w:p>
      <w:pPr>
        <w:spacing w:after="0"/>
        <w:jc w:val="both"/>
        <w:rPr>
          <w:rFonts w:ascii="Times New Roman" w:hAnsi="Times New Roman" w:cs="Times New Roman"/>
          <w:noProof/>
          <w:sz w:val="24"/>
          <w:szCs w:val="24"/>
        </w:rPr>
      </w:pPr>
    </w:p>
    <w:p>
      <w:pPr>
        <w:spacing w:after="0"/>
        <w:jc w:val="center"/>
        <w:rPr>
          <w:rFonts w:ascii="Times New Roman" w:hAnsi="Times New Roman" w:cs="Times New Roman"/>
          <w:noProof/>
          <w:sz w:val="24"/>
          <w:szCs w:val="24"/>
        </w:rPr>
      </w:pPr>
      <w:r>
        <w:rPr>
          <w:noProof/>
          <w:lang w:val="en-GB"/>
        </w:rPr>
        <w:drawing>
          <wp:inline distT="0" distB="0" distL="0" distR="0">
            <wp:extent cx="5055972" cy="296593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65777" cy="2971691"/>
                    </a:xfrm>
                    <a:prstGeom prst="rect">
                      <a:avLst/>
                    </a:prstGeom>
                  </pic:spPr>
                </pic:pic>
              </a:graphicData>
            </a:graphic>
          </wp:inline>
        </w:drawing>
      </w:r>
    </w:p>
    <w:p>
      <w:pPr>
        <w:spacing w:after="0"/>
        <w:jc w:val="center"/>
        <w:rPr>
          <w:rFonts w:ascii="Times New Roman" w:hAnsi="Times New Roman" w:cs="Times New Roman"/>
          <w:noProof/>
          <w:sz w:val="24"/>
          <w:szCs w:val="24"/>
        </w:rPr>
      </w:pPr>
    </w:p>
    <w:p>
      <w:pPr>
        <w:spacing w:after="0"/>
        <w:jc w:val="center"/>
        <w:rPr>
          <w:rFonts w:ascii="Times New Roman" w:hAnsi="Times New Roman" w:cs="Times New Roman"/>
          <w:noProof/>
          <w:sz w:val="24"/>
          <w:szCs w:val="24"/>
        </w:rPr>
      </w:pPr>
      <w:r>
        <w:rPr>
          <w:noProof/>
          <w:lang w:val="en-GB"/>
        </w:rPr>
        <w:drawing>
          <wp:inline distT="0" distB="0" distL="0" distR="0">
            <wp:extent cx="5760085" cy="40684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085" cy="4068445"/>
                    </a:xfrm>
                    <a:prstGeom prst="rect">
                      <a:avLst/>
                    </a:prstGeom>
                  </pic:spPr>
                </pic:pic>
              </a:graphicData>
            </a:graphic>
          </wp:inline>
        </w:drawing>
      </w:r>
    </w:p>
    <w:bookmarkEnd w:id="26"/>
    <w:p>
      <w:pPr>
        <w:jc w:val="center"/>
        <w:rPr>
          <w:rFonts w:ascii="Times New Roman" w:hAnsi="Times New Roman" w:cs="Times New Roman"/>
          <w:noProof/>
          <w:sz w:val="24"/>
          <w:szCs w:val="24"/>
        </w:rPr>
      </w:pPr>
    </w:p>
    <w:p>
      <w:pPr>
        <w:jc w:val="both"/>
        <w:rPr>
          <w:rFonts w:ascii="Times New Roman" w:hAnsi="Times New Roman" w:cs="Times New Roman"/>
          <w:bCs/>
          <w:noProof/>
          <w:sz w:val="24"/>
          <w:szCs w:val="24"/>
        </w:rPr>
      </w:pPr>
      <w:r>
        <w:rPr>
          <w:rFonts w:ascii="Times New Roman" w:hAnsi="Times New Roman"/>
          <w:noProof/>
          <w:sz w:val="24"/>
          <w:szCs w:val="24"/>
        </w:rPr>
        <w:t>Viele Jahre lang lag der Anteil der Ersuchen für sonstige Zwecke (Nicht-Strafverfahren) auf dem Durchschnittswert von 20 % aller Ersuchen. Wie bereits erwähnt, wurde das System in den Jahren 2018-2019</w:t>
      </w:r>
      <w:r>
        <w:rPr>
          <w:rFonts w:ascii="Times New Roman" w:hAnsi="Times New Roman"/>
          <w:b/>
          <w:bCs/>
          <w:noProof/>
          <w:sz w:val="24"/>
          <w:szCs w:val="24"/>
        </w:rPr>
        <w:t xml:space="preserve"> in einer komplett geänderten Weise genutzt und in gleichem Maße (50/50 %) für Strafverfahrenszwecke und für sonstige Zwecke zurate gezogen.</w:t>
      </w:r>
      <w:r>
        <w:rPr>
          <w:rFonts w:ascii="Times New Roman" w:hAnsi="Times New Roman"/>
          <w:noProof/>
          <w:sz w:val="24"/>
          <w:szCs w:val="24"/>
        </w:rPr>
        <w:t xml:space="preserve"> Während des gesamten ECRIS-Betriebs wurden durchschnittlich</w:t>
      </w:r>
      <w:r>
        <w:rPr>
          <w:rFonts w:ascii="Times New Roman" w:hAnsi="Times New Roman"/>
          <w:b/>
          <w:noProof/>
          <w:sz w:val="24"/>
          <w:szCs w:val="24"/>
        </w:rPr>
        <w:t>69 %</w:t>
      </w:r>
      <w:r>
        <w:rPr>
          <w:rFonts w:ascii="Times New Roman" w:hAnsi="Times New Roman"/>
          <w:noProof/>
          <w:sz w:val="24"/>
          <w:szCs w:val="24"/>
        </w:rPr>
        <w:t xml:space="preserve"> aller Ersuchen für </w:t>
      </w:r>
      <w:r>
        <w:rPr>
          <w:rFonts w:ascii="Times New Roman" w:hAnsi="Times New Roman"/>
          <w:b/>
          <w:noProof/>
          <w:sz w:val="24"/>
          <w:szCs w:val="24"/>
        </w:rPr>
        <w:t>Strafverfahrenszwecke</w:t>
      </w:r>
      <w:r>
        <w:rPr>
          <w:rFonts w:ascii="Times New Roman" w:hAnsi="Times New Roman"/>
          <w:noProof/>
          <w:sz w:val="24"/>
          <w:szCs w:val="24"/>
        </w:rPr>
        <w:t xml:space="preserve"> und </w:t>
      </w:r>
      <w:r>
        <w:rPr>
          <w:rFonts w:ascii="Times New Roman" w:hAnsi="Times New Roman"/>
          <w:b/>
          <w:noProof/>
          <w:sz w:val="24"/>
          <w:szCs w:val="24"/>
        </w:rPr>
        <w:t>31 %</w:t>
      </w:r>
      <w:r>
        <w:rPr>
          <w:rFonts w:ascii="Times New Roman" w:hAnsi="Times New Roman"/>
          <w:noProof/>
          <w:sz w:val="24"/>
          <w:szCs w:val="24"/>
        </w:rPr>
        <w:t xml:space="preserve"> für </w:t>
      </w:r>
      <w:r>
        <w:rPr>
          <w:rFonts w:ascii="Times New Roman" w:hAnsi="Times New Roman"/>
          <w:b/>
          <w:noProof/>
          <w:sz w:val="24"/>
          <w:szCs w:val="24"/>
        </w:rPr>
        <w:t>sonstige Zwecke</w:t>
      </w:r>
      <w:r>
        <w:rPr>
          <w:rFonts w:ascii="Times New Roman" w:hAnsi="Times New Roman"/>
          <w:noProof/>
          <w:sz w:val="24"/>
          <w:szCs w:val="24"/>
        </w:rPr>
        <w:t xml:space="preserve"> übermittelt.</w:t>
      </w:r>
    </w:p>
    <w:p>
      <w:pPr>
        <w:jc w:val="both"/>
        <w:rPr>
          <w:rFonts w:ascii="Times New Roman" w:hAnsi="Times New Roman" w:cs="Times New Roman"/>
          <w:bCs/>
          <w:noProof/>
          <w:sz w:val="24"/>
          <w:szCs w:val="24"/>
        </w:rPr>
      </w:pPr>
      <w:r>
        <w:rPr>
          <w:rFonts w:ascii="Times New Roman" w:hAnsi="Times New Roman"/>
          <w:noProof/>
          <w:sz w:val="24"/>
          <w:szCs w:val="24"/>
        </w:rPr>
        <w:t xml:space="preserve">Die Zahl der </w:t>
      </w:r>
      <w:r>
        <w:rPr>
          <w:rFonts w:ascii="Times New Roman" w:hAnsi="Times New Roman"/>
          <w:b/>
          <w:noProof/>
          <w:sz w:val="24"/>
          <w:szCs w:val="24"/>
        </w:rPr>
        <w:t>Ersuchen</w:t>
      </w:r>
      <w:r>
        <w:rPr>
          <w:rFonts w:ascii="Times New Roman" w:hAnsi="Times New Roman"/>
          <w:noProof/>
          <w:sz w:val="24"/>
          <w:szCs w:val="24"/>
        </w:rPr>
        <w:t xml:space="preserve"> </w:t>
      </w:r>
      <w:r>
        <w:rPr>
          <w:rFonts w:ascii="Times New Roman" w:hAnsi="Times New Roman"/>
          <w:b/>
          <w:noProof/>
          <w:sz w:val="24"/>
          <w:szCs w:val="24"/>
        </w:rPr>
        <w:t xml:space="preserve">für sonstige Zwecke </w:t>
      </w:r>
      <w:r>
        <w:rPr>
          <w:rFonts w:ascii="Times New Roman" w:hAnsi="Times New Roman"/>
          <w:b/>
          <w:bCs/>
          <w:noProof/>
          <w:sz w:val="24"/>
          <w:szCs w:val="24"/>
        </w:rPr>
        <w:t>lag 2019 bei über</w:t>
      </w:r>
      <w:r>
        <w:rPr>
          <w:rFonts w:ascii="Times New Roman" w:hAnsi="Times New Roman"/>
          <w:b/>
          <w:noProof/>
          <w:sz w:val="24"/>
          <w:szCs w:val="24"/>
        </w:rPr>
        <w:t xml:space="preserve"> 500 000, </w:t>
      </w:r>
      <w:r>
        <w:rPr>
          <w:rFonts w:ascii="Times New Roman" w:hAnsi="Times New Roman"/>
          <w:bCs/>
          <w:noProof/>
          <w:sz w:val="24"/>
          <w:szCs w:val="24"/>
        </w:rPr>
        <w:t xml:space="preserve">also </w:t>
      </w:r>
      <w:r>
        <w:rPr>
          <w:rFonts w:ascii="Times New Roman" w:hAnsi="Times New Roman"/>
          <w:b/>
          <w:noProof/>
          <w:sz w:val="24"/>
          <w:szCs w:val="24"/>
        </w:rPr>
        <w:t>um ein Sechsfaches höher als 2016</w:t>
      </w:r>
      <w:r>
        <w:rPr>
          <w:rFonts w:ascii="Times New Roman" w:hAnsi="Times New Roman"/>
          <w:bCs/>
          <w:noProof/>
          <w:sz w:val="24"/>
          <w:szCs w:val="24"/>
        </w:rPr>
        <w:t xml:space="preserve">. Die Zahl der </w:t>
      </w:r>
      <w:r>
        <w:rPr>
          <w:rFonts w:ascii="Times New Roman" w:hAnsi="Times New Roman"/>
          <w:b/>
          <w:noProof/>
          <w:sz w:val="24"/>
          <w:szCs w:val="24"/>
        </w:rPr>
        <w:t xml:space="preserve">Ersuchen für Strafverfahrenszwecke </w:t>
      </w:r>
      <w:r>
        <w:rPr>
          <w:rFonts w:ascii="Times New Roman" w:hAnsi="Times New Roman"/>
          <w:bCs/>
          <w:noProof/>
          <w:sz w:val="24"/>
          <w:szCs w:val="24"/>
        </w:rPr>
        <w:t xml:space="preserve">blieb </w:t>
      </w:r>
      <w:r>
        <w:rPr>
          <w:rFonts w:ascii="Times New Roman" w:hAnsi="Times New Roman"/>
          <w:b/>
          <w:noProof/>
          <w:sz w:val="24"/>
          <w:szCs w:val="24"/>
        </w:rPr>
        <w:t>unverändert ebenfalls bei 500 000</w:t>
      </w:r>
      <w:r>
        <w:rPr>
          <w:rFonts w:ascii="Times New Roman" w:hAnsi="Times New Roman"/>
          <w:bCs/>
          <w:noProof/>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Der Anstieg der Ersuchen für sonstige Zwecke lässt sich hauptsächlich auf den </w:t>
      </w:r>
      <w:r>
        <w:rPr>
          <w:rFonts w:ascii="Times New Roman" w:hAnsi="Times New Roman"/>
          <w:b/>
          <w:bCs/>
          <w:noProof/>
          <w:sz w:val="24"/>
          <w:szCs w:val="24"/>
        </w:rPr>
        <w:t>starken Zuwachs bei den von Einzelpersonen bezüglich ihres eigenen Strafregistereintrags gestellten Ersuchen</w:t>
      </w:r>
      <w:r>
        <w:rPr>
          <w:rFonts w:ascii="Times New Roman" w:hAnsi="Times New Roman"/>
          <w:noProof/>
          <w:sz w:val="24"/>
          <w:szCs w:val="24"/>
        </w:rPr>
        <w:t xml:space="preserve"> zurückführen –</w:t>
      </w:r>
      <w:r>
        <w:rPr>
          <w:rFonts w:ascii="Times New Roman" w:hAnsi="Times New Roman"/>
          <w:b/>
          <w:bCs/>
          <w:noProof/>
          <w:sz w:val="24"/>
          <w:szCs w:val="24"/>
        </w:rPr>
        <w:t xml:space="preserve"> </w:t>
      </w:r>
      <w:r>
        <w:rPr>
          <w:rFonts w:ascii="Times New Roman" w:hAnsi="Times New Roman"/>
          <w:bCs/>
          <w:noProof/>
          <w:sz w:val="24"/>
          <w:szCs w:val="24"/>
        </w:rPr>
        <w:t>die</w:t>
      </w:r>
      <w:r>
        <w:rPr>
          <w:rFonts w:ascii="Times New Roman" w:hAnsi="Times New Roman"/>
          <w:b/>
          <w:bCs/>
          <w:noProof/>
          <w:sz w:val="24"/>
          <w:szCs w:val="24"/>
        </w:rPr>
        <w:t xml:space="preserve"> </w:t>
      </w:r>
      <w:r>
        <w:rPr>
          <w:rFonts w:ascii="Times New Roman" w:hAnsi="Times New Roman"/>
          <w:noProof/>
          <w:sz w:val="24"/>
          <w:szCs w:val="24"/>
        </w:rPr>
        <w:t xml:space="preserve">Gesamtzahl von </w:t>
      </w:r>
      <w:r>
        <w:rPr>
          <w:rFonts w:ascii="Times New Roman" w:hAnsi="Times New Roman"/>
          <w:b/>
          <w:bCs/>
          <w:noProof/>
          <w:sz w:val="24"/>
          <w:szCs w:val="24"/>
        </w:rPr>
        <w:t>356 000 Ersuchen</w:t>
      </w:r>
      <w:r>
        <w:rPr>
          <w:rFonts w:ascii="Times New Roman" w:hAnsi="Times New Roman"/>
          <w:noProof/>
          <w:sz w:val="24"/>
          <w:szCs w:val="24"/>
        </w:rPr>
        <w:t xml:space="preserve"> hat sich seit 2016 versechsfacht. Der zweite wesentliche Faktor war die Zahl von </w:t>
      </w:r>
      <w:r>
        <w:rPr>
          <w:rFonts w:ascii="Times New Roman" w:hAnsi="Times New Roman"/>
          <w:b/>
          <w:bCs/>
          <w:noProof/>
          <w:sz w:val="24"/>
          <w:szCs w:val="24"/>
        </w:rPr>
        <w:t xml:space="preserve">Ersuchen für Zwecke der </w:t>
      </w:r>
      <w:r>
        <w:rPr>
          <w:rFonts w:ascii="Times New Roman" w:hAnsi="Times New Roman"/>
          <w:b/>
          <w:noProof/>
          <w:sz w:val="24"/>
          <w:szCs w:val="24"/>
        </w:rPr>
        <w:t xml:space="preserve">Einstellung </w:t>
      </w:r>
      <w:r>
        <w:rPr>
          <w:rFonts w:ascii="Times New Roman" w:hAnsi="Times New Roman"/>
          <w:noProof/>
          <w:sz w:val="24"/>
          <w:szCs w:val="24"/>
        </w:rPr>
        <w:t xml:space="preserve">für professionelle oder organisierte freiwillige </w:t>
      </w:r>
      <w:r>
        <w:rPr>
          <w:rFonts w:ascii="Times New Roman" w:hAnsi="Times New Roman"/>
          <w:b/>
          <w:noProof/>
          <w:sz w:val="24"/>
          <w:szCs w:val="24"/>
        </w:rPr>
        <w:t>Tätigkeiten, bei denen es zu direkten und regelmäßigen Kontakten mit Kindern kommt</w:t>
      </w:r>
      <w:r>
        <w:rPr>
          <w:rFonts w:ascii="Times New Roman" w:hAnsi="Times New Roman"/>
          <w:noProof/>
          <w:sz w:val="24"/>
          <w:szCs w:val="24"/>
        </w:rPr>
        <w:t xml:space="preserve">, im Einklang mit der Umsetzung der </w:t>
      </w:r>
      <w:r>
        <w:rPr>
          <w:rFonts w:ascii="Times New Roman" w:hAnsi="Times New Roman"/>
          <w:b/>
          <w:noProof/>
          <w:sz w:val="24"/>
          <w:szCs w:val="24"/>
        </w:rPr>
        <w:t>Richtlinie 2011/93/EU</w:t>
      </w:r>
      <w:r>
        <w:rPr>
          <w:rStyle w:val="FootnoteReference"/>
          <w:rFonts w:ascii="Times New Roman" w:hAnsi="Times New Roman" w:cs="Times New Roman"/>
          <w:b/>
          <w:noProof/>
          <w:sz w:val="24"/>
          <w:szCs w:val="24"/>
        </w:rPr>
        <w:footnoteReference w:id="21"/>
      </w:r>
      <w:r>
        <w:rPr>
          <w:rFonts w:ascii="Times New Roman" w:hAnsi="Times New Roman"/>
          <w:b/>
          <w:noProof/>
          <w:sz w:val="24"/>
          <w:szCs w:val="24"/>
        </w:rPr>
        <w:t>.</w:t>
      </w:r>
      <w:r>
        <w:rPr>
          <w:rFonts w:ascii="Times New Roman" w:hAnsi="Times New Roman"/>
          <w:noProof/>
          <w:sz w:val="24"/>
          <w:szCs w:val="24"/>
        </w:rPr>
        <w:t xml:space="preserve"> </w:t>
      </w:r>
      <w:r>
        <w:rPr>
          <w:rFonts w:ascii="Times New Roman" w:hAnsi="Times New Roman"/>
          <w:b/>
          <w:noProof/>
          <w:sz w:val="24"/>
          <w:szCs w:val="24"/>
        </w:rPr>
        <w:t>Die Zahl dieser Ersuchen lag 2019 bei 115 000</w:t>
      </w:r>
      <w:r>
        <w:rPr>
          <w:rFonts w:ascii="Times New Roman" w:hAnsi="Times New Roman"/>
          <w:b/>
          <w:bCs/>
          <w:noProof/>
          <w:sz w:val="24"/>
          <w:szCs w:val="24"/>
        </w:rPr>
        <w:t xml:space="preserve">, verglichen mit 7 800 im Jahr 2016, </w:t>
      </w:r>
      <w:r>
        <w:rPr>
          <w:rFonts w:ascii="Times New Roman" w:hAnsi="Times New Roman"/>
          <w:b/>
          <w:noProof/>
          <w:sz w:val="24"/>
          <w:szCs w:val="24"/>
        </w:rPr>
        <w:t xml:space="preserve">was einen </w:t>
      </w:r>
      <w:r>
        <w:rPr>
          <w:rFonts w:ascii="Times New Roman" w:hAnsi="Times New Roman"/>
          <w:b/>
          <w:bCs/>
          <w:noProof/>
          <w:sz w:val="24"/>
          <w:szCs w:val="24"/>
        </w:rPr>
        <w:t>erheblichen Anstieg</w:t>
      </w:r>
      <w:r>
        <w:rPr>
          <w:rFonts w:ascii="Times New Roman" w:hAnsi="Times New Roman"/>
          <w:b/>
          <w:noProof/>
          <w:sz w:val="24"/>
          <w:szCs w:val="24"/>
        </w:rPr>
        <w:t xml:space="preserve"> darstellt.</w:t>
      </w:r>
      <w:r>
        <w:rPr>
          <w:rFonts w:ascii="Times New Roman" w:hAnsi="Times New Roman"/>
          <w:noProof/>
          <w:sz w:val="24"/>
          <w:szCs w:val="24"/>
        </w:rPr>
        <w:t xml:space="preserve"> </w:t>
      </w:r>
      <w:r>
        <w:rPr>
          <w:rFonts w:ascii="Times New Roman" w:hAnsi="Times New Roman"/>
          <w:b/>
          <w:noProof/>
          <w:sz w:val="24"/>
          <w:szCs w:val="24"/>
        </w:rPr>
        <w:t>DE ist der für die gestiegene Zahl der Ersuchen für sonstige Zwecke hauptverantwortliche Mitgliedstaat.</w:t>
      </w:r>
    </w:p>
    <w:p>
      <w:pPr>
        <w:jc w:val="both"/>
        <w:rPr>
          <w:rFonts w:ascii="Times New Roman" w:hAnsi="Times New Roman" w:cs="Times New Roman"/>
          <w:noProof/>
          <w:sz w:val="24"/>
          <w:szCs w:val="24"/>
        </w:rPr>
      </w:pPr>
      <w:r>
        <w:rPr>
          <w:rFonts w:ascii="Times New Roman" w:hAnsi="Times New Roman"/>
          <w:noProof/>
          <w:sz w:val="24"/>
          <w:szCs w:val="24"/>
        </w:rPr>
        <w:t xml:space="preserve">2019 wurden die meisten Ersuchen für sonstige Zwecke (Nicht-Strafverfahren) von </w:t>
      </w:r>
      <w:r>
        <w:rPr>
          <w:rFonts w:ascii="Times New Roman" w:hAnsi="Times New Roman"/>
          <w:b/>
          <w:noProof/>
          <w:sz w:val="24"/>
          <w:szCs w:val="24"/>
        </w:rPr>
        <w:t>Einzelpersonen</w:t>
      </w:r>
      <w:r>
        <w:rPr>
          <w:rFonts w:ascii="Times New Roman" w:hAnsi="Times New Roman"/>
          <w:noProof/>
          <w:sz w:val="24"/>
          <w:szCs w:val="24"/>
        </w:rPr>
        <w:t xml:space="preserve"> </w:t>
      </w:r>
      <w:r>
        <w:rPr>
          <w:rFonts w:ascii="Times New Roman" w:hAnsi="Times New Roman"/>
          <w:b/>
          <w:noProof/>
          <w:sz w:val="24"/>
          <w:szCs w:val="24"/>
        </w:rPr>
        <w:t>gestellt, um Informationen über ihren eigenen Strafregistereintrag zu erlangen</w:t>
      </w:r>
      <w:r>
        <w:rPr>
          <w:rFonts w:ascii="Times New Roman" w:hAnsi="Times New Roman"/>
          <w:noProof/>
          <w:sz w:val="24"/>
          <w:szCs w:val="24"/>
        </w:rPr>
        <w:t xml:space="preserve"> – </w:t>
      </w:r>
      <w:r>
        <w:rPr>
          <w:rFonts w:ascii="Times New Roman" w:hAnsi="Times New Roman"/>
          <w:b/>
          <w:bCs/>
          <w:noProof/>
          <w:sz w:val="24"/>
          <w:szCs w:val="24"/>
        </w:rPr>
        <w:t xml:space="preserve">70 % der Ersuchen für sonstige Zwecke </w:t>
      </w:r>
      <w:r>
        <w:rPr>
          <w:rFonts w:ascii="Times New Roman" w:hAnsi="Times New Roman"/>
          <w:noProof/>
          <w:sz w:val="24"/>
          <w:szCs w:val="24"/>
        </w:rPr>
        <w:t xml:space="preserve">und </w:t>
      </w:r>
      <w:r>
        <w:rPr>
          <w:rFonts w:ascii="Times New Roman" w:hAnsi="Times New Roman"/>
          <w:b/>
          <w:bCs/>
          <w:noProof/>
          <w:sz w:val="24"/>
          <w:szCs w:val="24"/>
        </w:rPr>
        <w:t>35 % sämtlicher Ersuchen</w:t>
      </w:r>
      <w:r>
        <w:rPr>
          <w:rFonts w:ascii="Times New Roman" w:hAnsi="Times New Roman"/>
          <w:noProof/>
          <w:sz w:val="24"/>
          <w:szCs w:val="24"/>
        </w:rPr>
        <w:t xml:space="preserve">. Die nächsthöchste Zahl der Ersuchen bezog sich auf Ersuchen </w:t>
      </w:r>
      <w:r>
        <w:rPr>
          <w:rFonts w:ascii="Times New Roman" w:hAnsi="Times New Roman"/>
          <w:b/>
          <w:bCs/>
          <w:noProof/>
          <w:sz w:val="24"/>
          <w:szCs w:val="24"/>
        </w:rPr>
        <w:t xml:space="preserve">im Zusammenhang mit Einstellungen gemäß Richtlinie 2011/93/EU (22 % </w:t>
      </w:r>
      <w:r>
        <w:rPr>
          <w:rFonts w:ascii="Times New Roman" w:hAnsi="Times New Roman"/>
          <w:noProof/>
          <w:sz w:val="24"/>
          <w:szCs w:val="24"/>
        </w:rPr>
        <w:t>der Ersuchen für sonstige Zwecke und 11 % sämtlicher Ersuchen im Vergleich zu 10 % der Ersuchen für sonstige Zwecke im Jahr 2016). Der Anteil der Ersuchen von für nicht strafrechtliche Verfahren zuständigen Behörden fiel von 14 % der Ersuchen für sonstige Zwecke im Jahr 2016 auf 3,8 % im Jahr 2019 (und auf 2 % sämtlicher Ersuchen) und liegt mit 19 000 Ersuchen an dritter Stelle. Anträge auf eine Genehmigung zum Führen von Waffen beliefen sich auf 1,1 % der Ersuchen für sonstige Zwecke. Schließlich machten die Ersuchen für den wichtigen Zweck des Erhalts einer anderen Staatsangehörigkeit lediglich rund 0,9 % aller Ersuchen für sonstige Zwecke und 0,4 % sämtlicher Ersuchen aus.</w:t>
      </w:r>
      <w:r>
        <w:rPr>
          <w:rStyle w:val="FootnoteReference"/>
          <w:rFonts w:ascii="Times New Roman" w:hAnsi="Times New Roman" w:cs="Times New Roman"/>
          <w:noProof/>
          <w:sz w:val="24"/>
          <w:szCs w:val="24"/>
        </w:rPr>
        <w:footnoteReference w:id="22"/>
      </w:r>
    </w:p>
    <w:p>
      <w:pPr>
        <w:rPr>
          <w:rFonts w:ascii="Times New Roman" w:hAnsi="Times New Roman" w:cs="Times New Roman"/>
          <w:noProof/>
          <w:sz w:val="24"/>
          <w:szCs w:val="24"/>
        </w:rPr>
      </w:pPr>
      <w:bookmarkStart w:id="27" w:name="_Toc479267024"/>
    </w:p>
    <w:p>
      <w:pPr>
        <w:rPr>
          <w:rFonts w:ascii="Times New Roman" w:hAnsi="Times New Roman" w:cs="Times New Roman"/>
          <w:b/>
          <w:noProof/>
          <w:sz w:val="24"/>
          <w:szCs w:val="24"/>
        </w:rPr>
      </w:pPr>
      <w:r>
        <w:rPr>
          <w:rFonts w:ascii="Times New Roman" w:hAnsi="Times New Roman"/>
          <w:b/>
          <w:noProof/>
          <w:sz w:val="24"/>
          <w:szCs w:val="24"/>
        </w:rPr>
        <w:t>2.9. Ersuchen zu EU-Bürgern und</w:t>
      </w:r>
      <w:bookmarkEnd w:id="27"/>
      <w:r>
        <w:rPr>
          <w:rFonts w:ascii="Times New Roman" w:hAnsi="Times New Roman"/>
          <w:b/>
          <w:noProof/>
          <w:sz w:val="24"/>
          <w:szCs w:val="24"/>
        </w:rPr>
        <w:t xml:space="preserve"> Drittstaatsangehörigen (Third Country Nationals, TCN)</w:t>
      </w:r>
    </w:p>
    <w:p>
      <w:pPr>
        <w:spacing w:after="0"/>
        <w:jc w:val="both"/>
        <w:rPr>
          <w:rFonts w:ascii="Times New Roman" w:hAnsi="Times New Roman" w:cs="Times New Roman"/>
          <w:noProof/>
          <w:sz w:val="24"/>
          <w:szCs w:val="24"/>
        </w:rPr>
      </w:pPr>
      <w:r>
        <w:rPr>
          <w:rFonts w:ascii="Times New Roman" w:hAnsi="Times New Roman"/>
          <w:noProof/>
          <w:sz w:val="24"/>
          <w:szCs w:val="24"/>
        </w:rPr>
        <w:t>Die folgenden Grafiken stellen das Verhältnis zwischen den Ersuchen zu EU-Bürgern und TCN pro Jahr</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sowie im Durchschnitt während des gesamten ECRIS-Betriebs dar.</w:t>
      </w:r>
    </w:p>
    <w:p>
      <w:pPr>
        <w:jc w:val="center"/>
        <w:rPr>
          <w:rStyle w:val="CommentReference"/>
          <w:rFonts w:ascii="Times New Roman" w:hAnsi="Times New Roman" w:cs="Times New Roman"/>
          <w:noProof/>
          <w:sz w:val="24"/>
          <w:szCs w:val="24"/>
        </w:rPr>
      </w:pPr>
    </w:p>
    <w:p>
      <w:pPr>
        <w:jc w:val="center"/>
        <w:rPr>
          <w:rFonts w:ascii="Times New Roman" w:hAnsi="Times New Roman" w:cs="Times New Roman"/>
          <w:noProof/>
          <w:sz w:val="24"/>
          <w:szCs w:val="24"/>
        </w:rPr>
      </w:pPr>
      <w:r>
        <w:rPr>
          <w:noProof/>
          <w:lang w:val="en-GB"/>
        </w:rPr>
        <w:drawing>
          <wp:inline distT="0" distB="0" distL="0" distR="0">
            <wp:extent cx="4573778" cy="33352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82432" cy="3341525"/>
                    </a:xfrm>
                    <a:prstGeom prst="rect">
                      <a:avLst/>
                    </a:prstGeom>
                  </pic:spPr>
                </pic:pic>
              </a:graphicData>
            </a:graphic>
          </wp:inline>
        </w:drawing>
      </w:r>
      <w:r>
        <w:rPr>
          <w:noProof/>
        </w:rPr>
        <w:t xml:space="preserve"> </w:t>
      </w:r>
    </w:p>
    <w:p>
      <w:pPr>
        <w:contextualSpacing/>
        <w:jc w:val="center"/>
        <w:rPr>
          <w:rFonts w:ascii="Times New Roman" w:hAnsi="Times New Roman" w:cs="Times New Roman"/>
          <w:noProof/>
          <w:sz w:val="24"/>
          <w:szCs w:val="24"/>
        </w:rPr>
      </w:pPr>
    </w:p>
    <w:p>
      <w:pPr>
        <w:contextualSpacing/>
        <w:jc w:val="center"/>
        <w:rPr>
          <w:rFonts w:ascii="Times New Roman" w:hAnsi="Times New Roman" w:cs="Times New Roman"/>
          <w:noProof/>
          <w:sz w:val="24"/>
          <w:szCs w:val="24"/>
        </w:rPr>
      </w:pPr>
      <w:r>
        <w:rPr>
          <w:noProof/>
          <w:lang w:val="en-GB"/>
        </w:rPr>
        <w:drawing>
          <wp:inline distT="0" distB="0" distL="0" distR="0">
            <wp:extent cx="5760085" cy="34493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085" cy="3449320"/>
                    </a:xfrm>
                    <a:prstGeom prst="rect">
                      <a:avLst/>
                    </a:prstGeom>
                  </pic:spPr>
                </pic:pic>
              </a:graphicData>
            </a:graphic>
          </wp:inline>
        </w:drawing>
      </w:r>
    </w:p>
    <w:p>
      <w:pPr>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Durchschnittlich </w:t>
      </w:r>
      <w:r>
        <w:rPr>
          <w:rFonts w:ascii="Times New Roman" w:hAnsi="Times New Roman"/>
          <w:b/>
          <w:noProof/>
          <w:sz w:val="24"/>
          <w:szCs w:val="24"/>
        </w:rPr>
        <w:t>92 %</w:t>
      </w:r>
      <w:r>
        <w:rPr>
          <w:rFonts w:ascii="Times New Roman" w:hAnsi="Times New Roman"/>
          <w:noProof/>
          <w:sz w:val="24"/>
          <w:szCs w:val="24"/>
        </w:rPr>
        <w:t xml:space="preserve"> aller Ersuchen betreffen </w:t>
      </w:r>
      <w:r>
        <w:rPr>
          <w:rFonts w:ascii="Times New Roman" w:hAnsi="Times New Roman"/>
          <w:b/>
          <w:noProof/>
          <w:sz w:val="24"/>
          <w:szCs w:val="24"/>
        </w:rPr>
        <w:t>EU-Bürger</w:t>
      </w:r>
      <w:r>
        <w:rPr>
          <w:rFonts w:ascii="Times New Roman" w:hAnsi="Times New Roman"/>
          <w:noProof/>
          <w:sz w:val="24"/>
          <w:szCs w:val="24"/>
        </w:rPr>
        <w:t xml:space="preserve"> und rund </w:t>
      </w:r>
      <w:r>
        <w:rPr>
          <w:rFonts w:ascii="Times New Roman" w:hAnsi="Times New Roman"/>
          <w:b/>
          <w:noProof/>
          <w:sz w:val="24"/>
          <w:szCs w:val="24"/>
        </w:rPr>
        <w:t>8 % TCN</w:t>
      </w:r>
      <w:r>
        <w:rPr>
          <w:rFonts w:ascii="Times New Roman" w:hAnsi="Times New Roman"/>
          <w:noProof/>
          <w:sz w:val="24"/>
          <w:szCs w:val="24"/>
        </w:rPr>
        <w:t>. Der Anteil der Ersuchen für Staatenlose ist marginal (0,02 %).</w:t>
      </w:r>
    </w:p>
    <w:p>
      <w:pPr>
        <w:jc w:val="both"/>
        <w:rPr>
          <w:rFonts w:ascii="Times New Roman" w:hAnsi="Times New Roman" w:cs="Times New Roman"/>
          <w:bCs/>
          <w:noProof/>
          <w:sz w:val="24"/>
          <w:szCs w:val="24"/>
        </w:rPr>
      </w:pPr>
      <w:r>
        <w:rPr>
          <w:rFonts w:ascii="Times New Roman" w:hAnsi="Times New Roman"/>
          <w:noProof/>
          <w:sz w:val="24"/>
          <w:szCs w:val="24"/>
        </w:rPr>
        <w:t xml:space="preserve">Obwohl der </w:t>
      </w:r>
      <w:r>
        <w:rPr>
          <w:rFonts w:ascii="Times New Roman" w:hAnsi="Times New Roman"/>
          <w:b/>
          <w:bCs/>
          <w:noProof/>
          <w:sz w:val="24"/>
          <w:szCs w:val="24"/>
        </w:rPr>
        <w:t>prozentuale Anteil der Informationsersuchen zu TCN seit 2016</w:t>
      </w:r>
      <w:r>
        <w:rPr>
          <w:rFonts w:ascii="Times New Roman" w:hAnsi="Times New Roman"/>
          <w:noProof/>
          <w:sz w:val="24"/>
          <w:szCs w:val="24"/>
        </w:rPr>
        <w:t xml:space="preserve"> von 10 % auf</w:t>
      </w:r>
      <w:r>
        <w:rPr>
          <w:rFonts w:ascii="Times New Roman" w:hAnsi="Times New Roman"/>
          <w:b/>
          <w:bCs/>
          <w:noProof/>
          <w:sz w:val="24"/>
          <w:szCs w:val="24"/>
        </w:rPr>
        <w:t xml:space="preserve"> 7 % sämtlicher Ersuchen im Jahr 2019 gefallen ist</w:t>
      </w:r>
      <w:r>
        <w:rPr>
          <w:rFonts w:ascii="Times New Roman" w:hAnsi="Times New Roman"/>
          <w:noProof/>
          <w:sz w:val="24"/>
          <w:szCs w:val="24"/>
        </w:rPr>
        <w:t xml:space="preserve">, ist die </w:t>
      </w:r>
      <w:r>
        <w:rPr>
          <w:rFonts w:ascii="Times New Roman" w:hAnsi="Times New Roman"/>
          <w:b/>
          <w:bCs/>
          <w:noProof/>
          <w:sz w:val="24"/>
          <w:szCs w:val="24"/>
        </w:rPr>
        <w:t>tatsächliche</w:t>
      </w:r>
      <w:r>
        <w:rPr>
          <w:rFonts w:ascii="Times New Roman" w:hAnsi="Times New Roman"/>
          <w:noProof/>
          <w:sz w:val="24"/>
          <w:szCs w:val="24"/>
        </w:rPr>
        <w:t xml:space="preserve"> </w:t>
      </w:r>
      <w:r>
        <w:rPr>
          <w:rFonts w:ascii="Times New Roman" w:hAnsi="Times New Roman"/>
          <w:b/>
          <w:bCs/>
          <w:noProof/>
          <w:sz w:val="24"/>
          <w:szCs w:val="24"/>
        </w:rPr>
        <w:t xml:space="preserve">Zahl solcher Ersuchen </w:t>
      </w:r>
      <w:r>
        <w:rPr>
          <w:rFonts w:ascii="Times New Roman" w:hAnsi="Times New Roman"/>
          <w:bCs/>
          <w:noProof/>
          <w:sz w:val="24"/>
          <w:szCs w:val="24"/>
        </w:rPr>
        <w:t xml:space="preserve">stetig </w:t>
      </w:r>
      <w:r>
        <w:rPr>
          <w:rFonts w:ascii="Times New Roman" w:hAnsi="Times New Roman"/>
          <w:b/>
          <w:noProof/>
          <w:sz w:val="24"/>
          <w:szCs w:val="24"/>
        </w:rPr>
        <w:t>gestiegen</w:t>
      </w:r>
      <w:r>
        <w:rPr>
          <w:rFonts w:ascii="Times New Roman" w:hAnsi="Times New Roman"/>
          <w:noProof/>
          <w:sz w:val="24"/>
          <w:szCs w:val="24"/>
        </w:rPr>
        <w:t>,</w:t>
      </w:r>
      <w:r>
        <w:rPr>
          <w:rFonts w:ascii="Times New Roman" w:hAnsi="Times New Roman"/>
          <w:bCs/>
          <w:noProof/>
          <w:sz w:val="24"/>
          <w:szCs w:val="24"/>
        </w:rPr>
        <w:t xml:space="preserve"> und lag 2019 bei über </w:t>
      </w:r>
      <w:r>
        <w:rPr>
          <w:rFonts w:ascii="Times New Roman" w:hAnsi="Times New Roman"/>
          <w:b/>
          <w:noProof/>
          <w:sz w:val="24"/>
          <w:szCs w:val="24"/>
        </w:rPr>
        <w:t xml:space="preserve">69 000. </w:t>
      </w:r>
      <w:r>
        <w:rPr>
          <w:rFonts w:ascii="Times New Roman" w:hAnsi="Times New Roman"/>
          <w:bCs/>
          <w:noProof/>
          <w:sz w:val="24"/>
          <w:szCs w:val="24"/>
        </w:rPr>
        <w:t>Dieses Phänomen lässt sich durch den erheblichen Anstieg bei den Ersuchen für sonstige Zwecke (Nicht-Strafverfahren) erklären, die hauptsächlich EU-Bürger betreffen.</w:t>
      </w:r>
    </w:p>
    <w:p>
      <w:pPr>
        <w:jc w:val="both"/>
        <w:rPr>
          <w:rFonts w:ascii="Times New Roman" w:hAnsi="Times New Roman" w:cs="Times New Roman"/>
          <w:noProof/>
          <w:sz w:val="24"/>
          <w:szCs w:val="24"/>
        </w:rPr>
      </w:pPr>
      <w:r>
        <w:rPr>
          <w:rFonts w:ascii="Times New Roman" w:hAnsi="Times New Roman"/>
          <w:noProof/>
          <w:sz w:val="24"/>
          <w:szCs w:val="24"/>
        </w:rPr>
        <w:t>2019 wurden ergänzende Rechtsvorschriften zur Einführung eines zentralisierten ECRIS-TCN-Systems angenommen,</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das eine effiziente Ermittlung des/der Mitgliedstaats/en ermöglicht, die über Strafregisterinformationen von in der EU verurteilten TCN verfügen. Nach seiner Inbetriebnahme im Jahr 2023 soll das System einen wirksameren Austausch von Informationen zu TCN über ECRIS unterstützen und zu einem erheblichen Anstieg solcher Ersuchen führen.</w:t>
      </w:r>
    </w:p>
    <w:p>
      <w:pPr>
        <w:rPr>
          <w:rFonts w:ascii="Times New Roman" w:hAnsi="Times New Roman" w:cs="Times New Roman"/>
          <w:noProof/>
          <w:sz w:val="24"/>
          <w:szCs w:val="24"/>
        </w:rPr>
      </w:pPr>
      <w:bookmarkStart w:id="28" w:name="_Toc479267025"/>
    </w:p>
    <w:p>
      <w:pPr>
        <w:rPr>
          <w:rFonts w:ascii="Times New Roman" w:hAnsi="Times New Roman" w:cs="Times New Roman"/>
          <w:b/>
          <w:noProof/>
          <w:sz w:val="24"/>
          <w:szCs w:val="24"/>
        </w:rPr>
      </w:pPr>
      <w:r>
        <w:rPr>
          <w:rFonts w:ascii="Times New Roman" w:hAnsi="Times New Roman"/>
          <w:b/>
          <w:noProof/>
          <w:sz w:val="24"/>
          <w:szCs w:val="24"/>
        </w:rPr>
        <w:t>2.10.</w:t>
      </w:r>
      <w:bookmarkEnd w:id="28"/>
      <w:r>
        <w:rPr>
          <w:rFonts w:ascii="Times New Roman" w:hAnsi="Times New Roman"/>
          <w:b/>
          <w:noProof/>
          <w:sz w:val="24"/>
          <w:szCs w:val="24"/>
        </w:rPr>
        <w:t xml:space="preserve"> Antworten mit Informationen über Verurteilungen</w:t>
      </w:r>
    </w:p>
    <w:p>
      <w:pPr>
        <w:jc w:val="both"/>
        <w:rPr>
          <w:rFonts w:ascii="Times New Roman" w:hAnsi="Times New Roman" w:cs="Times New Roman"/>
          <w:noProof/>
          <w:sz w:val="24"/>
          <w:szCs w:val="24"/>
        </w:rPr>
      </w:pPr>
      <w:r>
        <w:rPr>
          <w:rFonts w:ascii="Times New Roman" w:hAnsi="Times New Roman"/>
          <w:noProof/>
          <w:sz w:val="24"/>
          <w:szCs w:val="24"/>
        </w:rPr>
        <w:t>In den folgenden Grafiken wird der prozentuale Anteil der Antworten auf Ersuchen betreffend eine oder mehrere Verurteilungen, Antworten, die keine Verurteilungen umfassen, und sonstige Antworten pro Jahr</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xml:space="preserve"> sowie im Durchschnitt während des ECRIS-Betriebs wiedergegeben.</w:t>
      </w:r>
    </w:p>
    <w:p>
      <w:pPr>
        <w:jc w:val="center"/>
        <w:rPr>
          <w:rFonts w:ascii="Times New Roman" w:hAnsi="Times New Roman" w:cs="Times New Roman"/>
          <w:noProof/>
          <w:sz w:val="24"/>
          <w:szCs w:val="24"/>
        </w:rPr>
      </w:pPr>
      <w:r>
        <w:rPr>
          <w:noProof/>
          <w:lang w:val="en-GB"/>
        </w:rPr>
        <w:drawing>
          <wp:inline distT="0" distB="0" distL="0" distR="0">
            <wp:extent cx="5760085" cy="298767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085" cy="2987675"/>
                    </a:xfrm>
                    <a:prstGeom prst="rect">
                      <a:avLst/>
                    </a:prstGeom>
                  </pic:spPr>
                </pic:pic>
              </a:graphicData>
            </a:graphic>
          </wp:inline>
        </w:drawing>
      </w:r>
    </w:p>
    <w:p>
      <w:pPr>
        <w:jc w:val="center"/>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noProof/>
          <w:sz w:val="24"/>
          <w:szCs w:val="24"/>
        </w:rPr>
        <w:t xml:space="preserve">Seit dem ersten Jahr des ECRIS-Betriebs enthielten durchschnittlich </w:t>
      </w:r>
      <w:r>
        <w:rPr>
          <w:rFonts w:ascii="Times New Roman" w:hAnsi="Times New Roman"/>
          <w:b/>
          <w:noProof/>
          <w:sz w:val="24"/>
          <w:szCs w:val="24"/>
        </w:rPr>
        <w:t xml:space="preserve">26 % der Antworten Angaben über frühere strafrechtliche Verurteilungen. </w:t>
      </w:r>
      <w:r>
        <w:rPr>
          <w:rFonts w:ascii="Times New Roman" w:hAnsi="Times New Roman"/>
          <w:noProof/>
          <w:sz w:val="24"/>
          <w:szCs w:val="24"/>
        </w:rPr>
        <w:t xml:space="preserve">Dies bedeutet, dass die betreffende Person </w:t>
      </w:r>
      <w:r>
        <w:rPr>
          <w:rFonts w:ascii="Times New Roman" w:hAnsi="Times New Roman"/>
          <w:b/>
          <w:bCs/>
          <w:noProof/>
          <w:sz w:val="24"/>
          <w:szCs w:val="24"/>
        </w:rPr>
        <w:t>in</w:t>
      </w:r>
      <w:r>
        <w:rPr>
          <w:rFonts w:ascii="Times New Roman" w:hAnsi="Times New Roman"/>
          <w:noProof/>
          <w:sz w:val="24"/>
          <w:szCs w:val="24"/>
        </w:rPr>
        <w:t xml:space="preserve"> </w:t>
      </w:r>
      <w:r>
        <w:rPr>
          <w:rFonts w:ascii="Times New Roman" w:hAnsi="Times New Roman"/>
          <w:b/>
          <w:bCs/>
          <w:noProof/>
          <w:sz w:val="24"/>
          <w:szCs w:val="24"/>
        </w:rPr>
        <w:t>25 % der Fälle bereits ein- oder mehrmals verurteilt</w:t>
      </w:r>
      <w:r>
        <w:rPr>
          <w:rFonts w:ascii="Times New Roman" w:hAnsi="Times New Roman"/>
          <w:noProof/>
          <w:sz w:val="24"/>
          <w:szCs w:val="24"/>
        </w:rPr>
        <w:t xml:space="preserve"> wurde, was die Bedeutung von ECRIS als Instrument zum Erhalt strafrechtlicher Informationen beweist. </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noProof/>
          <w:sz w:val="24"/>
          <w:szCs w:val="24"/>
        </w:rPr>
        <w:t xml:space="preserve">Viele Jahre lang – bis 2018 – hielt sich dieser prozentuale Anteil bei rund 30 % stabil und </w:t>
      </w:r>
      <w:r>
        <w:rPr>
          <w:rFonts w:ascii="Times New Roman" w:hAnsi="Times New Roman"/>
          <w:b/>
          <w:bCs/>
          <w:noProof/>
          <w:sz w:val="24"/>
          <w:szCs w:val="24"/>
        </w:rPr>
        <w:t>fiel im Jahr 2019 plötzlich auf 19 % ab</w:t>
      </w:r>
      <w:r>
        <w:rPr>
          <w:rFonts w:ascii="Times New Roman" w:hAnsi="Times New Roman"/>
          <w:noProof/>
          <w:sz w:val="24"/>
          <w:szCs w:val="24"/>
        </w:rPr>
        <w:t>, was mit dem dramatischen Anstieg der Anzahl der Ersuchen für sonstige Zwecke (Nicht-Strafverfahren) einherging. Es ist ein positives Zeichen, dass die Großzahl der Personen, zu denen unter anderem zu Einstellungs-, Genehmigungs- und Verwaltungszwecken Informationsersuchen gestellt wurden, keine früheren strafrechtlichen Verurteilungen hatten.</w:t>
      </w:r>
    </w:p>
    <w:p>
      <w:pPr>
        <w:contextualSpacing/>
        <w:jc w:val="both"/>
        <w:rPr>
          <w:rFonts w:ascii="Times New Roman" w:hAnsi="Times New Roman" w:cs="Times New Roman"/>
          <w:noProof/>
          <w:sz w:val="24"/>
          <w:szCs w:val="24"/>
        </w:rPr>
      </w:pPr>
    </w:p>
    <w:p>
      <w:pPr>
        <w:contextualSpacing/>
        <w:jc w:val="both"/>
        <w:rPr>
          <w:rFonts w:ascii="Times New Roman" w:hAnsi="Times New Roman" w:cs="Times New Roman"/>
          <w:noProof/>
          <w:sz w:val="24"/>
          <w:szCs w:val="24"/>
        </w:rPr>
      </w:pPr>
      <w:r>
        <w:rPr>
          <w:rFonts w:ascii="Times New Roman" w:hAnsi="Times New Roman"/>
          <w:b/>
          <w:noProof/>
          <w:sz w:val="24"/>
          <w:szCs w:val="24"/>
        </w:rPr>
        <w:t xml:space="preserve">2019 </w:t>
      </w:r>
      <w:r>
        <w:rPr>
          <w:rFonts w:ascii="Times New Roman" w:hAnsi="Times New Roman"/>
          <w:noProof/>
          <w:sz w:val="24"/>
          <w:szCs w:val="24"/>
        </w:rPr>
        <w:t xml:space="preserve">waren dies mehr als </w:t>
      </w:r>
      <w:r>
        <w:rPr>
          <w:rFonts w:ascii="Times New Roman" w:hAnsi="Times New Roman"/>
          <w:b/>
          <w:noProof/>
          <w:sz w:val="24"/>
          <w:szCs w:val="24"/>
        </w:rPr>
        <w:t xml:space="preserve">188 000 Antworten auf sämtliche Ersuchen einschließlich Informationen über Verurteilungen </w:t>
      </w:r>
      <w:r>
        <w:rPr>
          <w:rFonts w:ascii="Times New Roman" w:hAnsi="Times New Roman"/>
          <w:bCs/>
          <w:noProof/>
          <w:sz w:val="24"/>
          <w:szCs w:val="24"/>
        </w:rPr>
        <w:t>(im Vergleich zu 105 000 im Jahr 2016).</w:t>
      </w:r>
      <w:r>
        <w:rPr>
          <w:rFonts w:ascii="Times New Roman" w:hAnsi="Times New Roman"/>
          <w:b/>
          <w:noProof/>
          <w:sz w:val="24"/>
          <w:szCs w:val="24"/>
        </w:rPr>
        <w:t xml:space="preserve"> </w:t>
      </w:r>
      <w:r>
        <w:rPr>
          <w:rFonts w:ascii="Times New Roman" w:hAnsi="Times New Roman"/>
          <w:noProof/>
          <w:sz w:val="24"/>
          <w:szCs w:val="24"/>
        </w:rPr>
        <w:t>Die Antworten ohne Informationen über Verurteilungen machten durchschnittlich 74 % und sonstige Antworten 7 % aus.</w:t>
      </w:r>
    </w:p>
    <w:p>
      <w:pPr>
        <w:rPr>
          <w:rStyle w:val="Hyperlink"/>
          <w:rFonts w:ascii="Times New Roman" w:hAnsi="Times New Roman" w:cs="Times New Roman"/>
          <w:noProof/>
          <w:color w:val="auto"/>
          <w:sz w:val="24"/>
          <w:szCs w:val="24"/>
          <w:u w:val="none"/>
        </w:rPr>
      </w:pPr>
      <w:bookmarkStart w:id="29" w:name="_Toc479267027"/>
      <w:bookmarkStart w:id="30" w:name="_Toc479267028"/>
      <w:bookmarkStart w:id="31" w:name="_Toc479267029"/>
      <w:bookmarkStart w:id="32" w:name="_Toc479267030"/>
      <w:bookmarkStart w:id="33" w:name="_Toc479267031"/>
      <w:bookmarkStart w:id="34" w:name="_Toc479267032"/>
      <w:bookmarkStart w:id="35" w:name="_Toc479267033"/>
      <w:bookmarkStart w:id="36" w:name="_Toc479267034"/>
      <w:bookmarkStart w:id="37" w:name="_Toc479267035"/>
      <w:bookmarkStart w:id="38" w:name="_Toc479267036"/>
      <w:bookmarkStart w:id="39" w:name="_Toc479267037"/>
      <w:bookmarkStart w:id="40" w:name="_Toc479267038"/>
      <w:bookmarkStart w:id="41" w:name="_Toc479267039"/>
      <w:bookmarkStart w:id="42" w:name="_Toc479267040"/>
      <w:bookmarkStart w:id="43" w:name="_Toc479267041"/>
      <w:bookmarkStart w:id="44" w:name="_Toc479267042"/>
      <w:bookmarkStart w:id="45" w:name="_Toc479267043"/>
      <w:bookmarkStart w:id="46" w:name="_Toc479267044"/>
      <w:bookmarkStart w:id="47" w:name="_Toc479267045"/>
      <w:bookmarkStart w:id="48" w:name="_Toc479267046"/>
      <w:bookmarkStart w:id="49" w:name="_Toc479267047"/>
      <w:bookmarkStart w:id="50" w:name="_Toc479267048"/>
      <w:bookmarkStart w:id="51" w:name="_Toc479267049"/>
      <w:bookmarkStart w:id="52" w:name="_Toc479267050"/>
      <w:bookmarkStart w:id="53" w:name="_Toc479267051"/>
      <w:bookmarkStart w:id="54" w:name="_Toc479267052"/>
      <w:bookmarkStart w:id="55" w:name="_Toc479267053"/>
      <w:bookmarkStart w:id="56" w:name="_Toc479267054"/>
      <w:bookmarkStart w:id="57" w:name="_Toc479267055"/>
      <w:bookmarkStart w:id="58" w:name="_Toc479267056"/>
      <w:bookmarkStart w:id="59" w:name="_Toc479267057"/>
      <w:bookmarkStart w:id="60" w:name="_Toc479267058"/>
      <w:bookmarkStart w:id="61" w:name="_Toc479267059"/>
      <w:bookmarkStart w:id="62" w:name="_Toc479267060"/>
      <w:bookmarkStart w:id="63" w:name="_Toc479267061"/>
      <w:bookmarkStart w:id="64" w:name="_Toc479267062"/>
      <w:bookmarkStart w:id="65" w:name="_Toc479267063"/>
      <w:bookmarkStart w:id="66" w:name="_Toc479267064"/>
      <w:bookmarkStart w:id="67" w:name="_Toc479267065"/>
      <w:bookmarkStart w:id="68" w:name="_Toc479267066"/>
      <w:bookmarkStart w:id="69" w:name="_Toc479267067"/>
      <w:bookmarkStart w:id="70" w:name="_Toc479267068"/>
      <w:bookmarkStart w:id="71" w:name="_Toc479267069"/>
      <w:bookmarkStart w:id="72" w:name="_Toc479267070"/>
      <w:bookmarkStart w:id="73" w:name="_Toc479267071"/>
      <w:bookmarkStart w:id="74" w:name="_Toc479267072"/>
      <w:bookmarkStart w:id="75" w:name="_Toc479267073"/>
      <w:bookmarkStart w:id="76" w:name="_Toc479267074"/>
      <w:bookmarkStart w:id="77" w:name="_Toc479267075"/>
      <w:bookmarkStart w:id="78" w:name="_Toc479267076"/>
      <w:bookmarkStart w:id="79" w:name="_Toc479267077"/>
      <w:bookmarkStart w:id="80" w:name="_Toc479267078"/>
      <w:bookmarkStart w:id="81" w:name="_Toc479267079"/>
      <w:bookmarkStart w:id="82" w:name="_Toc479267080"/>
      <w:bookmarkStart w:id="83" w:name="_Toc479267081"/>
      <w:bookmarkStart w:id="84" w:name="_Toc479267082"/>
      <w:bookmarkStart w:id="85" w:name="_Toc479267083"/>
      <w:bookmarkStart w:id="86" w:name="_Toc479267084"/>
      <w:bookmarkStart w:id="87" w:name="_Toc479267085"/>
      <w:bookmarkStart w:id="88" w:name="_Toc479267086"/>
      <w:bookmarkStart w:id="89" w:name="_Toc479267087"/>
      <w:bookmarkStart w:id="90" w:name="_Toc479267088"/>
      <w:bookmarkStart w:id="91" w:name="_Toc479267089"/>
      <w:bookmarkStart w:id="92" w:name="_Toc479267090"/>
      <w:bookmarkStart w:id="93" w:name="_Toc479267091"/>
      <w:bookmarkStart w:id="94" w:name="_Toc479267092"/>
      <w:bookmarkStart w:id="95" w:name="_Toc479267093"/>
      <w:bookmarkStart w:id="96" w:name="_Toc479267094"/>
      <w:bookmarkStart w:id="97" w:name="_Toc479267095"/>
      <w:bookmarkStart w:id="98" w:name="_Toc479267096"/>
      <w:bookmarkStart w:id="99" w:name="_Toc479267097"/>
      <w:bookmarkStart w:id="100" w:name="_Toc479267098"/>
      <w:bookmarkStart w:id="101" w:name="_Toc479267099"/>
      <w:bookmarkStart w:id="102" w:name="_Toc479267100"/>
      <w:bookmarkStart w:id="103" w:name="_Toc479267101"/>
      <w:bookmarkStart w:id="104" w:name="_Toc479267102"/>
      <w:bookmarkStart w:id="105" w:name="_Toc479267103"/>
      <w:bookmarkStart w:id="106" w:name="_Toc479267104"/>
      <w:bookmarkStart w:id="107" w:name="_Toc479267105"/>
      <w:bookmarkStart w:id="108" w:name="_Toc479267106"/>
      <w:bookmarkStart w:id="109" w:name="_Toc479267107"/>
      <w:bookmarkStart w:id="110" w:name="_Toc479267108"/>
      <w:bookmarkStart w:id="111" w:name="_Toc479267109"/>
      <w:bookmarkStart w:id="112" w:name="_Toc479267110"/>
      <w:bookmarkStart w:id="113" w:name="_Toc479267111"/>
      <w:bookmarkStart w:id="114" w:name="_Toc479267112"/>
      <w:bookmarkStart w:id="115" w:name="_Toc479267113"/>
      <w:bookmarkStart w:id="116" w:name="_Toc479267114"/>
      <w:bookmarkStart w:id="117" w:name="_Toc479267115"/>
      <w:bookmarkStart w:id="118" w:name="_Toc479267116"/>
      <w:bookmarkStart w:id="119" w:name="_Toc479267117"/>
      <w:bookmarkStart w:id="120" w:name="_Toc479267118"/>
      <w:bookmarkStart w:id="121" w:name="_Toc479267119"/>
      <w:bookmarkStart w:id="122" w:name="_Toc479267120"/>
      <w:bookmarkStart w:id="123" w:name="_Toc479267121"/>
      <w:bookmarkStart w:id="124" w:name="_Toc479267122"/>
      <w:bookmarkStart w:id="125" w:name="_Toc479267123"/>
      <w:bookmarkStart w:id="126" w:name="_Toc479267124"/>
      <w:bookmarkStart w:id="127" w:name="_Toc479267125"/>
      <w:bookmarkStart w:id="128" w:name="_Toc479267126"/>
      <w:bookmarkStart w:id="129" w:name="_Toc479267127"/>
      <w:bookmarkStart w:id="130" w:name="_Toc479267128"/>
      <w:bookmarkStart w:id="131" w:name="_Toc479267129"/>
      <w:bookmarkStart w:id="132" w:name="_Toc479267130"/>
      <w:bookmarkStart w:id="133" w:name="_Toc479267131"/>
      <w:bookmarkStart w:id="134" w:name="_Toc479267132"/>
      <w:bookmarkStart w:id="135" w:name="_Toc479267133"/>
      <w:bookmarkStart w:id="136" w:name="_Toc479267134"/>
      <w:bookmarkStart w:id="137" w:name="_Toc479267135"/>
      <w:bookmarkStart w:id="138" w:name="_Toc479267136"/>
      <w:bookmarkStart w:id="139" w:name="_Toc479267137"/>
      <w:bookmarkStart w:id="140" w:name="_Toc479267138"/>
      <w:bookmarkStart w:id="141" w:name="_Toc479267139"/>
      <w:bookmarkStart w:id="142" w:name="_Toc479267140"/>
      <w:bookmarkStart w:id="143" w:name="_Toc479267141"/>
      <w:bookmarkStart w:id="144" w:name="_Toc479267142"/>
      <w:bookmarkStart w:id="145" w:name="_Toc479267143"/>
      <w:bookmarkStart w:id="146" w:name="_Toc479267144"/>
      <w:bookmarkStart w:id="147" w:name="_Toc479267145"/>
      <w:bookmarkStart w:id="148" w:name="_Toc479267146"/>
      <w:bookmarkStart w:id="149" w:name="_Toc479267147"/>
      <w:bookmarkStart w:id="150" w:name="_Toc479267148"/>
      <w:bookmarkStart w:id="151" w:name="_Toc479267149"/>
      <w:bookmarkStart w:id="152" w:name="_Toc479267150"/>
      <w:bookmarkStart w:id="153" w:name="_Toc479267151"/>
      <w:bookmarkStart w:id="154" w:name="_Toc479267152"/>
      <w:bookmarkStart w:id="155" w:name="_Toc479267153"/>
      <w:bookmarkStart w:id="156" w:name="_Toc479267154"/>
      <w:bookmarkStart w:id="157" w:name="_Toc479267155"/>
      <w:bookmarkStart w:id="158" w:name="_Toc479267156"/>
      <w:bookmarkStart w:id="159" w:name="_Toc479267157"/>
      <w:bookmarkStart w:id="160" w:name="_Toc479267158"/>
      <w:bookmarkStart w:id="161" w:name="_Toc479267159"/>
      <w:bookmarkStart w:id="162" w:name="_Toc479267160"/>
      <w:bookmarkStart w:id="163" w:name="_Toc479267161"/>
      <w:bookmarkStart w:id="164" w:name="_Toc479267162"/>
      <w:bookmarkStart w:id="165" w:name="_Toc479267163"/>
      <w:bookmarkStart w:id="166" w:name="_Toc479267164"/>
      <w:bookmarkStart w:id="167" w:name="_Toc479267165"/>
      <w:bookmarkStart w:id="168" w:name="_Toc47926716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rPr>
          <w:rStyle w:val="Hyperlink"/>
          <w:rFonts w:ascii="Times New Roman" w:hAnsi="Times New Roman" w:cs="Times New Roman"/>
          <w:noProof/>
          <w:color w:val="auto"/>
          <w:sz w:val="24"/>
          <w:szCs w:val="24"/>
          <w:u w:val="none"/>
        </w:rPr>
      </w:pPr>
    </w:p>
    <w:p>
      <w:pPr>
        <w:jc w:val="both"/>
        <w:rPr>
          <w:rFonts w:ascii="Times New Roman" w:hAnsi="Times New Roman" w:cs="Times New Roman"/>
          <w:b/>
          <w:smallCaps/>
          <w:noProof/>
          <w:kern w:val="28"/>
          <w:sz w:val="24"/>
          <w:szCs w:val="24"/>
        </w:rPr>
      </w:pPr>
      <w:r>
        <w:rPr>
          <w:rFonts w:ascii="Times New Roman" w:hAnsi="Times New Roman"/>
          <w:b/>
          <w:noProof/>
          <w:sz w:val="24"/>
          <w:szCs w:val="24"/>
        </w:rPr>
        <w:t xml:space="preserve">3. Haupterkenntnisse </w:t>
      </w:r>
    </w:p>
    <w:p>
      <w:pPr>
        <w:numPr>
          <w:ilvl w:val="0"/>
          <w:numId w:val="27"/>
        </w:numPr>
        <w:ind w:left="714" w:hanging="357"/>
        <w:jc w:val="both"/>
        <w:rPr>
          <w:rFonts w:ascii="Times New Roman" w:hAnsi="Times New Roman" w:cs="Times New Roman"/>
          <w:noProof/>
          <w:sz w:val="24"/>
          <w:szCs w:val="24"/>
        </w:rPr>
      </w:pPr>
      <w:r>
        <w:rPr>
          <w:rFonts w:ascii="Times New Roman" w:hAnsi="Times New Roman"/>
          <w:b/>
          <w:noProof/>
          <w:sz w:val="24"/>
          <w:szCs w:val="24"/>
        </w:rPr>
        <w:t>Im Jahr 2019 nutzten alle 28 Mitgliedstaaten ECRIS aktiv; allerdings waren 9,8 % der möglichen Verbindungen noch nicht eingerichtet.</w:t>
      </w:r>
    </w:p>
    <w:p>
      <w:pPr>
        <w:jc w:val="both"/>
        <w:rPr>
          <w:rFonts w:ascii="Times New Roman" w:hAnsi="Times New Roman" w:cs="Times New Roman"/>
          <w:noProof/>
          <w:sz w:val="24"/>
          <w:szCs w:val="24"/>
        </w:rPr>
      </w:pPr>
      <w:r>
        <w:rPr>
          <w:rFonts w:ascii="Times New Roman" w:hAnsi="Times New Roman"/>
          <w:noProof/>
          <w:sz w:val="24"/>
          <w:szCs w:val="24"/>
        </w:rPr>
        <w:t xml:space="preserve">Nach acht Jahren seit der Inbetriebnahme von ECRIS waren </w:t>
      </w:r>
      <w:r>
        <w:rPr>
          <w:rFonts w:ascii="Times New Roman" w:hAnsi="Times New Roman"/>
          <w:b/>
          <w:noProof/>
          <w:sz w:val="24"/>
          <w:szCs w:val="24"/>
        </w:rPr>
        <w:t>alle 28 Mitgliedstaaten</w:t>
      </w:r>
      <w:r>
        <w:rPr>
          <w:rFonts w:ascii="Times New Roman" w:hAnsi="Times New Roman"/>
          <w:noProof/>
          <w:sz w:val="24"/>
          <w:szCs w:val="24"/>
        </w:rPr>
        <w:t xml:space="preserve"> </w:t>
      </w:r>
      <w:r>
        <w:rPr>
          <w:rFonts w:ascii="Times New Roman" w:hAnsi="Times New Roman"/>
          <w:b/>
          <w:noProof/>
          <w:sz w:val="24"/>
          <w:szCs w:val="24"/>
        </w:rPr>
        <w:t>mit ECRIS verbunden</w:t>
      </w:r>
      <w:r>
        <w:rPr>
          <w:rFonts w:ascii="Times New Roman" w:hAnsi="Times New Roman"/>
          <w:noProof/>
          <w:sz w:val="24"/>
          <w:szCs w:val="24"/>
        </w:rPr>
        <w:t xml:space="preserve">. Es tauscht jedoch </w:t>
      </w:r>
      <w:r>
        <w:rPr>
          <w:rFonts w:ascii="Times New Roman" w:hAnsi="Times New Roman"/>
          <w:bCs/>
          <w:noProof/>
          <w:sz w:val="24"/>
          <w:szCs w:val="24"/>
        </w:rPr>
        <w:t xml:space="preserve">nur ein Staat (ES) Informationen mit den anderen 27 Mitgliedstaaten aus. </w:t>
      </w:r>
      <w:r>
        <w:rPr>
          <w:rFonts w:ascii="Times New Roman" w:hAnsi="Times New Roman"/>
          <w:b/>
          <w:noProof/>
          <w:sz w:val="24"/>
          <w:szCs w:val="24"/>
        </w:rPr>
        <w:t xml:space="preserve">Jeder </w:t>
      </w:r>
      <w:r>
        <w:rPr>
          <w:rFonts w:ascii="Times New Roman" w:hAnsi="Times New Roman"/>
          <w:b/>
          <w:bCs/>
          <w:noProof/>
          <w:sz w:val="24"/>
          <w:szCs w:val="24"/>
        </w:rPr>
        <w:t>Mitgliedstaat hat durchschnittlich 24 aktive Verbindungen</w:t>
      </w:r>
      <w:r>
        <w:rPr>
          <w:rFonts w:ascii="Times New Roman" w:hAnsi="Times New Roman"/>
          <w:noProof/>
          <w:sz w:val="24"/>
          <w:szCs w:val="24"/>
        </w:rPr>
        <w:t xml:space="preserve"> mit den anderen Mitgliedstaaten. Ende 2019</w:t>
      </w:r>
      <w:r>
        <w:rPr>
          <w:rFonts w:ascii="Times New Roman" w:hAnsi="Times New Roman"/>
          <w:b/>
          <w:noProof/>
          <w:sz w:val="24"/>
          <w:szCs w:val="24"/>
        </w:rPr>
        <w:t xml:space="preserve"> waren 90 % der Gesamtzahl der möglichen Verbindungen</w:t>
      </w:r>
      <w:r>
        <w:rPr>
          <w:rFonts w:ascii="Times New Roman" w:hAnsi="Times New Roman"/>
          <w:noProof/>
          <w:sz w:val="24"/>
          <w:szCs w:val="24"/>
        </w:rPr>
        <w:t xml:space="preserve"> eingerichtet.</w:t>
      </w:r>
    </w:p>
    <w:p>
      <w:pPr>
        <w:keepNext/>
        <w:numPr>
          <w:ilvl w:val="0"/>
          <w:numId w:val="27"/>
        </w:numPr>
        <w:ind w:left="714" w:hanging="357"/>
        <w:jc w:val="both"/>
        <w:rPr>
          <w:rFonts w:ascii="Times New Roman" w:hAnsi="Times New Roman"/>
          <w:b/>
          <w:noProof/>
          <w:sz w:val="24"/>
        </w:rPr>
      </w:pPr>
      <w:r>
        <w:rPr>
          <w:rFonts w:ascii="Times New Roman" w:hAnsi="Times New Roman"/>
          <w:b/>
          <w:noProof/>
          <w:sz w:val="24"/>
          <w:szCs w:val="24"/>
        </w:rPr>
        <w:t>Die Zahl der ausgetauschten Meldungen lag 2019 bei 4,2 Millionen.</w:t>
      </w:r>
    </w:p>
    <w:p>
      <w:pPr>
        <w:jc w:val="both"/>
        <w:rPr>
          <w:rFonts w:ascii="Times New Roman" w:hAnsi="Times New Roman" w:cs="Times New Roman"/>
          <w:noProof/>
          <w:sz w:val="24"/>
          <w:szCs w:val="24"/>
        </w:rPr>
      </w:pPr>
      <w:r>
        <w:rPr>
          <w:rFonts w:ascii="Times New Roman" w:hAnsi="Times New Roman"/>
          <w:noProof/>
          <w:sz w:val="24"/>
          <w:szCs w:val="24"/>
        </w:rPr>
        <w:t xml:space="preserve">Ausgehend von den 2 Mio. ausgetauschten Meldungen aus allen verbundenen Mitgliedstaaten im Jahr 2016 </w:t>
      </w:r>
      <w:r>
        <w:rPr>
          <w:rFonts w:ascii="Times New Roman" w:hAnsi="Times New Roman"/>
          <w:b/>
          <w:bCs/>
          <w:noProof/>
          <w:sz w:val="24"/>
          <w:szCs w:val="24"/>
        </w:rPr>
        <w:t>verdoppelte</w:t>
      </w:r>
      <w:r>
        <w:rPr>
          <w:rFonts w:ascii="Times New Roman" w:hAnsi="Times New Roman"/>
          <w:noProof/>
          <w:sz w:val="24"/>
          <w:szCs w:val="24"/>
        </w:rPr>
        <w:t xml:space="preserve"> </w:t>
      </w:r>
      <w:r>
        <w:rPr>
          <w:rFonts w:ascii="Times New Roman" w:hAnsi="Times New Roman"/>
          <w:b/>
          <w:noProof/>
          <w:sz w:val="24"/>
          <w:szCs w:val="24"/>
        </w:rPr>
        <w:t>sich die Zahl im Jahr 2019 und erreichte mit durchschnittlich 348.000 Meldungen pro Monat</w:t>
      </w:r>
      <w:r>
        <w:rPr>
          <w:rFonts w:ascii="Times New Roman" w:hAnsi="Times New Roman"/>
          <w:noProof/>
          <w:sz w:val="24"/>
          <w:szCs w:val="24"/>
        </w:rPr>
        <w:t xml:space="preserve"> </w:t>
      </w:r>
      <w:r>
        <w:rPr>
          <w:rFonts w:ascii="Times New Roman" w:hAnsi="Times New Roman"/>
          <w:b/>
          <w:noProof/>
          <w:sz w:val="24"/>
          <w:szCs w:val="24"/>
        </w:rPr>
        <w:t>4,2 Mio</w:t>
      </w:r>
      <w:r>
        <w:rPr>
          <w:rFonts w:ascii="Times New Roman" w:hAnsi="Times New Roman"/>
          <w:noProof/>
          <w:sz w:val="24"/>
          <w:szCs w:val="24"/>
        </w:rPr>
        <w:t xml:space="preserve">. In den letzten drei Jahren haben sich die </w:t>
      </w:r>
      <w:r>
        <w:rPr>
          <w:rFonts w:ascii="Times New Roman" w:hAnsi="Times New Roman"/>
          <w:b/>
          <w:bCs/>
          <w:noProof/>
          <w:sz w:val="24"/>
          <w:szCs w:val="24"/>
        </w:rPr>
        <w:t xml:space="preserve">Verhältnisse </w:t>
      </w:r>
      <w:r>
        <w:rPr>
          <w:rFonts w:ascii="Times New Roman" w:hAnsi="Times New Roman"/>
          <w:noProof/>
          <w:sz w:val="24"/>
          <w:szCs w:val="24"/>
        </w:rPr>
        <w:t xml:space="preserve">zwischen der Anzahl der Mitteilungen, Ersuchen und Antworten auf Ersuchen grundlegend geändert, wobei </w:t>
      </w:r>
      <w:r>
        <w:rPr>
          <w:rFonts w:ascii="Times New Roman" w:hAnsi="Times New Roman"/>
          <w:bCs/>
          <w:noProof/>
          <w:sz w:val="24"/>
          <w:szCs w:val="24"/>
        </w:rPr>
        <w:t xml:space="preserve">die </w:t>
      </w:r>
      <w:r>
        <w:rPr>
          <w:rFonts w:ascii="Times New Roman" w:hAnsi="Times New Roman"/>
          <w:b/>
          <w:noProof/>
          <w:sz w:val="24"/>
          <w:szCs w:val="24"/>
        </w:rPr>
        <w:t xml:space="preserve">Zahl der Informationsersuchen </w:t>
      </w:r>
      <w:r>
        <w:rPr>
          <w:rFonts w:ascii="Times New Roman" w:hAnsi="Times New Roman"/>
          <w:bCs/>
          <w:noProof/>
          <w:sz w:val="24"/>
          <w:szCs w:val="24"/>
        </w:rPr>
        <w:t>nun</w:t>
      </w:r>
      <w:r>
        <w:rPr>
          <w:rFonts w:ascii="Times New Roman" w:hAnsi="Times New Roman"/>
          <w:b/>
          <w:noProof/>
          <w:sz w:val="24"/>
          <w:szCs w:val="24"/>
        </w:rPr>
        <w:t xml:space="preserve"> mehr als drei Mal so hoch ist wie die Zahl der Mitteilungen</w:t>
      </w:r>
      <w:r>
        <w:rPr>
          <w:rFonts w:ascii="Times New Roman" w:hAnsi="Times New Roman"/>
          <w:bCs/>
          <w:noProof/>
          <w:sz w:val="24"/>
          <w:szCs w:val="24"/>
        </w:rPr>
        <w:t>.</w:t>
      </w:r>
    </w:p>
    <w:p>
      <w:pPr>
        <w:numPr>
          <w:ilvl w:val="0"/>
          <w:numId w:val="27"/>
        </w:numPr>
        <w:ind w:left="714" w:hanging="357"/>
        <w:jc w:val="both"/>
        <w:rPr>
          <w:rFonts w:ascii="Times New Roman" w:hAnsi="Times New Roman"/>
          <w:b/>
          <w:noProof/>
          <w:sz w:val="24"/>
        </w:rPr>
      </w:pPr>
      <w:r>
        <w:rPr>
          <w:rFonts w:ascii="Times New Roman" w:hAnsi="Times New Roman"/>
          <w:b/>
          <w:noProof/>
          <w:sz w:val="24"/>
          <w:szCs w:val="24"/>
        </w:rPr>
        <w:t xml:space="preserve">Rückgang der Zahl der Mitteilungen über neue Verurteilungen – viele Verurteilungen nicht mitgeteilt </w:t>
      </w:r>
    </w:p>
    <w:p>
      <w:pPr>
        <w:jc w:val="both"/>
        <w:rPr>
          <w:rFonts w:ascii="Times New Roman" w:hAnsi="Times New Roman" w:cs="Times New Roman"/>
          <w:noProof/>
          <w:sz w:val="24"/>
          <w:szCs w:val="24"/>
        </w:rPr>
      </w:pPr>
      <w:r>
        <w:rPr>
          <w:rFonts w:ascii="Times New Roman" w:hAnsi="Times New Roman"/>
          <w:noProof/>
          <w:sz w:val="24"/>
          <w:szCs w:val="24"/>
        </w:rPr>
        <w:t xml:space="preserve">Im Jahr 2017 </w:t>
      </w:r>
      <w:r>
        <w:rPr>
          <w:rFonts w:ascii="Times New Roman" w:hAnsi="Times New Roman"/>
          <w:b/>
          <w:noProof/>
          <w:sz w:val="24"/>
          <w:szCs w:val="24"/>
        </w:rPr>
        <w:t>fiel die Zahl der Mitteilungen über neue Verurteilungen</w:t>
      </w:r>
      <w:r>
        <w:rPr>
          <w:rFonts w:ascii="Times New Roman" w:hAnsi="Times New Roman"/>
          <w:noProof/>
          <w:sz w:val="24"/>
          <w:szCs w:val="24"/>
        </w:rPr>
        <w:t xml:space="preserve"> und hielt sich </w:t>
      </w:r>
      <w:r>
        <w:rPr>
          <w:rFonts w:ascii="Times New Roman" w:hAnsi="Times New Roman"/>
          <w:b/>
          <w:bCs/>
          <w:noProof/>
          <w:sz w:val="24"/>
          <w:szCs w:val="24"/>
        </w:rPr>
        <w:t>bis 2019 auf einem Niveau von ca. 310 000</w:t>
      </w:r>
      <w:r>
        <w:rPr>
          <w:rFonts w:ascii="Times New Roman" w:hAnsi="Times New Roman"/>
          <w:noProof/>
          <w:sz w:val="24"/>
          <w:szCs w:val="24"/>
        </w:rPr>
        <w:t xml:space="preserve">. Dieser rückläufige Trend ist angesichts der größeren Zahl an Verbindungen zwischen den Mitgliedstaaten überraschend. </w:t>
      </w:r>
    </w:p>
    <w:p>
      <w:pPr>
        <w:jc w:val="both"/>
        <w:rPr>
          <w:rFonts w:ascii="Times New Roman" w:hAnsi="Times New Roman" w:cs="Times New Roman"/>
          <w:noProof/>
          <w:sz w:val="24"/>
          <w:szCs w:val="24"/>
        </w:rPr>
      </w:pPr>
      <w:r>
        <w:rPr>
          <w:rFonts w:ascii="Times New Roman" w:hAnsi="Times New Roman"/>
          <w:b/>
          <w:bCs/>
          <w:noProof/>
          <w:sz w:val="24"/>
          <w:szCs w:val="24"/>
        </w:rPr>
        <w:t xml:space="preserve">Manche Mitgliedstaaten </w:t>
      </w:r>
      <w:r>
        <w:rPr>
          <w:rFonts w:ascii="Times New Roman" w:hAnsi="Times New Roman"/>
          <w:b/>
          <w:noProof/>
          <w:sz w:val="24"/>
          <w:szCs w:val="24"/>
        </w:rPr>
        <w:t>übermittelten in manchen Jahren überhaupt keine Mitteilungen über neue Verurteilungen</w:t>
      </w:r>
      <w:r>
        <w:rPr>
          <w:rFonts w:ascii="Times New Roman" w:hAnsi="Times New Roman"/>
          <w:bCs/>
          <w:noProof/>
          <w:sz w:val="24"/>
          <w:szCs w:val="24"/>
        </w:rPr>
        <w:t xml:space="preserve"> </w:t>
      </w:r>
      <w:r>
        <w:rPr>
          <w:rFonts w:ascii="Times New Roman" w:hAnsi="Times New Roman"/>
          <w:noProof/>
          <w:sz w:val="24"/>
          <w:szCs w:val="24"/>
        </w:rPr>
        <w:t xml:space="preserve">(PT, MT, EE, EL) und </w:t>
      </w:r>
      <w:r>
        <w:rPr>
          <w:rFonts w:ascii="Times New Roman" w:hAnsi="Times New Roman"/>
          <w:b/>
          <w:noProof/>
          <w:sz w:val="24"/>
          <w:szCs w:val="24"/>
        </w:rPr>
        <w:t>viele Mitgliedstaaten</w:t>
      </w:r>
      <w:r>
        <w:rPr>
          <w:rFonts w:ascii="Times New Roman" w:hAnsi="Times New Roman"/>
          <w:noProof/>
          <w:sz w:val="24"/>
          <w:szCs w:val="24"/>
        </w:rPr>
        <w:t xml:space="preserve"> </w:t>
      </w:r>
      <w:r>
        <w:rPr>
          <w:rFonts w:ascii="Times New Roman" w:hAnsi="Times New Roman"/>
          <w:b/>
          <w:noProof/>
          <w:sz w:val="24"/>
          <w:szCs w:val="24"/>
        </w:rPr>
        <w:t>übermittelten nur wenige Mitteilungen zu sich in ihrem Land aufhaltenden EU-Ausländern und zur Anzahl an Verurteilungen (BG, EE, EL, IE, LT, LU, MT, RO, SI, SE, PT, UK).</w:t>
      </w:r>
      <w:r>
        <w:rPr>
          <w:rFonts w:ascii="Times New Roman" w:hAnsi="Times New Roman"/>
          <w:noProof/>
          <w:sz w:val="24"/>
          <w:szCs w:val="24"/>
        </w:rPr>
        <w:t xml:space="preserve"> </w:t>
      </w:r>
      <w:r>
        <w:rPr>
          <w:rFonts w:ascii="Times New Roman" w:hAnsi="Times New Roman"/>
          <w:b/>
          <w:noProof/>
          <w:sz w:val="24"/>
          <w:szCs w:val="24"/>
        </w:rPr>
        <w:t>Mitteilungen nicht zu übermitteln widerspricht den ECRIS-Rechtsvorschriften und kann ernsthafte Konsequenzen haben.</w:t>
      </w:r>
      <w:r>
        <w:rPr>
          <w:rFonts w:ascii="Times New Roman" w:hAnsi="Times New Roman"/>
          <w:noProof/>
          <w:sz w:val="24"/>
          <w:szCs w:val="24"/>
        </w:rPr>
        <w:t xml:space="preserve">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Starker Anstieg der Informationsersuchen auf 1 Million</w:t>
      </w:r>
    </w:p>
    <w:p>
      <w:pPr>
        <w:jc w:val="both"/>
        <w:rPr>
          <w:rFonts w:ascii="Times New Roman" w:hAnsi="Times New Roman" w:cs="Times New Roman"/>
          <w:noProof/>
          <w:sz w:val="24"/>
          <w:szCs w:val="24"/>
        </w:rPr>
      </w:pPr>
      <w:r>
        <w:rPr>
          <w:rFonts w:ascii="Times New Roman" w:hAnsi="Times New Roman"/>
          <w:noProof/>
          <w:sz w:val="24"/>
          <w:szCs w:val="24"/>
        </w:rPr>
        <w:t xml:space="preserve">Die </w:t>
      </w:r>
      <w:r>
        <w:rPr>
          <w:rFonts w:ascii="Times New Roman" w:hAnsi="Times New Roman"/>
          <w:b/>
          <w:noProof/>
          <w:sz w:val="24"/>
          <w:szCs w:val="24"/>
        </w:rPr>
        <w:t>Zahl der Informationsersuchen</w:t>
      </w:r>
      <w:r>
        <w:rPr>
          <w:rFonts w:ascii="Times New Roman" w:hAnsi="Times New Roman"/>
          <w:noProof/>
          <w:sz w:val="24"/>
          <w:szCs w:val="24"/>
        </w:rPr>
        <w:t xml:space="preserve"> </w:t>
      </w:r>
      <w:r>
        <w:rPr>
          <w:rFonts w:ascii="Times New Roman" w:hAnsi="Times New Roman"/>
          <w:b/>
          <w:noProof/>
          <w:sz w:val="24"/>
          <w:szCs w:val="24"/>
        </w:rPr>
        <w:t xml:space="preserve">hat sich seit 2017 verdreifacht und alleine für 2019 </w:t>
      </w:r>
      <w:r>
        <w:rPr>
          <w:rFonts w:ascii="Times New Roman" w:hAnsi="Times New Roman"/>
          <w:b/>
          <w:bCs/>
          <w:noProof/>
          <w:sz w:val="24"/>
          <w:szCs w:val="24"/>
        </w:rPr>
        <w:t>1 Mio.</w:t>
      </w:r>
      <w:r>
        <w:rPr>
          <w:rFonts w:ascii="Times New Roman" w:hAnsi="Times New Roman"/>
          <w:noProof/>
          <w:sz w:val="24"/>
          <w:szCs w:val="24"/>
        </w:rPr>
        <w:t xml:space="preserve"> erreicht. Dieser</w:t>
      </w:r>
      <w:r>
        <w:rPr>
          <w:rFonts w:ascii="Times New Roman" w:hAnsi="Times New Roman"/>
          <w:bCs/>
          <w:noProof/>
          <w:sz w:val="24"/>
          <w:szCs w:val="24"/>
        </w:rPr>
        <w:t xml:space="preserve"> starke Anstieg</w:t>
      </w:r>
      <w:r>
        <w:rPr>
          <w:rFonts w:ascii="Times New Roman" w:hAnsi="Times New Roman"/>
          <w:b/>
          <w:noProof/>
          <w:sz w:val="24"/>
          <w:szCs w:val="24"/>
        </w:rPr>
        <w:t xml:space="preserve"> </w:t>
      </w:r>
      <w:r>
        <w:rPr>
          <w:rFonts w:ascii="Times New Roman" w:hAnsi="Times New Roman"/>
          <w:noProof/>
          <w:sz w:val="24"/>
          <w:szCs w:val="24"/>
        </w:rPr>
        <w:t>lässt sich insbesondere auf die</w:t>
      </w:r>
      <w:r>
        <w:rPr>
          <w:rFonts w:ascii="Times New Roman" w:hAnsi="Times New Roman"/>
          <w:b/>
          <w:noProof/>
          <w:sz w:val="24"/>
          <w:szCs w:val="24"/>
        </w:rPr>
        <w:t xml:space="preserve"> </w:t>
      </w:r>
      <w:r>
        <w:rPr>
          <w:rFonts w:ascii="Times New Roman" w:hAnsi="Times New Roman"/>
          <w:b/>
          <w:bCs/>
          <w:noProof/>
          <w:sz w:val="24"/>
          <w:szCs w:val="24"/>
        </w:rPr>
        <w:t xml:space="preserve">geänderte Nutzung von ECRIS zurückführen, </w:t>
      </w:r>
      <w:r>
        <w:rPr>
          <w:rFonts w:ascii="Times New Roman" w:hAnsi="Times New Roman"/>
          <w:noProof/>
          <w:sz w:val="24"/>
          <w:szCs w:val="24"/>
        </w:rPr>
        <w:t xml:space="preserve">das nicht mehr ausschließlich oder hauptsächlich für Strafverfahrenszwecke genutzt wird, sondern auch – </w:t>
      </w:r>
      <w:r>
        <w:rPr>
          <w:rFonts w:ascii="Times New Roman" w:hAnsi="Times New Roman"/>
          <w:b/>
          <w:bCs/>
          <w:noProof/>
          <w:sz w:val="24"/>
          <w:szCs w:val="24"/>
        </w:rPr>
        <w:t>regelmäßig – für andere Zwecke als Strafverfahren (z. B. beschäftigungsbezogene Überprüfung, Anforderung von Strafregisterauszügen durch Einzelpersonen usw.).</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Die </w:t>
      </w:r>
      <w:r>
        <w:rPr>
          <w:rFonts w:ascii="Times New Roman" w:hAnsi="Times New Roman"/>
          <w:b/>
          <w:noProof/>
          <w:sz w:val="24"/>
          <w:szCs w:val="24"/>
        </w:rPr>
        <w:t>Zahl der übermittelten Ersuchen variiert jedoch zwischen den Mitgliedstaaten erheblich</w:t>
      </w:r>
      <w:r>
        <w:rPr>
          <w:rFonts w:ascii="Times New Roman" w:hAnsi="Times New Roman"/>
          <w:noProof/>
          <w:sz w:val="24"/>
          <w:szCs w:val="24"/>
        </w:rPr>
        <w:t xml:space="preserve"> (von jährlich 745.000 (DE) bis 6 (EL)). Der Anstieg der Gesamtzahl der Ersuchen begründet sich vorwiegend durch die gestiegene Zahl der Ersuchen aus DE.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rPr>
        <w:t>ECRIS</w:t>
      </w:r>
      <w:r>
        <w:rPr>
          <w:rFonts w:ascii="Times New Roman" w:hAnsi="Times New Roman"/>
          <w:b/>
          <w:noProof/>
          <w:sz w:val="24"/>
          <w:szCs w:val="24"/>
        </w:rPr>
        <w:t xml:space="preserve"> wird gleichermaßen für sonstige Zwecke (Nicht-Strafverfahren) wie für Strafverfahrenszwecke verwendet.</w:t>
      </w:r>
    </w:p>
    <w:p>
      <w:pPr>
        <w:jc w:val="both"/>
        <w:rPr>
          <w:rFonts w:ascii="Times New Roman" w:hAnsi="Times New Roman" w:cs="Times New Roman"/>
          <w:bCs/>
          <w:noProof/>
          <w:sz w:val="24"/>
          <w:szCs w:val="24"/>
        </w:rPr>
      </w:pPr>
      <w:r>
        <w:rPr>
          <w:rFonts w:ascii="Times New Roman" w:hAnsi="Times New Roman"/>
          <w:noProof/>
          <w:sz w:val="24"/>
          <w:szCs w:val="24"/>
        </w:rPr>
        <w:t xml:space="preserve">Viele Jahre lang lag der Anteil der Ersuchen für sonstige Zwecke (Nicht-Strafverfahren) auf einem Durchschnittswert von 20 %. Mit der seit 2018 festgestellten, neuen Herangehensweise der Mitgliedstaaten hinsichtlich der Nutzung von ECRIS wird </w:t>
      </w:r>
      <w:r>
        <w:rPr>
          <w:rFonts w:ascii="Times New Roman" w:hAnsi="Times New Roman"/>
          <w:b/>
          <w:bCs/>
          <w:noProof/>
          <w:sz w:val="24"/>
          <w:szCs w:val="24"/>
        </w:rPr>
        <w:t>das System nun gleichermaßen für beide Zwecke, also strafrechtliche und nicht strafrechtliche, verwendet (50/50 %).</w:t>
      </w:r>
      <w:r>
        <w:rPr>
          <w:rFonts w:ascii="Times New Roman" w:hAnsi="Times New Roman"/>
          <w:noProof/>
          <w:sz w:val="24"/>
          <w:szCs w:val="24"/>
        </w:rPr>
        <w:t xml:space="preserve"> Die Zahl der </w:t>
      </w:r>
      <w:r>
        <w:rPr>
          <w:rFonts w:ascii="Times New Roman" w:hAnsi="Times New Roman"/>
          <w:b/>
          <w:noProof/>
          <w:sz w:val="24"/>
          <w:szCs w:val="24"/>
        </w:rPr>
        <w:t>Ersuchen</w:t>
      </w:r>
      <w:r>
        <w:rPr>
          <w:rFonts w:ascii="Times New Roman" w:hAnsi="Times New Roman"/>
          <w:noProof/>
          <w:sz w:val="24"/>
          <w:szCs w:val="24"/>
        </w:rPr>
        <w:t xml:space="preserve"> </w:t>
      </w:r>
      <w:r>
        <w:rPr>
          <w:rFonts w:ascii="Times New Roman" w:hAnsi="Times New Roman"/>
          <w:b/>
          <w:noProof/>
          <w:sz w:val="24"/>
          <w:szCs w:val="24"/>
        </w:rPr>
        <w:t xml:space="preserve">für sonstige Zwecke </w:t>
      </w:r>
      <w:r>
        <w:rPr>
          <w:rFonts w:ascii="Times New Roman" w:hAnsi="Times New Roman"/>
          <w:b/>
          <w:bCs/>
          <w:noProof/>
          <w:sz w:val="24"/>
          <w:szCs w:val="24"/>
        </w:rPr>
        <w:t>lag 2019 bei über</w:t>
      </w:r>
      <w:r>
        <w:rPr>
          <w:rFonts w:ascii="Times New Roman" w:hAnsi="Times New Roman"/>
          <w:b/>
          <w:noProof/>
          <w:sz w:val="24"/>
          <w:szCs w:val="24"/>
        </w:rPr>
        <w:t xml:space="preserve"> einer halben Million, </w:t>
      </w:r>
      <w:r>
        <w:rPr>
          <w:rFonts w:ascii="Times New Roman" w:hAnsi="Times New Roman"/>
          <w:bCs/>
          <w:noProof/>
          <w:sz w:val="24"/>
          <w:szCs w:val="24"/>
        </w:rPr>
        <w:t>also um ein Sechsfaches höher als 2016.</w:t>
      </w:r>
    </w:p>
    <w:p>
      <w:pPr>
        <w:jc w:val="both"/>
        <w:rPr>
          <w:rFonts w:ascii="Times New Roman" w:hAnsi="Times New Roman" w:cs="Times New Roman"/>
          <w:noProof/>
          <w:sz w:val="24"/>
          <w:szCs w:val="24"/>
        </w:rPr>
      </w:pPr>
      <w:r>
        <w:rPr>
          <w:rFonts w:ascii="Times New Roman" w:hAnsi="Times New Roman"/>
          <w:noProof/>
          <w:sz w:val="24"/>
          <w:szCs w:val="24"/>
        </w:rPr>
        <w:t xml:space="preserve">Dieser Zuwachs bei den Ersuchen lässt sich hauptsächlich durch den </w:t>
      </w:r>
      <w:r>
        <w:rPr>
          <w:rFonts w:ascii="Times New Roman" w:hAnsi="Times New Roman"/>
          <w:b/>
          <w:bCs/>
          <w:noProof/>
          <w:sz w:val="24"/>
          <w:szCs w:val="24"/>
        </w:rPr>
        <w:t>erheblichen</w:t>
      </w:r>
      <w:r>
        <w:rPr>
          <w:rFonts w:ascii="Times New Roman" w:hAnsi="Times New Roman"/>
          <w:noProof/>
          <w:sz w:val="24"/>
          <w:szCs w:val="24"/>
        </w:rPr>
        <w:t xml:space="preserve"> </w:t>
      </w:r>
      <w:r>
        <w:rPr>
          <w:rFonts w:ascii="Times New Roman" w:hAnsi="Times New Roman"/>
          <w:b/>
          <w:bCs/>
          <w:noProof/>
          <w:sz w:val="24"/>
          <w:szCs w:val="24"/>
        </w:rPr>
        <w:t>Anstieg der Ersuchen von Einzelpersonen bezüglich ihrer persönlichen Strafregistereinträge (356 000</w:t>
      </w:r>
      <w:r>
        <w:rPr>
          <w:rFonts w:ascii="Times New Roman" w:hAnsi="Times New Roman"/>
          <w:noProof/>
          <w:sz w:val="24"/>
          <w:szCs w:val="24"/>
        </w:rPr>
        <w:t xml:space="preserve"> im Jahr 2019, was </w:t>
      </w:r>
      <w:r>
        <w:rPr>
          <w:rFonts w:ascii="Times New Roman" w:hAnsi="Times New Roman"/>
          <w:b/>
          <w:bCs/>
          <w:noProof/>
          <w:sz w:val="24"/>
          <w:szCs w:val="24"/>
        </w:rPr>
        <w:t>70 % der Ersuchen für sonstige Zwecke ausmachte)</w:t>
      </w:r>
      <w:r>
        <w:rPr>
          <w:rFonts w:ascii="Times New Roman" w:hAnsi="Times New Roman"/>
          <w:noProof/>
          <w:sz w:val="24"/>
          <w:szCs w:val="24"/>
        </w:rPr>
        <w:t xml:space="preserve"> begründen, sowie durch den Anstieg der </w:t>
      </w:r>
      <w:r>
        <w:rPr>
          <w:rFonts w:ascii="Times New Roman" w:hAnsi="Times New Roman"/>
          <w:b/>
          <w:bCs/>
          <w:noProof/>
          <w:sz w:val="24"/>
          <w:szCs w:val="24"/>
        </w:rPr>
        <w:t xml:space="preserve">Ersuchen für Zwecke der </w:t>
      </w:r>
      <w:r>
        <w:rPr>
          <w:rFonts w:ascii="Times New Roman" w:hAnsi="Times New Roman"/>
          <w:b/>
          <w:noProof/>
          <w:sz w:val="24"/>
          <w:szCs w:val="24"/>
        </w:rPr>
        <w:t xml:space="preserve">Einstellung </w:t>
      </w:r>
      <w:r>
        <w:rPr>
          <w:rFonts w:ascii="Times New Roman" w:hAnsi="Times New Roman"/>
          <w:noProof/>
          <w:sz w:val="24"/>
          <w:szCs w:val="24"/>
        </w:rPr>
        <w:t xml:space="preserve">für </w:t>
      </w:r>
      <w:r>
        <w:rPr>
          <w:rFonts w:ascii="Times New Roman" w:hAnsi="Times New Roman"/>
          <w:b/>
          <w:noProof/>
          <w:sz w:val="24"/>
          <w:szCs w:val="24"/>
        </w:rPr>
        <w:t>Tätigkeiten, bei denen es zu Kontakten mit Kindern kommt</w:t>
      </w:r>
      <w:r>
        <w:rPr>
          <w:rFonts w:ascii="Times New Roman" w:hAnsi="Times New Roman"/>
          <w:noProof/>
          <w:sz w:val="24"/>
          <w:szCs w:val="24"/>
        </w:rPr>
        <w:t xml:space="preserve">, im Einklang mit </w:t>
      </w:r>
      <w:r>
        <w:rPr>
          <w:rFonts w:ascii="Times New Roman" w:hAnsi="Times New Roman"/>
          <w:b/>
          <w:noProof/>
          <w:sz w:val="24"/>
          <w:szCs w:val="24"/>
        </w:rPr>
        <w:t>der Umsetzung der Richtlinie 2011/93/EU (115 000 </w:t>
      </w:r>
      <w:r>
        <w:rPr>
          <w:rFonts w:ascii="Times New Roman" w:hAnsi="Times New Roman"/>
          <w:noProof/>
          <w:sz w:val="24"/>
          <w:szCs w:val="24"/>
        </w:rPr>
        <w:t xml:space="preserve">Ersuchen – </w:t>
      </w:r>
      <w:r>
        <w:rPr>
          <w:rFonts w:ascii="Times New Roman" w:hAnsi="Times New Roman"/>
          <w:b/>
          <w:bCs/>
          <w:noProof/>
          <w:sz w:val="24"/>
          <w:szCs w:val="24"/>
        </w:rPr>
        <w:t xml:space="preserve">22 % </w:t>
      </w:r>
      <w:r>
        <w:rPr>
          <w:rFonts w:ascii="Times New Roman" w:hAnsi="Times New Roman"/>
          <w:noProof/>
          <w:sz w:val="24"/>
          <w:szCs w:val="24"/>
        </w:rPr>
        <w:t xml:space="preserve">der Ersuchen für sonstige Zwecke). </w:t>
      </w:r>
    </w:p>
    <w:p>
      <w:pPr>
        <w:keepNext/>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 xml:space="preserve">Eine von vier Antworten umfasst frühere strafrechtliche Verurteilungen. </w:t>
      </w:r>
    </w:p>
    <w:p>
      <w:pPr>
        <w:jc w:val="both"/>
        <w:rPr>
          <w:rFonts w:ascii="Times New Roman" w:hAnsi="Times New Roman" w:cs="Times New Roman"/>
          <w:noProof/>
          <w:sz w:val="24"/>
          <w:szCs w:val="24"/>
        </w:rPr>
      </w:pPr>
      <w:r>
        <w:rPr>
          <w:rFonts w:ascii="Times New Roman" w:hAnsi="Times New Roman"/>
          <w:noProof/>
          <w:sz w:val="24"/>
          <w:szCs w:val="24"/>
        </w:rPr>
        <w:t xml:space="preserve">Seit dem ersten Jahr des ECRIS-Betriebs wurden durchschnittlich </w:t>
      </w:r>
      <w:r>
        <w:rPr>
          <w:rFonts w:ascii="Times New Roman" w:hAnsi="Times New Roman"/>
          <w:b/>
          <w:noProof/>
          <w:sz w:val="24"/>
          <w:szCs w:val="24"/>
        </w:rPr>
        <w:t>26 % der Informationsersuchen über frühere Verurteilungen einer Person mit Angaben über frühere strafrechtliche Verurteilungen beantwortet</w:t>
      </w:r>
      <w:r>
        <w:rPr>
          <w:rFonts w:ascii="Times New Roman" w:hAnsi="Times New Roman"/>
          <w:noProof/>
          <w:sz w:val="24"/>
          <w:szCs w:val="24"/>
        </w:rPr>
        <w:t xml:space="preserve">. Viele Jahre lang hielt sich dieser prozentuale Anteil bei rund 30 % stabil und </w:t>
      </w:r>
      <w:r>
        <w:rPr>
          <w:rFonts w:ascii="Times New Roman" w:hAnsi="Times New Roman"/>
          <w:b/>
          <w:bCs/>
          <w:noProof/>
          <w:sz w:val="24"/>
          <w:szCs w:val="24"/>
        </w:rPr>
        <w:t>fiel im Jahr 2019 plötzlich auf 19 % ab</w:t>
      </w:r>
      <w:r>
        <w:rPr>
          <w:rFonts w:ascii="Times New Roman" w:hAnsi="Times New Roman"/>
          <w:noProof/>
          <w:sz w:val="24"/>
          <w:szCs w:val="24"/>
        </w:rPr>
        <w:t xml:space="preserve">, was mit dem dramatischen Anstieg der Zahl der Ersuchen für sonstige Zwecke (Nicht-Strafverfahren) einherging. Auch </w:t>
      </w:r>
      <w:r>
        <w:rPr>
          <w:rFonts w:ascii="Times New Roman" w:hAnsi="Times New Roman"/>
          <w:b/>
          <w:noProof/>
          <w:sz w:val="24"/>
          <w:szCs w:val="24"/>
        </w:rPr>
        <w:t>2019</w:t>
      </w:r>
      <w:r>
        <w:rPr>
          <w:rFonts w:ascii="Times New Roman" w:hAnsi="Times New Roman"/>
          <w:noProof/>
          <w:sz w:val="24"/>
          <w:szCs w:val="24"/>
        </w:rPr>
        <w:t xml:space="preserve"> enthielten wieder mehr als </w:t>
      </w:r>
      <w:r>
        <w:rPr>
          <w:rFonts w:ascii="Times New Roman" w:hAnsi="Times New Roman"/>
          <w:b/>
          <w:noProof/>
          <w:sz w:val="24"/>
          <w:szCs w:val="24"/>
        </w:rPr>
        <w:t>188 000 Antworten auf alle Ersuchen Informationen über frühere strafrechtliche Verurteilungen</w:t>
      </w:r>
      <w:r>
        <w:rPr>
          <w:rFonts w:ascii="Times New Roman" w:hAnsi="Times New Roman"/>
          <w:noProof/>
          <w:sz w:val="24"/>
          <w:szCs w:val="24"/>
        </w:rPr>
        <w:t>.</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Trotz des allgemeinen Anstiegs der Zahl der Aktualisierungen werden viele Aktualisierungen nach wie vor nicht mitgeteilt.</w:t>
      </w:r>
    </w:p>
    <w:p>
      <w:pPr>
        <w:jc w:val="both"/>
        <w:rPr>
          <w:rFonts w:ascii="Times New Roman" w:hAnsi="Times New Roman" w:cs="Times New Roman"/>
          <w:noProof/>
          <w:sz w:val="24"/>
          <w:szCs w:val="24"/>
        </w:rPr>
      </w:pPr>
      <w:r>
        <w:rPr>
          <w:rFonts w:ascii="Times New Roman" w:hAnsi="Times New Roman"/>
          <w:noProof/>
          <w:sz w:val="24"/>
          <w:szCs w:val="24"/>
        </w:rPr>
        <w:t xml:space="preserve">Es wurde ein </w:t>
      </w:r>
      <w:r>
        <w:rPr>
          <w:rFonts w:ascii="Times New Roman" w:hAnsi="Times New Roman"/>
          <w:b/>
          <w:bCs/>
          <w:noProof/>
          <w:sz w:val="24"/>
          <w:szCs w:val="24"/>
        </w:rPr>
        <w:t>erheblicher Anstieg der Zahl der Mitteilungen über Aktualisierungen</w:t>
      </w:r>
      <w:r>
        <w:rPr>
          <w:rFonts w:ascii="Times New Roman" w:hAnsi="Times New Roman"/>
          <w:noProof/>
          <w:sz w:val="24"/>
          <w:szCs w:val="24"/>
        </w:rPr>
        <w:t xml:space="preserve"> verzeichnet, von 25 % auf</w:t>
      </w:r>
      <w:r>
        <w:rPr>
          <w:rFonts w:ascii="Times New Roman" w:hAnsi="Times New Roman"/>
          <w:b/>
          <w:bCs/>
          <w:noProof/>
          <w:sz w:val="24"/>
          <w:szCs w:val="24"/>
        </w:rPr>
        <w:t>42 % aller Mitteilungen</w:t>
      </w:r>
      <w:r>
        <w:rPr>
          <w:rFonts w:ascii="Times New Roman" w:hAnsi="Times New Roman"/>
          <w:noProof/>
          <w:sz w:val="24"/>
          <w:szCs w:val="24"/>
        </w:rPr>
        <w:t xml:space="preserve">, mit einer absoluten Zahl von </w:t>
      </w:r>
      <w:r>
        <w:rPr>
          <w:rFonts w:ascii="Times New Roman" w:hAnsi="Times New Roman"/>
          <w:b/>
          <w:bCs/>
          <w:noProof/>
          <w:sz w:val="24"/>
          <w:szCs w:val="24"/>
        </w:rPr>
        <w:t>230 000</w:t>
      </w:r>
      <w:r>
        <w:rPr>
          <w:rFonts w:ascii="Times New Roman" w:hAnsi="Times New Roman"/>
          <w:noProof/>
          <w:sz w:val="24"/>
          <w:szCs w:val="24"/>
        </w:rPr>
        <w:t xml:space="preserve"> im Jahr 2019. Dies betrifft jedoch nur bestimmte Mitgliedstaaten.</w:t>
      </w:r>
    </w:p>
    <w:p>
      <w:pPr>
        <w:jc w:val="both"/>
        <w:rPr>
          <w:rFonts w:ascii="Times New Roman" w:hAnsi="Times New Roman" w:cs="Times New Roman"/>
          <w:noProof/>
          <w:sz w:val="24"/>
          <w:szCs w:val="24"/>
        </w:rPr>
      </w:pPr>
      <w:r>
        <w:rPr>
          <w:rFonts w:ascii="Times New Roman" w:hAnsi="Times New Roman"/>
          <w:noProof/>
          <w:sz w:val="24"/>
          <w:szCs w:val="24"/>
        </w:rPr>
        <w:t>Gleichzeitig</w:t>
      </w:r>
      <w:r>
        <w:rPr>
          <w:rFonts w:ascii="Times New Roman" w:hAnsi="Times New Roman"/>
          <w:b/>
          <w:bCs/>
          <w:noProof/>
          <w:sz w:val="24"/>
          <w:szCs w:val="24"/>
        </w:rPr>
        <w:t xml:space="preserve"> übermittelten viele Mitgliedstaaten in manchen Jahren</w:t>
      </w:r>
      <w:r>
        <w:rPr>
          <w:rFonts w:ascii="Times New Roman" w:hAnsi="Times New Roman"/>
          <w:noProof/>
          <w:sz w:val="24"/>
          <w:szCs w:val="24"/>
        </w:rPr>
        <w:t xml:space="preserve"> </w:t>
      </w:r>
      <w:r>
        <w:rPr>
          <w:rFonts w:ascii="Times New Roman" w:hAnsi="Times New Roman"/>
          <w:b/>
          <w:noProof/>
          <w:sz w:val="24"/>
          <w:szCs w:val="24"/>
        </w:rPr>
        <w:t>überhaupt keine</w:t>
      </w:r>
      <w:r>
        <w:rPr>
          <w:rFonts w:ascii="Times New Roman" w:hAnsi="Times New Roman"/>
          <w:bCs/>
          <w:noProof/>
          <w:sz w:val="24"/>
          <w:szCs w:val="24"/>
        </w:rPr>
        <w:t xml:space="preserve"> </w:t>
      </w:r>
      <w:r>
        <w:rPr>
          <w:rFonts w:ascii="Times New Roman" w:hAnsi="Times New Roman"/>
          <w:b/>
          <w:noProof/>
          <w:sz w:val="24"/>
          <w:szCs w:val="24"/>
        </w:rPr>
        <w:t>(BG, DK, EE, EL, IE, LV, LU, MT, PT, SI)</w:t>
      </w:r>
      <w:r>
        <w:rPr>
          <w:rFonts w:ascii="Times New Roman" w:hAnsi="Times New Roman"/>
          <w:noProof/>
          <w:sz w:val="24"/>
          <w:szCs w:val="24"/>
        </w:rPr>
        <w:t xml:space="preserve"> oder nur wenige</w:t>
      </w:r>
      <w:r>
        <w:rPr>
          <w:rFonts w:ascii="Times New Roman" w:hAnsi="Times New Roman"/>
          <w:b/>
          <w:noProof/>
          <w:sz w:val="24"/>
          <w:szCs w:val="24"/>
        </w:rPr>
        <w:t xml:space="preserve"> Aktualisierungen ihrer zuvor übermittelten Meldungen (IE, RO, CY, SI, PT, MT).</w:t>
      </w:r>
      <w:r>
        <w:rPr>
          <w:rFonts w:ascii="Times New Roman" w:hAnsi="Times New Roman"/>
          <w:noProof/>
          <w:sz w:val="24"/>
          <w:szCs w:val="24"/>
        </w:rPr>
        <w:t xml:space="preserve"> </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rPr>
        <w:t xml:space="preserve">ECRIS </w:t>
      </w:r>
      <w:r>
        <w:rPr>
          <w:rFonts w:ascii="Times New Roman" w:hAnsi="Times New Roman"/>
          <w:b/>
          <w:noProof/>
          <w:sz w:val="24"/>
          <w:szCs w:val="24"/>
        </w:rPr>
        <w:t>wird nicht immer für Informationsersuchen über frühere Verurteilungen genutzt.</w:t>
      </w:r>
    </w:p>
    <w:p>
      <w:pPr>
        <w:jc w:val="both"/>
        <w:rPr>
          <w:rFonts w:ascii="Times New Roman" w:hAnsi="Times New Roman" w:cs="Times New Roman"/>
          <w:noProof/>
          <w:sz w:val="24"/>
          <w:szCs w:val="24"/>
        </w:rPr>
      </w:pPr>
      <w:r>
        <w:rPr>
          <w:rFonts w:ascii="Times New Roman" w:hAnsi="Times New Roman"/>
          <w:b/>
          <w:bCs/>
          <w:noProof/>
          <w:sz w:val="24"/>
          <w:szCs w:val="24"/>
        </w:rPr>
        <w:t>Trotz des dramatischen Anstiegs der Zahl der Ersuchen im Allgemeinen</w:t>
      </w:r>
      <w:r>
        <w:rPr>
          <w:rFonts w:ascii="Times New Roman" w:hAnsi="Times New Roman"/>
          <w:noProof/>
          <w:sz w:val="24"/>
          <w:szCs w:val="24"/>
        </w:rPr>
        <w:t xml:space="preserve"> besteht das im ersten statistischen Bericht genannte Problem weiter fort, </w:t>
      </w:r>
      <w:r>
        <w:rPr>
          <w:rFonts w:ascii="Times New Roman" w:hAnsi="Times New Roman"/>
          <w:b/>
          <w:bCs/>
          <w:noProof/>
          <w:sz w:val="24"/>
          <w:szCs w:val="24"/>
        </w:rPr>
        <w:t>nämlich dass manche Mitgliedstaaten</w:t>
      </w:r>
      <w:r>
        <w:rPr>
          <w:rFonts w:ascii="Times New Roman" w:hAnsi="Times New Roman"/>
          <w:b/>
          <w:noProof/>
          <w:sz w:val="24"/>
          <w:szCs w:val="24"/>
        </w:rPr>
        <w:t xml:space="preserve"> fast überhaupt keine (EL, CY, MT) oder nur eine geringe Zahl (BG, EE, HU, IT, LV, RO SI) an Ersuchen zu sich in ihrem Land aufhaltenden EU-Ausländern übermitteln.</w:t>
      </w:r>
    </w:p>
    <w:p>
      <w:pPr>
        <w:numPr>
          <w:ilvl w:val="0"/>
          <w:numId w:val="27"/>
        </w:numPr>
        <w:ind w:left="714" w:hanging="357"/>
        <w:jc w:val="both"/>
        <w:rPr>
          <w:rFonts w:ascii="Times New Roman" w:hAnsi="Times New Roman" w:cs="Times New Roman"/>
          <w:b/>
          <w:noProof/>
          <w:sz w:val="24"/>
          <w:szCs w:val="24"/>
        </w:rPr>
      </w:pPr>
      <w:r>
        <w:rPr>
          <w:rFonts w:ascii="Times New Roman" w:hAnsi="Times New Roman"/>
          <w:b/>
          <w:noProof/>
          <w:sz w:val="24"/>
          <w:szCs w:val="24"/>
        </w:rPr>
        <w:t>Nach Ablauf der Antwortfrist beantwortete Ersuchen</w:t>
      </w:r>
    </w:p>
    <w:p>
      <w:pPr>
        <w:jc w:val="both"/>
        <w:rPr>
          <w:rFonts w:ascii="Times New Roman" w:hAnsi="Times New Roman" w:cs="Times New Roman"/>
          <w:noProof/>
          <w:sz w:val="24"/>
          <w:szCs w:val="24"/>
        </w:rPr>
      </w:pPr>
      <w:r>
        <w:rPr>
          <w:rFonts w:ascii="Times New Roman" w:hAnsi="Times New Roman"/>
          <w:noProof/>
          <w:sz w:val="24"/>
          <w:szCs w:val="24"/>
        </w:rPr>
        <w:t xml:space="preserve">2019 wurden </w:t>
      </w:r>
      <w:r>
        <w:rPr>
          <w:rFonts w:ascii="Times New Roman" w:hAnsi="Times New Roman"/>
          <w:b/>
          <w:noProof/>
          <w:sz w:val="24"/>
          <w:szCs w:val="24"/>
        </w:rPr>
        <w:t xml:space="preserve">190 000 Ersuchen nicht innerhalb der vorgeschriebenen Frist beantwortet, </w:t>
      </w:r>
      <w:r>
        <w:rPr>
          <w:rFonts w:ascii="Times New Roman" w:hAnsi="Times New Roman"/>
          <w:bCs/>
          <w:noProof/>
          <w:sz w:val="24"/>
          <w:szCs w:val="24"/>
        </w:rPr>
        <w:t>was</w:t>
      </w:r>
      <w:r>
        <w:rPr>
          <w:rFonts w:ascii="Times New Roman" w:hAnsi="Times New Roman"/>
          <w:noProof/>
          <w:sz w:val="24"/>
          <w:szCs w:val="24"/>
        </w:rPr>
        <w:t xml:space="preserve"> </w:t>
      </w:r>
      <w:r>
        <w:rPr>
          <w:rFonts w:ascii="Times New Roman" w:hAnsi="Times New Roman"/>
          <w:b/>
          <w:noProof/>
          <w:sz w:val="24"/>
          <w:szCs w:val="24"/>
        </w:rPr>
        <w:t>18,4 %</w:t>
      </w:r>
      <w:r>
        <w:rPr>
          <w:rFonts w:ascii="Times New Roman" w:hAnsi="Times New Roman"/>
          <w:noProof/>
          <w:sz w:val="24"/>
          <w:szCs w:val="24"/>
        </w:rPr>
        <w:t xml:space="preserve"> </w:t>
      </w:r>
      <w:r>
        <w:rPr>
          <w:rFonts w:ascii="Times New Roman" w:hAnsi="Times New Roman"/>
          <w:b/>
          <w:noProof/>
          <w:sz w:val="24"/>
          <w:szCs w:val="24"/>
        </w:rPr>
        <w:t>der Gesamtzahl</w:t>
      </w:r>
      <w:r>
        <w:rPr>
          <w:rFonts w:ascii="Times New Roman" w:hAnsi="Times New Roman"/>
          <w:noProof/>
          <w:sz w:val="24"/>
          <w:szCs w:val="24"/>
        </w:rPr>
        <w:t xml:space="preserve"> der Ersuchen ausmacht. Diese Zahl der verspäteten Antworten ist besorgniserregend, da sie im Vergleich zu 2016 um ein </w:t>
      </w:r>
      <w:r>
        <w:rPr>
          <w:rFonts w:ascii="Times New Roman" w:hAnsi="Times New Roman"/>
          <w:b/>
          <w:bCs/>
          <w:noProof/>
          <w:sz w:val="24"/>
          <w:szCs w:val="24"/>
        </w:rPr>
        <w:t>Vierzehnfaches</w:t>
      </w:r>
      <w:r>
        <w:rPr>
          <w:rFonts w:ascii="Times New Roman" w:hAnsi="Times New Roman"/>
          <w:noProof/>
          <w:sz w:val="24"/>
          <w:szCs w:val="24"/>
        </w:rPr>
        <w:t xml:space="preserve"> höher liegt. </w:t>
      </w:r>
    </w:p>
    <w:p>
      <w:pPr>
        <w:jc w:val="both"/>
        <w:rPr>
          <w:rFonts w:ascii="Times New Roman" w:hAnsi="Times New Roman" w:cs="Times New Roman"/>
          <w:noProof/>
          <w:sz w:val="24"/>
          <w:szCs w:val="24"/>
        </w:rPr>
      </w:pPr>
      <w:r>
        <w:rPr>
          <w:rFonts w:ascii="Times New Roman" w:hAnsi="Times New Roman"/>
          <w:b/>
          <w:bCs/>
          <w:noProof/>
          <w:sz w:val="24"/>
          <w:szCs w:val="24"/>
        </w:rPr>
        <w:t xml:space="preserve">Dieses Problem betrifft </w:t>
      </w:r>
      <w:r>
        <w:rPr>
          <w:rFonts w:ascii="Times New Roman" w:hAnsi="Times New Roman"/>
          <w:noProof/>
          <w:sz w:val="24"/>
          <w:szCs w:val="24"/>
        </w:rPr>
        <w:t xml:space="preserve">insbesondere </w:t>
      </w:r>
      <w:r>
        <w:rPr>
          <w:rFonts w:ascii="Times New Roman" w:hAnsi="Times New Roman"/>
          <w:b/>
          <w:bCs/>
          <w:noProof/>
          <w:sz w:val="24"/>
          <w:szCs w:val="24"/>
        </w:rPr>
        <w:t>Mitgliedstaaten</w:t>
      </w:r>
      <w:r>
        <w:rPr>
          <w:rFonts w:ascii="Times New Roman" w:hAnsi="Times New Roman"/>
          <w:noProof/>
          <w:sz w:val="24"/>
          <w:szCs w:val="24"/>
        </w:rPr>
        <w:t xml:space="preserve">, die sich </w:t>
      </w:r>
      <w:r>
        <w:rPr>
          <w:rFonts w:ascii="Times New Roman" w:hAnsi="Times New Roman"/>
          <w:b/>
          <w:bCs/>
          <w:noProof/>
          <w:sz w:val="24"/>
          <w:szCs w:val="24"/>
        </w:rPr>
        <w:t>einer hohen Zahl an Informationsersuchen</w:t>
      </w:r>
      <w:r>
        <w:rPr>
          <w:rFonts w:ascii="Times New Roman" w:hAnsi="Times New Roman"/>
          <w:noProof/>
          <w:sz w:val="24"/>
          <w:szCs w:val="24"/>
        </w:rPr>
        <w:t xml:space="preserve"> gegenüber sahen: PL, RO, HR, LV, BE und BG.</w:t>
      </w:r>
    </w:p>
    <w:p>
      <w:pPr>
        <w:numPr>
          <w:ilvl w:val="0"/>
          <w:numId w:val="27"/>
        </w:numPr>
        <w:ind w:left="714" w:hanging="357"/>
        <w:jc w:val="both"/>
        <w:rPr>
          <w:rFonts w:ascii="Times New Roman" w:hAnsi="Times New Roman"/>
          <w:b/>
          <w:noProof/>
          <w:sz w:val="24"/>
        </w:rPr>
      </w:pPr>
      <w:r>
        <w:rPr>
          <w:rFonts w:ascii="Times New Roman" w:hAnsi="Times New Roman"/>
          <w:b/>
          <w:noProof/>
          <w:sz w:val="24"/>
        </w:rPr>
        <w:t>Unbeantwortete Informationsersuchen</w:t>
      </w:r>
    </w:p>
    <w:p>
      <w:pPr>
        <w:pStyle w:val="ListParagraph"/>
        <w:spacing w:after="120"/>
        <w:ind w:left="0"/>
        <w:jc w:val="both"/>
        <w:rPr>
          <w:rFonts w:ascii="Times New Roman" w:hAnsi="Times New Roman" w:cs="Times New Roman"/>
          <w:noProof/>
          <w:sz w:val="24"/>
          <w:szCs w:val="24"/>
        </w:rPr>
      </w:pPr>
      <w:r>
        <w:rPr>
          <w:rFonts w:ascii="Times New Roman" w:hAnsi="Times New Roman"/>
          <w:noProof/>
          <w:sz w:val="24"/>
          <w:szCs w:val="24"/>
        </w:rPr>
        <w:t>Während alle Mitgliedstaaten im Allgemeinen auf Ersuchen antworteten,</w:t>
      </w:r>
      <w:r>
        <w:rPr>
          <w:rFonts w:ascii="Times New Roman" w:hAnsi="Times New Roman"/>
          <w:b/>
          <w:noProof/>
          <w:sz w:val="24"/>
          <w:szCs w:val="24"/>
        </w:rPr>
        <w:t xml:space="preserve"> </w:t>
      </w:r>
      <w:r>
        <w:rPr>
          <w:rFonts w:ascii="Times New Roman" w:hAnsi="Times New Roman"/>
          <w:noProof/>
          <w:sz w:val="24"/>
          <w:szCs w:val="24"/>
        </w:rPr>
        <w:t xml:space="preserve">wurden im Jahr 2019 immer noch </w:t>
      </w:r>
      <w:r>
        <w:rPr>
          <w:rFonts w:ascii="Times New Roman" w:hAnsi="Times New Roman"/>
          <w:b/>
          <w:bCs/>
          <w:noProof/>
          <w:sz w:val="24"/>
          <w:szCs w:val="24"/>
        </w:rPr>
        <w:t>mehr als 42 000 </w:t>
      </w:r>
      <w:r>
        <w:rPr>
          <w:rFonts w:ascii="Times New Roman" w:hAnsi="Times New Roman"/>
          <w:b/>
          <w:noProof/>
          <w:sz w:val="24"/>
          <w:szCs w:val="24"/>
        </w:rPr>
        <w:t>Informationsersuchen nicht beantwortet</w:t>
      </w:r>
      <w:r>
        <w:rPr>
          <w:rFonts w:ascii="Times New Roman" w:hAnsi="Times New Roman"/>
          <w:noProof/>
          <w:sz w:val="24"/>
          <w:szCs w:val="24"/>
        </w:rPr>
        <w:t>. Diese Zahl entsprach</w:t>
      </w:r>
      <w:r>
        <w:rPr>
          <w:rFonts w:ascii="Times New Roman" w:hAnsi="Times New Roman"/>
          <w:b/>
          <w:noProof/>
          <w:sz w:val="24"/>
          <w:szCs w:val="24"/>
        </w:rPr>
        <w:t xml:space="preserve"> 4,1 % aller Ersuchen, </w:t>
      </w:r>
      <w:r>
        <w:rPr>
          <w:rFonts w:ascii="Times New Roman" w:hAnsi="Times New Roman"/>
          <w:bCs/>
          <w:noProof/>
          <w:sz w:val="24"/>
          <w:szCs w:val="24"/>
        </w:rPr>
        <w:t xml:space="preserve">im Vergleich zu 3,6 % im Jahr 2016. </w:t>
      </w:r>
      <w:r>
        <w:rPr>
          <w:rFonts w:ascii="Times New Roman" w:hAnsi="Times New Roman"/>
          <w:noProof/>
          <w:sz w:val="24"/>
          <w:szCs w:val="24"/>
        </w:rPr>
        <w:t>Die Mitgliedstaaten, die auf den höchsten Prozentsatz der erhaltenen Ersuchen nicht antworteten, waren: MT, CY, BG und EL.</w:t>
      </w:r>
    </w:p>
    <w:p>
      <w:pPr>
        <w:pStyle w:val="ListParagraph"/>
        <w:numPr>
          <w:ilvl w:val="0"/>
          <w:numId w:val="43"/>
        </w:numPr>
        <w:spacing w:after="120"/>
        <w:ind w:left="714" w:hanging="357"/>
        <w:rPr>
          <w:rFonts w:ascii="Times New Roman" w:hAnsi="Times New Roman" w:cs="Times New Roman"/>
          <w:b/>
          <w:noProof/>
          <w:sz w:val="24"/>
          <w:szCs w:val="24"/>
        </w:rPr>
      </w:pPr>
      <w:r>
        <w:rPr>
          <w:rFonts w:ascii="Times New Roman" w:hAnsi="Times New Roman"/>
          <w:b/>
          <w:noProof/>
          <w:sz w:val="24"/>
          <w:szCs w:val="24"/>
        </w:rPr>
        <w:t>Erhebliche Unterschiede zwischen den ECRIS-Tätigkeiten der einzelnen Mitgliedstaaten und der Arbeitsbelastung</w:t>
      </w:r>
    </w:p>
    <w:p>
      <w:pPr>
        <w:jc w:val="both"/>
        <w:rPr>
          <w:rFonts w:ascii="Times New Roman" w:hAnsi="Times New Roman" w:cs="Times New Roman"/>
          <w:noProof/>
          <w:sz w:val="24"/>
          <w:szCs w:val="24"/>
        </w:rPr>
      </w:pPr>
      <w:r>
        <w:rPr>
          <w:rFonts w:ascii="Times New Roman" w:hAnsi="Times New Roman"/>
          <w:noProof/>
          <w:sz w:val="24"/>
          <w:szCs w:val="24"/>
        </w:rPr>
        <w:t xml:space="preserve">Manche Mitgliedstaaten übermitteln wesentlich mehr </w:t>
      </w:r>
      <w:r>
        <w:rPr>
          <w:rFonts w:ascii="Times New Roman" w:hAnsi="Times New Roman"/>
          <w:b/>
          <w:noProof/>
          <w:sz w:val="24"/>
          <w:szCs w:val="24"/>
        </w:rPr>
        <w:t>Informationsersuchen als sie erhalten</w:t>
      </w:r>
      <w:r>
        <w:rPr>
          <w:rFonts w:ascii="Times New Roman" w:hAnsi="Times New Roman"/>
          <w:noProof/>
          <w:sz w:val="24"/>
          <w:szCs w:val="24"/>
        </w:rPr>
        <w:t xml:space="preserve"> (DE, UK und CZ), während sich andere Mitgliedstaaten einer </w:t>
      </w:r>
      <w:r>
        <w:rPr>
          <w:rFonts w:ascii="Times New Roman" w:hAnsi="Times New Roman"/>
          <w:b/>
          <w:noProof/>
          <w:sz w:val="24"/>
          <w:szCs w:val="24"/>
        </w:rPr>
        <w:t>erheblichen Arbeitsbelastung bei der Beantwortung dieser Ersuchen gegenüber sehen</w:t>
      </w:r>
      <w:r>
        <w:rPr>
          <w:rFonts w:ascii="Times New Roman" w:hAnsi="Times New Roman"/>
          <w:noProof/>
          <w:sz w:val="24"/>
          <w:szCs w:val="24"/>
        </w:rPr>
        <w:t xml:space="preserve"> (PL, RO, IT, HR, SK und HU). Die Arbeitsbelastung für einige andere Mitgliedstaaten ergibt sich überwiegend aus der Übermittlung einer </w:t>
      </w:r>
      <w:r>
        <w:rPr>
          <w:rFonts w:ascii="Times New Roman" w:hAnsi="Times New Roman"/>
          <w:b/>
          <w:bCs/>
          <w:noProof/>
          <w:sz w:val="24"/>
          <w:szCs w:val="24"/>
        </w:rPr>
        <w:t xml:space="preserve">hohen Zahl von Mitteilungen </w:t>
      </w:r>
      <w:r>
        <w:rPr>
          <w:rFonts w:ascii="Times New Roman" w:hAnsi="Times New Roman"/>
          <w:noProof/>
          <w:sz w:val="24"/>
          <w:szCs w:val="24"/>
        </w:rPr>
        <w:t>über neue Verurteilungen an die Mitgliedstaaten der Staatsangehörigkeit des Straftäters (BE und IT).</w:t>
      </w:r>
    </w:p>
    <w:p>
      <w:pPr>
        <w:numPr>
          <w:ilvl w:val="0"/>
          <w:numId w:val="27"/>
        </w:numPr>
        <w:ind w:left="714" w:hanging="357"/>
        <w:jc w:val="both"/>
        <w:rPr>
          <w:rFonts w:ascii="Times New Roman" w:hAnsi="Times New Roman" w:cs="Times New Roman"/>
          <w:noProof/>
          <w:sz w:val="24"/>
          <w:szCs w:val="24"/>
        </w:rPr>
      </w:pPr>
      <w:r>
        <w:rPr>
          <w:rFonts w:ascii="Times New Roman" w:hAnsi="Times New Roman"/>
          <w:b/>
          <w:noProof/>
          <w:sz w:val="24"/>
        </w:rPr>
        <w:t>Derzeitiges ECRIS-System weiterhin nur selten für</w:t>
      </w:r>
      <w:r>
        <w:rPr>
          <w:rFonts w:ascii="Times New Roman" w:hAnsi="Times New Roman"/>
          <w:b/>
          <w:noProof/>
          <w:sz w:val="24"/>
          <w:szCs w:val="24"/>
        </w:rPr>
        <w:t xml:space="preserve"> TCN</w:t>
      </w:r>
      <w:r>
        <w:rPr>
          <w:rFonts w:ascii="Times New Roman" w:hAnsi="Times New Roman"/>
          <w:b/>
          <w:noProof/>
          <w:sz w:val="24"/>
        </w:rPr>
        <w:t xml:space="preserve"> genutzt</w:t>
      </w:r>
    </w:p>
    <w:p>
      <w:pPr>
        <w:jc w:val="both"/>
        <w:rPr>
          <w:rFonts w:ascii="Times New Roman" w:hAnsi="Times New Roman" w:cs="Times New Roman"/>
          <w:noProof/>
          <w:sz w:val="24"/>
          <w:szCs w:val="24"/>
        </w:rPr>
      </w:pPr>
      <w:r>
        <w:rPr>
          <w:rFonts w:ascii="Times New Roman" w:hAnsi="Times New Roman"/>
          <w:noProof/>
          <w:sz w:val="24"/>
          <w:szCs w:val="24"/>
        </w:rPr>
        <w:t xml:space="preserve">Durchschnittlich </w:t>
      </w:r>
      <w:r>
        <w:rPr>
          <w:rFonts w:ascii="Times New Roman" w:hAnsi="Times New Roman"/>
          <w:b/>
          <w:noProof/>
          <w:sz w:val="24"/>
          <w:szCs w:val="24"/>
        </w:rPr>
        <w:t>92 %</w:t>
      </w:r>
      <w:r>
        <w:rPr>
          <w:rFonts w:ascii="Times New Roman" w:hAnsi="Times New Roman"/>
          <w:noProof/>
          <w:sz w:val="24"/>
          <w:szCs w:val="24"/>
        </w:rPr>
        <w:t xml:space="preserve"> aller Ersuchen betreffen </w:t>
      </w:r>
      <w:r>
        <w:rPr>
          <w:rFonts w:ascii="Times New Roman" w:hAnsi="Times New Roman"/>
          <w:b/>
          <w:noProof/>
          <w:sz w:val="24"/>
          <w:szCs w:val="24"/>
        </w:rPr>
        <w:t>EU-Bürger</w:t>
      </w:r>
      <w:r>
        <w:rPr>
          <w:rFonts w:ascii="Times New Roman" w:hAnsi="Times New Roman"/>
          <w:noProof/>
          <w:sz w:val="24"/>
          <w:szCs w:val="24"/>
        </w:rPr>
        <w:t>, und rund 8 </w:t>
      </w:r>
      <w:r>
        <w:rPr>
          <w:rFonts w:ascii="Times New Roman" w:hAnsi="Times New Roman"/>
          <w:b/>
          <w:noProof/>
          <w:sz w:val="24"/>
          <w:szCs w:val="24"/>
        </w:rPr>
        <w:t>% betreffen Drittstaatsangehörige und Staatenlose</w:t>
      </w:r>
      <w:r>
        <w:rPr>
          <w:rFonts w:ascii="Times New Roman" w:hAnsi="Times New Roman"/>
          <w:noProof/>
          <w:sz w:val="24"/>
          <w:szCs w:val="24"/>
        </w:rPr>
        <w:t xml:space="preserve">. Die Zahl der Informationsersuchen zu TCN ist seit 2017 </w:t>
      </w:r>
      <w:r>
        <w:rPr>
          <w:rFonts w:ascii="Times New Roman" w:hAnsi="Times New Roman"/>
          <w:bCs/>
          <w:noProof/>
          <w:sz w:val="24"/>
          <w:szCs w:val="24"/>
        </w:rPr>
        <w:t>stetig</w:t>
      </w:r>
      <w:r>
        <w:rPr>
          <w:rFonts w:ascii="Times New Roman" w:hAnsi="Times New Roman"/>
          <w:b/>
          <w:noProof/>
          <w:sz w:val="24"/>
          <w:szCs w:val="24"/>
        </w:rPr>
        <w:t xml:space="preserve"> gestiegen</w:t>
      </w:r>
      <w:r>
        <w:rPr>
          <w:rFonts w:ascii="Times New Roman" w:hAnsi="Times New Roman"/>
          <w:bCs/>
          <w:noProof/>
          <w:sz w:val="24"/>
          <w:szCs w:val="24"/>
        </w:rPr>
        <w:t xml:space="preserve"> und lag 2019 bei über </w:t>
      </w:r>
      <w:r>
        <w:rPr>
          <w:rFonts w:ascii="Times New Roman" w:hAnsi="Times New Roman"/>
          <w:b/>
          <w:noProof/>
          <w:sz w:val="24"/>
          <w:szCs w:val="24"/>
        </w:rPr>
        <w:t>69 000</w:t>
      </w:r>
      <w:r>
        <w:rPr>
          <w:rFonts w:ascii="Times New Roman" w:hAnsi="Times New Roman"/>
          <w:noProof/>
          <w:sz w:val="24"/>
          <w:szCs w:val="24"/>
        </w:rPr>
        <w:t xml:space="preserve">. </w:t>
      </w:r>
    </w:p>
    <w:p>
      <w:pPr>
        <w:rPr>
          <w:rStyle w:val="Hyperlink"/>
          <w:rFonts w:ascii="Times New Roman" w:hAnsi="Times New Roman" w:cs="Times New Roman"/>
          <w:noProof/>
          <w:color w:val="auto"/>
          <w:sz w:val="24"/>
          <w:szCs w:val="24"/>
          <w:u w:val="none"/>
        </w:rPr>
      </w:pPr>
    </w:p>
    <w:sectPr>
      <w:headerReference w:type="even" r:id="rId33"/>
      <w:headerReference w:type="default" r:id="rId34"/>
      <w:footerReference w:type="even" r:id="rId35"/>
      <w:footerReference w:type="default" r:id="rId36"/>
      <w:headerReference w:type="first" r:id="rId37"/>
      <w:footerReference w:type="first" r:id="rId38"/>
      <w:pgSz w:w="11907" w:h="16840" w:code="9"/>
      <w:pgMar w:top="1418" w:right="1418" w:bottom="1418" w:left="1418" w:header="851" w:footer="255"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14629"/>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3</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31446"/>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fldChar w:fldCharType="end"/>
        </w:r>
      </w:p>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pPr>
    </w:p>
  </w:footnote>
  <w:footnote w:id="2">
    <w:p>
      <w:pPr>
        <w:pStyle w:val="FootnoteText"/>
        <w:spacing w:after="0"/>
        <w:ind w:left="720" w:hanging="72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ABl. L 93 vom 7.4.2009, S. 23, geändert durch die Richtlinie (EU) 2019/884, ABl. L 151 vom 7.6.2019, S. 143.</w:t>
      </w:r>
    </w:p>
  </w:footnote>
  <w:footnote w:id="3">
    <w:p>
      <w:pPr>
        <w:pStyle w:val="FootnoteText"/>
        <w:spacing w:after="0"/>
        <w:ind w:left="720" w:hanging="720"/>
        <w:rPr>
          <w:rFonts w:ascii="Times New Roman" w:hAnsi="Times New Roman" w:cs="Times New Roman"/>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ABl. L 93 vom 7.4.2009, S. 33. Dieser Beschluss wird ab dem 28. Juni 2022 für diejenigen Mitgliedstaaten durch Richtlinie (EU) 2019/884 ersetzt, die durch diese Richtlinie gebunden sind.</w:t>
      </w:r>
      <w:r>
        <w:rPr>
          <w:rFonts w:ascii="Times New Roman" w:hAnsi="Times New Roman"/>
          <w:sz w:val="20"/>
        </w:rPr>
        <w:tab/>
      </w:r>
    </w:p>
  </w:footnote>
  <w:footnote w:id="4">
    <w:p>
      <w:pPr>
        <w:spacing w:after="0"/>
        <w:ind w:left="709" w:hanging="709"/>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341 final; SWD(2017) 242 final.</w:t>
      </w:r>
    </w:p>
  </w:footnote>
  <w:footnote w:id="5">
    <w:p>
      <w:pPr>
        <w:pStyle w:val="FootnoteText"/>
        <w:jc w:val="both"/>
        <w:rPr>
          <w:sz w:val="20"/>
        </w:rPr>
      </w:pPr>
      <w:r>
        <w:rPr>
          <w:rStyle w:val="FootnoteReference"/>
          <w:rFonts w:ascii="Times New Roman" w:hAnsi="Times New Roman" w:cs="Times New Roman"/>
          <w:sz w:val="20"/>
        </w:rPr>
        <w:footnoteRef/>
      </w:r>
      <w:r>
        <w:rPr>
          <w:rFonts w:ascii="Times New Roman" w:hAnsi="Times New Roman"/>
          <w:sz w:val="20"/>
        </w:rPr>
        <w:t xml:space="preserve"> </w:t>
      </w:r>
      <w:r>
        <w:rPr>
          <w:sz w:val="20"/>
        </w:rPr>
        <w:tab/>
      </w:r>
      <w:r>
        <w:rPr>
          <w:rFonts w:ascii="Times New Roman" w:hAnsi="Times New Roman"/>
          <w:sz w:val="20"/>
        </w:rPr>
        <w:t>Die Kommission erhielt keine Daten aus Zypern, Griechenland, Dänemark, Litauen und Slowenien.</w:t>
      </w:r>
    </w:p>
  </w:footnote>
  <w:footnote w:id="6">
    <w:p>
      <w:pPr>
        <w:pStyle w:val="FootnoteText"/>
        <w:spacing w:after="0"/>
        <w:ind w:left="709" w:hanging="709"/>
        <w:rPr>
          <w:rFonts w:ascii="Times New Roman" w:hAnsi="Times New Roman" w:cs="Times New Roman"/>
          <w:sz w:val="20"/>
        </w:rPr>
      </w:pPr>
      <w:r>
        <w:rPr>
          <w:rStyle w:val="FootnoteReference"/>
          <w:rFonts w:ascii="Times New Roman" w:hAnsi="Times New Roman" w:cs="Times New Roman"/>
          <w:sz w:val="20"/>
        </w:rPr>
        <w:footnoteRef/>
      </w:r>
      <w:r>
        <w:t xml:space="preserve"> </w:t>
      </w:r>
      <w:r>
        <w:tab/>
      </w:r>
      <w:r>
        <w:rPr>
          <w:rFonts w:ascii="Times New Roman" w:hAnsi="Times New Roman"/>
          <w:sz w:val="20"/>
        </w:rPr>
        <w:t>Eine ausführliche Beschreibung der allgemeinen Grundsätze des Informationsaustauschs über ECRIS findet sich in Abschnitt 1 der Arbeitsunterlage der Kommissionsdienststellen.</w:t>
      </w:r>
    </w:p>
  </w:footnote>
  <w:footnote w:id="7">
    <w:p>
      <w:pPr>
        <w:pStyle w:val="FootnoteText"/>
        <w:ind w:left="720" w:hanging="720"/>
      </w:pPr>
      <w:r>
        <w:rPr>
          <w:rStyle w:val="FootnoteReference"/>
          <w:rFonts w:ascii="Times New Roman" w:hAnsi="Times New Roman" w:cs="Times New Roman"/>
          <w:sz w:val="20"/>
        </w:rPr>
        <w:footnoteRef/>
      </w:r>
      <w:r>
        <w:t xml:space="preserve"> </w:t>
      </w:r>
      <w:r>
        <w:tab/>
      </w:r>
      <w:r>
        <w:rPr>
          <w:rFonts w:ascii="Times New Roman" w:hAnsi="Times New Roman"/>
          <w:sz w:val="20"/>
        </w:rPr>
        <w:t>Zur Chronologie der Beitritte zum ECRIS-Netz siehe Arbeitsunterlage der Kommissionsdienststellen, Abschnitt 2.1.</w:t>
      </w:r>
    </w:p>
  </w:footnote>
  <w:footnote w:id="8">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Diese Zahl ergibt sich bei einer Berücksichtigung von 28 Mitgliedstaaten.</w:t>
      </w:r>
    </w:p>
  </w:footnote>
  <w:footnote w:id="9">
    <w:p>
      <w:pPr>
        <w:pStyle w:val="FootnoteText"/>
        <w:ind w:left="720" w:hanging="72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Für die weitere Entwicklung der Verbindungen im Laufe der Jahre siehe die Arbeitsunterlage der Kommissionsdienststellen, Abschnitt 2.1.</w:t>
      </w:r>
    </w:p>
  </w:footnote>
  <w:footnote w:id="10">
    <w:p>
      <w:pPr>
        <w:pStyle w:val="FootnoteText"/>
        <w:ind w:left="709" w:hanging="709"/>
        <w:rPr>
          <w:rFonts w:ascii="Times New Roman" w:hAnsi="Times New Roman" w:cs="Times New Roman"/>
          <w:sz w:val="20"/>
        </w:rPr>
      </w:pPr>
      <w:r>
        <w:rPr>
          <w:rStyle w:val="FootnoteReference"/>
          <w:rFonts w:ascii="Times New Roman" w:hAnsi="Times New Roman" w:cs="Times New Roman"/>
          <w:sz w:val="20"/>
        </w:rPr>
        <w:footnoteRef/>
      </w:r>
      <w:r>
        <w:t xml:space="preserve"> </w:t>
      </w:r>
      <w:r>
        <w:tab/>
      </w:r>
      <w:r>
        <w:rPr>
          <w:rFonts w:ascii="Times New Roman" w:hAnsi="Times New Roman"/>
          <w:sz w:val="20"/>
        </w:rPr>
        <w:t>Sonstige Antworten betreffen beispielsweise Antworten mit mehrfach vorgefundenen Personen, mit einer Person, die nicht die Staatsangehörigkeit des ersuchten Mitgliedstaats hat, usw.</w:t>
      </w:r>
    </w:p>
  </w:footnote>
  <w:footnote w:id="11">
    <w:p>
      <w:pPr>
        <w:pStyle w:val="FootnoteText"/>
        <w:spacing w:after="0"/>
        <w:ind w:left="709" w:hanging="709"/>
        <w:rPr>
          <w:rFonts w:ascii="Times New Roman" w:hAnsi="Times New Roman" w:cs="Times New Roman"/>
          <w:sz w:val="20"/>
        </w:rPr>
      </w:pPr>
      <w:r>
        <w:rPr>
          <w:rStyle w:val="FootnoteReference"/>
          <w:rFonts w:ascii="Times New Roman" w:hAnsi="Times New Roman" w:cs="Times New Roman"/>
          <w:sz w:val="20"/>
        </w:rPr>
        <w:footnoteRef/>
      </w:r>
      <w:r>
        <w:t xml:space="preserve"> </w:t>
      </w:r>
      <w:r>
        <w:tab/>
      </w:r>
      <w:r>
        <w:rPr>
          <w:rFonts w:ascii="Times New Roman" w:hAnsi="Times New Roman"/>
          <w:sz w:val="20"/>
        </w:rPr>
        <w:t>ABl. L 220 vom 15.8.2008, S. 32.</w:t>
      </w:r>
    </w:p>
  </w:footnote>
  <w:footnote w:id="12">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Für die Jahre 2017 und 2018 siehe die Arbeitsunterlage der Kommissionsdienststellen, Abschnitt 2.2.</w:t>
      </w:r>
    </w:p>
  </w:footnote>
  <w:footnote w:id="13">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Für die Jahre 2017 und 2018 siehe die Arbeitsunterlage der Kommissionsdienststellen, Abschnitt 2.3.</w:t>
      </w:r>
    </w:p>
  </w:footnote>
  <w:footnote w:id="14">
    <w:p>
      <w:pPr>
        <w:pStyle w:val="FootnoteText"/>
        <w:spacing w:after="0"/>
        <w:ind w:left="709" w:hanging="709"/>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Siehe Eurostat-Statistiken: https://ec.europa.eu/eurostat/statistics-explained/index.php?title=File:Non-national_population_by_group_of_citizenship,_1_January_2019.png</w:t>
      </w:r>
    </w:p>
    <w:p>
      <w:pPr>
        <w:pStyle w:val="FootnoteText"/>
      </w:pPr>
    </w:p>
  </w:footnote>
  <w:footnote w:id="15">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Zu weiteren Einzelheiten siehe die Arbeitsunterlage der Kommissionsdienststellen, Abschnitt 2.3.</w:t>
      </w:r>
    </w:p>
  </w:footnote>
  <w:footnote w:id="16">
    <w:p>
      <w:pPr>
        <w:spacing w:after="0"/>
        <w:ind w:left="709" w:hanging="709"/>
        <w:jc w:val="both"/>
        <w:rPr>
          <w:rFonts w:ascii="Times New Roman" w:hAnsi="Times New Roman" w:cs="Times New Roman"/>
          <w:b/>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Für eine detaillierte Analyse der Statistiken der einzelnen Mitgliedstaaten zu Verurteilungen und Mitteilungen siehe Arbeitsunterlage der Kommissionsdienststellen, Abschnitt 3.</w:t>
      </w:r>
    </w:p>
  </w:footnote>
  <w:footnote w:id="17">
    <w:p>
      <w:pPr>
        <w:pStyle w:val="FootnoteText"/>
        <w:spacing w:after="0"/>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Für die Jahre 2017 und 2018 siehe die Arbeitsunterlage der Kommissionsdienststellen, Abschnitt 2.4.</w:t>
      </w:r>
    </w:p>
  </w:footnote>
  <w:footnote w:id="18">
    <w:p>
      <w:pPr>
        <w:jc w:val="both"/>
        <w:rPr>
          <w:rFonts w:ascii="Times New Roman" w:hAnsi="Times New Roman" w:cs="Times New Roman"/>
          <w:noProof/>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Für die Jahre 2017 und 2018 siehe die Arbeitsunterlage der Kommissionsdienststellen, Abschnitt 2.5.</w:t>
      </w:r>
    </w:p>
    <w:p>
      <w:pPr>
        <w:pStyle w:val="FootnoteText"/>
      </w:pPr>
    </w:p>
  </w:footnote>
  <w:footnote w:id="19">
    <w:p>
      <w:pPr>
        <w:pStyle w:val="FootnoteText"/>
        <w:ind w:left="851" w:hanging="851"/>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ab/>
        <w:t>Siehe Abschnitt 1.2.</w:t>
      </w:r>
    </w:p>
  </w:footnote>
  <w:footnote w:id="20">
    <w:p>
      <w:pPr>
        <w:pStyle w:val="FootnoteText"/>
        <w:ind w:left="851" w:hanging="851"/>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Zu weiteren Einzelheiten siehe die Arbeitsunterlage der Kommissionsdienststellen: Tabelle in Abschnitt 2.6. und Statistiken der einzelnen Mitgliedstaaten zu verspäteten Antworten in Abschnitt 3.</w:t>
      </w:r>
    </w:p>
  </w:footnote>
  <w:footnote w:id="21">
    <w:p>
      <w:pPr>
        <w:pStyle w:val="FootnoteText"/>
        <w:spacing w:after="0"/>
        <w:ind w:left="720" w:hanging="720"/>
        <w:rPr>
          <w:sz w:val="20"/>
        </w:rPr>
      </w:pPr>
      <w:r>
        <w:rPr>
          <w:rStyle w:val="FootnoteReference"/>
          <w:sz w:val="20"/>
        </w:rPr>
        <w:footnoteRef/>
      </w:r>
      <w:r>
        <w:rPr>
          <w:sz w:val="20"/>
        </w:rPr>
        <w:t xml:space="preserve"> </w:t>
      </w:r>
      <w:r>
        <w:rPr>
          <w:sz w:val="20"/>
        </w:rPr>
        <w:tab/>
      </w:r>
      <w:r>
        <w:rPr>
          <w:rFonts w:ascii="Times New Roman" w:hAnsi="Times New Roman"/>
          <w:sz w:val="20"/>
        </w:rPr>
        <w:t>Richtlinie 2011/93/EU zur Bekämpfung des sexuellen Missbrauchs und der sexuellen Ausbeutung von Kindern sowie der Kinderpornografie, ABl. L 335 vom 17.12.2011, S. 1.</w:t>
      </w:r>
    </w:p>
  </w:footnote>
  <w:footnote w:id="22">
    <w:p>
      <w:pPr>
        <w:spacing w:after="0"/>
        <w:ind w:left="709" w:hanging="709"/>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Weitere Einzelheiten über die Zahl der Ersuchen für verschiedene Kategorien von Zwecken im Zeitraum 2017-2019 können der Arbeitsunterlage für die Kommissionsdienststellen, Abschnitt 2.7., entnommen werden.</w:t>
      </w:r>
    </w:p>
  </w:footnote>
  <w:footnote w:id="23">
    <w:p>
      <w:pPr>
        <w:pStyle w:val="FootnoteText"/>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Siehe auch Tabelle in der Arbeitsunterlage der Kommissionsdienststellen, Abschnitt 2.8.</w:t>
      </w:r>
    </w:p>
  </w:footnote>
  <w:footnote w:id="24">
    <w:p>
      <w:pPr>
        <w:pStyle w:val="FootnoteText"/>
        <w:spacing w:after="0"/>
        <w:ind w:left="680" w:hanging="680"/>
        <w:jc w:val="both"/>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Verordnung (EU) 2019/816 zur Einrichtung von ECRIS-TCN, ABl. L 135 vom 22.5.2019, S. 1; Richtlinie (EU) 2019/884 zur Änderung des Rahmenbeschlusses 2009/315/JI des Rates, ABl. L 151 vom 7.6.2019, S. 143.</w:t>
      </w:r>
    </w:p>
  </w:footnote>
  <w:footnote w:id="25">
    <w:p>
      <w:pPr>
        <w:pStyle w:val="FootnoteText"/>
        <w:ind w:left="709" w:hanging="709"/>
        <w:rPr>
          <w:rFonts w:ascii="Times New Roman" w:hAnsi="Times New Roman" w:cs="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ab/>
        <w:t>Siehe Fußnote 9. Siehe auch die Tabelle in der Arbeitsunterlage der Kommissionsdienststellen, Abschnitt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B5"/>
    <w:multiLevelType w:val="hybridMultilevel"/>
    <w:tmpl w:val="587E3CAE"/>
    <w:lvl w:ilvl="0" w:tplc="147079E8">
      <w:start w:val="1"/>
      <w:numFmt w:val="bullet"/>
      <w:pStyle w:val="Listbullet2cm"/>
      <w:lvlText w:val=""/>
      <w:lvlJc w:val="left"/>
      <w:pPr>
        <w:tabs>
          <w:tab w:val="num" w:pos="1494"/>
        </w:tabs>
        <w:ind w:left="1474" w:hanging="340"/>
      </w:pPr>
      <w:rPr>
        <w:rFonts w:ascii="Symbol" w:hAnsi="Symbol" w:hint="default"/>
        <w:sz w:val="20"/>
      </w:rPr>
    </w:lvl>
    <w:lvl w:ilvl="1" w:tplc="2752F458">
      <w:start w:val="1"/>
      <w:numFmt w:val="bullet"/>
      <w:pStyle w:val="Listbullet2cm"/>
      <w:lvlText w:val=""/>
      <w:lvlJc w:val="left"/>
      <w:pPr>
        <w:tabs>
          <w:tab w:val="num" w:pos="1440"/>
        </w:tabs>
        <w:ind w:left="1420" w:hanging="340"/>
      </w:pPr>
      <w:rPr>
        <w:rFonts w:ascii="Symbol" w:hAnsi="Symbol" w:hint="default"/>
      </w:rPr>
    </w:lvl>
    <w:lvl w:ilvl="2" w:tplc="53A40F5C" w:tentative="1">
      <w:start w:val="1"/>
      <w:numFmt w:val="bullet"/>
      <w:lvlText w:val=""/>
      <w:lvlJc w:val="left"/>
      <w:pPr>
        <w:tabs>
          <w:tab w:val="num" w:pos="2160"/>
        </w:tabs>
        <w:ind w:left="2160" w:hanging="360"/>
      </w:pPr>
      <w:rPr>
        <w:rFonts w:ascii="Wingdings" w:hAnsi="Wingdings" w:hint="default"/>
      </w:rPr>
    </w:lvl>
    <w:lvl w:ilvl="3" w:tplc="7A2C8FDE" w:tentative="1">
      <w:start w:val="1"/>
      <w:numFmt w:val="bullet"/>
      <w:lvlText w:val=""/>
      <w:lvlJc w:val="left"/>
      <w:pPr>
        <w:tabs>
          <w:tab w:val="num" w:pos="2880"/>
        </w:tabs>
        <w:ind w:left="2880" w:hanging="360"/>
      </w:pPr>
      <w:rPr>
        <w:rFonts w:ascii="Symbol" w:hAnsi="Symbol" w:hint="default"/>
      </w:rPr>
    </w:lvl>
    <w:lvl w:ilvl="4" w:tplc="B874C7CC" w:tentative="1">
      <w:start w:val="1"/>
      <w:numFmt w:val="bullet"/>
      <w:lvlText w:val="o"/>
      <w:lvlJc w:val="left"/>
      <w:pPr>
        <w:tabs>
          <w:tab w:val="num" w:pos="3600"/>
        </w:tabs>
        <w:ind w:left="3600" w:hanging="360"/>
      </w:pPr>
      <w:rPr>
        <w:rFonts w:ascii="Courier New" w:hAnsi="Courier New" w:hint="default"/>
      </w:rPr>
    </w:lvl>
    <w:lvl w:ilvl="5" w:tplc="63D690E6" w:tentative="1">
      <w:start w:val="1"/>
      <w:numFmt w:val="bullet"/>
      <w:lvlText w:val=""/>
      <w:lvlJc w:val="left"/>
      <w:pPr>
        <w:tabs>
          <w:tab w:val="num" w:pos="4320"/>
        </w:tabs>
        <w:ind w:left="4320" w:hanging="360"/>
      </w:pPr>
      <w:rPr>
        <w:rFonts w:ascii="Wingdings" w:hAnsi="Wingdings" w:hint="default"/>
      </w:rPr>
    </w:lvl>
    <w:lvl w:ilvl="6" w:tplc="2D3E0C88" w:tentative="1">
      <w:start w:val="1"/>
      <w:numFmt w:val="bullet"/>
      <w:lvlText w:val=""/>
      <w:lvlJc w:val="left"/>
      <w:pPr>
        <w:tabs>
          <w:tab w:val="num" w:pos="5040"/>
        </w:tabs>
        <w:ind w:left="5040" w:hanging="360"/>
      </w:pPr>
      <w:rPr>
        <w:rFonts w:ascii="Symbol" w:hAnsi="Symbol" w:hint="default"/>
      </w:rPr>
    </w:lvl>
    <w:lvl w:ilvl="7" w:tplc="0AEC5C3E" w:tentative="1">
      <w:start w:val="1"/>
      <w:numFmt w:val="bullet"/>
      <w:lvlText w:val="o"/>
      <w:lvlJc w:val="left"/>
      <w:pPr>
        <w:tabs>
          <w:tab w:val="num" w:pos="5760"/>
        </w:tabs>
        <w:ind w:left="5760" w:hanging="360"/>
      </w:pPr>
      <w:rPr>
        <w:rFonts w:ascii="Courier New" w:hAnsi="Courier New" w:hint="default"/>
      </w:rPr>
    </w:lvl>
    <w:lvl w:ilvl="8" w:tplc="180A8BE6" w:tentative="1">
      <w:start w:val="1"/>
      <w:numFmt w:val="bullet"/>
      <w:lvlText w:val=""/>
      <w:lvlJc w:val="left"/>
      <w:pPr>
        <w:tabs>
          <w:tab w:val="num" w:pos="6480"/>
        </w:tabs>
        <w:ind w:left="6480" w:hanging="360"/>
      </w:pPr>
      <w:rPr>
        <w:rFonts w:ascii="Wingdings" w:hAnsi="Wingdings" w:hint="default"/>
      </w:rPr>
    </w:lvl>
  </w:abstractNum>
  <w:abstractNum w:abstractNumId="1">
    <w:nsid w:val="01A431A5"/>
    <w:multiLevelType w:val="singleLevel"/>
    <w:tmpl w:val="FCDAD016"/>
    <w:lvl w:ilvl="0">
      <w:start w:val="1"/>
      <w:numFmt w:val="bullet"/>
      <w:pStyle w:val="ListBullet1"/>
      <w:lvlText w:val=""/>
      <w:lvlJc w:val="left"/>
      <w:pPr>
        <w:tabs>
          <w:tab w:val="num" w:pos="360"/>
        </w:tabs>
        <w:ind w:left="360" w:hanging="360"/>
      </w:pPr>
      <w:rPr>
        <w:rFonts w:ascii="Wingdings" w:hAnsi="Wingdings" w:hint="default"/>
      </w:rPr>
    </w:lvl>
  </w:abstractNum>
  <w:abstractNum w:abstractNumId="2">
    <w:nsid w:val="061C00CF"/>
    <w:multiLevelType w:val="hybridMultilevel"/>
    <w:tmpl w:val="ABCAF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20208"/>
    <w:multiLevelType w:val="singleLevel"/>
    <w:tmpl w:val="B5AC3962"/>
    <w:lvl w:ilvl="0">
      <w:start w:val="1"/>
      <w:numFmt w:val="bullet"/>
      <w:pStyle w:val="Bullet"/>
      <w:lvlText w:val=""/>
      <w:lvlJc w:val="left"/>
      <w:pPr>
        <w:tabs>
          <w:tab w:val="num" w:pos="360"/>
        </w:tabs>
        <w:ind w:left="360" w:hanging="360"/>
      </w:pPr>
      <w:rPr>
        <w:rFonts w:ascii="Symbol" w:hAnsi="Symbol" w:hint="default"/>
      </w:rPr>
    </w:lvl>
  </w:abstractNum>
  <w:abstractNum w:abstractNumId="4">
    <w:nsid w:val="0CD14F8D"/>
    <w:multiLevelType w:val="hybridMultilevel"/>
    <w:tmpl w:val="21ECA3C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A86DCF"/>
    <w:multiLevelType w:val="hybridMultilevel"/>
    <w:tmpl w:val="023E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3773A"/>
    <w:multiLevelType w:val="singleLevel"/>
    <w:tmpl w:val="18CA76E8"/>
    <w:lvl w:ilvl="0">
      <w:start w:val="1"/>
      <w:numFmt w:val="bullet"/>
      <w:pStyle w:val="TaBult1"/>
      <w:lvlText w:val=""/>
      <w:lvlJc w:val="left"/>
      <w:pPr>
        <w:tabs>
          <w:tab w:val="num" w:pos="360"/>
        </w:tabs>
        <w:ind w:left="360" w:hanging="360"/>
      </w:pPr>
      <w:rPr>
        <w:rFonts w:ascii="Wingdings" w:hAnsi="Wingdings" w:hint="default"/>
      </w:rPr>
    </w:lvl>
  </w:abstractNum>
  <w:abstractNum w:abstractNumId="7">
    <w:nsid w:val="20231E57"/>
    <w:multiLevelType w:val="singleLevel"/>
    <w:tmpl w:val="B5E20F18"/>
    <w:lvl w:ilvl="0">
      <w:start w:val="1"/>
      <w:numFmt w:val="bullet"/>
      <w:pStyle w:val="Bullet1"/>
      <w:lvlText w:val=""/>
      <w:lvlJc w:val="left"/>
      <w:pPr>
        <w:tabs>
          <w:tab w:val="num" w:pos="360"/>
        </w:tabs>
        <w:ind w:left="360" w:hanging="360"/>
      </w:pPr>
      <w:rPr>
        <w:rFonts w:ascii="Symbol" w:hAnsi="Symbol" w:hint="default"/>
      </w:rPr>
    </w:lvl>
  </w:abstractNum>
  <w:abstractNum w:abstractNumId="8">
    <w:nsid w:val="22E44180"/>
    <w:multiLevelType w:val="multilevel"/>
    <w:tmpl w:val="6C90453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3CF01AE"/>
    <w:multiLevelType w:val="multilevel"/>
    <w:tmpl w:val="1E66B5CC"/>
    <w:lvl w:ilvl="0">
      <w:start w:val="1"/>
      <w:numFmt w:val="bullet"/>
      <w:pStyle w:val="List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B75631B"/>
    <w:multiLevelType w:val="singleLevel"/>
    <w:tmpl w:val="D1F2C4D8"/>
    <w:lvl w:ilvl="0">
      <w:start w:val="1"/>
      <w:numFmt w:val="bullet"/>
      <w:pStyle w:val="ListNumber"/>
      <w:lvlText w:val=""/>
      <w:lvlJc w:val="left"/>
      <w:pPr>
        <w:tabs>
          <w:tab w:val="num" w:pos="765"/>
        </w:tabs>
        <w:ind w:left="765" w:hanging="283"/>
      </w:pPr>
      <w:rPr>
        <w:rFonts w:ascii="Symbol" w:hAnsi="Symbol"/>
      </w:rPr>
    </w:lvl>
  </w:abstractNum>
  <w:abstractNum w:abstractNumId="11">
    <w:nsid w:val="2CD40552"/>
    <w:multiLevelType w:val="hybridMultilevel"/>
    <w:tmpl w:val="726C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ED044C"/>
    <w:multiLevelType w:val="hybridMultilevel"/>
    <w:tmpl w:val="279E5052"/>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144D28"/>
    <w:multiLevelType w:val="singleLevel"/>
    <w:tmpl w:val="6DC45E2C"/>
    <w:lvl w:ilvl="0">
      <w:start w:val="1"/>
      <w:numFmt w:val="bullet"/>
      <w:pStyle w:val="Bullet10"/>
      <w:lvlText w:val=""/>
      <w:lvlJc w:val="left"/>
      <w:pPr>
        <w:tabs>
          <w:tab w:val="num" w:pos="360"/>
        </w:tabs>
        <w:ind w:left="360" w:hanging="360"/>
      </w:pPr>
      <w:rPr>
        <w:rFonts w:ascii="Symbol" w:hAnsi="Symbol" w:hint="default"/>
      </w:rPr>
    </w:lvl>
  </w:abstractNum>
  <w:abstractNum w:abstractNumId="14">
    <w:nsid w:val="3C914D61"/>
    <w:multiLevelType w:val="singleLevel"/>
    <w:tmpl w:val="C2F6FA2A"/>
    <w:lvl w:ilvl="0">
      <w:start w:val="1"/>
      <w:numFmt w:val="decimal"/>
      <w:pStyle w:val="Listnumber2cm"/>
      <w:lvlText w:val="%1"/>
      <w:lvlJc w:val="left"/>
      <w:pPr>
        <w:tabs>
          <w:tab w:val="num" w:pos="1701"/>
        </w:tabs>
        <w:ind w:left="1701" w:hanging="567"/>
      </w:pPr>
      <w:rPr>
        <w:rFonts w:hint="default"/>
      </w:rPr>
    </w:lvl>
  </w:abstractNum>
  <w:abstractNum w:abstractNumId="15">
    <w:nsid w:val="3E503334"/>
    <w:multiLevelType w:val="hybridMultilevel"/>
    <w:tmpl w:val="8744AD0A"/>
    <w:lvl w:ilvl="0" w:tplc="080C0001">
      <w:start w:val="1"/>
      <w:numFmt w:val="bullet"/>
      <w:lvlText w:val=""/>
      <w:lvlJc w:val="left"/>
      <w:pPr>
        <w:ind w:left="643" w:hanging="360"/>
      </w:pPr>
      <w:rPr>
        <w:rFonts w:ascii="Symbol" w:hAnsi="Symbol"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nsid w:val="40A83CEA"/>
    <w:multiLevelType w:val="hybridMultilevel"/>
    <w:tmpl w:val="541C3B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1260B5C"/>
    <w:multiLevelType w:val="hybridMultilevel"/>
    <w:tmpl w:val="46301692"/>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2544AE5"/>
    <w:multiLevelType w:val="hybridMultilevel"/>
    <w:tmpl w:val="072697CC"/>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44AA7DEB"/>
    <w:multiLevelType w:val="singleLevel"/>
    <w:tmpl w:val="5798E670"/>
    <w:lvl w:ilvl="0">
      <w:start w:val="1"/>
      <w:numFmt w:val="bullet"/>
      <w:pStyle w:val="Puce2"/>
      <w:lvlText w:val=""/>
      <w:lvlJc w:val="left"/>
      <w:pPr>
        <w:tabs>
          <w:tab w:val="num" w:pos="927"/>
        </w:tabs>
        <w:ind w:left="907" w:hanging="340"/>
      </w:pPr>
      <w:rPr>
        <w:rFonts w:ascii="Wingdings" w:hAnsi="Wingdings" w:hint="default"/>
      </w:rPr>
    </w:lvl>
  </w:abstractNum>
  <w:abstractNum w:abstractNumId="20">
    <w:nsid w:val="465D172F"/>
    <w:multiLevelType w:val="multilevel"/>
    <w:tmpl w:val="9CBAF6BE"/>
    <w:lvl w:ilvl="0">
      <w:start w:val="1"/>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C3B30B9"/>
    <w:multiLevelType w:val="hybridMultilevel"/>
    <w:tmpl w:val="AD448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F12FAC"/>
    <w:multiLevelType w:val="hybridMultilevel"/>
    <w:tmpl w:val="DA3CDF7E"/>
    <w:lvl w:ilvl="0" w:tplc="E06C5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195C26"/>
    <w:multiLevelType w:val="singleLevel"/>
    <w:tmpl w:val="2A2099E6"/>
    <w:lvl w:ilvl="0">
      <w:start w:val="1"/>
      <w:numFmt w:val="bullet"/>
      <w:pStyle w:val="Lista"/>
      <w:lvlText w:val=""/>
      <w:lvlJc w:val="left"/>
      <w:pPr>
        <w:tabs>
          <w:tab w:val="num" w:pos="360"/>
        </w:tabs>
        <w:ind w:left="360" w:hanging="360"/>
      </w:pPr>
      <w:rPr>
        <w:rFonts w:ascii="Symbol" w:hAnsi="Symbol" w:hint="default"/>
      </w:rPr>
    </w:lvl>
  </w:abstractNum>
  <w:abstractNum w:abstractNumId="24">
    <w:nsid w:val="5687478B"/>
    <w:multiLevelType w:val="hybridMultilevel"/>
    <w:tmpl w:val="DF9CF0A4"/>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nsid w:val="5BB02CEE"/>
    <w:multiLevelType w:val="hybridMultilevel"/>
    <w:tmpl w:val="A47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EA11F0"/>
    <w:multiLevelType w:val="hybridMultilevel"/>
    <w:tmpl w:val="16D07B52"/>
    <w:lvl w:ilvl="0" w:tplc="E898B9B8">
      <w:start w:val="1"/>
      <w:numFmt w:val="bullet"/>
      <w:pStyle w:val="Listbullet1cm"/>
      <w:lvlText w:val=""/>
      <w:lvlJc w:val="left"/>
      <w:pPr>
        <w:tabs>
          <w:tab w:val="num" w:pos="1647"/>
        </w:tabs>
        <w:ind w:left="1627" w:hanging="340"/>
      </w:pPr>
      <w:rPr>
        <w:rFonts w:ascii="Symbol" w:hAnsi="Symbol" w:hint="default"/>
        <w:sz w:val="20"/>
      </w:rPr>
    </w:lvl>
    <w:lvl w:ilvl="1" w:tplc="387C74FA" w:tentative="1">
      <w:start w:val="1"/>
      <w:numFmt w:val="bullet"/>
      <w:lvlText w:val="o"/>
      <w:lvlJc w:val="left"/>
      <w:pPr>
        <w:tabs>
          <w:tab w:val="num" w:pos="1440"/>
        </w:tabs>
        <w:ind w:left="1440" w:hanging="360"/>
      </w:pPr>
      <w:rPr>
        <w:rFonts w:ascii="Courier New" w:hAnsi="Courier New" w:hint="default"/>
      </w:rPr>
    </w:lvl>
    <w:lvl w:ilvl="2" w:tplc="3B7E9B3E" w:tentative="1">
      <w:start w:val="1"/>
      <w:numFmt w:val="bullet"/>
      <w:lvlText w:val=""/>
      <w:lvlJc w:val="left"/>
      <w:pPr>
        <w:tabs>
          <w:tab w:val="num" w:pos="2160"/>
        </w:tabs>
        <w:ind w:left="2160" w:hanging="360"/>
      </w:pPr>
      <w:rPr>
        <w:rFonts w:ascii="Wingdings" w:hAnsi="Wingdings" w:hint="default"/>
      </w:rPr>
    </w:lvl>
    <w:lvl w:ilvl="3" w:tplc="24345B38" w:tentative="1">
      <w:start w:val="1"/>
      <w:numFmt w:val="bullet"/>
      <w:lvlText w:val=""/>
      <w:lvlJc w:val="left"/>
      <w:pPr>
        <w:tabs>
          <w:tab w:val="num" w:pos="2880"/>
        </w:tabs>
        <w:ind w:left="2880" w:hanging="360"/>
      </w:pPr>
      <w:rPr>
        <w:rFonts w:ascii="Symbol" w:hAnsi="Symbol" w:hint="default"/>
      </w:rPr>
    </w:lvl>
    <w:lvl w:ilvl="4" w:tplc="C8B8E8CC" w:tentative="1">
      <w:start w:val="1"/>
      <w:numFmt w:val="bullet"/>
      <w:lvlText w:val="o"/>
      <w:lvlJc w:val="left"/>
      <w:pPr>
        <w:tabs>
          <w:tab w:val="num" w:pos="3600"/>
        </w:tabs>
        <w:ind w:left="3600" w:hanging="360"/>
      </w:pPr>
      <w:rPr>
        <w:rFonts w:ascii="Courier New" w:hAnsi="Courier New" w:hint="default"/>
      </w:rPr>
    </w:lvl>
    <w:lvl w:ilvl="5" w:tplc="83DABCBE" w:tentative="1">
      <w:start w:val="1"/>
      <w:numFmt w:val="bullet"/>
      <w:lvlText w:val=""/>
      <w:lvlJc w:val="left"/>
      <w:pPr>
        <w:tabs>
          <w:tab w:val="num" w:pos="4320"/>
        </w:tabs>
        <w:ind w:left="4320" w:hanging="360"/>
      </w:pPr>
      <w:rPr>
        <w:rFonts w:ascii="Wingdings" w:hAnsi="Wingdings" w:hint="default"/>
      </w:rPr>
    </w:lvl>
    <w:lvl w:ilvl="6" w:tplc="65D04D92" w:tentative="1">
      <w:start w:val="1"/>
      <w:numFmt w:val="bullet"/>
      <w:lvlText w:val=""/>
      <w:lvlJc w:val="left"/>
      <w:pPr>
        <w:tabs>
          <w:tab w:val="num" w:pos="5040"/>
        </w:tabs>
        <w:ind w:left="5040" w:hanging="360"/>
      </w:pPr>
      <w:rPr>
        <w:rFonts w:ascii="Symbol" w:hAnsi="Symbol" w:hint="default"/>
      </w:rPr>
    </w:lvl>
    <w:lvl w:ilvl="7" w:tplc="476C85D6" w:tentative="1">
      <w:start w:val="1"/>
      <w:numFmt w:val="bullet"/>
      <w:lvlText w:val="o"/>
      <w:lvlJc w:val="left"/>
      <w:pPr>
        <w:tabs>
          <w:tab w:val="num" w:pos="5760"/>
        </w:tabs>
        <w:ind w:left="5760" w:hanging="360"/>
      </w:pPr>
      <w:rPr>
        <w:rFonts w:ascii="Courier New" w:hAnsi="Courier New" w:hint="default"/>
      </w:rPr>
    </w:lvl>
    <w:lvl w:ilvl="8" w:tplc="DF8A4592" w:tentative="1">
      <w:start w:val="1"/>
      <w:numFmt w:val="bullet"/>
      <w:lvlText w:val=""/>
      <w:lvlJc w:val="left"/>
      <w:pPr>
        <w:tabs>
          <w:tab w:val="num" w:pos="6480"/>
        </w:tabs>
        <w:ind w:left="6480" w:hanging="360"/>
      </w:pPr>
      <w:rPr>
        <w:rFonts w:ascii="Wingdings" w:hAnsi="Wingdings" w:hint="default"/>
      </w:rPr>
    </w:lvl>
  </w:abstractNum>
  <w:abstractNum w:abstractNumId="27">
    <w:nsid w:val="662B5C67"/>
    <w:multiLevelType w:val="singleLevel"/>
    <w:tmpl w:val="8F10F890"/>
    <w:lvl w:ilvl="0">
      <w:start w:val="1"/>
      <w:numFmt w:val="bullet"/>
      <w:pStyle w:val="BodyTextIndent"/>
      <w:lvlText w:val="–"/>
      <w:lvlJc w:val="left"/>
      <w:pPr>
        <w:tabs>
          <w:tab w:val="num" w:pos="283"/>
        </w:tabs>
        <w:ind w:left="283" w:hanging="283"/>
      </w:pPr>
      <w:rPr>
        <w:rFonts w:ascii="Times New Roman" w:hAnsi="Times New Roman"/>
      </w:rPr>
    </w:lvl>
  </w:abstractNum>
  <w:abstractNum w:abstractNumId="28">
    <w:nsid w:val="66C02E3F"/>
    <w:multiLevelType w:val="hybridMultilevel"/>
    <w:tmpl w:val="91B0992A"/>
    <w:lvl w:ilvl="0" w:tplc="BE84792A">
      <w:start w:val="1"/>
      <w:numFmt w:val="decimal"/>
      <w:lvlText w:val="%1."/>
      <w:lvlJc w:val="left"/>
      <w:pPr>
        <w:tabs>
          <w:tab w:val="num" w:pos="720"/>
        </w:tabs>
        <w:ind w:left="720" w:hanging="360"/>
      </w:pPr>
    </w:lvl>
    <w:lvl w:ilvl="1" w:tplc="AB4ADF3A">
      <w:start w:val="1"/>
      <w:numFmt w:val="bullet"/>
      <w:pStyle w:val="TableBullet"/>
      <w:lvlText w:val=""/>
      <w:lvlJc w:val="left"/>
      <w:pPr>
        <w:tabs>
          <w:tab w:val="num" w:pos="1440"/>
        </w:tabs>
        <w:ind w:left="1420" w:hanging="340"/>
      </w:pPr>
      <w:rPr>
        <w:rFonts w:ascii="Symbol" w:hAnsi="Symbol" w:hint="default"/>
      </w:rPr>
    </w:lvl>
    <w:lvl w:ilvl="2" w:tplc="728012D0">
      <w:start w:val="1"/>
      <w:numFmt w:val="lowerRoman"/>
      <w:lvlText w:val="%3."/>
      <w:lvlJc w:val="right"/>
      <w:pPr>
        <w:tabs>
          <w:tab w:val="num" w:pos="2160"/>
        </w:tabs>
        <w:ind w:left="2160" w:hanging="180"/>
      </w:pPr>
    </w:lvl>
    <w:lvl w:ilvl="3" w:tplc="188E441A" w:tentative="1">
      <w:start w:val="1"/>
      <w:numFmt w:val="decimal"/>
      <w:lvlText w:val="%4."/>
      <w:lvlJc w:val="left"/>
      <w:pPr>
        <w:tabs>
          <w:tab w:val="num" w:pos="2880"/>
        </w:tabs>
        <w:ind w:left="2880" w:hanging="360"/>
      </w:pPr>
    </w:lvl>
    <w:lvl w:ilvl="4" w:tplc="FD262742" w:tentative="1">
      <w:start w:val="1"/>
      <w:numFmt w:val="lowerLetter"/>
      <w:lvlText w:val="%5."/>
      <w:lvlJc w:val="left"/>
      <w:pPr>
        <w:tabs>
          <w:tab w:val="num" w:pos="3600"/>
        </w:tabs>
        <w:ind w:left="3600" w:hanging="360"/>
      </w:pPr>
    </w:lvl>
    <w:lvl w:ilvl="5" w:tplc="77C2C0B4" w:tentative="1">
      <w:start w:val="1"/>
      <w:numFmt w:val="lowerRoman"/>
      <w:lvlText w:val="%6."/>
      <w:lvlJc w:val="right"/>
      <w:pPr>
        <w:tabs>
          <w:tab w:val="num" w:pos="4320"/>
        </w:tabs>
        <w:ind w:left="4320" w:hanging="180"/>
      </w:pPr>
    </w:lvl>
    <w:lvl w:ilvl="6" w:tplc="38D81E78" w:tentative="1">
      <w:start w:val="1"/>
      <w:numFmt w:val="decimal"/>
      <w:lvlText w:val="%7."/>
      <w:lvlJc w:val="left"/>
      <w:pPr>
        <w:tabs>
          <w:tab w:val="num" w:pos="5040"/>
        </w:tabs>
        <w:ind w:left="5040" w:hanging="360"/>
      </w:pPr>
    </w:lvl>
    <w:lvl w:ilvl="7" w:tplc="20EC8814" w:tentative="1">
      <w:start w:val="1"/>
      <w:numFmt w:val="lowerLetter"/>
      <w:lvlText w:val="%8."/>
      <w:lvlJc w:val="left"/>
      <w:pPr>
        <w:tabs>
          <w:tab w:val="num" w:pos="5760"/>
        </w:tabs>
        <w:ind w:left="5760" w:hanging="360"/>
      </w:pPr>
    </w:lvl>
    <w:lvl w:ilvl="8" w:tplc="EF3C8C46" w:tentative="1">
      <w:start w:val="1"/>
      <w:numFmt w:val="lowerRoman"/>
      <w:lvlText w:val="%9."/>
      <w:lvlJc w:val="right"/>
      <w:pPr>
        <w:tabs>
          <w:tab w:val="num" w:pos="6480"/>
        </w:tabs>
        <w:ind w:left="6480" w:hanging="180"/>
      </w:pPr>
    </w:lvl>
  </w:abstractNum>
  <w:abstractNum w:abstractNumId="29">
    <w:nsid w:val="67381CEE"/>
    <w:multiLevelType w:val="hybridMultilevel"/>
    <w:tmpl w:val="BAF0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58419E"/>
    <w:multiLevelType w:val="multilevel"/>
    <w:tmpl w:val="DDD0F768"/>
    <w:lvl w:ilvl="0">
      <w:start w:val="1"/>
      <w:numFmt w:val="bullet"/>
      <w:pStyle w:val="SteriaBullet"/>
      <w:lvlText w:val=""/>
      <w:lvlJc w:val="left"/>
      <w:pPr>
        <w:tabs>
          <w:tab w:val="num" w:pos="4235"/>
        </w:tabs>
        <w:ind w:left="4235" w:hanging="360"/>
      </w:pPr>
      <w:rPr>
        <w:rFonts w:ascii="Wingdings" w:hAnsi="Wingdings" w:hint="default"/>
        <w:color w:val="FF590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AE4708B"/>
    <w:multiLevelType w:val="hybridMultilevel"/>
    <w:tmpl w:val="9654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6764EE"/>
    <w:multiLevelType w:val="multilevel"/>
    <w:tmpl w:val="590CAE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130"/>
        </w:tabs>
        <w:ind w:left="3130" w:hanging="720"/>
      </w:pPr>
    </w:lvl>
    <w:lvl w:ilvl="3">
      <w:start w:val="1"/>
      <w:numFmt w:val="decimal"/>
      <w:pStyle w:val="Heading4"/>
      <w:lvlText w:val="%1.%2.%3.%4"/>
      <w:lvlJc w:val="left"/>
      <w:pPr>
        <w:tabs>
          <w:tab w:val="num" w:pos="3842"/>
        </w:tabs>
        <w:ind w:left="3842" w:hanging="864"/>
      </w:pPr>
    </w:lvl>
    <w:lvl w:ilvl="4">
      <w:start w:val="1"/>
      <w:numFmt w:val="decimal"/>
      <w:pStyle w:val="Heading5"/>
      <w:lvlText w:val="%1.%2.%3.%4.%5"/>
      <w:lvlJc w:val="left"/>
      <w:pPr>
        <w:tabs>
          <w:tab w:val="num" w:pos="4269"/>
        </w:tabs>
        <w:ind w:left="4269"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74A06403"/>
    <w:multiLevelType w:val="hybridMultilevel"/>
    <w:tmpl w:val="9F4A8AF2"/>
    <w:lvl w:ilvl="0" w:tplc="DC7AC5D2">
      <w:start w:val="1"/>
      <w:numFmt w:val="decimal"/>
      <w:pStyle w:val="Listnumber1cm"/>
      <w:lvlText w:val="%1"/>
      <w:lvlJc w:val="left"/>
      <w:pPr>
        <w:tabs>
          <w:tab w:val="num" w:pos="927"/>
        </w:tabs>
        <w:ind w:left="851" w:hanging="284"/>
      </w:pPr>
      <w:rPr>
        <w:rFonts w:hint="default"/>
      </w:rPr>
    </w:lvl>
    <w:lvl w:ilvl="1" w:tplc="AFFCEF48" w:tentative="1">
      <w:start w:val="1"/>
      <w:numFmt w:val="lowerLetter"/>
      <w:lvlText w:val="%2."/>
      <w:lvlJc w:val="left"/>
      <w:pPr>
        <w:tabs>
          <w:tab w:val="num" w:pos="1440"/>
        </w:tabs>
        <w:ind w:left="1440" w:hanging="360"/>
      </w:pPr>
    </w:lvl>
    <w:lvl w:ilvl="2" w:tplc="279CE068" w:tentative="1">
      <w:start w:val="1"/>
      <w:numFmt w:val="lowerRoman"/>
      <w:lvlText w:val="%3."/>
      <w:lvlJc w:val="right"/>
      <w:pPr>
        <w:tabs>
          <w:tab w:val="num" w:pos="2160"/>
        </w:tabs>
        <w:ind w:left="2160" w:hanging="180"/>
      </w:pPr>
    </w:lvl>
    <w:lvl w:ilvl="3" w:tplc="BA000492" w:tentative="1">
      <w:start w:val="1"/>
      <w:numFmt w:val="decimal"/>
      <w:lvlText w:val="%4."/>
      <w:lvlJc w:val="left"/>
      <w:pPr>
        <w:tabs>
          <w:tab w:val="num" w:pos="2880"/>
        </w:tabs>
        <w:ind w:left="2880" w:hanging="360"/>
      </w:pPr>
    </w:lvl>
    <w:lvl w:ilvl="4" w:tplc="A1E8A902" w:tentative="1">
      <w:start w:val="1"/>
      <w:numFmt w:val="lowerLetter"/>
      <w:lvlText w:val="%5."/>
      <w:lvlJc w:val="left"/>
      <w:pPr>
        <w:tabs>
          <w:tab w:val="num" w:pos="3600"/>
        </w:tabs>
        <w:ind w:left="3600" w:hanging="360"/>
      </w:pPr>
    </w:lvl>
    <w:lvl w:ilvl="5" w:tplc="4D2E328A" w:tentative="1">
      <w:start w:val="1"/>
      <w:numFmt w:val="lowerRoman"/>
      <w:lvlText w:val="%6."/>
      <w:lvlJc w:val="right"/>
      <w:pPr>
        <w:tabs>
          <w:tab w:val="num" w:pos="4320"/>
        </w:tabs>
        <w:ind w:left="4320" w:hanging="180"/>
      </w:pPr>
    </w:lvl>
    <w:lvl w:ilvl="6" w:tplc="27E29162" w:tentative="1">
      <w:start w:val="1"/>
      <w:numFmt w:val="decimal"/>
      <w:lvlText w:val="%7."/>
      <w:lvlJc w:val="left"/>
      <w:pPr>
        <w:tabs>
          <w:tab w:val="num" w:pos="5040"/>
        </w:tabs>
        <w:ind w:left="5040" w:hanging="360"/>
      </w:pPr>
    </w:lvl>
    <w:lvl w:ilvl="7" w:tplc="D1B82ED0" w:tentative="1">
      <w:start w:val="1"/>
      <w:numFmt w:val="lowerLetter"/>
      <w:lvlText w:val="%8."/>
      <w:lvlJc w:val="left"/>
      <w:pPr>
        <w:tabs>
          <w:tab w:val="num" w:pos="5760"/>
        </w:tabs>
        <w:ind w:left="5760" w:hanging="360"/>
      </w:pPr>
    </w:lvl>
    <w:lvl w:ilvl="8" w:tplc="2C0A0A6A" w:tentative="1">
      <w:start w:val="1"/>
      <w:numFmt w:val="lowerRoman"/>
      <w:lvlText w:val="%9."/>
      <w:lvlJc w:val="right"/>
      <w:pPr>
        <w:tabs>
          <w:tab w:val="num" w:pos="6480"/>
        </w:tabs>
        <w:ind w:left="6480" w:hanging="180"/>
      </w:pPr>
    </w:lvl>
  </w:abstractNum>
  <w:abstractNum w:abstractNumId="34">
    <w:nsid w:val="7EE31169"/>
    <w:multiLevelType w:val="hybridMultilevel"/>
    <w:tmpl w:val="29BED7C2"/>
    <w:lvl w:ilvl="0" w:tplc="E06C5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8"/>
  </w:num>
  <w:num w:numId="3">
    <w:abstractNumId w:val="0"/>
  </w:num>
  <w:num w:numId="4">
    <w:abstractNumId w:val="14"/>
  </w:num>
  <w:num w:numId="5">
    <w:abstractNumId w:val="26"/>
  </w:num>
  <w:num w:numId="6">
    <w:abstractNumId w:val="33"/>
  </w:num>
  <w:num w:numId="7">
    <w:abstractNumId w:val="20"/>
  </w:num>
  <w:num w:numId="8">
    <w:abstractNumId w:val="3"/>
  </w:num>
  <w:num w:numId="9">
    <w:abstractNumId w:val="7"/>
  </w:num>
  <w:num w:numId="10">
    <w:abstractNumId w:val="13"/>
  </w:num>
  <w:num w:numId="11">
    <w:abstractNumId w:val="23"/>
  </w:num>
  <w:num w:numId="12">
    <w:abstractNumId w:val="9"/>
  </w:num>
  <w:num w:numId="13">
    <w:abstractNumId w:val="1"/>
  </w:num>
  <w:num w:numId="14">
    <w:abstractNumId w:val="10"/>
  </w:num>
  <w:num w:numId="15">
    <w:abstractNumId w:val="19"/>
  </w:num>
  <w:num w:numId="16">
    <w:abstractNumId w:val="30"/>
  </w:num>
  <w:num w:numId="17">
    <w:abstractNumId w:val="6"/>
  </w:num>
  <w:num w:numId="18">
    <w:abstractNumId w:val="27"/>
  </w:num>
  <w:num w:numId="19">
    <w:abstractNumId w:val="11"/>
  </w:num>
  <w:num w:numId="20">
    <w:abstractNumId w:val="31"/>
  </w:num>
  <w:num w:numId="21">
    <w:abstractNumId w:val="8"/>
  </w:num>
  <w:num w:numId="22">
    <w:abstractNumId w:val="21"/>
  </w:num>
  <w:num w:numId="23">
    <w:abstractNumId w:val="32"/>
  </w:num>
  <w:num w:numId="24">
    <w:abstractNumId w:val="32"/>
  </w:num>
  <w:num w:numId="25">
    <w:abstractNumId w:val="32"/>
  </w:num>
  <w:num w:numId="26">
    <w:abstractNumId w:val="32"/>
  </w:num>
  <w:num w:numId="27">
    <w:abstractNumId w:val="15"/>
  </w:num>
  <w:num w:numId="28">
    <w:abstractNumId w:val="22"/>
  </w:num>
  <w:num w:numId="29">
    <w:abstractNumId w:val="34"/>
  </w:num>
  <w:num w:numId="30">
    <w:abstractNumId w:val="32"/>
  </w:num>
  <w:num w:numId="31">
    <w:abstractNumId w:val="25"/>
  </w:num>
  <w:num w:numId="32">
    <w:abstractNumId w:val="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2"/>
  </w:num>
  <w:num w:numId="42">
    <w:abstractNumId w:val="29"/>
  </w:num>
  <w:num w:numId="43">
    <w:abstractNumId w:val="17"/>
  </w:num>
  <w:num w:numId="44">
    <w:abstractNumId w:val="4"/>
  </w:num>
  <w:num w:numId="45">
    <w:abstractNumId w:val="24"/>
  </w:num>
  <w:num w:numId="46">
    <w:abstractNumId w:val="12"/>
  </w:num>
  <w:num w:numId="47">
    <w:abstractNumId w:val="16"/>
  </w:num>
  <w:num w:numId="4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82DA212-BCBF-4F4C-ADC2-487A21554FE4"/>
    <w:docVar w:name="LW_COVERPAGE_TYPE" w:val="1"/>
    <w:docVar w:name="LW_CROSSREFERENCE" w:val="{SWD(2020) 378 final}"/>
    <w:docVar w:name="LW_DocType" w:val="NORMAL"/>
    <w:docVar w:name="LW_EMISSION" w:val="21.12.2020"/>
    <w:docVar w:name="LW_EMISSION_ISODATE" w:val="2020-12-21"/>
    <w:docVar w:name="LW_EMISSION_LOCATION" w:val="BRX"/>
    <w:docVar w:name="LW_EMISSION_PREFIX" w:val="Brüssel, den "/>
    <w:docVar w:name="LW_EMISSION_SUFFIX" w:val=" "/>
    <w:docVar w:name="LW_ID_DOCTYPE_NONLW" w:val="CP-006"/>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0) 7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über den Austausch von Strafregisterinformationen zwischen den Mitgliedstaaten über das Europäische Strafregisterinformationssystem (ECRIS)"/>
    <w:docVar w:name="LW_TYPE.DOC.CP" w:val="BERICHT DER KOMMISSION AN DAS EUROPÄISCHE PARLAMENT UND DEN RAT"/>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aliases w:val="t1,TITRE1,heading 1,Titre 11,t1.T1.Titre 1,Titre 1ed,t1.T1.Titre 1Annexe,H1,t1.T1,h1,l1,H,GSA1,Titre 1:,T1,Chapitre 1,1,Level 1,Heading 1 Colored,Chapter title,ch,MIGHeading 1,ch1,Bold 18,CMG H1,NCS-H1,überschrift1,überschrift11,überschrift12"/>
    <w:basedOn w:val="Normal"/>
    <w:next w:val="Normal"/>
    <w:uiPriority w:val="9"/>
    <w:qFormat/>
    <w:pPr>
      <w:keepNext/>
      <w:pageBreakBefore/>
      <w:numPr>
        <w:numId w:val="1"/>
      </w:numPr>
      <w:pBdr>
        <w:bottom w:val="single" w:sz="12" w:space="1" w:color="FF6600"/>
      </w:pBdr>
      <w:spacing w:before="120" w:after="240"/>
      <w:outlineLvl w:val="0"/>
    </w:pPr>
    <w:rPr>
      <w:b/>
      <w:smallCaps/>
      <w:color w:val="000080"/>
      <w:kern w:val="28"/>
      <w:sz w:val="36"/>
    </w:rPr>
  </w:style>
  <w:style w:type="paragraph" w:styleId="Heading2">
    <w:name w:val="heading 2"/>
    <w:aliases w:val="T2,h2,L2,H2,Punt 2,l2,2,Titre 21,t2.T2,t2,Contrat 2,Ctt,t2.T2.Titre 2,TITRE 2,Titre 2ed,Heading 2 Hidden,heading 2,Chapter Number/Appendix Letter,chn,Titre niveau 2,Level 2,Chapitre 2,paragraphe,Titre 2 - RAO,Specf Titre 2,Heading 2a,Header 2"/>
    <w:basedOn w:val="Normal"/>
    <w:next w:val="Normal"/>
    <w:link w:val="Heading2Char"/>
    <w:qFormat/>
    <w:pPr>
      <w:keepNext/>
      <w:numPr>
        <w:ilvl w:val="1"/>
        <w:numId w:val="1"/>
      </w:numPr>
      <w:pBdr>
        <w:bottom w:val="single" w:sz="12" w:space="1" w:color="000080"/>
      </w:pBdr>
      <w:spacing w:before="120"/>
      <w:outlineLvl w:val="1"/>
    </w:pPr>
    <w:rPr>
      <w:b/>
      <w:bCs/>
      <w:smallCaps/>
      <w:color w:val="000080"/>
      <w:sz w:val="32"/>
    </w:rPr>
  </w:style>
  <w:style w:type="paragraph" w:styleId="Heading3">
    <w:name w:val="heading 3"/>
    <w:aliases w:val="3,Titre 31,t3.T3,heading 3,Titre 3+,H3,Titre niveau 3,Titre3,t3,Contrat 3,Titre 3 SQ,Titre 3 SQ1,Titre 3 SQ2,Titre 3 SQ3,Titre 3 SQ4,Titre 3 SQ5,Titre 3 SQ6,Titre 3 SQ7,h3,3rd level,l3,CT,Heading 3 - old,Titre 3 .3,Titre 311,Titre 3 .31,1.2.3."/>
    <w:basedOn w:val="Normal"/>
    <w:next w:val="Normal"/>
    <w:qFormat/>
    <w:pPr>
      <w:keepNext/>
      <w:numPr>
        <w:ilvl w:val="2"/>
        <w:numId w:val="1"/>
      </w:numPr>
      <w:spacing w:before="240" w:after="60"/>
      <w:outlineLvl w:val="2"/>
    </w:pPr>
    <w:rPr>
      <w:b/>
      <w:bCs/>
      <w:smallCaps/>
      <w:color w:val="000080"/>
      <w:sz w:val="28"/>
    </w:rPr>
  </w:style>
  <w:style w:type="paragraph" w:styleId="Heading4">
    <w:name w:val="heading 4"/>
    <w:aliases w:val="4,H4,Titre 41,t4.T4,t4,Chapitre 1.1.1.,Alinéa,dash,h4,Ref Heading 1,rh1,First Subheading,T4,t4.T4.Titre 4,heading 4,l4,I4,(Shift Ctrl 4),Schedules,Heading 4 CFMU"/>
    <w:basedOn w:val="Normal"/>
    <w:next w:val="Normal"/>
    <w:link w:val="Heading4Char"/>
    <w:qFormat/>
    <w:pPr>
      <w:keepNext/>
      <w:numPr>
        <w:ilvl w:val="3"/>
        <w:numId w:val="1"/>
      </w:numPr>
      <w:spacing w:before="240" w:after="60"/>
      <w:outlineLvl w:val="3"/>
    </w:pPr>
    <w:rPr>
      <w:b/>
      <w:smallCaps/>
      <w:color w:val="000080"/>
      <w:sz w:val="24"/>
    </w:rPr>
  </w:style>
  <w:style w:type="paragraph" w:styleId="Heading5">
    <w:name w:val="heading 5"/>
    <w:aliases w:val="H5,Chapitre 1.1.1.1.,Ref Heading 2,rh2,h5,Second Subheading,heading 5,Heading 5 CFMU,Para 5,(Shift Ctrl 5),Appendix A to X,Heading 5   Appendix A to X"/>
    <w:basedOn w:val="Normal"/>
    <w:next w:val="Normal"/>
    <w:qFormat/>
    <w:pPr>
      <w:numPr>
        <w:ilvl w:val="4"/>
        <w:numId w:val="1"/>
      </w:numPr>
      <w:spacing w:before="240" w:after="60"/>
      <w:outlineLvl w:val="4"/>
    </w:pPr>
    <w:rPr>
      <w:b/>
      <w:bCs/>
      <w:smallCaps/>
      <w:color w:val="000080"/>
    </w:rPr>
  </w:style>
  <w:style w:type="paragraph" w:styleId="Heading6">
    <w:name w:val="heading 6"/>
    <w:aliases w:val="6,Heading 6  Appendix Y &amp; Z,h6,Heading 6 CFMU"/>
    <w:basedOn w:val="Normal"/>
    <w:next w:val="Normal"/>
    <w:qFormat/>
    <w:pPr>
      <w:numPr>
        <w:ilvl w:val="5"/>
        <w:numId w:val="1"/>
      </w:numPr>
      <w:spacing w:before="240" w:after="60"/>
      <w:outlineLvl w:val="5"/>
    </w:pPr>
    <w:rPr>
      <w:i/>
      <w:sz w:val="22"/>
    </w:rPr>
  </w:style>
  <w:style w:type="paragraph" w:styleId="Heading7">
    <w:name w:val="heading 7"/>
    <w:aliases w:val="H7,(Shift Ctrl 7),Heading 7 CFMU"/>
    <w:basedOn w:val="Normal"/>
    <w:next w:val="Normal"/>
    <w:qFormat/>
    <w:pPr>
      <w:numPr>
        <w:ilvl w:val="6"/>
        <w:numId w:val="1"/>
      </w:numPr>
      <w:spacing w:before="240" w:after="60"/>
      <w:outlineLvl w:val="6"/>
    </w:pPr>
  </w:style>
  <w:style w:type="paragraph" w:styleId="Heading8">
    <w:name w:val="heading 8"/>
    <w:aliases w:val="Heading 8 CFMU"/>
    <w:basedOn w:val="Normal"/>
    <w:next w:val="Normal"/>
    <w:qFormat/>
    <w:pPr>
      <w:numPr>
        <w:ilvl w:val="7"/>
        <w:numId w:val="1"/>
      </w:numPr>
      <w:spacing w:before="240" w:after="60"/>
      <w:outlineLvl w:val="7"/>
    </w:pPr>
    <w:rPr>
      <w:i/>
    </w:rPr>
  </w:style>
  <w:style w:type="paragraph" w:styleId="Heading9">
    <w:name w:val="heading 9"/>
    <w:aliases w:val="App Heading,Heading 9 CFMU"/>
    <w:basedOn w:val="Normal"/>
    <w:next w:val="Normal"/>
    <w:qFormat/>
    <w:pPr>
      <w:numPr>
        <w:ilvl w:val="8"/>
        <w:numId w:val="1"/>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jc w:val="both"/>
    </w:pPr>
    <w:rPr>
      <w:rFonts w:ascii="Times New Roman" w:eastAsiaTheme="minorHAnsi" w:hAnsi="Times New Roman" w:cs="Times New Roman"/>
      <w:sz w:val="24"/>
      <w:szCs w:val="22"/>
      <w:lang w:eastAsia="en-US"/>
    </w:rPr>
  </w:style>
  <w:style w:type="paragraph" w:customStyle="1" w:styleId="Bullet1">
    <w:name w:val="Bullet 1"/>
    <w:basedOn w:val="Normal"/>
    <w:pPr>
      <w:numPr>
        <w:numId w:val="9"/>
      </w:numPr>
      <w:tabs>
        <w:tab w:val="clear" w:pos="360"/>
        <w:tab w:val="num" w:pos="900"/>
      </w:tabs>
      <w:spacing w:after="0"/>
      <w:ind w:left="900" w:firstLine="0"/>
      <w:jc w:val="both"/>
    </w:pPr>
    <w:rPr>
      <w:sz w:val="22"/>
    </w:rPr>
  </w:style>
  <w:style w:type="paragraph" w:customStyle="1" w:styleId="Listnumber1cm">
    <w:name w:val="List number 1cm"/>
    <w:basedOn w:val="Normal"/>
    <w:pPr>
      <w:numPr>
        <w:numId w:val="6"/>
      </w:numPr>
      <w:tabs>
        <w:tab w:val="clear" w:pos="927"/>
        <w:tab w:val="num" w:pos="360"/>
        <w:tab w:val="left" w:pos="851"/>
      </w:tabs>
      <w:ind w:left="0" w:firstLine="0"/>
    </w:pPr>
  </w:style>
  <w:style w:type="paragraph" w:customStyle="1" w:styleId="Tableheading">
    <w:name w:val="Table heading"/>
    <w:basedOn w:val="Normal"/>
    <w:pPr>
      <w:spacing w:before="120"/>
      <w:jc w:val="center"/>
    </w:pPr>
    <w:rPr>
      <w:b/>
      <w:color w:val="000080"/>
    </w:rPr>
  </w:style>
  <w:style w:type="paragraph" w:customStyle="1" w:styleId="Tabletext">
    <w:name w:val="Table text"/>
    <w:basedOn w:val="Normal"/>
    <w:pPr>
      <w:spacing w:before="60" w:after="60"/>
    </w:pPr>
  </w:style>
  <w:style w:type="paragraph" w:styleId="TOC1">
    <w:name w:val="toc 1"/>
    <w:basedOn w:val="Normal"/>
    <w:next w:val="Normal"/>
    <w:autoRedefine/>
    <w:uiPriority w:val="39"/>
    <w:pPr>
      <w:spacing w:before="120"/>
    </w:pPr>
    <w:rPr>
      <w:b/>
      <w:bCs/>
      <w:caps/>
      <w:szCs w:val="24"/>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ascii="Times New Roman" w:eastAsiaTheme="minorHAnsi" w:hAnsi="Times New Roman" w:cs="Times New Roman"/>
      <w:sz w:val="24"/>
      <w:szCs w:val="22"/>
      <w:lang w:eastAsia="en-US"/>
    </w:rPr>
  </w:style>
  <w:style w:type="paragraph" w:styleId="Title">
    <w:name w:val="Title"/>
    <w:basedOn w:val="Normal"/>
    <w:next w:val="Normal"/>
    <w:link w:val="TitleChar"/>
    <w:qFormat/>
    <w:pPr>
      <w:keepLines/>
      <w:spacing w:before="480" w:after="480"/>
      <w:jc w:val="center"/>
    </w:pPr>
    <w:rPr>
      <w:b/>
      <w:caps/>
      <w:color w:val="000080"/>
      <w:sz w:val="32"/>
    </w:rPr>
  </w:style>
  <w:style w:type="paragraph" w:styleId="TOC2">
    <w:name w:val="toc 2"/>
    <w:basedOn w:val="Normal"/>
    <w:next w:val="Normal"/>
    <w:autoRedefine/>
    <w:uiPriority w:val="39"/>
    <w:pPr>
      <w:ind w:left="200"/>
    </w:pPr>
    <w:rPr>
      <w:smallCaps/>
      <w:szCs w:val="24"/>
    </w:rPr>
  </w:style>
  <w:style w:type="paragraph" w:styleId="TOC3">
    <w:name w:val="toc 3"/>
    <w:basedOn w:val="Normal"/>
    <w:next w:val="Normal"/>
    <w:autoRedefine/>
    <w:uiPriority w:val="39"/>
    <w:pPr>
      <w:ind w:left="400"/>
    </w:pPr>
    <w:rPr>
      <w:i/>
      <w:iCs/>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customStyle="1" w:styleId="TableBullet">
    <w:name w:val="Table Bullet"/>
    <w:basedOn w:val="Normal"/>
    <w:pPr>
      <w:numPr>
        <w:ilvl w:val="1"/>
        <w:numId w:val="2"/>
      </w:numPr>
      <w:tabs>
        <w:tab w:val="clear" w:pos="1440"/>
        <w:tab w:val="num" w:pos="128"/>
      </w:tabs>
      <w:ind w:left="128" w:hanging="128"/>
    </w:pPr>
  </w:style>
  <w:style w:type="character" w:styleId="FollowedHyperlink">
    <w:name w:val="FollowedHyperlink"/>
    <w:rPr>
      <w:color w:val="800080"/>
      <w:u w:val="single"/>
    </w:rPr>
  </w:style>
  <w:style w:type="paragraph" w:customStyle="1" w:styleId="Listbullet1cm">
    <w:name w:val="List bullet 1cm"/>
    <w:basedOn w:val="Normal"/>
    <w:pPr>
      <w:numPr>
        <w:numId w:val="5"/>
      </w:numPr>
      <w:tabs>
        <w:tab w:val="clear" w:pos="1647"/>
        <w:tab w:val="num" w:pos="851"/>
      </w:tabs>
      <w:ind w:left="851" w:hanging="284"/>
    </w:pPr>
    <w:rPr>
      <w:rFonts w:eastAsia="MS Mincho"/>
      <w:lang w:eastAsia="ja-JP"/>
    </w:rPr>
  </w:style>
  <w:style w:type="paragraph" w:customStyle="1" w:styleId="Listbullet2cm">
    <w:name w:val="List bullet 2cm"/>
    <w:basedOn w:val="Normal"/>
    <w:pPr>
      <w:numPr>
        <w:numId w:val="3"/>
      </w:numPr>
    </w:pPr>
  </w:style>
  <w:style w:type="paragraph" w:styleId="FootnoteText">
    <w:name w:val="footnote text"/>
    <w:basedOn w:val="Normal"/>
    <w:link w:val="FootnoteTextChar"/>
    <w:semiHidden/>
    <w:rPr>
      <w:sz w:val="16"/>
    </w:rPr>
  </w:style>
  <w:style w:type="character" w:styleId="FootnoteReference">
    <w:name w:val="footnote reference"/>
    <w:semiHidden/>
    <w:rPr>
      <w:vertAlign w:val="superscript"/>
    </w:rPr>
  </w:style>
  <w:style w:type="paragraph" w:customStyle="1" w:styleId="Listnumber2cm">
    <w:name w:val="List number 2cm"/>
    <w:basedOn w:val="Listbullet2cm"/>
    <w:pPr>
      <w:numPr>
        <w:numId w:val="4"/>
      </w:numPr>
      <w:tabs>
        <w:tab w:val="clear" w:pos="1701"/>
        <w:tab w:val="num" w:pos="1418"/>
      </w:tabs>
      <w:ind w:left="1418" w:hanging="284"/>
    </w:pPr>
  </w:style>
  <w:style w:type="paragraph" w:customStyle="1" w:styleId="ListNumber1">
    <w:name w:val="List Number 1"/>
    <w:basedOn w:val="Normal"/>
    <w:pPr>
      <w:numPr>
        <w:numId w:val="7"/>
      </w:numPr>
      <w:spacing w:before="240" w:after="240"/>
      <w:jc w:val="both"/>
    </w:pPr>
    <w:rPr>
      <w:sz w:val="22"/>
    </w:rPr>
  </w:style>
  <w:style w:type="paragraph" w:customStyle="1" w:styleId="ListNumber1Level2">
    <w:name w:val="List Number 1 (Level 2)"/>
    <w:basedOn w:val="Normal"/>
    <w:pPr>
      <w:numPr>
        <w:ilvl w:val="1"/>
        <w:numId w:val="7"/>
      </w:numPr>
      <w:spacing w:after="240"/>
      <w:jc w:val="both"/>
    </w:pPr>
    <w:rPr>
      <w:sz w:val="22"/>
    </w:rPr>
  </w:style>
  <w:style w:type="paragraph" w:customStyle="1" w:styleId="ListNumber1Level3">
    <w:name w:val="List Number 1 (Level 3)"/>
    <w:basedOn w:val="Normal"/>
    <w:pPr>
      <w:numPr>
        <w:ilvl w:val="2"/>
        <w:numId w:val="7"/>
      </w:numPr>
      <w:spacing w:after="240"/>
      <w:jc w:val="both"/>
    </w:pPr>
    <w:rPr>
      <w:sz w:val="22"/>
    </w:rPr>
  </w:style>
  <w:style w:type="paragraph" w:customStyle="1" w:styleId="ListNumber1Level4">
    <w:name w:val="List Number 1 (Level 4)"/>
    <w:basedOn w:val="Normal"/>
    <w:pPr>
      <w:numPr>
        <w:ilvl w:val="3"/>
        <w:numId w:val="7"/>
      </w:numPr>
      <w:spacing w:after="240"/>
      <w:jc w:val="both"/>
    </w:pPr>
    <w:rPr>
      <w:sz w:val="22"/>
    </w:rPr>
  </w:style>
  <w:style w:type="paragraph" w:customStyle="1" w:styleId="Bullet">
    <w:name w:val="Bullet"/>
    <w:basedOn w:val="Normal"/>
    <w:pPr>
      <w:numPr>
        <w:numId w:val="8"/>
      </w:numPr>
      <w:ind w:left="357" w:hanging="357"/>
      <w:jc w:val="both"/>
    </w:pPr>
    <w:rPr>
      <w:snapToGrid w:val="0"/>
      <w:color w:val="000000"/>
      <w:sz w:val="22"/>
    </w:rPr>
  </w:style>
  <w:style w:type="paragraph" w:customStyle="1" w:styleId="Bullet10">
    <w:name w:val="Bullet1"/>
    <w:basedOn w:val="Normal"/>
    <w:pPr>
      <w:numPr>
        <w:numId w:val="10"/>
      </w:numPr>
      <w:spacing w:before="40" w:after="0"/>
    </w:pPr>
    <w:rPr>
      <w:rFonts w:ascii="Times New Roman" w:hAnsi="Times New Roman"/>
      <w:snapToGrid w:val="0"/>
    </w:rPr>
  </w:style>
  <w:style w:type="paragraph" w:customStyle="1" w:styleId="Bullet2">
    <w:name w:val="Bullet2"/>
    <w:basedOn w:val="Bullet10"/>
    <w:pPr>
      <w:numPr>
        <w:numId w:val="0"/>
      </w:numPr>
      <w:tabs>
        <w:tab w:val="num" w:pos="720"/>
      </w:tabs>
      <w:ind w:left="720" w:hanging="360"/>
    </w:pPr>
  </w:style>
  <w:style w:type="paragraph" w:customStyle="1" w:styleId="Heading1t1TITRE1Titre11t1T1Titre1Titre1edt1T1Titre1AnnexeH1t1T1h1l1HGSA1Titre1T1Chapitre11Level1Heading1ColoredChaptertitlechMIGHeading1ch1Bold18CMGH1NCS-H1berschrift1berschrift11">
    <w:name w:val="Heading 1.t1.TITRE1.Titre 11.t1.T1.Titre 1.Titre 1ed.t1.T1.Titre 1Annexe.H1.t1.T1.h1.l1.H.GSA1.Titre 1:.T1.Chapitre 1.1.Level 1.Heading 1 Colored.Chapter title.ch.MIGHeading 1.ch1.Bold 18.CMG H1.NCS-H1.überschrift1.überschrift11"/>
    <w:basedOn w:val="Normal"/>
    <w:next w:val="Normal"/>
    <w:pPr>
      <w:keepNext/>
      <w:tabs>
        <w:tab w:val="num" w:pos="432"/>
      </w:tabs>
      <w:spacing w:before="240" w:after="60"/>
      <w:ind w:left="432" w:hanging="432"/>
      <w:outlineLvl w:val="0"/>
    </w:pPr>
    <w:rPr>
      <w:b/>
      <w:kern w:val="28"/>
      <w:sz w:val="28"/>
    </w:rPr>
  </w:style>
  <w:style w:type="paragraph" w:customStyle="1" w:styleId="Lista">
    <w:name w:val="List a)"/>
    <w:basedOn w:val="Normal"/>
    <w:pPr>
      <w:numPr>
        <w:numId w:val="11"/>
      </w:numPr>
      <w:spacing w:before="60" w:after="0"/>
      <w:jc w:val="both"/>
    </w:pPr>
    <w:rPr>
      <w:snapToGrid w:val="0"/>
      <w:color w:val="000000"/>
      <w:sz w:val="22"/>
    </w:rPr>
  </w:style>
  <w:style w:type="paragraph" w:styleId="ListBullet">
    <w:name w:val="List Bullet"/>
    <w:basedOn w:val="Normal"/>
    <w:autoRedefine/>
    <w:pPr>
      <w:numPr>
        <w:numId w:val="12"/>
      </w:numPr>
      <w:tabs>
        <w:tab w:val="clear" w:pos="720"/>
        <w:tab w:val="num" w:pos="1260"/>
      </w:tabs>
      <w:spacing w:after="0"/>
      <w:ind w:left="1260"/>
      <w:jc w:val="both"/>
    </w:pPr>
    <w:rPr>
      <w:noProof/>
      <w:snapToGrid w:val="0"/>
      <w:color w:val="000000"/>
      <w:sz w:val="22"/>
    </w:rPr>
  </w:style>
  <w:style w:type="paragraph" w:customStyle="1" w:styleId="ListBullet1">
    <w:name w:val="List Bullet 1"/>
    <w:basedOn w:val="Normal"/>
    <w:pPr>
      <w:numPr>
        <w:numId w:val="13"/>
      </w:numPr>
      <w:spacing w:before="120" w:after="0"/>
      <w:ind w:left="1276" w:hanging="284"/>
    </w:pPr>
    <w:rPr>
      <w:rFonts w:ascii="Times New Roman" w:hAnsi="Times New Roman"/>
      <w:sz w:val="22"/>
    </w:rPr>
  </w:style>
  <w:style w:type="paragraph" w:styleId="ListNumber">
    <w:name w:val="List Number"/>
    <w:basedOn w:val="Normal"/>
    <w:pPr>
      <w:numPr>
        <w:numId w:val="14"/>
      </w:numPr>
      <w:spacing w:after="240"/>
      <w:jc w:val="both"/>
    </w:pPr>
    <w:rPr>
      <w:sz w:val="22"/>
    </w:rPr>
  </w:style>
  <w:style w:type="paragraph" w:customStyle="1" w:styleId="perso1">
    <w:name w:val="perso1"/>
    <w:pPr>
      <w:tabs>
        <w:tab w:val="num" w:pos="432"/>
      </w:tabs>
      <w:ind w:left="432" w:hanging="432"/>
    </w:pPr>
    <w:rPr>
      <w:b/>
      <w:sz w:val="24"/>
      <w:u w:val="single"/>
      <w:lang w:eastAsia="en-US"/>
    </w:rPr>
  </w:style>
  <w:style w:type="paragraph" w:customStyle="1" w:styleId="Puce2">
    <w:name w:val="Puce2"/>
    <w:basedOn w:val="Normal"/>
    <w:pPr>
      <w:numPr>
        <w:numId w:val="15"/>
      </w:numPr>
      <w:spacing w:after="0"/>
      <w:jc w:val="both"/>
    </w:pPr>
    <w:rPr>
      <w:snapToGrid w:val="0"/>
      <w:color w:val="000000"/>
      <w:sz w:val="22"/>
    </w:rPr>
  </w:style>
  <w:style w:type="paragraph" w:customStyle="1" w:styleId="SteriaBullet">
    <w:name w:val="Steria Bullet"/>
    <w:basedOn w:val="SteriaResponse"/>
    <w:pPr>
      <w:numPr>
        <w:numId w:val="16"/>
      </w:numPr>
      <w:tabs>
        <w:tab w:val="clear" w:pos="4235"/>
      </w:tabs>
      <w:ind w:left="357" w:hanging="357"/>
    </w:pPr>
  </w:style>
  <w:style w:type="paragraph" w:customStyle="1" w:styleId="SteriaResponse">
    <w:name w:val="Steria Response"/>
    <w:pPr>
      <w:spacing w:after="240" w:line="260" w:lineRule="exact"/>
    </w:pPr>
    <w:rPr>
      <w:color w:val="000080"/>
      <w:sz w:val="22"/>
      <w:lang w:eastAsia="en-US"/>
    </w:rPr>
  </w:style>
  <w:style w:type="paragraph" w:customStyle="1" w:styleId="TaBult1">
    <w:name w:val="TaBult 1"/>
    <w:basedOn w:val="Normal"/>
    <w:pPr>
      <w:numPr>
        <w:numId w:val="17"/>
      </w:numPr>
      <w:spacing w:before="60" w:after="60"/>
      <w:ind w:left="426" w:hanging="284"/>
      <w:jc w:val="both"/>
    </w:pPr>
    <w:rPr>
      <w:rFonts w:ascii="Times New Roman" w:hAnsi="Times New Roman"/>
      <w:sz w:val="22"/>
    </w:rPr>
  </w:style>
  <w:style w:type="paragraph" w:customStyle="1" w:styleId="Bullet20">
    <w:name w:val="Bullet 2"/>
    <w:basedOn w:val="Normal"/>
    <w:pPr>
      <w:tabs>
        <w:tab w:val="num" w:pos="1260"/>
      </w:tabs>
      <w:spacing w:after="0"/>
      <w:ind w:left="1260" w:hanging="360"/>
      <w:jc w:val="both"/>
    </w:pPr>
    <w:rPr>
      <w:sz w:val="22"/>
    </w:rPr>
  </w:style>
  <w:style w:type="paragraph" w:customStyle="1" w:styleId="bp">
    <w:name w:val="bp"/>
    <w:basedOn w:val="Normal"/>
    <w:pPr>
      <w:spacing w:before="100" w:after="100"/>
    </w:pPr>
    <w:rPr>
      <w:rFonts w:ascii="Arial Unicode MS" w:eastAsia="Arial Unicode MS" w:hAnsi="Arial Unicode MS"/>
      <w:sz w:val="24"/>
    </w:rPr>
  </w:style>
  <w:style w:type="paragraph" w:styleId="List2">
    <w:name w:val="List 2"/>
    <w:basedOn w:val="Normal"/>
    <w:pPr>
      <w:tabs>
        <w:tab w:val="num" w:pos="360"/>
      </w:tabs>
      <w:spacing w:before="60" w:after="0"/>
      <w:ind w:left="360" w:hanging="360"/>
      <w:jc w:val="both"/>
    </w:pPr>
    <w:rPr>
      <w:snapToGrid w:val="0"/>
      <w:color w:val="000000"/>
      <w:sz w:val="22"/>
    </w:rPr>
  </w:style>
  <w:style w:type="paragraph" w:customStyle="1" w:styleId="BodySingle">
    <w:name w:val="*Body Single"/>
    <w:basedOn w:val="Normal"/>
    <w:pPr>
      <w:spacing w:after="0" w:line="220" w:lineRule="atLeast"/>
      <w:ind w:left="2304"/>
    </w:pPr>
    <w:rPr>
      <w:sz w:val="22"/>
      <w:szCs w:val="24"/>
    </w:rPr>
  </w:style>
  <w:style w:type="paragraph" w:customStyle="1" w:styleId="Text2">
    <w:name w:val="Text 2"/>
    <w:basedOn w:val="Default"/>
    <w:next w:val="Default"/>
    <w:link w:val="Text2Char"/>
    <w:pPr>
      <w:autoSpaceDE/>
      <w:autoSpaceDN/>
      <w:adjustRightInd/>
      <w:spacing w:before="120" w:after="120"/>
    </w:pPr>
  </w:style>
  <w:style w:type="paragraph" w:customStyle="1" w:styleId="Default">
    <w:name w:val="Default"/>
    <w:pPr>
      <w:autoSpaceDE w:val="0"/>
      <w:autoSpaceDN w:val="0"/>
      <w:adjustRightInd w:val="0"/>
    </w:pPr>
    <w:rPr>
      <w:rFonts w:ascii="TimesNewRoman" w:hAnsi="TimesNewRoman"/>
      <w:lang w:eastAsia="en-US"/>
    </w:rPr>
  </w:style>
  <w:style w:type="paragraph" w:styleId="BodyText">
    <w:name w:val="Body Text"/>
    <w:aliases w:val="EDS Question Text"/>
    <w:basedOn w:val="Normal"/>
    <w:pPr>
      <w:spacing w:after="0"/>
      <w:ind w:right="-1054"/>
    </w:pPr>
    <w:rPr>
      <w:noProof/>
    </w:rPr>
  </w:style>
  <w:style w:type="paragraph" w:styleId="BodyText2">
    <w:name w:val="Body Text 2"/>
    <w:basedOn w:val="Normal"/>
    <w:pPr>
      <w:spacing w:after="0"/>
    </w:pPr>
    <w:rPr>
      <w:color w:val="000000"/>
      <w:sz w:val="22"/>
    </w:rPr>
  </w:style>
  <w:style w:type="paragraph" w:styleId="BodyText3">
    <w:name w:val="Body Text 3"/>
    <w:basedOn w:val="Normal"/>
    <w:pPr>
      <w:spacing w:after="0"/>
      <w:jc w:val="both"/>
    </w:pPr>
    <w:rPr>
      <w:snapToGrid w:val="0"/>
      <w:color w:val="000000"/>
      <w:sz w:val="22"/>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after="0"/>
      <w:ind w:left="720" w:right="720"/>
    </w:pPr>
    <w:rPr>
      <w:rFonts w:ascii="Times New Roman" w:hAnsi="Times New Roman"/>
      <w:b/>
      <w:bCs/>
      <w:color w:val="FF0000"/>
      <w:sz w:val="24"/>
      <w:szCs w:val="24"/>
    </w:rPr>
  </w:style>
  <w:style w:type="paragraph" w:customStyle="1" w:styleId="cellheading">
    <w:name w:val="cellheading"/>
    <w:basedOn w:val="Normal"/>
    <w:pPr>
      <w:spacing w:after="144"/>
    </w:pPr>
    <w:rPr>
      <w:rFonts w:ascii="Verdana" w:eastAsia="Arial Unicode MS" w:hAnsi="Verdana"/>
      <w:b/>
      <w:color w:val="000000"/>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aliases w:val="T2 Char,h2 Char,L2 Char,H2 Char,Punt 2 Char,l2 Char,2 Char,Titre 21 Char,t2.T2 Char,t2 Char,Contrat 2 Char,Ctt Char,t2.T2.Titre 2 Char,TITRE 2 Char,Titre 2ed Char,Heading 2 Hidden Char,heading 2 Char,Chapter Number/Appendix Letter Char"/>
    <w:link w:val="Heading2"/>
    <w:rPr>
      <w:b/>
      <w:bCs/>
      <w:smallCaps/>
      <w:color w:val="000080"/>
      <w:sz w:val="32"/>
    </w:rPr>
  </w:style>
  <w:style w:type="character" w:customStyle="1" w:styleId="Heading4Char">
    <w:name w:val="Heading 4 Char"/>
    <w:aliases w:val="4 Char,H4 Char,Titre 41 Char,t4.T4 Char,t4 Char,Chapitre 1.1.1. Char,Alinéa Char,dash Char,h4 Char,Ref Heading 1 Char,rh1 Char,First Subheading Char,T4 Char,t4.T4.Titre 4 Char,heading 4 Char,l4 Char,I4 Char,(Shift Ctrl 4) Char"/>
    <w:link w:val="Heading4"/>
    <w:rPr>
      <w:b/>
      <w:smallCaps/>
      <w:color w:val="000080"/>
      <w:sz w:val="24"/>
    </w:rPr>
  </w:style>
  <w:style w:type="paragraph" w:styleId="BodyTextIndent">
    <w:name w:val="Body Text Indent"/>
    <w:basedOn w:val="Normal"/>
    <w:pPr>
      <w:numPr>
        <w:numId w:val="18"/>
      </w:numPr>
      <w:tabs>
        <w:tab w:val="clear" w:pos="283"/>
      </w:tabs>
      <w:ind w:firstLine="0"/>
      <w:jc w:val="both"/>
    </w:pPr>
    <w:rPr>
      <w:rFonts w:ascii="Times New Roman" w:hAnsi="Times New Roman"/>
      <w:sz w:val="22"/>
    </w:rPr>
  </w:style>
  <w:style w:type="character" w:customStyle="1" w:styleId="Text2Char">
    <w:name w:val="Text 2 Char"/>
    <w:link w:val="Text2"/>
    <w:rPr>
      <w:rFonts w:ascii="TimesNewRoman" w:hAnsi="TimesNewRoman"/>
      <w:lang w:val="de-DE" w:eastAsia="en-US" w:bidi="ar-SA"/>
    </w:rPr>
  </w:style>
  <w:style w:type="character" w:styleId="HTMLCode">
    <w:name w:val="HTML Code"/>
    <w:semiHidden/>
    <w:unhideWhenUsed/>
    <w:rPr>
      <w:rFonts w:ascii="Courier New" w:eastAsia="Times New Roman" w:hAnsi="Courier New" w:cs="Courier New"/>
      <w:sz w:val="20"/>
      <w:szCs w:val="20"/>
    </w:rPr>
  </w:style>
  <w:style w:type="character" w:customStyle="1" w:styleId="Heading2Char2">
    <w:name w:val="Heading 2 Char2"/>
    <w:aliases w:val="Heading 2 Char1 Char,Heading 2 Char Char Char,Heading 2 Char Char1"/>
    <w:locked/>
    <w:rPr>
      <w:b/>
      <w:sz w:val="24"/>
      <w:lang w:val="de-DE" w:eastAsia="en-US" w:bidi="ar-SA"/>
    </w:rPr>
  </w:style>
  <w:style w:type="paragraph" w:customStyle="1" w:styleId="NumPar1">
    <w:name w:val="NumPar 1"/>
    <w:basedOn w:val="Normal"/>
    <w:next w:val="Normal"/>
    <w:pPr>
      <w:numPr>
        <w:numId w:val="21"/>
      </w:numPr>
      <w:spacing w:before="120"/>
      <w:jc w:val="both"/>
    </w:pPr>
    <w:rPr>
      <w:rFonts w:ascii="Times New Roman" w:hAnsi="Times New Roman"/>
      <w:sz w:val="24"/>
      <w:szCs w:val="24"/>
    </w:rPr>
  </w:style>
  <w:style w:type="paragraph" w:customStyle="1" w:styleId="NumPar2">
    <w:name w:val="NumPar 2"/>
    <w:basedOn w:val="Normal"/>
    <w:next w:val="Normal"/>
    <w:pPr>
      <w:numPr>
        <w:ilvl w:val="1"/>
        <w:numId w:val="21"/>
      </w:numPr>
      <w:spacing w:before="120"/>
      <w:jc w:val="both"/>
    </w:pPr>
    <w:rPr>
      <w:rFonts w:ascii="Times New Roman" w:hAnsi="Times New Roman"/>
      <w:sz w:val="24"/>
      <w:szCs w:val="24"/>
    </w:rPr>
  </w:style>
  <w:style w:type="paragraph" w:customStyle="1" w:styleId="NumPar3">
    <w:name w:val="NumPar 3"/>
    <w:basedOn w:val="Normal"/>
    <w:next w:val="Normal"/>
    <w:pPr>
      <w:numPr>
        <w:ilvl w:val="2"/>
        <w:numId w:val="21"/>
      </w:numPr>
      <w:spacing w:before="120"/>
      <w:jc w:val="both"/>
    </w:pPr>
    <w:rPr>
      <w:rFonts w:ascii="Times New Roman" w:hAnsi="Times New Roman"/>
      <w:sz w:val="24"/>
      <w:szCs w:val="24"/>
    </w:rPr>
  </w:style>
  <w:style w:type="paragraph" w:customStyle="1" w:styleId="NumPar4">
    <w:name w:val="NumPar 4"/>
    <w:basedOn w:val="Normal"/>
    <w:next w:val="Normal"/>
    <w:pPr>
      <w:numPr>
        <w:ilvl w:val="3"/>
        <w:numId w:val="21"/>
      </w:numPr>
      <w:spacing w:before="120"/>
      <w:jc w:val="both"/>
    </w:pPr>
    <w:rPr>
      <w:rFonts w:ascii="Times New Roman" w:hAnsi="Times New Roman"/>
      <w:sz w:val="24"/>
      <w:szCs w:val="24"/>
    </w:rPr>
  </w:style>
  <w:style w:type="paragraph" w:styleId="ListParagraph">
    <w:name w:val="List Paragraph"/>
    <w:basedOn w:val="Normal"/>
    <w:uiPriority w:val="34"/>
    <w:qFormat/>
    <w:pPr>
      <w:spacing w:after="0"/>
      <w:ind w:left="720"/>
    </w:pPr>
    <w:rPr>
      <w:rFonts w:ascii="Calibri" w:hAnsi="Calibri"/>
      <w:sz w:val="22"/>
      <w:szCs w:val="22"/>
    </w:rPr>
  </w:style>
  <w:style w:type="character" w:customStyle="1" w:styleId="CommentTextChar">
    <w:name w:val="Comment Text Char"/>
    <w:basedOn w:val="DefaultParagraphFont"/>
    <w:link w:val="CommentText"/>
    <w:semiHidden/>
    <w:rPr>
      <w:rFonts w:ascii="Arial" w:hAnsi="Arial"/>
      <w:lang w:eastAsia="en-US"/>
    </w:rPr>
  </w:style>
  <w:style w:type="paragraph" w:styleId="Revision">
    <w:name w:val="Revision"/>
    <w:hidden/>
    <w:uiPriority w:val="99"/>
    <w:semiHidden/>
    <w:rPr>
      <w:sz w:val="18"/>
      <w:lang w:eastAsia="en-US"/>
    </w:rPr>
  </w:style>
  <w:style w:type="character" w:customStyle="1" w:styleId="FootnoteTextChar">
    <w:name w:val="Footnote Text Char"/>
    <w:basedOn w:val="DefaultParagraphFont"/>
    <w:link w:val="FootnoteText"/>
    <w:semiHidden/>
    <w:rPr>
      <w:rFonts w:ascii="Arial" w:hAnsi="Arial"/>
      <w:sz w:val="16"/>
      <w:lang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eastAsiaTheme="minorHAnsi" w:hAnsi="Times New Roman" w:cs="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TitleChar">
    <w:name w:val="Title Char"/>
    <w:basedOn w:val="DefaultParagraphFont"/>
    <w:link w:val="Title"/>
    <w:rPr>
      <w:b/>
      <w:caps/>
      <w:color w:val="000080"/>
      <w:sz w:val="32"/>
    </w:rPr>
  </w:style>
  <w:style w:type="character" w:customStyle="1" w:styleId="FooterCoverPageChar">
    <w:name w:val="Footer Cover Page Char"/>
    <w:basedOn w:val="TitleChar"/>
    <w:link w:val="FooterCoverPage"/>
    <w:rPr>
      <w:rFonts w:ascii="Times New Roman" w:hAnsi="Times New Roman" w:cs="Times New Roman"/>
      <w:b w:val="0"/>
      <w:caps w:val="0"/>
      <w:color w:val="000080"/>
      <w:sz w:val="24"/>
    </w:rPr>
  </w:style>
  <w:style w:type="paragraph" w:customStyle="1" w:styleId="HeaderCoverPage">
    <w:name w:val="Header Cover Page"/>
    <w:basedOn w:val="Normal"/>
    <w:link w:val="HeaderCoverPageChar"/>
    <w:pPr>
      <w:tabs>
        <w:tab w:val="center" w:pos="4535"/>
        <w:tab w:val="right" w:pos="9071"/>
      </w:tabs>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hAnsi="Times New Roman" w:cs="Times New Roman"/>
      <w:b w:val="0"/>
      <w:caps w:val="0"/>
      <w:color w:val="000080"/>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szCs w:val="22"/>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cs="Times New Roman"/>
      <w:b/>
      <w:sz w:val="24"/>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jc w:val="both"/>
    </w:pPr>
    <w:rPr>
      <w:rFonts w:ascii="Times New Roman" w:eastAsiaTheme="minorHAnsi" w:hAnsi="Times New Roman" w:cs="Times New Roman"/>
      <w:sz w:val="24"/>
      <w:szCs w:val="22"/>
      <w:lang w:eastAsia="en-US"/>
    </w:rPr>
  </w:style>
  <w:style w:type="character" w:customStyle="1" w:styleId="HeaderChar">
    <w:name w:val="Header Char"/>
    <w:basedOn w:val="DefaultParagraphFont"/>
    <w:link w:val="Header"/>
    <w:uiPriority w:val="99"/>
    <w:rPr>
      <w:rFonts w:ascii="Times New Roman" w:eastAsiaTheme="minorHAnsi" w:hAnsi="Times New Roman" w:cs="Times New Roman"/>
      <w:sz w:val="24"/>
      <w:szCs w:val="22"/>
      <w:lang w:eastAsia="en-US"/>
    </w:rPr>
  </w:style>
  <w:style w:type="paragraph" w:customStyle="1" w:styleId="HeaderLandscape">
    <w:name w:val="HeaderLandscape"/>
    <w:basedOn w:val="Normal"/>
    <w:pPr>
      <w:tabs>
        <w:tab w:val="center" w:pos="7285"/>
        <w:tab w:val="right" w:pos="14003"/>
      </w:tabs>
      <w:jc w:val="both"/>
    </w:pPr>
    <w:rPr>
      <w:rFonts w:ascii="Times New Roman" w:eastAsiaTheme="minorHAnsi" w:hAnsi="Times New Roman" w:cs="Times New Roman"/>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paragraph" w:customStyle="1" w:styleId="HeaderSensitivityRight">
    <w:name w:val="Header Sensitivity Right"/>
    <w:basedOn w:val="Normal"/>
    <w:pPr>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ascii="Times New Roman" w:eastAsiaTheme="minorHAnsi" w:hAnsi="Times New Roman" w:cs="Times New Roman"/>
      <w:sz w:val="24"/>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jc w:val="both"/>
    </w:pPr>
    <w:rPr>
      <w:rFonts w:ascii="Times New Roman" w:eastAsiaTheme="minorHAnsi" w:hAnsi="Times New Roman" w:cs="Times New Roman"/>
      <w:sz w:val="24"/>
      <w:szCs w:val="22"/>
      <w:lang w:eastAsia="en-US"/>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aliases w:val="t1,TITRE1,heading 1,Titre 11,t1.T1.Titre 1,Titre 1ed,t1.T1.Titre 1Annexe,H1,t1.T1,h1,l1,H,GSA1,Titre 1:,T1,Chapitre 1,1,Level 1,Heading 1 Colored,Chapter title,ch,MIGHeading 1,ch1,Bold 18,CMG H1,NCS-H1,überschrift1,überschrift11,überschrift12"/>
    <w:basedOn w:val="Normal"/>
    <w:next w:val="Normal"/>
    <w:uiPriority w:val="9"/>
    <w:qFormat/>
    <w:pPr>
      <w:keepNext/>
      <w:pageBreakBefore/>
      <w:numPr>
        <w:numId w:val="1"/>
      </w:numPr>
      <w:pBdr>
        <w:bottom w:val="single" w:sz="12" w:space="1" w:color="FF6600"/>
      </w:pBdr>
      <w:spacing w:before="120" w:after="240"/>
      <w:outlineLvl w:val="0"/>
    </w:pPr>
    <w:rPr>
      <w:b/>
      <w:smallCaps/>
      <w:color w:val="000080"/>
      <w:kern w:val="28"/>
      <w:sz w:val="36"/>
    </w:rPr>
  </w:style>
  <w:style w:type="paragraph" w:styleId="Heading2">
    <w:name w:val="heading 2"/>
    <w:aliases w:val="T2,h2,L2,H2,Punt 2,l2,2,Titre 21,t2.T2,t2,Contrat 2,Ctt,t2.T2.Titre 2,TITRE 2,Titre 2ed,Heading 2 Hidden,heading 2,Chapter Number/Appendix Letter,chn,Titre niveau 2,Level 2,Chapitre 2,paragraphe,Titre 2 - RAO,Specf Titre 2,Heading 2a,Header 2"/>
    <w:basedOn w:val="Normal"/>
    <w:next w:val="Normal"/>
    <w:link w:val="Heading2Char"/>
    <w:qFormat/>
    <w:pPr>
      <w:keepNext/>
      <w:numPr>
        <w:ilvl w:val="1"/>
        <w:numId w:val="1"/>
      </w:numPr>
      <w:pBdr>
        <w:bottom w:val="single" w:sz="12" w:space="1" w:color="000080"/>
      </w:pBdr>
      <w:spacing w:before="120"/>
      <w:outlineLvl w:val="1"/>
    </w:pPr>
    <w:rPr>
      <w:b/>
      <w:bCs/>
      <w:smallCaps/>
      <w:color w:val="000080"/>
      <w:sz w:val="32"/>
    </w:rPr>
  </w:style>
  <w:style w:type="paragraph" w:styleId="Heading3">
    <w:name w:val="heading 3"/>
    <w:aliases w:val="3,Titre 31,t3.T3,heading 3,Titre 3+,H3,Titre niveau 3,Titre3,t3,Contrat 3,Titre 3 SQ,Titre 3 SQ1,Titre 3 SQ2,Titre 3 SQ3,Titre 3 SQ4,Titre 3 SQ5,Titre 3 SQ6,Titre 3 SQ7,h3,3rd level,l3,CT,Heading 3 - old,Titre 3 .3,Titre 311,Titre 3 .31,1.2.3."/>
    <w:basedOn w:val="Normal"/>
    <w:next w:val="Normal"/>
    <w:qFormat/>
    <w:pPr>
      <w:keepNext/>
      <w:numPr>
        <w:ilvl w:val="2"/>
        <w:numId w:val="1"/>
      </w:numPr>
      <w:spacing w:before="240" w:after="60"/>
      <w:outlineLvl w:val="2"/>
    </w:pPr>
    <w:rPr>
      <w:b/>
      <w:bCs/>
      <w:smallCaps/>
      <w:color w:val="000080"/>
      <w:sz w:val="28"/>
    </w:rPr>
  </w:style>
  <w:style w:type="paragraph" w:styleId="Heading4">
    <w:name w:val="heading 4"/>
    <w:aliases w:val="4,H4,Titre 41,t4.T4,t4,Chapitre 1.1.1.,Alinéa,dash,h4,Ref Heading 1,rh1,First Subheading,T4,t4.T4.Titre 4,heading 4,l4,I4,(Shift Ctrl 4),Schedules,Heading 4 CFMU"/>
    <w:basedOn w:val="Normal"/>
    <w:next w:val="Normal"/>
    <w:link w:val="Heading4Char"/>
    <w:qFormat/>
    <w:pPr>
      <w:keepNext/>
      <w:numPr>
        <w:ilvl w:val="3"/>
        <w:numId w:val="1"/>
      </w:numPr>
      <w:spacing w:before="240" w:after="60"/>
      <w:outlineLvl w:val="3"/>
    </w:pPr>
    <w:rPr>
      <w:b/>
      <w:smallCaps/>
      <w:color w:val="000080"/>
      <w:sz w:val="24"/>
    </w:rPr>
  </w:style>
  <w:style w:type="paragraph" w:styleId="Heading5">
    <w:name w:val="heading 5"/>
    <w:aliases w:val="H5,Chapitre 1.1.1.1.,Ref Heading 2,rh2,h5,Second Subheading,heading 5,Heading 5 CFMU,Para 5,(Shift Ctrl 5),Appendix A to X,Heading 5   Appendix A to X"/>
    <w:basedOn w:val="Normal"/>
    <w:next w:val="Normal"/>
    <w:qFormat/>
    <w:pPr>
      <w:numPr>
        <w:ilvl w:val="4"/>
        <w:numId w:val="1"/>
      </w:numPr>
      <w:spacing w:before="240" w:after="60"/>
      <w:outlineLvl w:val="4"/>
    </w:pPr>
    <w:rPr>
      <w:b/>
      <w:bCs/>
      <w:smallCaps/>
      <w:color w:val="000080"/>
    </w:rPr>
  </w:style>
  <w:style w:type="paragraph" w:styleId="Heading6">
    <w:name w:val="heading 6"/>
    <w:aliases w:val="6,Heading 6  Appendix Y &amp; Z,h6,Heading 6 CFMU"/>
    <w:basedOn w:val="Normal"/>
    <w:next w:val="Normal"/>
    <w:qFormat/>
    <w:pPr>
      <w:numPr>
        <w:ilvl w:val="5"/>
        <w:numId w:val="1"/>
      </w:numPr>
      <w:spacing w:before="240" w:after="60"/>
      <w:outlineLvl w:val="5"/>
    </w:pPr>
    <w:rPr>
      <w:i/>
      <w:sz w:val="22"/>
    </w:rPr>
  </w:style>
  <w:style w:type="paragraph" w:styleId="Heading7">
    <w:name w:val="heading 7"/>
    <w:aliases w:val="H7,(Shift Ctrl 7),Heading 7 CFMU"/>
    <w:basedOn w:val="Normal"/>
    <w:next w:val="Normal"/>
    <w:qFormat/>
    <w:pPr>
      <w:numPr>
        <w:ilvl w:val="6"/>
        <w:numId w:val="1"/>
      </w:numPr>
      <w:spacing w:before="240" w:after="60"/>
      <w:outlineLvl w:val="6"/>
    </w:pPr>
  </w:style>
  <w:style w:type="paragraph" w:styleId="Heading8">
    <w:name w:val="heading 8"/>
    <w:aliases w:val="Heading 8 CFMU"/>
    <w:basedOn w:val="Normal"/>
    <w:next w:val="Normal"/>
    <w:qFormat/>
    <w:pPr>
      <w:numPr>
        <w:ilvl w:val="7"/>
        <w:numId w:val="1"/>
      </w:numPr>
      <w:spacing w:before="240" w:after="60"/>
      <w:outlineLvl w:val="7"/>
    </w:pPr>
    <w:rPr>
      <w:i/>
    </w:rPr>
  </w:style>
  <w:style w:type="paragraph" w:styleId="Heading9">
    <w:name w:val="heading 9"/>
    <w:aliases w:val="App Heading,Heading 9 CFMU"/>
    <w:basedOn w:val="Normal"/>
    <w:next w:val="Normal"/>
    <w:qFormat/>
    <w:pPr>
      <w:numPr>
        <w:ilvl w:val="8"/>
        <w:numId w:val="1"/>
      </w:numPr>
      <w:spacing w:before="240" w:after="60"/>
      <w:outlineLvl w:val="8"/>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jc w:val="both"/>
    </w:pPr>
    <w:rPr>
      <w:rFonts w:ascii="Times New Roman" w:eastAsiaTheme="minorHAnsi" w:hAnsi="Times New Roman" w:cs="Times New Roman"/>
      <w:sz w:val="24"/>
      <w:szCs w:val="22"/>
      <w:lang w:eastAsia="en-US"/>
    </w:rPr>
  </w:style>
  <w:style w:type="paragraph" w:customStyle="1" w:styleId="Bullet1">
    <w:name w:val="Bullet 1"/>
    <w:basedOn w:val="Normal"/>
    <w:pPr>
      <w:numPr>
        <w:numId w:val="9"/>
      </w:numPr>
      <w:tabs>
        <w:tab w:val="clear" w:pos="360"/>
        <w:tab w:val="num" w:pos="900"/>
      </w:tabs>
      <w:spacing w:after="0"/>
      <w:ind w:left="900" w:firstLine="0"/>
      <w:jc w:val="both"/>
    </w:pPr>
    <w:rPr>
      <w:sz w:val="22"/>
    </w:rPr>
  </w:style>
  <w:style w:type="paragraph" w:customStyle="1" w:styleId="Listnumber1cm">
    <w:name w:val="List number 1cm"/>
    <w:basedOn w:val="Normal"/>
    <w:pPr>
      <w:numPr>
        <w:numId w:val="6"/>
      </w:numPr>
      <w:tabs>
        <w:tab w:val="clear" w:pos="927"/>
        <w:tab w:val="num" w:pos="360"/>
        <w:tab w:val="left" w:pos="851"/>
      </w:tabs>
      <w:ind w:left="0" w:firstLine="0"/>
    </w:pPr>
  </w:style>
  <w:style w:type="paragraph" w:customStyle="1" w:styleId="Tableheading">
    <w:name w:val="Table heading"/>
    <w:basedOn w:val="Normal"/>
    <w:pPr>
      <w:spacing w:before="120"/>
      <w:jc w:val="center"/>
    </w:pPr>
    <w:rPr>
      <w:b/>
      <w:color w:val="000080"/>
    </w:rPr>
  </w:style>
  <w:style w:type="paragraph" w:customStyle="1" w:styleId="Tabletext">
    <w:name w:val="Table text"/>
    <w:basedOn w:val="Normal"/>
    <w:pPr>
      <w:spacing w:before="60" w:after="60"/>
    </w:pPr>
  </w:style>
  <w:style w:type="paragraph" w:styleId="TOC1">
    <w:name w:val="toc 1"/>
    <w:basedOn w:val="Normal"/>
    <w:next w:val="Normal"/>
    <w:autoRedefine/>
    <w:uiPriority w:val="39"/>
    <w:pPr>
      <w:spacing w:before="120"/>
    </w:pPr>
    <w:rPr>
      <w:b/>
      <w:bCs/>
      <w:caps/>
      <w:szCs w:val="24"/>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pPr>
    <w:rPr>
      <w:rFonts w:ascii="Times New Roman" w:eastAsiaTheme="minorHAnsi" w:hAnsi="Times New Roman" w:cs="Times New Roman"/>
      <w:sz w:val="24"/>
      <w:szCs w:val="22"/>
      <w:lang w:eastAsia="en-US"/>
    </w:rPr>
  </w:style>
  <w:style w:type="paragraph" w:styleId="Title">
    <w:name w:val="Title"/>
    <w:basedOn w:val="Normal"/>
    <w:next w:val="Normal"/>
    <w:link w:val="TitleChar"/>
    <w:qFormat/>
    <w:pPr>
      <w:keepLines/>
      <w:spacing w:before="480" w:after="480"/>
      <w:jc w:val="center"/>
    </w:pPr>
    <w:rPr>
      <w:b/>
      <w:caps/>
      <w:color w:val="000080"/>
      <w:sz w:val="32"/>
    </w:rPr>
  </w:style>
  <w:style w:type="paragraph" w:styleId="TOC2">
    <w:name w:val="toc 2"/>
    <w:basedOn w:val="Normal"/>
    <w:next w:val="Normal"/>
    <w:autoRedefine/>
    <w:uiPriority w:val="39"/>
    <w:pPr>
      <w:ind w:left="200"/>
    </w:pPr>
    <w:rPr>
      <w:smallCaps/>
      <w:szCs w:val="24"/>
    </w:rPr>
  </w:style>
  <w:style w:type="paragraph" w:styleId="TOC3">
    <w:name w:val="toc 3"/>
    <w:basedOn w:val="Normal"/>
    <w:next w:val="Normal"/>
    <w:autoRedefine/>
    <w:uiPriority w:val="39"/>
    <w:pPr>
      <w:ind w:left="400"/>
    </w:pPr>
    <w:rPr>
      <w:i/>
      <w:iCs/>
      <w:szCs w:val="24"/>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customStyle="1" w:styleId="TableBullet">
    <w:name w:val="Table Bullet"/>
    <w:basedOn w:val="Normal"/>
    <w:pPr>
      <w:numPr>
        <w:ilvl w:val="1"/>
        <w:numId w:val="2"/>
      </w:numPr>
      <w:tabs>
        <w:tab w:val="clear" w:pos="1440"/>
        <w:tab w:val="num" w:pos="128"/>
      </w:tabs>
      <w:ind w:left="128" w:hanging="128"/>
    </w:pPr>
  </w:style>
  <w:style w:type="character" w:styleId="FollowedHyperlink">
    <w:name w:val="FollowedHyperlink"/>
    <w:rPr>
      <w:color w:val="800080"/>
      <w:u w:val="single"/>
    </w:rPr>
  </w:style>
  <w:style w:type="paragraph" w:customStyle="1" w:styleId="Listbullet1cm">
    <w:name w:val="List bullet 1cm"/>
    <w:basedOn w:val="Normal"/>
    <w:pPr>
      <w:numPr>
        <w:numId w:val="5"/>
      </w:numPr>
      <w:tabs>
        <w:tab w:val="clear" w:pos="1647"/>
        <w:tab w:val="num" w:pos="851"/>
      </w:tabs>
      <w:ind w:left="851" w:hanging="284"/>
    </w:pPr>
    <w:rPr>
      <w:rFonts w:eastAsia="MS Mincho"/>
      <w:lang w:eastAsia="ja-JP"/>
    </w:rPr>
  </w:style>
  <w:style w:type="paragraph" w:customStyle="1" w:styleId="Listbullet2cm">
    <w:name w:val="List bullet 2cm"/>
    <w:basedOn w:val="Normal"/>
    <w:pPr>
      <w:numPr>
        <w:numId w:val="3"/>
      </w:numPr>
    </w:pPr>
  </w:style>
  <w:style w:type="paragraph" w:styleId="FootnoteText">
    <w:name w:val="footnote text"/>
    <w:basedOn w:val="Normal"/>
    <w:link w:val="FootnoteTextChar"/>
    <w:semiHidden/>
    <w:rPr>
      <w:sz w:val="16"/>
    </w:rPr>
  </w:style>
  <w:style w:type="character" w:styleId="FootnoteReference">
    <w:name w:val="footnote reference"/>
    <w:semiHidden/>
    <w:rPr>
      <w:vertAlign w:val="superscript"/>
    </w:rPr>
  </w:style>
  <w:style w:type="paragraph" w:customStyle="1" w:styleId="Listnumber2cm">
    <w:name w:val="List number 2cm"/>
    <w:basedOn w:val="Listbullet2cm"/>
    <w:pPr>
      <w:numPr>
        <w:numId w:val="4"/>
      </w:numPr>
      <w:tabs>
        <w:tab w:val="clear" w:pos="1701"/>
        <w:tab w:val="num" w:pos="1418"/>
      </w:tabs>
      <w:ind w:left="1418" w:hanging="284"/>
    </w:pPr>
  </w:style>
  <w:style w:type="paragraph" w:customStyle="1" w:styleId="ListNumber1">
    <w:name w:val="List Number 1"/>
    <w:basedOn w:val="Normal"/>
    <w:pPr>
      <w:numPr>
        <w:numId w:val="7"/>
      </w:numPr>
      <w:spacing w:before="240" w:after="240"/>
      <w:jc w:val="both"/>
    </w:pPr>
    <w:rPr>
      <w:sz w:val="22"/>
    </w:rPr>
  </w:style>
  <w:style w:type="paragraph" w:customStyle="1" w:styleId="ListNumber1Level2">
    <w:name w:val="List Number 1 (Level 2)"/>
    <w:basedOn w:val="Normal"/>
    <w:pPr>
      <w:numPr>
        <w:ilvl w:val="1"/>
        <w:numId w:val="7"/>
      </w:numPr>
      <w:spacing w:after="240"/>
      <w:jc w:val="both"/>
    </w:pPr>
    <w:rPr>
      <w:sz w:val="22"/>
    </w:rPr>
  </w:style>
  <w:style w:type="paragraph" w:customStyle="1" w:styleId="ListNumber1Level3">
    <w:name w:val="List Number 1 (Level 3)"/>
    <w:basedOn w:val="Normal"/>
    <w:pPr>
      <w:numPr>
        <w:ilvl w:val="2"/>
        <w:numId w:val="7"/>
      </w:numPr>
      <w:spacing w:after="240"/>
      <w:jc w:val="both"/>
    </w:pPr>
    <w:rPr>
      <w:sz w:val="22"/>
    </w:rPr>
  </w:style>
  <w:style w:type="paragraph" w:customStyle="1" w:styleId="ListNumber1Level4">
    <w:name w:val="List Number 1 (Level 4)"/>
    <w:basedOn w:val="Normal"/>
    <w:pPr>
      <w:numPr>
        <w:ilvl w:val="3"/>
        <w:numId w:val="7"/>
      </w:numPr>
      <w:spacing w:after="240"/>
      <w:jc w:val="both"/>
    </w:pPr>
    <w:rPr>
      <w:sz w:val="22"/>
    </w:rPr>
  </w:style>
  <w:style w:type="paragraph" w:customStyle="1" w:styleId="Bullet">
    <w:name w:val="Bullet"/>
    <w:basedOn w:val="Normal"/>
    <w:pPr>
      <w:numPr>
        <w:numId w:val="8"/>
      </w:numPr>
      <w:ind w:left="357" w:hanging="357"/>
      <w:jc w:val="both"/>
    </w:pPr>
    <w:rPr>
      <w:snapToGrid w:val="0"/>
      <w:color w:val="000000"/>
      <w:sz w:val="22"/>
    </w:rPr>
  </w:style>
  <w:style w:type="paragraph" w:customStyle="1" w:styleId="Bullet10">
    <w:name w:val="Bullet1"/>
    <w:basedOn w:val="Normal"/>
    <w:pPr>
      <w:numPr>
        <w:numId w:val="10"/>
      </w:numPr>
      <w:spacing w:before="40" w:after="0"/>
    </w:pPr>
    <w:rPr>
      <w:rFonts w:ascii="Times New Roman" w:hAnsi="Times New Roman"/>
      <w:snapToGrid w:val="0"/>
    </w:rPr>
  </w:style>
  <w:style w:type="paragraph" w:customStyle="1" w:styleId="Bullet2">
    <w:name w:val="Bullet2"/>
    <w:basedOn w:val="Bullet10"/>
    <w:pPr>
      <w:numPr>
        <w:numId w:val="0"/>
      </w:numPr>
      <w:tabs>
        <w:tab w:val="num" w:pos="720"/>
      </w:tabs>
      <w:ind w:left="720" w:hanging="360"/>
    </w:pPr>
  </w:style>
  <w:style w:type="paragraph" w:customStyle="1" w:styleId="Heading1t1TITRE1Titre11t1T1Titre1Titre1edt1T1Titre1AnnexeH1t1T1h1l1HGSA1Titre1T1Chapitre11Level1Heading1ColoredChaptertitlechMIGHeading1ch1Bold18CMGH1NCS-H1berschrift1berschrift11">
    <w:name w:val="Heading 1.t1.TITRE1.Titre 11.t1.T1.Titre 1.Titre 1ed.t1.T1.Titre 1Annexe.H1.t1.T1.h1.l1.H.GSA1.Titre 1:.T1.Chapitre 1.1.Level 1.Heading 1 Colored.Chapter title.ch.MIGHeading 1.ch1.Bold 18.CMG H1.NCS-H1.überschrift1.überschrift11"/>
    <w:basedOn w:val="Normal"/>
    <w:next w:val="Normal"/>
    <w:pPr>
      <w:keepNext/>
      <w:tabs>
        <w:tab w:val="num" w:pos="432"/>
      </w:tabs>
      <w:spacing w:before="240" w:after="60"/>
      <w:ind w:left="432" w:hanging="432"/>
      <w:outlineLvl w:val="0"/>
    </w:pPr>
    <w:rPr>
      <w:b/>
      <w:kern w:val="28"/>
      <w:sz w:val="28"/>
    </w:rPr>
  </w:style>
  <w:style w:type="paragraph" w:customStyle="1" w:styleId="Lista">
    <w:name w:val="List a)"/>
    <w:basedOn w:val="Normal"/>
    <w:pPr>
      <w:numPr>
        <w:numId w:val="11"/>
      </w:numPr>
      <w:spacing w:before="60" w:after="0"/>
      <w:jc w:val="both"/>
    </w:pPr>
    <w:rPr>
      <w:snapToGrid w:val="0"/>
      <w:color w:val="000000"/>
      <w:sz w:val="22"/>
    </w:rPr>
  </w:style>
  <w:style w:type="paragraph" w:styleId="ListBullet">
    <w:name w:val="List Bullet"/>
    <w:basedOn w:val="Normal"/>
    <w:autoRedefine/>
    <w:pPr>
      <w:numPr>
        <w:numId w:val="12"/>
      </w:numPr>
      <w:tabs>
        <w:tab w:val="clear" w:pos="720"/>
        <w:tab w:val="num" w:pos="1260"/>
      </w:tabs>
      <w:spacing w:after="0"/>
      <w:ind w:left="1260"/>
      <w:jc w:val="both"/>
    </w:pPr>
    <w:rPr>
      <w:noProof/>
      <w:snapToGrid w:val="0"/>
      <w:color w:val="000000"/>
      <w:sz w:val="22"/>
    </w:rPr>
  </w:style>
  <w:style w:type="paragraph" w:customStyle="1" w:styleId="ListBullet1">
    <w:name w:val="List Bullet 1"/>
    <w:basedOn w:val="Normal"/>
    <w:pPr>
      <w:numPr>
        <w:numId w:val="13"/>
      </w:numPr>
      <w:spacing w:before="120" w:after="0"/>
      <w:ind w:left="1276" w:hanging="284"/>
    </w:pPr>
    <w:rPr>
      <w:rFonts w:ascii="Times New Roman" w:hAnsi="Times New Roman"/>
      <w:sz w:val="22"/>
    </w:rPr>
  </w:style>
  <w:style w:type="paragraph" w:styleId="ListNumber">
    <w:name w:val="List Number"/>
    <w:basedOn w:val="Normal"/>
    <w:pPr>
      <w:numPr>
        <w:numId w:val="14"/>
      </w:numPr>
      <w:spacing w:after="240"/>
      <w:jc w:val="both"/>
    </w:pPr>
    <w:rPr>
      <w:sz w:val="22"/>
    </w:rPr>
  </w:style>
  <w:style w:type="paragraph" w:customStyle="1" w:styleId="perso1">
    <w:name w:val="perso1"/>
    <w:pPr>
      <w:tabs>
        <w:tab w:val="num" w:pos="432"/>
      </w:tabs>
      <w:ind w:left="432" w:hanging="432"/>
    </w:pPr>
    <w:rPr>
      <w:b/>
      <w:sz w:val="24"/>
      <w:u w:val="single"/>
      <w:lang w:eastAsia="en-US"/>
    </w:rPr>
  </w:style>
  <w:style w:type="paragraph" w:customStyle="1" w:styleId="Puce2">
    <w:name w:val="Puce2"/>
    <w:basedOn w:val="Normal"/>
    <w:pPr>
      <w:numPr>
        <w:numId w:val="15"/>
      </w:numPr>
      <w:spacing w:after="0"/>
      <w:jc w:val="both"/>
    </w:pPr>
    <w:rPr>
      <w:snapToGrid w:val="0"/>
      <w:color w:val="000000"/>
      <w:sz w:val="22"/>
    </w:rPr>
  </w:style>
  <w:style w:type="paragraph" w:customStyle="1" w:styleId="SteriaBullet">
    <w:name w:val="Steria Bullet"/>
    <w:basedOn w:val="SteriaResponse"/>
    <w:pPr>
      <w:numPr>
        <w:numId w:val="16"/>
      </w:numPr>
      <w:tabs>
        <w:tab w:val="clear" w:pos="4235"/>
      </w:tabs>
      <w:ind w:left="357" w:hanging="357"/>
    </w:pPr>
  </w:style>
  <w:style w:type="paragraph" w:customStyle="1" w:styleId="SteriaResponse">
    <w:name w:val="Steria Response"/>
    <w:pPr>
      <w:spacing w:after="240" w:line="260" w:lineRule="exact"/>
    </w:pPr>
    <w:rPr>
      <w:color w:val="000080"/>
      <w:sz w:val="22"/>
      <w:lang w:eastAsia="en-US"/>
    </w:rPr>
  </w:style>
  <w:style w:type="paragraph" w:customStyle="1" w:styleId="TaBult1">
    <w:name w:val="TaBult 1"/>
    <w:basedOn w:val="Normal"/>
    <w:pPr>
      <w:numPr>
        <w:numId w:val="17"/>
      </w:numPr>
      <w:spacing w:before="60" w:after="60"/>
      <w:ind w:left="426" w:hanging="284"/>
      <w:jc w:val="both"/>
    </w:pPr>
    <w:rPr>
      <w:rFonts w:ascii="Times New Roman" w:hAnsi="Times New Roman"/>
      <w:sz w:val="22"/>
    </w:rPr>
  </w:style>
  <w:style w:type="paragraph" w:customStyle="1" w:styleId="Bullet20">
    <w:name w:val="Bullet 2"/>
    <w:basedOn w:val="Normal"/>
    <w:pPr>
      <w:tabs>
        <w:tab w:val="num" w:pos="1260"/>
      </w:tabs>
      <w:spacing w:after="0"/>
      <w:ind w:left="1260" w:hanging="360"/>
      <w:jc w:val="both"/>
    </w:pPr>
    <w:rPr>
      <w:sz w:val="22"/>
    </w:rPr>
  </w:style>
  <w:style w:type="paragraph" w:customStyle="1" w:styleId="bp">
    <w:name w:val="bp"/>
    <w:basedOn w:val="Normal"/>
    <w:pPr>
      <w:spacing w:before="100" w:after="100"/>
    </w:pPr>
    <w:rPr>
      <w:rFonts w:ascii="Arial Unicode MS" w:eastAsia="Arial Unicode MS" w:hAnsi="Arial Unicode MS"/>
      <w:sz w:val="24"/>
    </w:rPr>
  </w:style>
  <w:style w:type="paragraph" w:styleId="List2">
    <w:name w:val="List 2"/>
    <w:basedOn w:val="Normal"/>
    <w:pPr>
      <w:tabs>
        <w:tab w:val="num" w:pos="360"/>
      </w:tabs>
      <w:spacing w:before="60" w:after="0"/>
      <w:ind w:left="360" w:hanging="360"/>
      <w:jc w:val="both"/>
    </w:pPr>
    <w:rPr>
      <w:snapToGrid w:val="0"/>
      <w:color w:val="000000"/>
      <w:sz w:val="22"/>
    </w:rPr>
  </w:style>
  <w:style w:type="paragraph" w:customStyle="1" w:styleId="BodySingle">
    <w:name w:val="*Body Single"/>
    <w:basedOn w:val="Normal"/>
    <w:pPr>
      <w:spacing w:after="0" w:line="220" w:lineRule="atLeast"/>
      <w:ind w:left="2304"/>
    </w:pPr>
    <w:rPr>
      <w:sz w:val="22"/>
      <w:szCs w:val="24"/>
    </w:rPr>
  </w:style>
  <w:style w:type="paragraph" w:customStyle="1" w:styleId="Text2">
    <w:name w:val="Text 2"/>
    <w:basedOn w:val="Default"/>
    <w:next w:val="Default"/>
    <w:link w:val="Text2Char"/>
    <w:pPr>
      <w:autoSpaceDE/>
      <w:autoSpaceDN/>
      <w:adjustRightInd/>
      <w:spacing w:before="120" w:after="120"/>
    </w:pPr>
  </w:style>
  <w:style w:type="paragraph" w:customStyle="1" w:styleId="Default">
    <w:name w:val="Default"/>
    <w:pPr>
      <w:autoSpaceDE w:val="0"/>
      <w:autoSpaceDN w:val="0"/>
      <w:adjustRightInd w:val="0"/>
    </w:pPr>
    <w:rPr>
      <w:rFonts w:ascii="TimesNewRoman" w:hAnsi="TimesNewRoman"/>
      <w:lang w:eastAsia="en-US"/>
    </w:rPr>
  </w:style>
  <w:style w:type="paragraph" w:styleId="BodyText">
    <w:name w:val="Body Text"/>
    <w:aliases w:val="EDS Question Text"/>
    <w:basedOn w:val="Normal"/>
    <w:pPr>
      <w:spacing w:after="0"/>
      <w:ind w:right="-1054"/>
    </w:pPr>
    <w:rPr>
      <w:noProof/>
    </w:rPr>
  </w:style>
  <w:style w:type="paragraph" w:styleId="BodyText2">
    <w:name w:val="Body Text 2"/>
    <w:basedOn w:val="Normal"/>
    <w:pPr>
      <w:spacing w:after="0"/>
    </w:pPr>
    <w:rPr>
      <w:color w:val="000000"/>
      <w:sz w:val="22"/>
    </w:rPr>
  </w:style>
  <w:style w:type="paragraph" w:styleId="BodyText3">
    <w:name w:val="Body Text 3"/>
    <w:basedOn w:val="Normal"/>
    <w:pPr>
      <w:spacing w:after="0"/>
      <w:jc w:val="both"/>
    </w:pPr>
    <w:rPr>
      <w:snapToGrid w:val="0"/>
      <w:color w:val="000000"/>
      <w:sz w:val="22"/>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after="0"/>
      <w:ind w:left="720" w:right="720"/>
    </w:pPr>
    <w:rPr>
      <w:rFonts w:ascii="Times New Roman" w:hAnsi="Times New Roman"/>
      <w:b/>
      <w:bCs/>
      <w:color w:val="FF0000"/>
      <w:sz w:val="24"/>
      <w:szCs w:val="24"/>
    </w:rPr>
  </w:style>
  <w:style w:type="paragraph" w:customStyle="1" w:styleId="cellheading">
    <w:name w:val="cellheading"/>
    <w:basedOn w:val="Normal"/>
    <w:pPr>
      <w:spacing w:after="144"/>
    </w:pPr>
    <w:rPr>
      <w:rFonts w:ascii="Verdana" w:eastAsia="Arial Unicode MS" w:hAnsi="Verdana"/>
      <w:b/>
      <w:color w:val="000000"/>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table" w:styleId="TableGrid">
    <w:name w:val="Table Grid"/>
    <w:basedOn w:val="TableNormal"/>
    <w:uiPriority w:val="5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aliases w:val="T2 Char,h2 Char,L2 Char,H2 Char,Punt 2 Char,l2 Char,2 Char,Titre 21 Char,t2.T2 Char,t2 Char,Contrat 2 Char,Ctt Char,t2.T2.Titre 2 Char,TITRE 2 Char,Titre 2ed Char,Heading 2 Hidden Char,heading 2 Char,Chapter Number/Appendix Letter Char"/>
    <w:link w:val="Heading2"/>
    <w:rPr>
      <w:b/>
      <w:bCs/>
      <w:smallCaps/>
      <w:color w:val="000080"/>
      <w:sz w:val="32"/>
    </w:rPr>
  </w:style>
  <w:style w:type="character" w:customStyle="1" w:styleId="Heading4Char">
    <w:name w:val="Heading 4 Char"/>
    <w:aliases w:val="4 Char,H4 Char,Titre 41 Char,t4.T4 Char,t4 Char,Chapitre 1.1.1. Char,Alinéa Char,dash Char,h4 Char,Ref Heading 1 Char,rh1 Char,First Subheading Char,T4 Char,t4.T4.Titre 4 Char,heading 4 Char,l4 Char,I4 Char,(Shift Ctrl 4) Char"/>
    <w:link w:val="Heading4"/>
    <w:rPr>
      <w:b/>
      <w:smallCaps/>
      <w:color w:val="000080"/>
      <w:sz w:val="24"/>
    </w:rPr>
  </w:style>
  <w:style w:type="paragraph" w:styleId="BodyTextIndent">
    <w:name w:val="Body Text Indent"/>
    <w:basedOn w:val="Normal"/>
    <w:pPr>
      <w:numPr>
        <w:numId w:val="18"/>
      </w:numPr>
      <w:tabs>
        <w:tab w:val="clear" w:pos="283"/>
      </w:tabs>
      <w:ind w:firstLine="0"/>
      <w:jc w:val="both"/>
    </w:pPr>
    <w:rPr>
      <w:rFonts w:ascii="Times New Roman" w:hAnsi="Times New Roman"/>
      <w:sz w:val="22"/>
    </w:rPr>
  </w:style>
  <w:style w:type="character" w:customStyle="1" w:styleId="Text2Char">
    <w:name w:val="Text 2 Char"/>
    <w:link w:val="Text2"/>
    <w:rPr>
      <w:rFonts w:ascii="TimesNewRoman" w:hAnsi="TimesNewRoman"/>
      <w:lang w:val="de-DE" w:eastAsia="en-US" w:bidi="ar-SA"/>
    </w:rPr>
  </w:style>
  <w:style w:type="character" w:styleId="HTMLCode">
    <w:name w:val="HTML Code"/>
    <w:semiHidden/>
    <w:unhideWhenUsed/>
    <w:rPr>
      <w:rFonts w:ascii="Courier New" w:eastAsia="Times New Roman" w:hAnsi="Courier New" w:cs="Courier New"/>
      <w:sz w:val="20"/>
      <w:szCs w:val="20"/>
    </w:rPr>
  </w:style>
  <w:style w:type="character" w:customStyle="1" w:styleId="Heading2Char2">
    <w:name w:val="Heading 2 Char2"/>
    <w:aliases w:val="Heading 2 Char1 Char,Heading 2 Char Char Char,Heading 2 Char Char1"/>
    <w:locked/>
    <w:rPr>
      <w:b/>
      <w:sz w:val="24"/>
      <w:lang w:val="de-DE" w:eastAsia="en-US" w:bidi="ar-SA"/>
    </w:rPr>
  </w:style>
  <w:style w:type="paragraph" w:customStyle="1" w:styleId="NumPar1">
    <w:name w:val="NumPar 1"/>
    <w:basedOn w:val="Normal"/>
    <w:next w:val="Normal"/>
    <w:pPr>
      <w:numPr>
        <w:numId w:val="21"/>
      </w:numPr>
      <w:spacing w:before="120"/>
      <w:jc w:val="both"/>
    </w:pPr>
    <w:rPr>
      <w:rFonts w:ascii="Times New Roman" w:hAnsi="Times New Roman"/>
      <w:sz w:val="24"/>
      <w:szCs w:val="24"/>
    </w:rPr>
  </w:style>
  <w:style w:type="paragraph" w:customStyle="1" w:styleId="NumPar2">
    <w:name w:val="NumPar 2"/>
    <w:basedOn w:val="Normal"/>
    <w:next w:val="Normal"/>
    <w:pPr>
      <w:numPr>
        <w:ilvl w:val="1"/>
        <w:numId w:val="21"/>
      </w:numPr>
      <w:spacing w:before="120"/>
      <w:jc w:val="both"/>
    </w:pPr>
    <w:rPr>
      <w:rFonts w:ascii="Times New Roman" w:hAnsi="Times New Roman"/>
      <w:sz w:val="24"/>
      <w:szCs w:val="24"/>
    </w:rPr>
  </w:style>
  <w:style w:type="paragraph" w:customStyle="1" w:styleId="NumPar3">
    <w:name w:val="NumPar 3"/>
    <w:basedOn w:val="Normal"/>
    <w:next w:val="Normal"/>
    <w:pPr>
      <w:numPr>
        <w:ilvl w:val="2"/>
        <w:numId w:val="21"/>
      </w:numPr>
      <w:spacing w:before="120"/>
      <w:jc w:val="both"/>
    </w:pPr>
    <w:rPr>
      <w:rFonts w:ascii="Times New Roman" w:hAnsi="Times New Roman"/>
      <w:sz w:val="24"/>
      <w:szCs w:val="24"/>
    </w:rPr>
  </w:style>
  <w:style w:type="paragraph" w:customStyle="1" w:styleId="NumPar4">
    <w:name w:val="NumPar 4"/>
    <w:basedOn w:val="Normal"/>
    <w:next w:val="Normal"/>
    <w:pPr>
      <w:numPr>
        <w:ilvl w:val="3"/>
        <w:numId w:val="21"/>
      </w:numPr>
      <w:spacing w:before="120"/>
      <w:jc w:val="both"/>
    </w:pPr>
    <w:rPr>
      <w:rFonts w:ascii="Times New Roman" w:hAnsi="Times New Roman"/>
      <w:sz w:val="24"/>
      <w:szCs w:val="24"/>
    </w:rPr>
  </w:style>
  <w:style w:type="paragraph" w:styleId="ListParagraph">
    <w:name w:val="List Paragraph"/>
    <w:basedOn w:val="Normal"/>
    <w:uiPriority w:val="34"/>
    <w:qFormat/>
    <w:pPr>
      <w:spacing w:after="0"/>
      <w:ind w:left="720"/>
    </w:pPr>
    <w:rPr>
      <w:rFonts w:ascii="Calibri" w:hAnsi="Calibri"/>
      <w:sz w:val="22"/>
      <w:szCs w:val="22"/>
    </w:rPr>
  </w:style>
  <w:style w:type="character" w:customStyle="1" w:styleId="CommentTextChar">
    <w:name w:val="Comment Text Char"/>
    <w:basedOn w:val="DefaultParagraphFont"/>
    <w:link w:val="CommentText"/>
    <w:semiHidden/>
    <w:rPr>
      <w:rFonts w:ascii="Arial" w:hAnsi="Arial"/>
      <w:lang w:eastAsia="en-US"/>
    </w:rPr>
  </w:style>
  <w:style w:type="paragraph" w:styleId="Revision">
    <w:name w:val="Revision"/>
    <w:hidden/>
    <w:uiPriority w:val="99"/>
    <w:semiHidden/>
    <w:rPr>
      <w:sz w:val="18"/>
      <w:lang w:eastAsia="en-US"/>
    </w:rPr>
  </w:style>
  <w:style w:type="character" w:customStyle="1" w:styleId="FootnoteTextChar">
    <w:name w:val="Footnote Text Char"/>
    <w:basedOn w:val="DefaultParagraphFont"/>
    <w:link w:val="FootnoteText"/>
    <w:semiHidden/>
    <w:rPr>
      <w:rFonts w:ascii="Arial" w:hAnsi="Arial"/>
      <w:sz w:val="16"/>
      <w:lang w:eastAsia="en-US"/>
    </w:rPr>
  </w:style>
  <w:style w:type="paragraph" w:styleId="EndnoteText">
    <w:name w:val="endnote text"/>
    <w:basedOn w:val="Normal"/>
    <w:link w:val="EndnoteTextChar"/>
    <w:semiHidden/>
    <w:unhideWhenUsed/>
    <w:pPr>
      <w:spacing w:after="0"/>
    </w:p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jc w:val="both"/>
    </w:pPr>
    <w:rPr>
      <w:rFonts w:ascii="Times New Roman" w:eastAsiaTheme="minorHAnsi" w:hAnsi="Times New Roman" w:cs="Times New Roman"/>
      <w:sz w:val="24"/>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pPr>
    <w:rPr>
      <w:rFonts w:ascii="Times New Roman" w:hAnsi="Times New Roman" w:cs="Times New Roman"/>
      <w:sz w:val="24"/>
    </w:rPr>
  </w:style>
  <w:style w:type="character" w:customStyle="1" w:styleId="TitleChar">
    <w:name w:val="Title Char"/>
    <w:basedOn w:val="DefaultParagraphFont"/>
    <w:link w:val="Title"/>
    <w:rPr>
      <w:b/>
      <w:caps/>
      <w:color w:val="000080"/>
      <w:sz w:val="32"/>
    </w:rPr>
  </w:style>
  <w:style w:type="character" w:customStyle="1" w:styleId="FooterCoverPageChar">
    <w:name w:val="Footer Cover Page Char"/>
    <w:basedOn w:val="TitleChar"/>
    <w:link w:val="FooterCoverPage"/>
    <w:rPr>
      <w:rFonts w:ascii="Times New Roman" w:hAnsi="Times New Roman" w:cs="Times New Roman"/>
      <w:b w:val="0"/>
      <w:caps w:val="0"/>
      <w:color w:val="000080"/>
      <w:sz w:val="24"/>
    </w:rPr>
  </w:style>
  <w:style w:type="paragraph" w:customStyle="1" w:styleId="HeaderCoverPage">
    <w:name w:val="Header Cover Page"/>
    <w:basedOn w:val="Normal"/>
    <w:link w:val="HeaderCoverPageChar"/>
    <w:pPr>
      <w:tabs>
        <w:tab w:val="center" w:pos="4535"/>
        <w:tab w:val="right" w:pos="9071"/>
      </w:tabs>
      <w:jc w:val="both"/>
    </w:pPr>
    <w:rPr>
      <w:rFonts w:ascii="Times New Roman" w:hAnsi="Times New Roman" w:cs="Times New Roman"/>
      <w:sz w:val="24"/>
    </w:rPr>
  </w:style>
  <w:style w:type="character" w:customStyle="1" w:styleId="HeaderCoverPageChar">
    <w:name w:val="Header Cover Page Char"/>
    <w:basedOn w:val="TitleChar"/>
    <w:link w:val="HeaderCoverPage"/>
    <w:rPr>
      <w:rFonts w:ascii="Times New Roman" w:hAnsi="Times New Roman" w:cs="Times New Roman"/>
      <w:b w:val="0"/>
      <w:caps w:val="0"/>
      <w:color w:val="000080"/>
      <w:sz w:val="24"/>
    </w:rPr>
  </w:style>
  <w:style w:type="character" w:customStyle="1" w:styleId="FooterChar">
    <w:name w:val="Footer Char"/>
    <w:basedOn w:val="DefaultParagraphFont"/>
    <w:link w:val="Footer"/>
    <w:uiPriority w:val="99"/>
    <w:rPr>
      <w:rFonts w:ascii="Times New Roman" w:eastAsiaTheme="minorHAnsi" w:hAnsi="Times New Roman" w:cs="Times New Roman"/>
      <w:sz w:val="24"/>
      <w:szCs w:val="22"/>
      <w:lang w:eastAsia="en-US"/>
    </w:rPr>
  </w:style>
  <w:style w:type="paragraph" w:customStyle="1" w:styleId="Titreobjet">
    <w:name w:val="Titre objet"/>
    <w:basedOn w:val="Normal"/>
    <w:next w:val="Normal"/>
    <w:pPr>
      <w:spacing w:before="360" w:after="360"/>
      <w:jc w:val="center"/>
    </w:pPr>
    <w:rPr>
      <w:rFonts w:ascii="Times New Roman" w:eastAsiaTheme="minorHAnsi" w:hAnsi="Times New Roman" w:cs="Times New Roman"/>
      <w:b/>
      <w:sz w:val="24"/>
      <w:szCs w:val="22"/>
      <w:lang w:eastAsia="en-US"/>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jc w:val="both"/>
    </w:pPr>
    <w:rPr>
      <w:rFonts w:ascii="Times New Roman" w:eastAsiaTheme="minorHAnsi" w:hAnsi="Times New Roman" w:cs="Times New Roman"/>
      <w:sz w:val="24"/>
      <w:szCs w:val="22"/>
      <w:lang w:eastAsia="en-US"/>
    </w:rPr>
  </w:style>
  <w:style w:type="character" w:customStyle="1" w:styleId="HeaderChar">
    <w:name w:val="Header Char"/>
    <w:basedOn w:val="DefaultParagraphFont"/>
    <w:link w:val="Header"/>
    <w:uiPriority w:val="99"/>
    <w:rPr>
      <w:rFonts w:ascii="Times New Roman" w:eastAsiaTheme="minorHAnsi" w:hAnsi="Times New Roman" w:cs="Times New Roman"/>
      <w:sz w:val="24"/>
      <w:szCs w:val="22"/>
      <w:lang w:eastAsia="en-US"/>
    </w:rPr>
  </w:style>
  <w:style w:type="paragraph" w:customStyle="1" w:styleId="HeaderLandscape">
    <w:name w:val="HeaderLandscape"/>
    <w:basedOn w:val="Normal"/>
    <w:pPr>
      <w:tabs>
        <w:tab w:val="center" w:pos="7285"/>
        <w:tab w:val="right" w:pos="14003"/>
      </w:tabs>
      <w:jc w:val="both"/>
    </w:pPr>
    <w:rPr>
      <w:rFonts w:ascii="Times New Roman" w:eastAsiaTheme="minorHAnsi" w:hAnsi="Times New Roman" w:cs="Times New Roman"/>
      <w:sz w:val="24"/>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paragraph" w:customStyle="1" w:styleId="HeaderSensitivityRight">
    <w:name w:val="Header Sensitivity Right"/>
    <w:basedOn w:val="Normal"/>
    <w:pPr>
      <w:jc w:val="right"/>
    </w:pPr>
    <w:rPr>
      <w:rFonts w:ascii="Times New Roman" w:hAnsi="Times New Roman" w:cs="Times New Roman"/>
      <w:sz w:val="28"/>
    </w:rPr>
  </w:style>
  <w:style w:type="paragraph" w:customStyle="1" w:styleId="FooterLandscape">
    <w:name w:val="FooterLandscape"/>
    <w:basedOn w:val="Normal"/>
    <w:pPr>
      <w:tabs>
        <w:tab w:val="center" w:pos="7285"/>
        <w:tab w:val="center" w:pos="10913"/>
        <w:tab w:val="right" w:pos="15137"/>
      </w:tabs>
      <w:spacing w:before="360" w:after="0"/>
      <w:ind w:left="-567" w:right="-567"/>
    </w:pPr>
    <w:rPr>
      <w:rFonts w:ascii="Times New Roman" w:eastAsiaTheme="minorHAnsi" w:hAnsi="Times New Roman" w:cs="Times New Roman"/>
      <w:sz w:val="24"/>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jc w:val="both"/>
    </w:pPr>
    <w:rPr>
      <w:rFonts w:ascii="Times New Roman" w:eastAsiaTheme="minorHAnsi" w:hAnsi="Times New Roman" w:cs="Times New Roman"/>
      <w:sz w:val="24"/>
      <w:szCs w:val="22"/>
      <w:lang w:eastAsia="en-US"/>
    </w:rPr>
  </w:style>
  <w:style w:type="paragraph" w:customStyle="1" w:styleId="SecurityMarking">
    <w:name w:val="SecurityMarking"/>
    <w:basedOn w:val="Normal"/>
    <w:pPr>
      <w:spacing w:after="0" w:line="276" w:lineRule="auto"/>
      <w:ind w:left="5103"/>
    </w:pPr>
    <w:rPr>
      <w:rFonts w:ascii="Times New Roman" w:eastAsiaTheme="minorHAnsi" w:hAnsi="Times New Roman" w:cs="Times New Roman"/>
      <w:sz w:val="28"/>
      <w:szCs w:val="22"/>
      <w:lang w:eastAsia="en-US"/>
    </w:rPr>
  </w:style>
  <w:style w:type="paragraph" w:customStyle="1" w:styleId="DateMarking">
    <w:name w:val="DateMarking"/>
    <w:basedOn w:val="Normal"/>
    <w:pPr>
      <w:spacing w:after="0" w:line="276" w:lineRule="auto"/>
      <w:ind w:left="5103"/>
    </w:pPr>
    <w:rPr>
      <w:rFonts w:ascii="Times New Roman" w:eastAsiaTheme="minorHAnsi" w:hAnsi="Times New Roman" w:cs="Times New Roman"/>
      <w:i/>
      <w:sz w:val="28"/>
      <w:szCs w:val="22"/>
      <w:lang w:eastAsia="en-US"/>
    </w:rPr>
  </w:style>
  <w:style w:type="paragraph" w:customStyle="1" w:styleId="ReleasableTo">
    <w:name w:val="ReleasableTo"/>
    <w:basedOn w:val="Normal"/>
    <w:pPr>
      <w:spacing w:after="0" w:line="276" w:lineRule="auto"/>
      <w:ind w:left="5103"/>
    </w:pPr>
    <w:rPr>
      <w:rFonts w:ascii="Times New Roman" w:eastAsiaTheme="minorHAnsi" w:hAnsi="Times New Roman" w:cs="Times New Roman"/>
      <w:i/>
      <w:sz w:val="28"/>
      <w:szCs w:val="22"/>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6491">
      <w:bodyDiv w:val="1"/>
      <w:marLeft w:val="0"/>
      <w:marRight w:val="0"/>
      <w:marTop w:val="0"/>
      <w:marBottom w:val="0"/>
      <w:divBdr>
        <w:top w:val="none" w:sz="0" w:space="0" w:color="auto"/>
        <w:left w:val="none" w:sz="0" w:space="0" w:color="auto"/>
        <w:bottom w:val="none" w:sz="0" w:space="0" w:color="auto"/>
        <w:right w:val="none" w:sz="0" w:space="0" w:color="auto"/>
      </w:divBdr>
    </w:div>
    <w:div w:id="436944370">
      <w:bodyDiv w:val="1"/>
      <w:marLeft w:val="0"/>
      <w:marRight w:val="0"/>
      <w:marTop w:val="0"/>
      <w:marBottom w:val="0"/>
      <w:divBdr>
        <w:top w:val="none" w:sz="0" w:space="0" w:color="auto"/>
        <w:left w:val="none" w:sz="0" w:space="0" w:color="auto"/>
        <w:bottom w:val="none" w:sz="0" w:space="0" w:color="auto"/>
        <w:right w:val="none" w:sz="0" w:space="0" w:color="auto"/>
      </w:divBdr>
    </w:div>
    <w:div w:id="605038106">
      <w:bodyDiv w:val="1"/>
      <w:marLeft w:val="0"/>
      <w:marRight w:val="0"/>
      <w:marTop w:val="0"/>
      <w:marBottom w:val="0"/>
      <w:divBdr>
        <w:top w:val="none" w:sz="0" w:space="0" w:color="auto"/>
        <w:left w:val="none" w:sz="0" w:space="0" w:color="auto"/>
        <w:bottom w:val="none" w:sz="0" w:space="0" w:color="auto"/>
        <w:right w:val="none" w:sz="0" w:space="0" w:color="auto"/>
      </w:divBdr>
    </w:div>
    <w:div w:id="640689684">
      <w:bodyDiv w:val="1"/>
      <w:marLeft w:val="0"/>
      <w:marRight w:val="0"/>
      <w:marTop w:val="0"/>
      <w:marBottom w:val="0"/>
      <w:divBdr>
        <w:top w:val="none" w:sz="0" w:space="0" w:color="auto"/>
        <w:left w:val="none" w:sz="0" w:space="0" w:color="auto"/>
        <w:bottom w:val="none" w:sz="0" w:space="0" w:color="auto"/>
        <w:right w:val="none" w:sz="0" w:space="0" w:color="auto"/>
      </w:divBdr>
    </w:div>
    <w:div w:id="662397485">
      <w:bodyDiv w:val="1"/>
      <w:marLeft w:val="0"/>
      <w:marRight w:val="0"/>
      <w:marTop w:val="0"/>
      <w:marBottom w:val="0"/>
      <w:divBdr>
        <w:top w:val="none" w:sz="0" w:space="0" w:color="auto"/>
        <w:left w:val="none" w:sz="0" w:space="0" w:color="auto"/>
        <w:bottom w:val="none" w:sz="0" w:space="0" w:color="auto"/>
        <w:right w:val="none" w:sz="0" w:space="0" w:color="auto"/>
      </w:divBdr>
    </w:div>
    <w:div w:id="814957810">
      <w:bodyDiv w:val="1"/>
      <w:marLeft w:val="0"/>
      <w:marRight w:val="0"/>
      <w:marTop w:val="0"/>
      <w:marBottom w:val="0"/>
      <w:divBdr>
        <w:top w:val="none" w:sz="0" w:space="0" w:color="auto"/>
        <w:left w:val="none" w:sz="0" w:space="0" w:color="auto"/>
        <w:bottom w:val="none" w:sz="0" w:space="0" w:color="auto"/>
        <w:right w:val="none" w:sz="0" w:space="0" w:color="auto"/>
      </w:divBdr>
    </w:div>
    <w:div w:id="852457057">
      <w:bodyDiv w:val="1"/>
      <w:marLeft w:val="0"/>
      <w:marRight w:val="0"/>
      <w:marTop w:val="0"/>
      <w:marBottom w:val="0"/>
      <w:divBdr>
        <w:top w:val="none" w:sz="0" w:space="0" w:color="auto"/>
        <w:left w:val="none" w:sz="0" w:space="0" w:color="auto"/>
        <w:bottom w:val="none" w:sz="0" w:space="0" w:color="auto"/>
        <w:right w:val="none" w:sz="0" w:space="0" w:color="auto"/>
      </w:divBdr>
    </w:div>
    <w:div w:id="937715902">
      <w:bodyDiv w:val="1"/>
      <w:marLeft w:val="0"/>
      <w:marRight w:val="0"/>
      <w:marTop w:val="0"/>
      <w:marBottom w:val="0"/>
      <w:divBdr>
        <w:top w:val="none" w:sz="0" w:space="0" w:color="auto"/>
        <w:left w:val="none" w:sz="0" w:space="0" w:color="auto"/>
        <w:bottom w:val="none" w:sz="0" w:space="0" w:color="auto"/>
        <w:right w:val="none" w:sz="0" w:space="0" w:color="auto"/>
      </w:divBdr>
    </w:div>
    <w:div w:id="976498224">
      <w:bodyDiv w:val="1"/>
      <w:marLeft w:val="0"/>
      <w:marRight w:val="0"/>
      <w:marTop w:val="0"/>
      <w:marBottom w:val="0"/>
      <w:divBdr>
        <w:top w:val="none" w:sz="0" w:space="0" w:color="auto"/>
        <w:left w:val="none" w:sz="0" w:space="0" w:color="auto"/>
        <w:bottom w:val="none" w:sz="0" w:space="0" w:color="auto"/>
        <w:right w:val="none" w:sz="0" w:space="0" w:color="auto"/>
      </w:divBdr>
    </w:div>
    <w:div w:id="1193766090">
      <w:bodyDiv w:val="1"/>
      <w:marLeft w:val="0"/>
      <w:marRight w:val="0"/>
      <w:marTop w:val="0"/>
      <w:marBottom w:val="0"/>
      <w:divBdr>
        <w:top w:val="none" w:sz="0" w:space="0" w:color="auto"/>
        <w:left w:val="none" w:sz="0" w:space="0" w:color="auto"/>
        <w:bottom w:val="none" w:sz="0" w:space="0" w:color="auto"/>
        <w:right w:val="none" w:sz="0" w:space="0" w:color="auto"/>
      </w:divBdr>
    </w:div>
    <w:div w:id="1221405828">
      <w:bodyDiv w:val="1"/>
      <w:marLeft w:val="0"/>
      <w:marRight w:val="0"/>
      <w:marTop w:val="0"/>
      <w:marBottom w:val="0"/>
      <w:divBdr>
        <w:top w:val="none" w:sz="0" w:space="0" w:color="auto"/>
        <w:left w:val="none" w:sz="0" w:space="0" w:color="auto"/>
        <w:bottom w:val="none" w:sz="0" w:space="0" w:color="auto"/>
        <w:right w:val="none" w:sz="0" w:space="0" w:color="auto"/>
      </w:divBdr>
    </w:div>
    <w:div w:id="1259944273">
      <w:bodyDiv w:val="1"/>
      <w:marLeft w:val="0"/>
      <w:marRight w:val="0"/>
      <w:marTop w:val="0"/>
      <w:marBottom w:val="0"/>
      <w:divBdr>
        <w:top w:val="none" w:sz="0" w:space="0" w:color="auto"/>
        <w:left w:val="none" w:sz="0" w:space="0" w:color="auto"/>
        <w:bottom w:val="none" w:sz="0" w:space="0" w:color="auto"/>
        <w:right w:val="none" w:sz="0" w:space="0" w:color="auto"/>
      </w:divBdr>
    </w:div>
    <w:div w:id="1512455331">
      <w:bodyDiv w:val="1"/>
      <w:marLeft w:val="0"/>
      <w:marRight w:val="0"/>
      <w:marTop w:val="0"/>
      <w:marBottom w:val="0"/>
      <w:divBdr>
        <w:top w:val="none" w:sz="0" w:space="0" w:color="auto"/>
        <w:left w:val="none" w:sz="0" w:space="0" w:color="auto"/>
        <w:bottom w:val="none" w:sz="0" w:space="0" w:color="auto"/>
        <w:right w:val="none" w:sz="0" w:space="0" w:color="auto"/>
      </w:divBdr>
    </w:div>
    <w:div w:id="1599176383">
      <w:bodyDiv w:val="1"/>
      <w:marLeft w:val="0"/>
      <w:marRight w:val="0"/>
      <w:marTop w:val="0"/>
      <w:marBottom w:val="0"/>
      <w:divBdr>
        <w:top w:val="none" w:sz="0" w:space="0" w:color="auto"/>
        <w:left w:val="none" w:sz="0" w:space="0" w:color="auto"/>
        <w:bottom w:val="none" w:sz="0" w:space="0" w:color="auto"/>
        <w:right w:val="none" w:sz="0" w:space="0" w:color="auto"/>
      </w:divBdr>
    </w:div>
    <w:div w:id="1737556785">
      <w:bodyDiv w:val="1"/>
      <w:marLeft w:val="0"/>
      <w:marRight w:val="0"/>
      <w:marTop w:val="0"/>
      <w:marBottom w:val="0"/>
      <w:divBdr>
        <w:top w:val="none" w:sz="0" w:space="0" w:color="auto"/>
        <w:left w:val="none" w:sz="0" w:space="0" w:color="auto"/>
        <w:bottom w:val="none" w:sz="0" w:space="0" w:color="auto"/>
        <w:right w:val="none" w:sz="0" w:space="0" w:color="auto"/>
      </w:divBdr>
    </w:div>
    <w:div w:id="1895656447">
      <w:bodyDiv w:val="1"/>
      <w:marLeft w:val="0"/>
      <w:marRight w:val="0"/>
      <w:marTop w:val="0"/>
      <w:marBottom w:val="0"/>
      <w:divBdr>
        <w:top w:val="none" w:sz="0" w:space="0" w:color="auto"/>
        <w:left w:val="none" w:sz="0" w:space="0" w:color="auto"/>
        <w:bottom w:val="none" w:sz="0" w:space="0" w:color="auto"/>
        <w:right w:val="none" w:sz="0" w:space="0" w:color="auto"/>
      </w:divBdr>
    </w:div>
    <w:div w:id="1955672307">
      <w:bodyDiv w:val="1"/>
      <w:marLeft w:val="0"/>
      <w:marRight w:val="0"/>
      <w:marTop w:val="0"/>
      <w:marBottom w:val="0"/>
      <w:divBdr>
        <w:top w:val="none" w:sz="0" w:space="0" w:color="auto"/>
        <w:left w:val="none" w:sz="0" w:space="0" w:color="auto"/>
        <w:bottom w:val="none" w:sz="0" w:space="0" w:color="auto"/>
        <w:right w:val="none" w:sz="0" w:space="0" w:color="auto"/>
      </w:divBdr>
    </w:div>
    <w:div w:id="2029091440">
      <w:bodyDiv w:val="1"/>
      <w:marLeft w:val="0"/>
      <w:marRight w:val="0"/>
      <w:marTop w:val="0"/>
      <w:marBottom w:val="0"/>
      <w:divBdr>
        <w:top w:val="none" w:sz="0" w:space="0" w:color="auto"/>
        <w:left w:val="none" w:sz="0" w:space="0" w:color="auto"/>
        <w:bottom w:val="none" w:sz="0" w:space="0" w:color="auto"/>
        <w:right w:val="none" w:sz="0" w:space="0" w:color="auto"/>
      </w:divBdr>
    </w:div>
    <w:div w:id="210580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1D25-FB7C-44DC-B43C-285DA8C3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4416</Words>
  <Characters>27872</Characters>
  <Application>Microsoft Office Word</Application>
  <DocSecurity>0</DocSecurity>
  <Lines>488</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32168</CharactersWithSpaces>
  <SharedDoc>false</SharedDoc>
  <HLinks>
    <vt:vector size="198" baseType="variant">
      <vt:variant>
        <vt:i4>3604575</vt:i4>
      </vt:variant>
      <vt:variant>
        <vt:i4>204</vt:i4>
      </vt:variant>
      <vt:variant>
        <vt:i4>0</vt:i4>
      </vt:variant>
      <vt:variant>
        <vt:i4>5</vt:i4>
      </vt:variant>
      <vt:variant>
        <vt:lpwstr>mailto:JUST-CRIMINAL-RECORD@ec.europa.eu</vt:lpwstr>
      </vt:variant>
      <vt:variant>
        <vt:lpwstr/>
      </vt:variant>
      <vt:variant>
        <vt:i4>786523</vt:i4>
      </vt:variant>
      <vt:variant>
        <vt:i4>201</vt:i4>
      </vt:variant>
      <vt:variant>
        <vt:i4>0</vt:i4>
      </vt:variant>
      <vt:variant>
        <vt:i4>5</vt:i4>
      </vt:variant>
      <vt:variant>
        <vt:lpwstr>http://www.statistics.be/</vt:lpwstr>
      </vt:variant>
      <vt:variant>
        <vt:lpwstr/>
      </vt:variant>
      <vt:variant>
        <vt:i4>1376314</vt:i4>
      </vt:variant>
      <vt:variant>
        <vt:i4>191</vt:i4>
      </vt:variant>
      <vt:variant>
        <vt:i4>0</vt:i4>
      </vt:variant>
      <vt:variant>
        <vt:i4>5</vt:i4>
      </vt:variant>
      <vt:variant>
        <vt:lpwstr/>
      </vt:variant>
      <vt:variant>
        <vt:lpwstr>_Toc366161943</vt:lpwstr>
      </vt:variant>
      <vt:variant>
        <vt:i4>1376314</vt:i4>
      </vt:variant>
      <vt:variant>
        <vt:i4>185</vt:i4>
      </vt:variant>
      <vt:variant>
        <vt:i4>0</vt:i4>
      </vt:variant>
      <vt:variant>
        <vt:i4>5</vt:i4>
      </vt:variant>
      <vt:variant>
        <vt:lpwstr/>
      </vt:variant>
      <vt:variant>
        <vt:lpwstr>_Toc366161943</vt:lpwstr>
      </vt:variant>
      <vt:variant>
        <vt:i4>1376314</vt:i4>
      </vt:variant>
      <vt:variant>
        <vt:i4>179</vt:i4>
      </vt:variant>
      <vt:variant>
        <vt:i4>0</vt:i4>
      </vt:variant>
      <vt:variant>
        <vt:i4>5</vt:i4>
      </vt:variant>
      <vt:variant>
        <vt:lpwstr/>
      </vt:variant>
      <vt:variant>
        <vt:lpwstr>_Toc366161942</vt:lpwstr>
      </vt:variant>
      <vt:variant>
        <vt:i4>1376314</vt:i4>
      </vt:variant>
      <vt:variant>
        <vt:i4>173</vt:i4>
      </vt:variant>
      <vt:variant>
        <vt:i4>0</vt:i4>
      </vt:variant>
      <vt:variant>
        <vt:i4>5</vt:i4>
      </vt:variant>
      <vt:variant>
        <vt:lpwstr/>
      </vt:variant>
      <vt:variant>
        <vt:lpwstr>_Toc366161941</vt:lpwstr>
      </vt:variant>
      <vt:variant>
        <vt:i4>1376314</vt:i4>
      </vt:variant>
      <vt:variant>
        <vt:i4>167</vt:i4>
      </vt:variant>
      <vt:variant>
        <vt:i4>0</vt:i4>
      </vt:variant>
      <vt:variant>
        <vt:i4>5</vt:i4>
      </vt:variant>
      <vt:variant>
        <vt:lpwstr/>
      </vt:variant>
      <vt:variant>
        <vt:lpwstr>_Toc366161940</vt:lpwstr>
      </vt:variant>
      <vt:variant>
        <vt:i4>1179706</vt:i4>
      </vt:variant>
      <vt:variant>
        <vt:i4>161</vt:i4>
      </vt:variant>
      <vt:variant>
        <vt:i4>0</vt:i4>
      </vt:variant>
      <vt:variant>
        <vt:i4>5</vt:i4>
      </vt:variant>
      <vt:variant>
        <vt:lpwstr/>
      </vt:variant>
      <vt:variant>
        <vt:lpwstr>_Toc366161939</vt:lpwstr>
      </vt:variant>
      <vt:variant>
        <vt:i4>1179706</vt:i4>
      </vt:variant>
      <vt:variant>
        <vt:i4>155</vt:i4>
      </vt:variant>
      <vt:variant>
        <vt:i4>0</vt:i4>
      </vt:variant>
      <vt:variant>
        <vt:i4>5</vt:i4>
      </vt:variant>
      <vt:variant>
        <vt:lpwstr/>
      </vt:variant>
      <vt:variant>
        <vt:lpwstr>_Toc366161938</vt:lpwstr>
      </vt:variant>
      <vt:variant>
        <vt:i4>1179706</vt:i4>
      </vt:variant>
      <vt:variant>
        <vt:i4>149</vt:i4>
      </vt:variant>
      <vt:variant>
        <vt:i4>0</vt:i4>
      </vt:variant>
      <vt:variant>
        <vt:i4>5</vt:i4>
      </vt:variant>
      <vt:variant>
        <vt:lpwstr/>
      </vt:variant>
      <vt:variant>
        <vt:lpwstr>_Toc366161937</vt:lpwstr>
      </vt:variant>
      <vt:variant>
        <vt:i4>1179706</vt:i4>
      </vt:variant>
      <vt:variant>
        <vt:i4>143</vt:i4>
      </vt:variant>
      <vt:variant>
        <vt:i4>0</vt:i4>
      </vt:variant>
      <vt:variant>
        <vt:i4>5</vt:i4>
      </vt:variant>
      <vt:variant>
        <vt:lpwstr/>
      </vt:variant>
      <vt:variant>
        <vt:lpwstr>_Toc366161936</vt:lpwstr>
      </vt:variant>
      <vt:variant>
        <vt:i4>1179706</vt:i4>
      </vt:variant>
      <vt:variant>
        <vt:i4>137</vt:i4>
      </vt:variant>
      <vt:variant>
        <vt:i4>0</vt:i4>
      </vt:variant>
      <vt:variant>
        <vt:i4>5</vt:i4>
      </vt:variant>
      <vt:variant>
        <vt:lpwstr/>
      </vt:variant>
      <vt:variant>
        <vt:lpwstr>_Toc366161935</vt:lpwstr>
      </vt:variant>
      <vt:variant>
        <vt:i4>1179706</vt:i4>
      </vt:variant>
      <vt:variant>
        <vt:i4>131</vt:i4>
      </vt:variant>
      <vt:variant>
        <vt:i4>0</vt:i4>
      </vt:variant>
      <vt:variant>
        <vt:i4>5</vt:i4>
      </vt:variant>
      <vt:variant>
        <vt:lpwstr/>
      </vt:variant>
      <vt:variant>
        <vt:lpwstr>_Toc366161934</vt:lpwstr>
      </vt:variant>
      <vt:variant>
        <vt:i4>1179706</vt:i4>
      </vt:variant>
      <vt:variant>
        <vt:i4>125</vt:i4>
      </vt:variant>
      <vt:variant>
        <vt:i4>0</vt:i4>
      </vt:variant>
      <vt:variant>
        <vt:i4>5</vt:i4>
      </vt:variant>
      <vt:variant>
        <vt:lpwstr/>
      </vt:variant>
      <vt:variant>
        <vt:lpwstr>_Toc366161933</vt:lpwstr>
      </vt:variant>
      <vt:variant>
        <vt:i4>1179706</vt:i4>
      </vt:variant>
      <vt:variant>
        <vt:i4>119</vt:i4>
      </vt:variant>
      <vt:variant>
        <vt:i4>0</vt:i4>
      </vt:variant>
      <vt:variant>
        <vt:i4>5</vt:i4>
      </vt:variant>
      <vt:variant>
        <vt:lpwstr/>
      </vt:variant>
      <vt:variant>
        <vt:lpwstr>_Toc366161932</vt:lpwstr>
      </vt:variant>
      <vt:variant>
        <vt:i4>1179706</vt:i4>
      </vt:variant>
      <vt:variant>
        <vt:i4>113</vt:i4>
      </vt:variant>
      <vt:variant>
        <vt:i4>0</vt:i4>
      </vt:variant>
      <vt:variant>
        <vt:i4>5</vt:i4>
      </vt:variant>
      <vt:variant>
        <vt:lpwstr/>
      </vt:variant>
      <vt:variant>
        <vt:lpwstr>_Toc366161931</vt:lpwstr>
      </vt:variant>
      <vt:variant>
        <vt:i4>1179706</vt:i4>
      </vt:variant>
      <vt:variant>
        <vt:i4>107</vt:i4>
      </vt:variant>
      <vt:variant>
        <vt:i4>0</vt:i4>
      </vt:variant>
      <vt:variant>
        <vt:i4>5</vt:i4>
      </vt:variant>
      <vt:variant>
        <vt:lpwstr/>
      </vt:variant>
      <vt:variant>
        <vt:lpwstr>_Toc366161930</vt:lpwstr>
      </vt:variant>
      <vt:variant>
        <vt:i4>1245242</vt:i4>
      </vt:variant>
      <vt:variant>
        <vt:i4>101</vt:i4>
      </vt:variant>
      <vt:variant>
        <vt:i4>0</vt:i4>
      </vt:variant>
      <vt:variant>
        <vt:i4>5</vt:i4>
      </vt:variant>
      <vt:variant>
        <vt:lpwstr/>
      </vt:variant>
      <vt:variant>
        <vt:lpwstr>_Toc366161929</vt:lpwstr>
      </vt:variant>
      <vt:variant>
        <vt:i4>1245242</vt:i4>
      </vt:variant>
      <vt:variant>
        <vt:i4>95</vt:i4>
      </vt:variant>
      <vt:variant>
        <vt:i4>0</vt:i4>
      </vt:variant>
      <vt:variant>
        <vt:i4>5</vt:i4>
      </vt:variant>
      <vt:variant>
        <vt:lpwstr/>
      </vt:variant>
      <vt:variant>
        <vt:lpwstr>_Toc366161928</vt:lpwstr>
      </vt:variant>
      <vt:variant>
        <vt:i4>1245242</vt:i4>
      </vt:variant>
      <vt:variant>
        <vt:i4>89</vt:i4>
      </vt:variant>
      <vt:variant>
        <vt:i4>0</vt:i4>
      </vt:variant>
      <vt:variant>
        <vt:i4>5</vt:i4>
      </vt:variant>
      <vt:variant>
        <vt:lpwstr/>
      </vt:variant>
      <vt:variant>
        <vt:lpwstr>_Toc366161927</vt:lpwstr>
      </vt:variant>
      <vt:variant>
        <vt:i4>1245242</vt:i4>
      </vt:variant>
      <vt:variant>
        <vt:i4>83</vt:i4>
      </vt:variant>
      <vt:variant>
        <vt:i4>0</vt:i4>
      </vt:variant>
      <vt:variant>
        <vt:i4>5</vt:i4>
      </vt:variant>
      <vt:variant>
        <vt:lpwstr/>
      </vt:variant>
      <vt:variant>
        <vt:lpwstr>_Toc366161926</vt:lpwstr>
      </vt:variant>
      <vt:variant>
        <vt:i4>1245242</vt:i4>
      </vt:variant>
      <vt:variant>
        <vt:i4>77</vt:i4>
      </vt:variant>
      <vt:variant>
        <vt:i4>0</vt:i4>
      </vt:variant>
      <vt:variant>
        <vt:i4>5</vt:i4>
      </vt:variant>
      <vt:variant>
        <vt:lpwstr/>
      </vt:variant>
      <vt:variant>
        <vt:lpwstr>_Toc366161925</vt:lpwstr>
      </vt:variant>
      <vt:variant>
        <vt:i4>1245242</vt:i4>
      </vt:variant>
      <vt:variant>
        <vt:i4>71</vt:i4>
      </vt:variant>
      <vt:variant>
        <vt:i4>0</vt:i4>
      </vt:variant>
      <vt:variant>
        <vt:i4>5</vt:i4>
      </vt:variant>
      <vt:variant>
        <vt:lpwstr/>
      </vt:variant>
      <vt:variant>
        <vt:lpwstr>_Toc366161924</vt:lpwstr>
      </vt:variant>
      <vt:variant>
        <vt:i4>1245242</vt:i4>
      </vt:variant>
      <vt:variant>
        <vt:i4>65</vt:i4>
      </vt:variant>
      <vt:variant>
        <vt:i4>0</vt:i4>
      </vt:variant>
      <vt:variant>
        <vt:i4>5</vt:i4>
      </vt:variant>
      <vt:variant>
        <vt:lpwstr/>
      </vt:variant>
      <vt:variant>
        <vt:lpwstr>_Toc366161923</vt:lpwstr>
      </vt:variant>
      <vt:variant>
        <vt:i4>1245242</vt:i4>
      </vt:variant>
      <vt:variant>
        <vt:i4>59</vt:i4>
      </vt:variant>
      <vt:variant>
        <vt:i4>0</vt:i4>
      </vt:variant>
      <vt:variant>
        <vt:i4>5</vt:i4>
      </vt:variant>
      <vt:variant>
        <vt:lpwstr/>
      </vt:variant>
      <vt:variant>
        <vt:lpwstr>_Toc366161922</vt:lpwstr>
      </vt:variant>
      <vt:variant>
        <vt:i4>1245242</vt:i4>
      </vt:variant>
      <vt:variant>
        <vt:i4>53</vt:i4>
      </vt:variant>
      <vt:variant>
        <vt:i4>0</vt:i4>
      </vt:variant>
      <vt:variant>
        <vt:i4>5</vt:i4>
      </vt:variant>
      <vt:variant>
        <vt:lpwstr/>
      </vt:variant>
      <vt:variant>
        <vt:lpwstr>_Toc366161921</vt:lpwstr>
      </vt:variant>
      <vt:variant>
        <vt:i4>1245242</vt:i4>
      </vt:variant>
      <vt:variant>
        <vt:i4>47</vt:i4>
      </vt:variant>
      <vt:variant>
        <vt:i4>0</vt:i4>
      </vt:variant>
      <vt:variant>
        <vt:i4>5</vt:i4>
      </vt:variant>
      <vt:variant>
        <vt:lpwstr/>
      </vt:variant>
      <vt:variant>
        <vt:lpwstr>_Toc366161920</vt:lpwstr>
      </vt:variant>
      <vt:variant>
        <vt:i4>1048634</vt:i4>
      </vt:variant>
      <vt:variant>
        <vt:i4>41</vt:i4>
      </vt:variant>
      <vt:variant>
        <vt:i4>0</vt:i4>
      </vt:variant>
      <vt:variant>
        <vt:i4>5</vt:i4>
      </vt:variant>
      <vt:variant>
        <vt:lpwstr/>
      </vt:variant>
      <vt:variant>
        <vt:lpwstr>_Toc366161919</vt:lpwstr>
      </vt:variant>
      <vt:variant>
        <vt:i4>1048634</vt:i4>
      </vt:variant>
      <vt:variant>
        <vt:i4>35</vt:i4>
      </vt:variant>
      <vt:variant>
        <vt:i4>0</vt:i4>
      </vt:variant>
      <vt:variant>
        <vt:i4>5</vt:i4>
      </vt:variant>
      <vt:variant>
        <vt:lpwstr/>
      </vt:variant>
      <vt:variant>
        <vt:lpwstr>_Toc366161918</vt:lpwstr>
      </vt:variant>
      <vt:variant>
        <vt:i4>1048634</vt:i4>
      </vt:variant>
      <vt:variant>
        <vt:i4>29</vt:i4>
      </vt:variant>
      <vt:variant>
        <vt:i4>0</vt:i4>
      </vt:variant>
      <vt:variant>
        <vt:i4>5</vt:i4>
      </vt:variant>
      <vt:variant>
        <vt:lpwstr/>
      </vt:variant>
      <vt:variant>
        <vt:lpwstr>_Toc366161917</vt:lpwstr>
      </vt:variant>
      <vt:variant>
        <vt:i4>1048634</vt:i4>
      </vt:variant>
      <vt:variant>
        <vt:i4>23</vt:i4>
      </vt:variant>
      <vt:variant>
        <vt:i4>0</vt:i4>
      </vt:variant>
      <vt:variant>
        <vt:i4>5</vt:i4>
      </vt:variant>
      <vt:variant>
        <vt:lpwstr/>
      </vt:variant>
      <vt:variant>
        <vt:lpwstr>_Toc366161916</vt:lpwstr>
      </vt:variant>
      <vt:variant>
        <vt:i4>1048634</vt:i4>
      </vt:variant>
      <vt:variant>
        <vt:i4>17</vt:i4>
      </vt:variant>
      <vt:variant>
        <vt:i4>0</vt:i4>
      </vt:variant>
      <vt:variant>
        <vt:i4>5</vt:i4>
      </vt:variant>
      <vt:variant>
        <vt:lpwstr/>
      </vt:variant>
      <vt:variant>
        <vt:lpwstr>_Toc366161915</vt:lpwstr>
      </vt:variant>
      <vt:variant>
        <vt:i4>1048634</vt:i4>
      </vt:variant>
      <vt:variant>
        <vt:i4>11</vt:i4>
      </vt:variant>
      <vt:variant>
        <vt:i4>0</vt:i4>
      </vt:variant>
      <vt:variant>
        <vt:i4>5</vt:i4>
      </vt:variant>
      <vt:variant>
        <vt:lpwstr/>
      </vt:variant>
      <vt:variant>
        <vt:lpwstr>_Toc366161914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2020-11-27T08:19:00Z</dcterms:created>
  <dcterms:modified xsi:type="dcterms:W3CDTF">2020-12-11T19:21:00Z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CP-006</vt:lpwstr>
  </property>
</Properties>
</file>