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3E634DC-217F-414F-85F8-21C6EBBBE5CD"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spacing w:after="360"/>
        <w:ind w:left="851" w:hanging="851"/>
        <w:rPr>
          <w:noProof/>
          <w:szCs w:val="24"/>
        </w:rPr>
      </w:pPr>
      <w:bookmarkStart w:id="1" w:name="_GoBack"/>
      <w:bookmarkEnd w:id="1"/>
      <w:r>
        <w:rPr>
          <w:noProof/>
        </w:rPr>
        <w:lastRenderedPageBreak/>
        <w:t>I.</w:t>
      </w:r>
      <w:r>
        <w:rPr>
          <w:noProof/>
        </w:rPr>
        <w:tab/>
        <w:t>ΕΙΣΑΓΩΓΗ</w:t>
      </w:r>
    </w:p>
    <w:p>
      <w:pPr>
        <w:pStyle w:val="Text1"/>
        <w:spacing w:before="0" w:after="200" w:line="276" w:lineRule="auto"/>
        <w:ind w:left="0"/>
        <w:rPr>
          <w:noProof/>
        </w:rPr>
      </w:pPr>
      <w:r>
        <w:rPr>
          <w:noProof/>
        </w:rPr>
        <w:t>Ο κανονισμός (ΕΚ) αριθ. 450/2003 του Ευρωπαϊκού Κοινοβουλίου και του Συμβουλίου, της 27ης Φεβρουαρίου 2003, σχετικά με τον δείκτη κόστους εργασίας (ΔΚΕ)</w:t>
      </w:r>
      <w:r>
        <w:rPr>
          <w:rStyle w:val="FootnoteReference"/>
          <w:noProof/>
        </w:rPr>
        <w:footnoteReference w:id="2"/>
      </w:r>
      <w:r>
        <w:rPr>
          <w:noProof/>
        </w:rPr>
        <w:t xml:space="preserve"> θεσπίζει κοινό πλαίσιο για τα κράτη μέλη, ώστε να παράγουν συγκρίσιμους δείκτες και να τους διαβιβάζουν στην Επιτροπή. </w:t>
      </w:r>
    </w:p>
    <w:p>
      <w:pPr>
        <w:pStyle w:val="Text1"/>
        <w:spacing w:before="0" w:after="200" w:line="276" w:lineRule="auto"/>
        <w:ind w:left="0"/>
        <w:rPr>
          <w:noProof/>
        </w:rPr>
      </w:pPr>
      <w:r>
        <w:rPr>
          <w:noProof/>
        </w:rPr>
        <w:t>Ο δείκτης κόστους εργασίας μετρά τις τριμηνιαίες μεταβολές του συνολικού ωριαίου κόστους εργασίας που επιβαρύνει τους εργοδότες, καθιστώντας δυνατή την παρακολούθηση των εξελίξεων στην πίεση κόστους που προκύπτει από τον συντελεστή παραγωγής «εργασία». Ο ΔΚΕ ανήκει στην οικογένεια των ευρωδεικτών που παρέχουν πληροφορίες για τις οικονομικές εξελίξεις στην ευρωζώνη. Η Eurostat δημοσιεύει στον ιστότοπό της</w:t>
      </w:r>
      <w:r>
        <w:rPr>
          <w:rStyle w:val="FootnoteReference"/>
          <w:noProof/>
        </w:rPr>
        <w:footnoteReference w:id="3"/>
      </w:r>
      <w:r>
        <w:rPr>
          <w:noProof/>
        </w:rPr>
        <w:t xml:space="preserve"> τριμηνιαίο δελτίο Τύπου σχετικά με τον δείκτη ωριαίου κόστους εργασίας, το οποίο περιλαμβάνει πλήρες σύνολο στοιχείων κατανεμημένων κατά οικονομική δραστηριότητα και κατά τις συνιστώσες του κόστους εργασίας (μισθολογικό και μη μισθολογικό κόστος). Ο ιστότοπος περιλαμβάνει επίσης τα ποσοστά αύξησης τόσο ανά τρίμηνο όσο και ανά έτος.</w:t>
      </w:r>
    </w:p>
    <w:p>
      <w:pPr>
        <w:pStyle w:val="Text1"/>
        <w:spacing w:before="0" w:after="200" w:line="276" w:lineRule="auto"/>
        <w:ind w:left="0"/>
        <w:rPr>
          <w:noProof/>
          <w:szCs w:val="24"/>
        </w:rPr>
      </w:pPr>
      <w:r>
        <w:rPr>
          <w:noProof/>
        </w:rPr>
        <w:t xml:space="preserve">Σύμφωνα με το άρθρο 13 του κανονισμού (ΕΚ) αριθ. 450/2003, η Επιτροπή πρέπει να υποβάλλει κάθε 2 έτη έκθεση στο Ευρωπαϊκό Κοινοβούλιο και στο Συμβούλιο. Καθώς οι αναδρομικές σειρές αναλύθηκαν σε προηγούμενες εκθέσεις, η παρούσα έκθεση εξετάζει την ποιότητα των στοιχείων του δείκτη κόστους εργασίας που ελήφθησαν στη συνέχεια: από το δεύτερο τρίμηνο του 2018 (2018Q2) έως το πρώτο τρίμηνο του 2020 (2020Q1). Επειδή το Ηνωμένο Βασίλειο ήταν μέλος της Ευρωπαϊκής Ένωσης έως τις 31 Ιανουαρίου 2020, η παρούσα έκθεση περιλαμβάνει επίσης τα στοιχεία του ΔΚΕ που διαβίβασε η εν λόγω χώρα. </w:t>
      </w:r>
    </w:p>
    <w:p>
      <w:pPr>
        <w:pStyle w:val="Text1"/>
        <w:spacing w:before="0" w:after="200" w:line="276" w:lineRule="auto"/>
        <w:ind w:left="0"/>
        <w:rPr>
          <w:noProof/>
          <w:szCs w:val="24"/>
        </w:rPr>
      </w:pPr>
      <w:r>
        <w:rPr>
          <w:noProof/>
        </w:rPr>
        <w:t>Τον Ιούλιο του 2003 η Επιτροπή εξέδωσε τον κανονισμό (ΕΚ) αριθ. 1216/2003</w:t>
      </w:r>
      <w:r>
        <w:rPr>
          <w:rStyle w:val="FootnoteReference"/>
          <w:noProof/>
        </w:rPr>
        <w:footnoteReference w:id="4"/>
      </w:r>
      <w:r>
        <w:rPr>
          <w:noProof/>
        </w:rPr>
        <w:t>, ο οποίος ορίζει λεπτομερέστερα τις διαδικασίες που πρέπει να εφαρμόζουν τα κράτη μέλη όταν αποστέλλουν τους δείκτες τους στην Επιτροπή, τις ημερολογιακές και εποχικές διορθώσεις που πρέπει να γίνονται στους δείκτες και το περιεχόμενο των εθνικών εκθέσεων ποιότητας. Tον Μάρτιο του 2007 η Επιτροπή εξέδωσε τον κανονισμό (ΕΚ) αριθ. 224/2007</w:t>
      </w:r>
      <w:r>
        <w:rPr>
          <w:rStyle w:val="FootnoteReference"/>
          <w:bCs/>
          <w:noProof/>
        </w:rPr>
        <w:footnoteReference w:id="5"/>
      </w:r>
      <w:r>
        <w:rPr>
          <w:noProof/>
        </w:rPr>
        <w:t>. Ο εν λόγω κανονισμός τροποποιεί τον κανονισμό (ΕΚ) αριθ. 1216/2003 και επεκτείνει το πεδίο εφαρμογής του δείκτη κόστους εργασίας προκειμένου να καλύψει τις οικονομικές δραστηριότητες που ορίζονται στους τομείς Λ, Μ, Ν και Ξ της NACE αναθ. 1. Οι τομείς αυτοί περιλαμβάνουν κυρίως μη εμπορεύσιμες υπηρεσίες, οι οποίες μπορεί να έχουν διαφορετική δυναμική σε σχέση με τις υπηρεσίες της αγοράς. Επιπλέον, τον Αύγουστο του 2007 η Επιτροπή εξέδωσε τον κανονισμό (ΕΚ) αριθ. 973/2007</w:t>
      </w:r>
      <w:r>
        <w:rPr>
          <w:rStyle w:val="FootnoteReference"/>
          <w:noProof/>
        </w:rPr>
        <w:footnoteReference w:id="6"/>
      </w:r>
      <w:r>
        <w:rPr>
          <w:noProof/>
        </w:rPr>
        <w:t>, ο οποίος τροποποίησε ορισμένες νομικές πράξεις σε συγκεκριμένους στατιστικούς τομείς, συμπεριλαμβανομένου του δείκτη κόστους εργασίας, με σκοπό την εφαρμογή της στατιστικής ταξινόμησης των οικονομικών δραστηριοτήτων που καθορίζεται στη NACE αναθ. 2.</w:t>
      </w:r>
    </w:p>
    <w:p>
      <w:pPr>
        <w:pStyle w:val="F"/>
        <w:spacing w:before="0" w:after="200" w:line="276" w:lineRule="auto"/>
      </w:pPr>
      <w:r>
        <w:t>Στο παράρτημα Ι του κανονισμού (ΕΚ) αριθ. 1216/2003, η ποιότητα του δείκτη κόστους εργασίας ορίζεται με βάση τα ακόλουθα κριτήρια: καταλληλότητα, ακρίβεια, έγκαιρη υποβολή των στοιχείων, εύκολη πρόσβαση και σαφήνεια, συγκρισιμότητα, συνοχή και πληρότητα. Δεδομένου ότι η εύκολη πρόσβαση και η σαφήνεια κρίθηκαν ικανοποιητικές στην προηγούμενη έκθεση για τον ΔΚΕ</w:t>
      </w:r>
      <w:r>
        <w:rPr>
          <w:rStyle w:val="FootnoteReference"/>
        </w:rPr>
        <w:footnoteReference w:id="7"/>
      </w:r>
      <w:r>
        <w:t>, θα επικεντρωθούμε στην καταλληλότητα, την πληρότητα, την έγκαιρη υποβολή των στοιχείων, την ακρίβεια, τη συγκρισιμότητα και τη συνοχή.</w:t>
      </w:r>
    </w:p>
    <w:p>
      <w:pPr>
        <w:pStyle w:val="ManualHeading1"/>
        <w:spacing w:after="360"/>
        <w:ind w:left="851" w:hanging="851"/>
        <w:rPr>
          <w:noProof/>
          <w:szCs w:val="24"/>
        </w:rPr>
      </w:pPr>
      <w:r>
        <w:rPr>
          <w:noProof/>
        </w:rPr>
        <w:t>II.</w:t>
      </w:r>
      <w:r>
        <w:rPr>
          <w:noProof/>
        </w:rPr>
        <w:tab/>
        <w:t>ΓΕΝΙΚΗ ΠΡΟΟΔΟΣ ΜΕΤΑ ΤΗΝ ΤΕΛΕΥΤΑΙΑ ΕΚΘΕΣΗ</w:t>
      </w:r>
    </w:p>
    <w:p>
      <w:pPr>
        <w:pStyle w:val="Text1"/>
        <w:spacing w:before="0" w:after="200" w:line="276" w:lineRule="auto"/>
        <w:ind w:left="0"/>
        <w:rPr>
          <w:noProof/>
          <w:szCs w:val="24"/>
        </w:rPr>
      </w:pPr>
      <w:r>
        <w:rPr>
          <w:noProof/>
        </w:rPr>
        <w:t xml:space="preserve">Από νομοθετική άποψη, δεν έχουν γίνει αλλαγές μετά την έκδοση της προηγούμενης έκθεσης. Ωστόσο, η αποχώρηση του Ηνωμένου Βασιλείου από την Ευρωπαϊκή Ένωση είχε αντίκτυπο στα συγκεντρωτικά στοιχεία της ΕΕ. Ειδικότερα, από το πρώτο τρίμηνο (Q1) του 2020 και μετά, οι δημοσιεύσεις του ΔΚΕ αντικατοπτρίζουν τη νέα σύνθεση της ΕΕ-27. </w:t>
      </w:r>
    </w:p>
    <w:p>
      <w:pPr>
        <w:pStyle w:val="Text1"/>
        <w:spacing w:after="200" w:line="276" w:lineRule="auto"/>
        <w:ind w:left="0"/>
        <w:rPr>
          <w:noProof/>
        </w:rPr>
      </w:pPr>
      <w:r>
        <w:rPr>
          <w:noProof/>
        </w:rPr>
        <w:t xml:space="preserve">Εξακολούθησαν να συλλέγονται στοιχεία ΔΚΕ με τη χρήση προτύπων SDMX, με στόχο τη βελτίωση της διαβίβασης στοιχείων, και οι ετήσιες εκθέσεις ποιότητας επικαιροποιούνταν σύμφωνα με το χρονοδιάγραμμα, πριν από το τέλος του έτους που έπεται της περιόδου αναφοράς. </w:t>
      </w:r>
    </w:p>
    <w:p>
      <w:pPr>
        <w:pStyle w:val="Text1"/>
        <w:spacing w:after="200" w:line="276" w:lineRule="auto"/>
        <w:ind w:left="0"/>
        <w:rPr>
          <w:noProof/>
        </w:rPr>
      </w:pPr>
      <w:r>
        <w:rPr>
          <w:noProof/>
        </w:rPr>
        <w:t xml:space="preserve">Τα στοιχεία του ΔΚΕ αναπροσαρμόστηκαν με βάση το νέο έτος αναφοράς (2016) για το οποίο κατέστησαν διαθέσιμα, το 2019, νέα στοιχεία αναφοράς που προέκυψαν από την τελευταία έρευνα για το κόστος εργασίας (LCS2016). </w:t>
      </w:r>
    </w:p>
    <w:p>
      <w:pPr>
        <w:pStyle w:val="Text1"/>
        <w:spacing w:after="200" w:line="276" w:lineRule="auto"/>
        <w:ind w:left="0"/>
        <w:rPr>
          <w:noProof/>
        </w:rPr>
      </w:pPr>
      <w:r>
        <w:rPr>
          <w:noProof/>
        </w:rPr>
        <w:t>Τα στοιχεία για τα επίπεδα του ωριαίου κόστους εργασίας επικαιροποιούνταν εντός 3 μηνών από το έτος αναφοράς, με βάση τα στοιχεία του ΔΚΕ για το 2019.</w:t>
      </w:r>
    </w:p>
    <w:p>
      <w:pPr>
        <w:pStyle w:val="Text1"/>
        <w:spacing w:after="200" w:line="276" w:lineRule="auto"/>
        <w:ind w:left="0"/>
        <w:rPr>
          <w:noProof/>
        </w:rPr>
      </w:pPr>
      <w:r>
        <w:rPr>
          <w:noProof/>
        </w:rPr>
        <w:t>Τέλος, η ομάδα εργασίας για τις στατιστικές της αγοράς εργασίας (LAMAS) ενέκρινε ένα νέο υπόδειγμα που σχεδίασε η Eurostat για τη συλλογή πληροφοριών σχετικά με τα μοντέλα εποχικής διόρθωσης που χρησιμοποιούνται από τα κράτη μέλη στο πλαίσιο του ΔΚΕ.</w:t>
      </w:r>
    </w:p>
    <w:p>
      <w:pPr>
        <w:pStyle w:val="Text1"/>
        <w:spacing w:after="200" w:line="276" w:lineRule="auto"/>
        <w:ind w:left="0"/>
        <w:rPr>
          <w:noProof/>
        </w:rPr>
      </w:pPr>
      <w:r>
        <w:rPr>
          <w:noProof/>
        </w:rPr>
        <w:t>Λεπτομέρειες σχετικά με τις εξελίξεις αυτές παρουσιάζονται στις επόμενες παραγράφους.</w:t>
      </w:r>
      <w:r>
        <w:rPr>
          <w:b/>
          <w:noProof/>
        </w:rPr>
        <w:t xml:space="preserve"> </w:t>
      </w:r>
    </w:p>
    <w:p>
      <w:pPr>
        <w:jc w:val="both"/>
        <w:rPr>
          <w:b/>
          <w:noProof/>
        </w:rPr>
      </w:pPr>
      <w:r>
        <w:rPr>
          <w:b/>
          <w:noProof/>
        </w:rPr>
        <w:t>2.1 Βελτιωμένα πρότυπα συλλογής στοιχείων</w:t>
      </w:r>
    </w:p>
    <w:p>
      <w:pPr>
        <w:jc w:val="both"/>
        <w:rPr>
          <w:b/>
          <w:noProof/>
        </w:rPr>
      </w:pPr>
    </w:p>
    <w:p>
      <w:pPr>
        <w:pStyle w:val="Text1"/>
        <w:spacing w:before="0" w:after="200" w:line="276" w:lineRule="auto"/>
        <w:ind w:left="0"/>
        <w:rPr>
          <w:noProof/>
        </w:rPr>
      </w:pPr>
      <w:r>
        <w:rPr>
          <w:noProof/>
        </w:rPr>
        <w:t>Για τη λήψη στοιχείων των κρατών μελών και την παραγωγή του ΔΚΕ, αλλά και για τη διαβίβαση στοιχείων ΔΚΕ στην Ευρωπαϊκή Κεντρική Τράπεζα, εξακολουθεί να χρησιμοποιείται επιτυχώς η τελευταία έκδοση των δομών δεδομένων «Ανταλλαγή στατιστικών στοιχείων και μεταδεδομένων» (SDMX)</w:t>
      </w:r>
      <w:r>
        <w:rPr>
          <w:rStyle w:val="FootnoteReference"/>
          <w:noProof/>
        </w:rPr>
        <w:footnoteReference w:id="8"/>
      </w:r>
      <w:r>
        <w:rPr>
          <w:noProof/>
        </w:rPr>
        <w:t>.</w:t>
      </w:r>
    </w:p>
    <w:p>
      <w:pPr>
        <w:pStyle w:val="Text1"/>
        <w:spacing w:before="0" w:after="200" w:line="276" w:lineRule="auto"/>
        <w:ind w:left="0"/>
        <w:rPr>
          <w:noProof/>
        </w:rPr>
      </w:pPr>
      <w:r>
        <w:rPr>
          <w:noProof/>
        </w:rPr>
        <w:t>Για την ενημέρωση των κρατών μελών σχετικά με τα προβλήματα ΤΠ που εντοπίστηκαν στις διαβιβάσεις τους για τον ΔΚΕ χρησιμοποιήθηκε το εργαλείο αυτόματης επικύρωσης (STRUVAL).</w:t>
      </w:r>
    </w:p>
    <w:p>
      <w:pPr>
        <w:pStyle w:val="Text1"/>
        <w:spacing w:before="0" w:after="200" w:line="276" w:lineRule="auto"/>
        <w:ind w:left="0"/>
        <w:rPr>
          <w:b/>
          <w:noProof/>
        </w:rPr>
      </w:pPr>
      <w:r>
        <w:rPr>
          <w:b/>
          <w:smallCaps/>
          <w:noProof/>
        </w:rPr>
        <w:t xml:space="preserve">2.2 </w:t>
      </w:r>
      <w:r>
        <w:rPr>
          <w:b/>
          <w:noProof/>
        </w:rPr>
        <w:t xml:space="preserve">Αλλαγή βάσης του ΔΚΕ </w:t>
      </w:r>
    </w:p>
    <w:p>
      <w:pPr>
        <w:pStyle w:val="Text1"/>
        <w:spacing w:before="0" w:after="200" w:line="276" w:lineRule="auto"/>
        <w:ind w:left="0"/>
        <w:rPr>
          <w:noProof/>
          <w:color w:val="000000"/>
        </w:rPr>
      </w:pPr>
      <w:r>
        <w:rPr>
          <w:noProof/>
          <w:color w:val="000000"/>
        </w:rPr>
        <w:t xml:space="preserve">Τα στοιχεία για τους δείκτες κόστους εργασίας παρουσιάζονται με τη μορφή αριθμοδεικτών, εκφρασμένων σε σχέση με δεδομένο έτος βάσης, κατά το οποίο η αξία τους είναι εξ ορισμού 100. Ως εκ τούτου, οι αριθμοδείκτες απεικονίζουν τη σωρευτική αύξηση του κόστους εργασίας σε σχέση με το έτος βάσης. </w:t>
      </w:r>
    </w:p>
    <w:p>
      <w:pPr>
        <w:pStyle w:val="Text1"/>
        <w:spacing w:before="0" w:after="200" w:line="276" w:lineRule="auto"/>
        <w:ind w:left="0"/>
        <w:rPr>
          <w:noProof/>
          <w:color w:val="000000"/>
        </w:rPr>
      </w:pPr>
      <w:r>
        <w:rPr>
          <w:noProof/>
          <w:color w:val="000000"/>
        </w:rPr>
        <w:t xml:space="preserve">Το έτος βάσης επιλέγεται κατά τρόπον ώστε να συμπίπτει με την τελευταία 4ετή έρευνα για το κόστος του εργατικού δυναμικού (ΕΚΕΕ-LCS), η οποία παρέχει στοιχεία αναφοράς για τα επίπεδα του κόστους εργασίας. Κατ’ αυτόν τον τρόπο, τα στοιχεία ΔΚΕ που αφορούν αυτό το έτος βάσης μπορούν να συνδυαστούν άμεσα (με πολλαπλασιασμό) με τα στοιχεία της ΕΚΕΕ για την εξαγωγή εκτιμήσεων του επιπέδου του κόστους εργασίας για το πλέον πρόσφατο έτος για το οποίο υπάρχουν διαθέσιμα στοιχεία για τον ΔΚΕ. </w:t>
      </w:r>
    </w:p>
    <w:p>
      <w:pPr>
        <w:pStyle w:val="Text1"/>
        <w:spacing w:before="0" w:after="200" w:line="276" w:lineRule="auto"/>
        <w:ind w:left="0"/>
        <w:rPr>
          <w:noProof/>
          <w:color w:val="000000"/>
        </w:rPr>
      </w:pPr>
      <w:r>
        <w:rPr>
          <w:noProof/>
        </w:rPr>
        <w:t xml:space="preserve">Μετά τη δημοσίευση της νέας «εσοδείας» στοιχείων ΕΚΕΕ, για το έτος αναφοράς 2016, ο τομέας ΔΚΕ επαναπροσδιορίστηκε αναλόγως. Από τον Ιούνιο του 2019 τα στοιχεία του ΔΚΕ εκφράζονται με νέο έτος βάσης το 2016 = 100. </w:t>
      </w:r>
    </w:p>
    <w:p>
      <w:pPr>
        <w:jc w:val="both"/>
        <w:rPr>
          <w:b/>
          <w:noProof/>
        </w:rPr>
      </w:pPr>
      <w:r>
        <w:rPr>
          <w:b/>
          <w:noProof/>
        </w:rPr>
        <w:t>2.3 Επίπεδα ωριαίου κόστους εργασίας</w:t>
      </w:r>
    </w:p>
    <w:p>
      <w:pPr>
        <w:jc w:val="both"/>
        <w:rPr>
          <w:b/>
          <w:noProof/>
        </w:rPr>
      </w:pPr>
    </w:p>
    <w:p>
      <w:pPr>
        <w:pStyle w:val="Text1"/>
        <w:spacing w:before="0" w:after="200" w:line="276" w:lineRule="auto"/>
        <w:ind w:left="0"/>
        <w:rPr>
          <w:noProof/>
        </w:rPr>
      </w:pPr>
      <w:r>
        <w:rPr>
          <w:noProof/>
        </w:rPr>
        <w:t xml:space="preserve">Η Eurostat εξακολούθησε να δημοσιεύει με επιτυχία τις ετήσιες εκτιμήσεις του ωριαίου κόστους εργασίας ανά τμήμα της NACE αναθ. 2, μετά την πρώτη έκδοση του Απριλίου του 2016. Οι εκτιμήσεις αυτές βασίζονται τόσο στα επίπεδα του κόστους εργασίας όσο και στις τάσεις του δείκτη κόστους εργασίας και παράγονται 3 μήνες μετά το πέρας της περιόδου αναφοράς. Η κάλυψη περιλάμβανε όλους τους τομείς της NACE, με εξαίρεση τον τομέα Λ της NACE (διαχείριση ακίνητης περιουσίας). </w:t>
      </w:r>
    </w:p>
    <w:p>
      <w:pPr>
        <w:pStyle w:val="Text1"/>
        <w:spacing w:before="0" w:after="200" w:line="276" w:lineRule="auto"/>
        <w:ind w:left="0"/>
        <w:rPr>
          <w:b/>
          <w:noProof/>
        </w:rPr>
      </w:pPr>
      <w:r>
        <w:rPr>
          <w:b/>
          <w:noProof/>
        </w:rPr>
        <w:t>2.4 Εκθέσεις ποιότητας</w:t>
      </w:r>
    </w:p>
    <w:p>
      <w:pPr>
        <w:pStyle w:val="Text1"/>
        <w:spacing w:before="0" w:after="200" w:line="276" w:lineRule="auto"/>
        <w:ind w:left="0"/>
        <w:rPr>
          <w:noProof/>
          <w:color w:val="000000"/>
        </w:rPr>
      </w:pPr>
      <w:r>
        <w:rPr>
          <w:noProof/>
          <w:color w:val="000000"/>
        </w:rPr>
        <w:t>Οι εκθέσεις ποιότητας των κρατών μελών υποβλήθηκαν έγκαιρα σε επεξεργασία με τη χρήση της τελευταίας έκδοσης της διεπαφής διαχείρισης μεταδεδομένων του ευρωπαϊκού στατιστικού συστήματος και τέθηκαν στη διάθεση όλων των χρηστών</w:t>
      </w:r>
      <w:r>
        <w:rPr>
          <w:rStyle w:val="FootnoteReference"/>
          <w:noProof/>
          <w:color w:val="000000"/>
        </w:rPr>
        <w:footnoteReference w:id="9"/>
      </w:r>
      <w:r>
        <w:rPr>
          <w:noProof/>
          <w:color w:val="000000"/>
        </w:rPr>
        <w:t>.</w:t>
      </w:r>
    </w:p>
    <w:p>
      <w:pPr>
        <w:pStyle w:val="Text1"/>
        <w:spacing w:before="0" w:after="200" w:line="276" w:lineRule="auto"/>
        <w:ind w:left="0"/>
        <w:rPr>
          <w:b/>
          <w:noProof/>
          <w:color w:val="000000"/>
        </w:rPr>
      </w:pPr>
      <w:r>
        <w:rPr>
          <w:b/>
          <w:noProof/>
        </w:rPr>
        <w:t>2.5 Εποχικές και ημερολογιακές διορθώσεις</w:t>
      </w:r>
    </w:p>
    <w:p>
      <w:pPr>
        <w:pStyle w:val="Text1"/>
        <w:spacing w:before="0" w:after="200" w:line="276" w:lineRule="auto"/>
        <w:ind w:left="0"/>
        <w:rPr>
          <w:noProof/>
          <w:color w:val="000000"/>
        </w:rPr>
      </w:pPr>
      <w:r>
        <w:rPr>
          <w:noProof/>
          <w:color w:val="000000"/>
        </w:rPr>
        <w:t>Η Eurostat ανέλυσε τις εποχικά (ΕΔ) και ημερολογιακά (ΗΔ) διορθωμένες σειρές τις οποίες διαβίβασαν τα κράτη μέλη και προέβη σε ανά χώρα σύγκριση των αποτελεσμάτων που παρουσιάστηκαν στην ομάδα εργασίας για τις στατιστικές της αγοράς εργασίας (LAMAS-LMI) τον Οκτώβριο του 2019.</w:t>
      </w:r>
    </w:p>
    <w:p>
      <w:pPr>
        <w:pStyle w:val="Text1"/>
        <w:spacing w:before="0" w:after="200" w:line="276" w:lineRule="auto"/>
        <w:ind w:left="0"/>
        <w:rPr>
          <w:b/>
          <w:smallCaps/>
          <w:noProof/>
        </w:rPr>
      </w:pPr>
      <w:r>
        <w:rPr>
          <w:noProof/>
          <w:color w:val="000000"/>
        </w:rPr>
        <w:t>Η Eurostat παρουσίασε επίσης ένα νέο υπόδειγμα που θα χρησιμοποιούν τα κράτη μέλη από το 2020 και μετά για την υποβολή εκθέσεων σχετικά με τις διαδικασίες και τα μοντέλα που χρησιμοποιούν για την εποχική διόρθωση των σειρών τους για τον ΔΚΕ. Παράλληλα, αναπτύχθηκε ειδικό πρόγραμμα ως πρόσθετο του λογισμικού JDemetra+, ώστε το υπόδειγμα να μπορεί να συμπληρωθεί με εναρμονισμένο και αυτοματοποιημένο τρόπο.</w:t>
      </w:r>
    </w:p>
    <w:p>
      <w:pPr>
        <w:pStyle w:val="ManualHeading1"/>
        <w:spacing w:after="360"/>
        <w:ind w:left="851" w:hanging="851"/>
        <w:rPr>
          <w:noProof/>
          <w:szCs w:val="24"/>
        </w:rPr>
      </w:pPr>
      <w:r>
        <w:rPr>
          <w:noProof/>
        </w:rPr>
        <w:t>III.</w:t>
      </w:r>
      <w:r>
        <w:rPr>
          <w:noProof/>
        </w:rPr>
        <w:tab/>
        <w:t>ΠΟΙΟΤΗΤΑ ΤΩΝ ΣΤΟΙΧΕΙΩΝ</w:t>
      </w:r>
    </w:p>
    <w:p>
      <w:pPr>
        <w:pStyle w:val="ManualHeading1"/>
        <w:spacing w:after="360"/>
        <w:ind w:left="851" w:hanging="851"/>
        <w:rPr>
          <w:smallCaps w:val="0"/>
          <w:noProof/>
          <w:szCs w:val="24"/>
        </w:rPr>
      </w:pPr>
      <w:r>
        <w:rPr>
          <w:noProof/>
        </w:rPr>
        <w:t>3.1</w:t>
      </w:r>
      <w:r>
        <w:rPr>
          <w:noProof/>
        </w:rPr>
        <w:tab/>
      </w:r>
      <w:r>
        <w:rPr>
          <w:smallCaps w:val="0"/>
          <w:noProof/>
          <w:szCs w:val="24"/>
        </w:rPr>
        <w:t>Καταλληλότητα</w:t>
      </w:r>
    </w:p>
    <w:p>
      <w:pPr>
        <w:pStyle w:val="Text1"/>
        <w:spacing w:before="0" w:after="200" w:line="276" w:lineRule="auto"/>
        <w:ind w:left="0"/>
        <w:rPr>
          <w:noProof/>
          <w:color w:val="000000"/>
        </w:rPr>
      </w:pPr>
      <w:r>
        <w:rPr>
          <w:noProof/>
          <w:color w:val="000000"/>
        </w:rPr>
        <w:t>Για την αξιολόγηση των πιθανών πληθωριστικών πιέσεων που προκαλούνται από τις εξελίξεις στην αγορά εργασίας, η Επιτροπή και η Ευρωπαϊκή Κεντρική Τράπεζα χρησιμοποιούν έναν δείκτη του κόστους εργασίας ανά πραγματοποιηθείσα ώρα εργασίας, ο οποίος δείχνει τη βραχυπρόθεσμη εξέλιξη του κόστους εργασίας. Όταν τα στοιχεία καθίστανται διαθέσιμα, πρέπει, σε σύντομο χρονικό διάστημα, να υπολογίζεται ο δείκτης για κάθε κράτος μέλος, για την ΕΕ συνολικά και για τη ζώνη του ευρώ. Ο δείκτης κόστους εργασίας είναι επίσης σημαντικός για τις μισθολογικές διαπραγματεύσεις των κοινωνικών εταίρων και για την ίδια την Επιτροπή όσον αφορά την παρακολούθηση των βραχυπρόθεσμων εξελίξεων του κόστους εργασίας. Ο δείκτης κόστους εργασίας είναι ένας από τους κύριους ευρωπαϊκούς οικονομικούς δείκτες</w:t>
      </w:r>
      <w:r>
        <w:rPr>
          <w:rStyle w:val="FootnoteReference"/>
          <w:noProof/>
          <w:color w:val="000000"/>
        </w:rPr>
        <w:footnoteReference w:id="10"/>
      </w:r>
      <w:r>
        <w:rPr>
          <w:noProof/>
          <w:color w:val="000000"/>
        </w:rPr>
        <w:t>. Τέλος, τα στοιχεία του ΔΚΕ χρησιμοποιούνται για την τιμαριθμική αναπροσαρμογή των τιμών σε ορισμένες μεγάλες εμπορικές συμβάσεις που διαρκούν αρκετά χρόνια.</w:t>
      </w:r>
    </w:p>
    <w:p>
      <w:pPr>
        <w:pStyle w:val="Text1"/>
        <w:spacing w:before="0" w:after="200" w:line="276" w:lineRule="auto"/>
        <w:ind w:left="0"/>
        <w:rPr>
          <w:noProof/>
          <w:szCs w:val="24"/>
        </w:rPr>
      </w:pPr>
      <w:r>
        <w:rPr>
          <w:noProof/>
        </w:rPr>
        <w:t>Οι χρήστες εξακολούθησαν να ζητούν πληροφορίες όχι μόνο σχετικά με τις τριμηνιαίες ποσοστιαίες μεταβολές του κόστους εργασίας, όπως μετρούνται με τον δείκτη κόστους εργασίας, αλλά επίσης, όλο και περισσότερο, και σχετικά με το κόστος εργασίας σε απόλυτες τιμές (ευρώ ανά ώρα). Η Eurostat εξακολούθησε να δημοσιεύει, τον Απρίλιο κάθε έτους, εκτιμήσεις του ωριαίου κόστους εργασίας σε ευρώ και σε εθνικά νομίσματα με ανάλυση βάσει της NACE αναθ. 2. Στις εκτιμήσεις περιλαμβάνονταν ο ετήσιος ρυθμός αύξησης των επιπέδων του ωριαίου κόστους εργασίας, καθώς και το μερίδιο του μη μισθολογικού κόστους στο συνολικό κόστος εργασίας</w:t>
      </w:r>
      <w:r>
        <w:rPr>
          <w:rStyle w:val="FootnoteReference"/>
          <w:noProof/>
        </w:rPr>
        <w:footnoteReference w:id="11"/>
      </w:r>
      <w:r>
        <w:rPr>
          <w:noProof/>
        </w:rPr>
        <w:t xml:space="preserve">. Οι παρατηρήσεις που ελήφθησαν σχετικά με τη δημοσίευση αυτών των εκτιμήσεων είναι θετικές και η Eurostat θα εξακολουθήσει να παράγει το ετήσιο κόστος εργασίας με ανάλυση βάσει της NACE αναθ. 2. </w:t>
      </w:r>
    </w:p>
    <w:p>
      <w:pPr>
        <w:pStyle w:val="ManualHeading1"/>
        <w:spacing w:after="360"/>
        <w:ind w:left="851" w:hanging="851"/>
        <w:rPr>
          <w:smallCaps w:val="0"/>
          <w:noProof/>
          <w:szCs w:val="24"/>
        </w:rPr>
      </w:pPr>
      <w:r>
        <w:rPr>
          <w:noProof/>
        </w:rPr>
        <w:t>3.2</w:t>
      </w:r>
      <w:r>
        <w:rPr>
          <w:noProof/>
        </w:rPr>
        <w:tab/>
      </w:r>
      <w:r>
        <w:rPr>
          <w:smallCaps w:val="0"/>
          <w:noProof/>
          <w:szCs w:val="24"/>
        </w:rPr>
        <w:t>Πληρότητα</w:t>
      </w:r>
    </w:p>
    <w:p>
      <w:pPr>
        <w:pStyle w:val="Text1"/>
        <w:spacing w:before="0" w:after="200" w:line="276" w:lineRule="auto"/>
        <w:ind w:left="0"/>
        <w:rPr>
          <w:noProof/>
          <w:szCs w:val="24"/>
        </w:rPr>
      </w:pPr>
      <w:r>
        <w:rPr>
          <w:noProof/>
        </w:rPr>
        <w:t>Γενικά, η διαθεσιμότητα και η πληρότητα του δείκτη κόστους εργασίας ήταν ικανοποιητικές καθ’ όλη τη διάρκεια της περιόδου αναφοράς. Η Eurostat έλαβε στοιχεία με ημερολογιακή διόρθωση καθώς και στοιχεία με ημερολογιακή και εποχική διόρθωση από όλα τα κράτη μέλη για όλα τα τρίμηνα εκτός από μία περίπτωση [Ελλάδα, για το τρίτο τρίμηνο (Q3) του 2019]. Τα κράτη μέλη υπέβαλαν επίσης στοιχεία χωρίς εποχική διόρθωση, με εξαίρεση τη Δανία και τη Σουηδία, στις οποίες έχουν χορηγηθεί παρεκκλίσεις</w:t>
      </w:r>
      <w:r>
        <w:rPr>
          <w:rStyle w:val="FootnoteReference"/>
          <w:noProof/>
          <w:szCs w:val="24"/>
        </w:rPr>
        <w:footnoteReference w:id="12"/>
      </w:r>
      <w:r>
        <w:rPr>
          <w:noProof/>
        </w:rPr>
        <w:t xml:space="preserve">. </w:t>
      </w:r>
    </w:p>
    <w:p>
      <w:pPr>
        <w:pStyle w:val="Text1"/>
        <w:spacing w:before="0" w:after="200" w:line="276" w:lineRule="auto"/>
        <w:ind w:left="0"/>
        <w:rPr>
          <w:noProof/>
          <w:szCs w:val="24"/>
        </w:rPr>
      </w:pPr>
      <w:r>
        <w:rPr>
          <w:noProof/>
        </w:rPr>
        <w:t>Στην περίπτωση της Δανίας, όλα τα στοιχεία του ΔΚΕ για το τρίμηνο αναφοράς 2019Q4 (τέταρτο τρίμηνο του 2019) διαβιβάστηκαν εγκαίρως στην Eurostat, αλλά δημοσιεύθηκαν με καθυστέρηση 5 εβδομάδων, καθώς εκκρεμούσε απόφαση για την καταχώριση του νέου συστήματος κοινωνικών εισφορών.</w:t>
      </w:r>
    </w:p>
    <w:p>
      <w:pPr>
        <w:pStyle w:val="Text1"/>
        <w:spacing w:before="0" w:after="200" w:line="276" w:lineRule="auto"/>
        <w:ind w:left="0"/>
        <w:rPr>
          <w:noProof/>
          <w:szCs w:val="24"/>
        </w:rPr>
      </w:pPr>
      <w:r>
        <w:rPr>
          <w:noProof/>
        </w:rPr>
        <w:t>Όσον αφορά τις χώρες του Ευρωπαϊκού Οικονομικού Χώρου (ΕΟΧ)</w:t>
      </w:r>
      <w:r>
        <w:rPr>
          <w:rStyle w:val="FootnoteReference"/>
          <w:noProof/>
          <w:szCs w:val="24"/>
        </w:rPr>
        <w:footnoteReference w:id="13"/>
      </w:r>
      <w:r>
        <w:rPr>
          <w:noProof/>
        </w:rPr>
        <w:t>, τόσο η Ισλανδία όσο και η Νορβηγία διαβίβασαν στοιχεία ΔΚΕ για όλα τα τρίμηνα της περιόδου αναφοράς.</w:t>
      </w:r>
    </w:p>
    <w:p>
      <w:pPr>
        <w:pStyle w:val="Text1"/>
        <w:spacing w:before="0" w:after="200" w:line="276" w:lineRule="auto"/>
        <w:ind w:left="0"/>
        <w:rPr>
          <w:noProof/>
          <w:szCs w:val="24"/>
        </w:rPr>
      </w:pPr>
      <w:r>
        <w:rPr>
          <w:noProof/>
        </w:rPr>
        <w:t>Η Ελβετία δεν συλλέγει τριμηνιαία στοιχεία για τον ΔΚΕ.</w:t>
      </w:r>
    </w:p>
    <w:p>
      <w:pPr>
        <w:pStyle w:val="Text1"/>
        <w:spacing w:before="0" w:after="200" w:line="276" w:lineRule="auto"/>
        <w:ind w:left="0"/>
        <w:rPr>
          <w:noProof/>
          <w:szCs w:val="24"/>
        </w:rPr>
      </w:pPr>
      <w:r>
        <w:rPr>
          <w:noProof/>
        </w:rPr>
        <w:t>Παρά τη βελτιωμένη κάλυψη των εποχικά διορθωμένων στοιχείων, τα βασικά αριθμητικά στοιχεία εξακολουθούν να βασίζονται στις μεταβολές των ημερολογιακά διορθωμένων στοιχείων σε ετήσια βάση (Q/Q-4), που παρουσιάζουν χαμηλότερη μεταβλητότητα. Ωστόσο, όλα τα στοιχεία, συμπεριλαμβανομένων των εποχικά διορθωμένων εκτιμήσεων, είναι διαθέσιμα στη σχετική σελίδα της βάσης δεδομένων της Eurostat, πράγμα που εξασφαλίζει σαφήνεια και συνοχή με άλλες στατιστικές τιμών (π.χ. ιδίως με τον εναρμονισμένο δείκτη τιμών καταναλωτή)</w:t>
      </w:r>
      <w:r>
        <w:rPr>
          <w:rStyle w:val="FootnoteReference"/>
          <w:noProof/>
        </w:rPr>
        <w:footnoteReference w:id="14"/>
      </w:r>
      <w:r>
        <w:rPr>
          <w:noProof/>
        </w:rPr>
        <w:t>.</w:t>
      </w:r>
    </w:p>
    <w:p>
      <w:pPr>
        <w:pStyle w:val="Text1"/>
        <w:spacing w:before="0" w:after="200" w:line="276" w:lineRule="auto"/>
        <w:ind w:left="0"/>
        <w:rPr>
          <w:noProof/>
          <w:szCs w:val="24"/>
        </w:rPr>
      </w:pPr>
      <w:r>
        <w:rPr>
          <w:noProof/>
        </w:rPr>
        <w:t>Όλα τα κράτη μέλη υπέβαλαν εθνικές εκθέσεις ποιότητας για το έτος αναφοράς 2018. Οι εκθέσεις αυτές επικυρώθηκαν και δημοσιεύθηκαν στην αντίστοιχη ιστοσελίδα της Eurostat</w:t>
      </w:r>
      <w:r>
        <w:rPr>
          <w:rStyle w:val="FootnoteReference"/>
          <w:noProof/>
        </w:rPr>
        <w:footnoteReference w:id="15"/>
      </w:r>
      <w:r>
        <w:rPr>
          <w:noProof/>
        </w:rPr>
        <w:t>.</w:t>
      </w:r>
    </w:p>
    <w:p>
      <w:pPr>
        <w:pStyle w:val="ManualHeading1"/>
        <w:spacing w:after="360"/>
        <w:ind w:left="851" w:hanging="851"/>
        <w:rPr>
          <w:noProof/>
          <w:szCs w:val="24"/>
        </w:rPr>
      </w:pPr>
      <w:r>
        <w:rPr>
          <w:noProof/>
        </w:rPr>
        <w:t>3.3</w:t>
      </w:r>
      <w:r>
        <w:rPr>
          <w:noProof/>
        </w:rPr>
        <w:tab/>
      </w:r>
      <w:r>
        <w:rPr>
          <w:smallCaps w:val="0"/>
          <w:noProof/>
          <w:szCs w:val="24"/>
        </w:rPr>
        <w:t>Έγκαιρη υποβολή</w:t>
      </w:r>
    </w:p>
    <w:p>
      <w:pPr>
        <w:pStyle w:val="Text1"/>
        <w:spacing w:before="0" w:after="200" w:line="276" w:lineRule="auto"/>
        <w:ind w:left="0"/>
        <w:rPr>
          <w:noProof/>
          <w:szCs w:val="24"/>
        </w:rPr>
      </w:pPr>
      <w:r>
        <w:rPr>
          <w:noProof/>
        </w:rPr>
        <w:t>Η εμπρόθεσμη διαβίβαση στοιχείων από τα κράτη μέλη στην Επιτροπή μετά την υποβολή της προηγούμενης έκθεσης ήταν καλή και όλα τα στοιχεία διαβιβάστηκαν εγκαίρως, με εξαίρεση την Ελλάδα για το τρίτο τρίμηνο (Q3) του 2019· τα στοιχεία της Ελλάδας διαβιβάστηκαν με καθυστέρηση 8 ημερών.</w:t>
      </w:r>
    </w:p>
    <w:p>
      <w:pPr>
        <w:jc w:val="both"/>
        <w:rPr>
          <w:noProof/>
        </w:rPr>
      </w:pPr>
      <w:r>
        <w:rPr>
          <w:noProof/>
        </w:rPr>
        <w:t>Όσον αφορά τις χώρες του ΕΟΧ, η Νορβηγία διαβίβασε εγκαίρως τα στοιχεία του ΔΚΕ, όπως και η Ισλανδία.</w:t>
      </w:r>
    </w:p>
    <w:p>
      <w:pPr>
        <w:pStyle w:val="ManualHeading1"/>
        <w:spacing w:after="360"/>
        <w:ind w:left="851" w:hanging="851"/>
        <w:rPr>
          <w:noProof/>
          <w:szCs w:val="24"/>
        </w:rPr>
      </w:pPr>
      <w:r>
        <w:rPr>
          <w:noProof/>
        </w:rPr>
        <w:t>3.4</w:t>
      </w:r>
      <w:r>
        <w:rPr>
          <w:noProof/>
        </w:rPr>
        <w:tab/>
      </w:r>
      <w:r>
        <w:rPr>
          <w:smallCaps w:val="0"/>
          <w:noProof/>
          <w:szCs w:val="24"/>
        </w:rPr>
        <w:t>Ακρίβεια</w:t>
      </w:r>
    </w:p>
    <w:p>
      <w:pPr>
        <w:pStyle w:val="Text1"/>
        <w:spacing w:before="0" w:after="200" w:line="276" w:lineRule="auto"/>
        <w:ind w:left="0"/>
        <w:rPr>
          <w:i/>
          <w:noProof/>
        </w:rPr>
      </w:pPr>
      <w:r>
        <w:rPr>
          <w:noProof/>
        </w:rPr>
        <w:t>Ο δείκτης κόστους εργασίας απαρτίζεται από διάφορες μεταβλητές (π.χ. κόστος εργασίας και πραγματοποιηθείσες ώρες εργασίας), οι οποίες μπορούν να ληφθούν από διάφορες πηγές. Αυτό σημαίνει ότι ανά πάσα στιγμή μπορεί να υπάρξουν αναθεωρήσεις, οι οποίες επηρεάζουν το τελευταίο τρίμηνο, περισσότερα τρίμηνα ή ολόκληρα έτη. Αν οι διορθώσεις των στοιχείων αφορούν το έτος αναφοράς, πρέπει να αναθεωρηθεί ολόκληρη η σειρά. Οι αναθεωρήσεις του βασικού αριθμητικού στοιχείου της ΕΕ (ετήσιος ρυθμός αύξησης) έχουν υπερβεί μόνο μία φορά τις 0,1 εκατοστιαίες μονάδες από το πρώτο τρίμηνο του 2018 [αναθεώρηση 0,2 για το δεύτερο τρίμηνο του 2018 (Q2), βλέπε διάγραμμα 1]. Το γεγονός αυτό αντιπροσωπεύει βελτίωση της ακρίβειας σε σύγκριση με την προηγούμενη έκθεση.</w:t>
      </w:r>
    </w:p>
    <w:p>
      <w:pPr>
        <w:jc w:val="center"/>
        <w:rPr>
          <w:noProof/>
          <w:u w:val="single"/>
        </w:rPr>
      </w:pPr>
      <w:r>
        <w:rPr>
          <w:i/>
          <w:noProof/>
        </w:rPr>
        <w:t xml:space="preserve">Διάγραμμα 1: </w:t>
      </w:r>
      <w:r>
        <w:rPr>
          <w:noProof/>
          <w:u w:val="single"/>
        </w:rPr>
        <w:t>Μεταβολές του ετήσιου ρυθμού αύξησης</w:t>
      </w:r>
    </w:p>
    <w:p>
      <w:pPr>
        <w:jc w:val="center"/>
        <w:rPr>
          <w:noProof/>
          <w:u w:val="single"/>
        </w:rPr>
      </w:pPr>
      <w:r>
        <w:rPr>
          <w:noProof/>
          <w:u w:val="single"/>
        </w:rPr>
        <w:t>μεταξύ της πρώτης και της τελευταίας (2020Q1) έκδοσης του ΔΚΕ</w:t>
      </w:r>
    </w:p>
    <w:p>
      <w:pPr>
        <w:jc w:val="both"/>
        <w:rPr>
          <w:i/>
          <w:noProof/>
        </w:rPr>
      </w:pPr>
      <w:r>
        <w:rPr>
          <w:i/>
          <w:noProof/>
        </w:rPr>
        <w:t>(ΕΕ-28, συγκεντρωτικά στοιχεία των τομέων Β έως Ρ της NACE αναθ. 2, συνολικό κόστος εργασίας, σε εκατοστιαίες μονάδες)</w:t>
      </w:r>
    </w:p>
    <w:p>
      <w:pPr>
        <w:jc w:val="both"/>
        <w:rPr>
          <w:i/>
          <w:noProof/>
        </w:rPr>
      </w:pPr>
    </w:p>
    <w:p>
      <w:pPr>
        <w:jc w:val="center"/>
        <w:rPr>
          <w:noProof/>
          <w:highlight w:val="yellow"/>
        </w:rPr>
      </w:pPr>
      <w:r>
        <w:rPr>
          <w:noProof/>
          <w:highlight w:val="yellow"/>
          <w:lang w:val="en-GB"/>
        </w:rPr>
        <w:drawing>
          <wp:inline distT="0" distB="0" distL="0" distR="0">
            <wp:extent cx="4676140" cy="263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140" cy="2632075"/>
                    </a:xfrm>
                    <a:prstGeom prst="rect">
                      <a:avLst/>
                    </a:prstGeom>
                    <a:noFill/>
                    <a:ln>
                      <a:noFill/>
                    </a:ln>
                  </pic:spPr>
                </pic:pic>
              </a:graphicData>
            </a:graphic>
          </wp:inline>
        </w:drawing>
      </w:r>
    </w:p>
    <w:p>
      <w:pPr>
        <w:pStyle w:val="ManualHeading1"/>
        <w:spacing w:after="360"/>
        <w:ind w:left="851" w:hanging="851"/>
        <w:rPr>
          <w:smallCaps w:val="0"/>
          <w:noProof/>
          <w:szCs w:val="24"/>
        </w:rPr>
      </w:pPr>
      <w:r>
        <w:rPr>
          <w:noProof/>
        </w:rPr>
        <w:t xml:space="preserve">3.5 </w:t>
      </w:r>
      <w:r>
        <w:rPr>
          <w:noProof/>
        </w:rPr>
        <w:tab/>
      </w:r>
      <w:r>
        <w:rPr>
          <w:smallCaps w:val="0"/>
          <w:noProof/>
          <w:szCs w:val="24"/>
        </w:rPr>
        <w:t>Συγκρισιμότητα</w:t>
      </w:r>
    </w:p>
    <w:p>
      <w:pPr>
        <w:pStyle w:val="Text1"/>
        <w:spacing w:before="0" w:after="200" w:line="276" w:lineRule="auto"/>
        <w:ind w:left="0"/>
        <w:rPr>
          <w:noProof/>
        </w:rPr>
      </w:pPr>
      <w:r>
        <w:rPr>
          <w:noProof/>
        </w:rPr>
        <w:t>Η συγκρισιμότητα μεταξύ των χωρών εξασφαλίζεται με τους λεπτομερείς κοινούς ορισμούς και τη μεθοδολογία που περιλαμβάνονται στη νομοθεσία σχετικά με τον ΔΚΕ. Τα κράτη μέλη εκπληρώνουν τις απαιτήσεις της ΕΕ με τις πηγές στοιχείων που είναι διαθέσιμες σε εθνικό επίπεδο. Τα περισσότερα από αυτά χρησιμοποιούν είτε έρευνες είτε συνδυασμό ερευνών και διοικητικών στοιχείων, ενώ δύο κράτη μέλη βασίζονται αποκλειστικά σε διοικητικές πηγές.</w:t>
      </w:r>
    </w:p>
    <w:p>
      <w:pPr>
        <w:pStyle w:val="Text1"/>
        <w:spacing w:before="0" w:after="200" w:line="276" w:lineRule="auto"/>
        <w:ind w:left="0"/>
        <w:rPr>
          <w:noProof/>
          <w:szCs w:val="24"/>
        </w:rPr>
      </w:pPr>
      <w:r>
        <w:rPr>
          <w:noProof/>
        </w:rPr>
        <w:t>Για τη δημοσίευση διαχρονικά συγκρίσιμων στοιχείων για τον δείκτη κόστους εργασίας, είναι σημαντική η διόρθωση των ημερολογιακών και εποχικών συνεπειών. Τα βασικά αριθμητικά στοιχεία διορθώνονται ως προς τις ημερολογιακές συνέπειες, ενώ η εποχικότητα αντισταθμίζεται με τη σύγκριση των ίδιων τριμήνων σε δύο διαδοχικά έτη.</w:t>
      </w:r>
    </w:p>
    <w:p>
      <w:pPr>
        <w:pStyle w:val="Text1"/>
        <w:spacing w:before="0" w:after="200" w:line="276" w:lineRule="auto"/>
        <w:ind w:left="0"/>
        <w:rPr>
          <w:noProof/>
          <w:szCs w:val="24"/>
        </w:rPr>
      </w:pPr>
      <w:r>
        <w:rPr>
          <w:noProof/>
        </w:rPr>
        <w:t>Σύμφωνα με το άρθρο 1 του κανονισμού (ΕΚ) αριθ. 1216/2003 της Επιτροπής, τα στοιχεία για τον δείκτη κόστους εργασίας πρέπει να παρέχονται χωρίς εποχική διόρθωση, με ημερολογιακή διόρθωση και με ημερολογιακή και εποχική διόρθωση.</w:t>
      </w:r>
    </w:p>
    <w:p>
      <w:pPr>
        <w:pStyle w:val="Text1"/>
        <w:spacing w:before="0" w:after="200" w:line="276" w:lineRule="auto"/>
        <w:ind w:left="0"/>
        <w:rPr>
          <w:noProof/>
          <w:szCs w:val="24"/>
        </w:rPr>
      </w:pPr>
      <w:r>
        <w:rPr>
          <w:noProof/>
        </w:rPr>
        <w:t>Ο κανονισμός (ΕΚ) αριθ. 450/2003 δεν αναφέρει ρητά αν η ημερολογιακή και η εποχική διόρθωση πρέπει να γίνονται με χρήση της άμεσης ή της έμμεσης προσέγγισης. Στην έμμεση διόρθωση διορθώνεται η βασική σειρά, η οποία στη συνέχεια χρησιμοποιείται για την κατάρτιση συγκεντρωτικών στοιχείων υψηλότερου επιπέδου, ενώ στην άμεση διόρθωση κάθε σειρά, συμπεριλαμβανομένων των συγκεντρωτικών στοιχείων υψηλότερου επιπέδου, διορθώνεται χωριστά.</w:t>
      </w:r>
    </w:p>
    <w:p>
      <w:pPr>
        <w:pStyle w:val="Text1"/>
        <w:spacing w:before="0" w:after="200" w:line="276" w:lineRule="auto"/>
        <w:ind w:left="0"/>
        <w:rPr>
          <w:noProof/>
          <w:szCs w:val="24"/>
        </w:rPr>
      </w:pPr>
      <w:r>
        <w:rPr>
          <w:noProof/>
        </w:rPr>
        <w:t xml:space="preserve">Στην περίπτωση του ΔΚΕ, η Eurostat συνιστά τη χρήση της έμμεσης προσέγγισης προκειμένου να αποφευχθούν τυχόν ασυνέπειες μεταξύ του συνολικού κόστους εργασίας και των επιμέρους συνιστωσών. Οι εν λόγω ασυνέπειες εντοπίζονται επίσης εύκολα από τους χρήστες και ενδέχεται να εγείρουν αμφιβολίες ως προς τη συνολική ποιότητα του ΔΚΕ. </w:t>
      </w:r>
    </w:p>
    <w:p>
      <w:pPr>
        <w:pStyle w:val="Text1"/>
        <w:spacing w:before="0" w:after="200" w:line="276" w:lineRule="auto"/>
        <w:ind w:left="0"/>
        <w:rPr>
          <w:noProof/>
          <w:szCs w:val="24"/>
        </w:rPr>
      </w:pPr>
      <w:r>
        <w:rPr>
          <w:noProof/>
        </w:rPr>
        <w:t>Η Eurostat εντοπίζει συστηματικά τις μεταξύ συνολικών στοιχείων και συνιστωσών ασυνέπειες ύψους 0,1 ποσοστιαίων μονάδων και άνω (μετά τη στρογγυλοποίηση) και τις επισημαίνει στην οικεία χώρα μέσω έκθεσης επικύρωσης. Στη συνέχεια, ο συνολικός ΔΚΕ υπολογίζεται εκ νέου με βάση τις μισθολογικές και τις μη μισθολογικές συνιστώσες (έμμεση προσέγγιση). Αυτή η εναρμονισμένη προσέγγιση εξασφαλίζει επίσης βελτιωμένη συγκρισιμότητα μεταξύ των χωρών.</w:t>
      </w:r>
    </w:p>
    <w:p>
      <w:pPr>
        <w:spacing w:after="200" w:line="276" w:lineRule="auto"/>
        <w:jc w:val="both"/>
        <w:rPr>
          <w:noProof/>
        </w:rPr>
      </w:pPr>
      <w:r>
        <w:rPr>
          <w:noProof/>
        </w:rPr>
        <w:t xml:space="preserve">Κατά τη συνεδρίαση LAMAS-LMI που πραγματοποιήθηκε το 2019, η Eurostat ενημέρωσε τα κράτη μέλη σχετικά με την αξιολόγησή της για τις εποχικά (ΕΔ) και ημερολογιακά (ΗΔ) διορθωμένες σειρές που διαβιβάστηκαν για τον δείκτη κόστους εργασίας. Τα στοιχεία ΕΔ και ΗΔ αναλύθηκαν χωριστά και ελέγχθηκαν για την παρουσία υπολειπόμενων εποχικών ή ημερολογιακών συνεπειών αντίστοιχα. Προτάθηκε και έγινε αποδεκτό από τις χώρες ένα τυποποιημένο υπόδειγμα με στόχο την τεκμηρίωση των διαδικασιών εποχικής και ημερολογιακής διόρθωσης που χρησιμοποιούν. Οι χώρες που παρουσιάζουν υπολειπόμενες εποχικές ή ημερολογιακές συνέπειες στις σειρές τους κλήθηκαν να ελέγξουν τις διαδικασίες διόρθωσης που χρησιμοποιούν και να αναφέρουν τα πορίσματά τους. </w:t>
      </w:r>
    </w:p>
    <w:p>
      <w:pPr>
        <w:pStyle w:val="Text1"/>
        <w:keepNext/>
        <w:spacing w:before="360" w:after="360"/>
        <w:ind w:left="851" w:hanging="851"/>
        <w:outlineLvl w:val="0"/>
        <w:rPr>
          <w:noProof/>
          <w:szCs w:val="24"/>
        </w:rPr>
      </w:pPr>
      <w:r>
        <w:rPr>
          <w:b/>
          <w:noProof/>
          <w:szCs w:val="24"/>
        </w:rPr>
        <w:t xml:space="preserve">3.6 </w:t>
      </w:r>
      <w:r>
        <w:rPr>
          <w:noProof/>
        </w:rPr>
        <w:tab/>
      </w:r>
      <w:r>
        <w:rPr>
          <w:b/>
          <w:noProof/>
          <w:szCs w:val="24"/>
        </w:rPr>
        <w:t>Συνοχή με τα στοιχεία των εθνικών λογαριασμών</w:t>
      </w:r>
    </w:p>
    <w:p>
      <w:pPr>
        <w:pStyle w:val="Text1"/>
        <w:spacing w:before="0" w:after="200" w:line="276" w:lineRule="auto"/>
        <w:ind w:left="0"/>
        <w:rPr>
          <w:noProof/>
          <w:szCs w:val="24"/>
        </w:rPr>
      </w:pPr>
      <w:r>
        <w:rPr>
          <w:noProof/>
        </w:rPr>
        <w:t>Ένας από τους τομείς που εξακολουθεί να χρήζει προσοχής είναι η συνοχή του ΔΚΕ με άλλες στατιστικές σχετικά με το κόστος εργασίας, ιδίως με τα τριμηνιαία στοιχεία για τους εθνικούς λογαριασμούς.</w:t>
      </w:r>
    </w:p>
    <w:p>
      <w:pPr>
        <w:pStyle w:val="Text1"/>
        <w:spacing w:before="0" w:after="200" w:line="276" w:lineRule="auto"/>
        <w:ind w:left="0"/>
        <w:rPr>
          <w:noProof/>
          <w:szCs w:val="24"/>
        </w:rPr>
      </w:pPr>
      <w:r>
        <w:rPr>
          <w:noProof/>
        </w:rPr>
        <w:t>Για την ετήσια έκθεση ποιότητας, ζητείται από τα κράτη μέλη να συγκρίνουν το ποσοστό αύξησης του δείκτη κόστους εργασίας με το ποσοστό αύξησης του ωρομισθίου των εργαζομένων στους εθνικούς λογαριασμούς (ορισμός ΕΣΛ2010</w:t>
      </w:r>
      <w:r>
        <w:rPr>
          <w:rStyle w:val="FootnoteReference"/>
          <w:noProof/>
        </w:rPr>
        <w:footnoteReference w:id="16"/>
      </w:r>
      <w:r>
        <w:rPr>
          <w:noProof/>
        </w:rPr>
        <w:t xml:space="preserve">). Τα σύνολα στοιχείων δεν αναμένεται να ταιριάζουν πλήρως: ακόμη και αν χρησιμοποιούνται σχεδόν πανομοιότυποι ορισμοί του κόστους εργασίας, οι στατιστικές πηγές και η στατιστική επεξεργασία μπορεί να διαφέρουν. Επιπλέον, η συλλογή στοιχείων για τις πραγματοποιηθείσες ώρες εργασίας είναι ιδιαίτερα δύσκολη τόσο για τον δείκτη κόστους εργασίας όσο και για τους εθνικούς λογαριασμούς. Παρά τις εν λόγω διαφορές στη μεθοδολογία, η ανάλυση του επιπέδου των αποκλίσεων μεταξύ των δύο πηγών παρέχει χρήσιμες πληροφορίες. Αν τα επίπεδα αυτά υπερβαίνουν ένα συγκεκριμένο σχετικό κατώτατο όριο, ενδέχεται να υπάρχουν προβλήματα ποιότητας σε κάποιο από τα εν λόγω σύνολα στοιχείων. </w:t>
      </w:r>
    </w:p>
    <w:p>
      <w:pPr>
        <w:pStyle w:val="Text1"/>
        <w:spacing w:before="0" w:after="200" w:line="276" w:lineRule="auto"/>
        <w:ind w:left="0"/>
        <w:rPr>
          <w:i/>
          <w:noProof/>
        </w:rPr>
      </w:pPr>
      <w:r>
        <w:rPr>
          <w:noProof/>
        </w:rPr>
        <w:t>Για την αξιολόγηση της ποιότητας, η Eurostat συνέχισε την παρακολούθηση των συγκεντρωτικών μεγεθών Β έως Ρ της NACE αναθ. 2 για κάθε κράτος μέλος. Για τη σύγκριση αυτή χρησιμοποιήθηκαν στοιχεία για τον ΔΚΕ χωρίς εποχική διόρθωση, με εξαίρεση τη Δανία και τη Σουηδία, για τις οποίες υπήρχαν διαθέσιμα στοιχεία με ημερολογιακή διόρθωση. Το διάμεσο ετήσιο ποσοστό αύξησης του δείκτη κόστους εργασίας συγκρίθηκε με εκείνο του ωρομισθίου των εργαζομένων για 10 τρίμηνα και κρίθηκε ότι οι διακυμάνσεις που υπερβαίνουν τις δύο εκατοστιαίες μονάδες (pp) απαιτούν περαιτέρω ανάλυση. Αυτό συνέβη στην Ουγγαρία (2,1 εκατοστιαίες μονάδες), την Κύπρο (2,5 εκατοστιαίες μονάδες) και τη Ρουμανία (4,1 εκατοστιαίες μονάδες) (βλέπε διάγραμμα 2, με τις χώρες να κατατάσσονται κατ’ αύξουσα σειρά της απόκλισης σε απόλυτες τιμές). Τα αποτελέσματα της προαναφερόμενης ανάλυσης θα εξεταστούν περαιτέρω σε συνεργασία με τα κράτη μέλη, ιδίως όσον αφορά τα στοιχεία σχετικά με τις πραγματοποιηθείσες ώρες εργασίας.</w:t>
      </w:r>
    </w:p>
    <w:p>
      <w:pPr>
        <w:jc w:val="center"/>
        <w:rPr>
          <w:noProof/>
          <w:u w:val="single"/>
        </w:rPr>
      </w:pPr>
      <w:r>
        <w:rPr>
          <w:i/>
          <w:noProof/>
        </w:rPr>
        <w:t xml:space="preserve">Διάγραμμα 2: </w:t>
      </w:r>
      <w:r>
        <w:rPr>
          <w:noProof/>
          <w:u w:val="single"/>
        </w:rPr>
        <w:t>Διάμεσα ετήσια ποσοστά αύξησης του δείκτη κόστους εργασίας (ΔΚΕ)</w:t>
      </w:r>
    </w:p>
    <w:p>
      <w:pPr>
        <w:jc w:val="center"/>
        <w:rPr>
          <w:noProof/>
          <w:u w:val="single"/>
        </w:rPr>
      </w:pPr>
      <w:r>
        <w:rPr>
          <w:noProof/>
          <w:u w:val="single"/>
        </w:rPr>
        <w:t>έναντι του ωρομισθίου των εργαζομένων (ΕΛ)</w:t>
      </w:r>
    </w:p>
    <w:p>
      <w:pPr>
        <w:jc w:val="center"/>
        <w:rPr>
          <w:i/>
          <w:noProof/>
        </w:rPr>
      </w:pPr>
      <w:r>
        <w:rPr>
          <w:i/>
          <w:noProof/>
        </w:rPr>
        <w:t xml:space="preserve">(Συγκεντρωτικά στοιχεία των τομέων Β έως Ρ της NACE αναθ. 2, συνολικό κόστος εργασίας, </w:t>
      </w:r>
    </w:p>
    <w:p>
      <w:pPr>
        <w:jc w:val="center"/>
        <w:rPr>
          <w:i/>
          <w:noProof/>
          <w:vertAlign w:val="superscript"/>
        </w:rPr>
      </w:pPr>
      <w:r>
        <w:rPr>
          <w:i/>
          <w:noProof/>
        </w:rPr>
        <w:t>περίοδος αναφοράς: 2017Q4-2020Q1*, %)</w:t>
      </w:r>
    </w:p>
    <w:p>
      <w:pPr>
        <w:jc w:val="both"/>
        <w:rPr>
          <w:i/>
          <w:noProof/>
          <w:vertAlign w:val="superscript"/>
        </w:rPr>
      </w:pPr>
    </w:p>
    <w:p>
      <w:pPr>
        <w:jc w:val="both"/>
        <w:rPr>
          <w:i/>
          <w:noProof/>
        </w:rPr>
      </w:pPr>
      <w:r>
        <w:rPr>
          <w:i/>
          <w:noProof/>
          <w:lang w:val="en-GB"/>
        </w:rPr>
        <w:drawing>
          <wp:inline distT="0" distB="0" distL="0" distR="0">
            <wp:extent cx="5712033" cy="415158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0970" cy="4165349"/>
                    </a:xfrm>
                    <a:prstGeom prst="rect">
                      <a:avLst/>
                    </a:prstGeom>
                    <a:noFill/>
                  </pic:spPr>
                </pic:pic>
              </a:graphicData>
            </a:graphic>
          </wp:inline>
        </w:drawing>
      </w:r>
    </w:p>
    <w:p>
      <w:pPr>
        <w:jc w:val="both"/>
        <w:rPr>
          <w:i/>
          <w:noProof/>
        </w:rPr>
      </w:pPr>
    </w:p>
    <w:p>
      <w:pPr>
        <w:jc w:val="both"/>
        <w:rPr>
          <w:noProof/>
          <w:sz w:val="20"/>
          <w:szCs w:val="20"/>
        </w:rPr>
      </w:pPr>
      <w:r>
        <w:rPr>
          <w:noProof/>
          <w:sz w:val="20"/>
          <w:szCs w:val="20"/>
        </w:rPr>
        <w:t>* Εκτός Βελγίου και Δανίας: 2017Q4-2019Q4. Τα στοιχεία των εθνικών λογαριασμών (ΕΛ) για το 2020Q1 δεν ήταν διαθέσιμα κατά τη στιγμή της σύνταξης του παρόντος εγγράφου.</w:t>
      </w:r>
    </w:p>
    <w:p>
      <w:pPr>
        <w:jc w:val="both"/>
        <w:rPr>
          <w:noProof/>
        </w:rPr>
      </w:pPr>
    </w:p>
    <w:p>
      <w:pPr>
        <w:pStyle w:val="Text1"/>
        <w:spacing w:before="0" w:after="200" w:line="276" w:lineRule="auto"/>
        <w:ind w:left="0"/>
        <w:rPr>
          <w:noProof/>
          <w:szCs w:val="24"/>
        </w:rPr>
      </w:pPr>
      <w:r>
        <w:rPr>
          <w:noProof/>
        </w:rPr>
        <w:t>Εκτός από τις διάμεσες τιμές, η Eurostat συνέκρινε την τυπική απόκλιση των ετήσιων ρυθμών ανάπτυξης των σειρών τόσο του ΔΚΕ όσο και των ΕΛ, ως δείκτη μεταβλητότητας.</w:t>
      </w:r>
    </w:p>
    <w:p>
      <w:pPr>
        <w:pStyle w:val="Text1"/>
        <w:spacing w:before="0" w:after="200" w:line="276" w:lineRule="auto"/>
        <w:ind w:left="0"/>
        <w:rPr>
          <w:noProof/>
        </w:rPr>
      </w:pPr>
      <w:r>
        <w:rPr>
          <w:noProof/>
        </w:rPr>
        <w:t>Σε δύο περιπτώσεις, για τα αυστριακά και τα εσθονικά στοιχεία, η τυπική απόκλιση της σειράς του ΔΚΕ διέφερε κατά 2 ποσοστιαίες μονάδες από τη σειρά των εθνικών λογαριασμών. Και οι δύο χώρες κλήθηκαν να διερευνήσουν τις πηγές αυτών των διαφορών και να ενημερώσουν την Eurostat σχετικά με τα αποτελέσματα.</w:t>
      </w:r>
    </w:p>
    <w:p>
      <w:pPr>
        <w:pStyle w:val="ManualHeading1"/>
        <w:spacing w:after="360"/>
        <w:ind w:left="0" w:firstLine="0"/>
        <w:rPr>
          <w:noProof/>
          <w:szCs w:val="24"/>
        </w:rPr>
      </w:pPr>
      <w:r>
        <w:rPr>
          <w:noProof/>
        </w:rPr>
        <w:t>IV.</w:t>
      </w:r>
      <w:r>
        <w:rPr>
          <w:noProof/>
        </w:rPr>
        <w:tab/>
        <w:t>ΣΥΜΠΕΡΑΣΜΑΤΑ</w:t>
      </w:r>
    </w:p>
    <w:p>
      <w:pPr>
        <w:pStyle w:val="Text1"/>
        <w:spacing w:before="0" w:after="200" w:line="276" w:lineRule="auto"/>
        <w:ind w:left="0"/>
        <w:rPr>
          <w:noProof/>
          <w:szCs w:val="24"/>
        </w:rPr>
      </w:pPr>
      <w:r>
        <w:rPr>
          <w:noProof/>
        </w:rPr>
        <w:t>Γενικά, η ποιότητα των δεικτών κόστους εργασίας των κρατών μελών και των συγκεντρωτικών μεγεθών της ΕΕ εξακολούθησε να βελτιώνεται μετά την προηγούμενη έκθεση.</w:t>
      </w:r>
      <w:r>
        <w:rPr>
          <w:noProof/>
          <w:color w:val="000000"/>
        </w:rPr>
        <w:t xml:space="preserve"> Αυτό ισχύει ιδίως για το μέγεθος των αναθεωρήσεων.</w:t>
      </w:r>
    </w:p>
    <w:p>
      <w:pPr>
        <w:pStyle w:val="Text1"/>
        <w:spacing w:before="0" w:after="200" w:line="276" w:lineRule="auto"/>
        <w:ind w:left="0"/>
        <w:rPr>
          <w:noProof/>
          <w:szCs w:val="24"/>
        </w:rPr>
      </w:pPr>
      <w:r>
        <w:rPr>
          <w:noProof/>
          <w:color w:val="000000"/>
        </w:rPr>
        <w:t>Οι εκθέσεις ποιότητας των κρατών μελών υποβλήθηκαν σε επεξεργασία με τη χρήση της τελευταίας έκδοσης της διεπαφής διαχείρισης μεταδεδομένων του ευρωπαϊκού στατιστικού συστήματος και τέθηκαν στη διάθεση όλων των χρηστών.</w:t>
      </w:r>
    </w:p>
    <w:p>
      <w:pPr>
        <w:pStyle w:val="Text1"/>
        <w:spacing w:after="200" w:line="276" w:lineRule="auto"/>
        <w:ind w:left="0"/>
        <w:rPr>
          <w:noProof/>
          <w:color w:val="000000"/>
        </w:rPr>
      </w:pPr>
      <w:r>
        <w:rPr>
          <w:noProof/>
          <w:color w:val="000000"/>
        </w:rPr>
        <w:t xml:space="preserve">Μεταξύ των άλλων αλλαγών που έγιναν σε σχέση με την προηγούμενη έκθεση, ο τομέας ΔΚΕ επανατοποθετήθηκε στο νέο έτος βάσης (2016), ενώ συμφωνήθηκε νέο υπόδειγμα για την καλύτερη υποβολή εκθέσεων σχετικά με τις πρακτικές των κρατών μελών στον τομέα της εποχικής διόρθωσης. Από το πρώτο τρίμηνο του 2020, τα συγκεντρωτικά μεγέθη του ΔΚΕ αντικατοπτρίζουν τη νέα σύνθεση της Ευρωπαϊκής Ένωσης χωρίς το Ηνωμένο Βασίλειο. </w:t>
      </w:r>
    </w:p>
    <w:p>
      <w:pPr>
        <w:pStyle w:val="Text1"/>
        <w:spacing w:before="0" w:after="200" w:line="276" w:lineRule="auto"/>
        <w:ind w:left="0"/>
        <w:rPr>
          <w:noProof/>
          <w:color w:val="000000"/>
        </w:rPr>
      </w:pPr>
      <w:r>
        <w:rPr>
          <w:noProof/>
          <w:color w:val="000000"/>
        </w:rPr>
        <w:t>Από το 2017 η Eurostat δημοσιεύει επίσης ετήσιες εκτιμήσεις του ωριαίου κόστους εργασίας κατά τομείς της NACE αναθ. 2, με βάση τόσο τα επίπεδα της έρευνας για το κόστος εργασίας όσο και τις τάσεις του δείκτη κόστους εργασίας. Οι χρήστες, και ιδίως οι θεσμικοί χρήστες που χρησιμοποιούν τα στοιχεία αυτά για να παρακολουθούν τη σύγκλιση των μισθών εντός της Ευρωπαϊκής Ένωσης, έστειλαν θετικά σχόλια.</w:t>
      </w:r>
    </w:p>
    <w:p>
      <w:pPr>
        <w:pStyle w:val="Text1"/>
        <w:spacing w:before="0" w:after="200" w:line="276" w:lineRule="auto"/>
        <w:ind w:left="0"/>
        <w:rPr>
          <w:noProof/>
        </w:rPr>
      </w:pPr>
      <w:r>
        <w:rPr>
          <w:noProof/>
          <w:color w:val="000000"/>
        </w:rPr>
        <w:t>Η Επιτροπή θα εξακολουθήσει να παρακολουθεί τη συμμόρφωση και την ποιότητα των στοιχείων σε τακτική βάση, χρησιμοποιώντας τα υποβαλλόμενα στοιχεία και άλλα εθνικά έγγραφα τεκμηρίωσης, συμπεριλαμβανομένων των εκθέσεων ποιότητας. Η Επιτροπή θα εξετάσει ενδελεχώς, σε συνεργασία με τις αρμόδιες εθνικές στατιστικές αρχές, τις περιπτώσεις στις οποίες παρατηρείται μηδενική ή ανεπαρκής βελτίωση.</w:t>
      </w:r>
    </w:p>
    <w:p>
      <w:pPr>
        <w:jc w:val="cente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rPr>
          <w:i/>
        </w:rPr>
      </w:pPr>
      <w:r>
        <w:rPr>
          <w:rStyle w:val="FootnoteReference"/>
        </w:rPr>
        <w:footnoteRef/>
      </w:r>
      <w:r>
        <w:tab/>
      </w:r>
      <w:r>
        <w:rPr>
          <w:rStyle w:val="Emphasis"/>
        </w:rPr>
        <w:t>ΕΕ L 69 της 13.3.2003, σ. 1.</w:t>
      </w:r>
    </w:p>
  </w:footnote>
  <w:footnote w:id="3">
    <w:p>
      <w:pPr>
        <w:pStyle w:val="FootnoteText"/>
        <w:ind w:left="720" w:hanging="720"/>
        <w:jc w:val="both"/>
      </w:pPr>
      <w:r>
        <w:rPr>
          <w:rStyle w:val="FootnoteReference"/>
        </w:rPr>
        <w:footnoteRef/>
      </w:r>
      <w:r>
        <w:tab/>
        <w:t>Το τριμηνιαίο δελτίο Τύπου δημοσιεύεται στις ημερομηνίες που ορίζονται στο ημερολόγιο δημοσίευσης· και τα δύο διατίθενται στον ιστότοπο της Eurostat (</w:t>
      </w:r>
      <w:hyperlink w:history="1">
        <w:r>
          <w:rPr>
            <w:rStyle w:val="Hyperlink"/>
          </w:rPr>
          <w:t>http:</w:t>
        </w:r>
      </w:hyperlink>
      <w:hyperlink r:id="rId1" w:history="1">
        <w:r>
          <w:rPr>
            <w:rStyle w:val="Hyperlink"/>
          </w:rPr>
          <w:t>//ec.europa.eu/eurostat/web/main</w:t>
        </w:r>
      </w:hyperlink>
      <w:r>
        <w:rPr>
          <w:rStyle w:val="Hyperlink"/>
        </w:rPr>
        <w:t xml:space="preserve"> </w:t>
      </w:r>
      <w:r>
        <w:t>— στα αγγλικά, τα γαλλικά και τα γερμανικά).</w:t>
      </w:r>
    </w:p>
  </w:footnote>
  <w:footnote w:id="4">
    <w:p>
      <w:pPr>
        <w:pStyle w:val="FootnoteText"/>
        <w:ind w:left="720" w:hanging="720"/>
        <w:jc w:val="both"/>
        <w:rPr>
          <w:i/>
        </w:rPr>
      </w:pPr>
      <w:r>
        <w:rPr>
          <w:rStyle w:val="FootnoteReference"/>
        </w:rPr>
        <w:footnoteRef/>
      </w:r>
      <w:r>
        <w:tab/>
      </w:r>
      <w:r>
        <w:rPr>
          <w:rStyle w:val="Strong"/>
          <w:b w:val="0"/>
        </w:rPr>
        <w:t>Κανονισμός (ΕΚ) αριθ. 1216/2003 της Επιτροπής, της 7ης Ιουλίου 2003, για την εφαρμογή του κανονισμού (ΕΚ) αριθ. 450/2003 του Ευρωπαϊκού Κοινοβουλίου και του Συμβουλίου όσον αφορά τον δείκτη κόστους εργασίας (</w:t>
      </w:r>
      <w:r>
        <w:t xml:space="preserve">ΕΕ </w:t>
      </w:r>
      <w:r>
        <w:rPr>
          <w:rStyle w:val="Emphasis"/>
          <w:i w:val="0"/>
        </w:rPr>
        <w:t>L 169 της 8.7.2003, σ. 37).</w:t>
      </w:r>
    </w:p>
  </w:footnote>
  <w:footnote w:id="5">
    <w:p>
      <w:pPr>
        <w:pStyle w:val="FootnoteText"/>
        <w:ind w:left="720" w:hanging="720"/>
        <w:jc w:val="both"/>
      </w:pPr>
      <w:r>
        <w:rPr>
          <w:rStyle w:val="FootnoteReference"/>
          <w:i/>
        </w:rPr>
        <w:footnoteRef/>
      </w:r>
      <w:r>
        <w:tab/>
      </w:r>
      <w:r>
        <w:rPr>
          <w:rStyle w:val="Strong"/>
          <w:b w:val="0"/>
        </w:rPr>
        <w:t>Κανονισμός (ΕΚ) αριθ. 224/2007 της Επιτροπής, της 1ης Μαρτίου 2007, για τροποποίηση του κανονισμού (ΕΚ) αριθ. 1216/2003 όσον αφορά τις οικονομικές δραστηριότητες που καλύπτει ο δείκτης κόστους εργασίας (</w:t>
      </w:r>
      <w:r>
        <w:t>ΕΕ L 64 της 2.3.2007, σ. 23).</w:t>
      </w:r>
    </w:p>
  </w:footnote>
  <w:footnote w:id="6">
    <w:p>
      <w:pPr>
        <w:pStyle w:val="FootnoteText"/>
        <w:ind w:left="720" w:hanging="720"/>
        <w:jc w:val="both"/>
      </w:pPr>
      <w:r>
        <w:rPr>
          <w:rStyle w:val="FootnoteReference"/>
        </w:rPr>
        <w:footnoteRef/>
      </w:r>
      <w:r>
        <w:tab/>
        <w:t>Κανονισμός (ΕΚ) αριθ. 973/2007 της Επιτροπής, της 20ής Αυγούστου 2007, για τροποποίηση ορισμένων κανονισμών ΕΚ που αφορούν ειδικούς στατιστικούς τομείς και εκδόθηκαν για την εφαρμογή της στατιστικής ονοματολογίας των οικονομικών δραστηριοτήτων NACE αναθεώρηση 2 (ΕΕ L 216 της 21.8.2007, σ. 10).</w:t>
      </w:r>
    </w:p>
  </w:footnote>
  <w:footnote w:id="7">
    <w:p>
      <w:pPr>
        <w:pStyle w:val="FootnoteText"/>
        <w:ind w:left="720" w:hanging="720"/>
      </w:pPr>
      <w:r>
        <w:rPr>
          <w:rStyle w:val="FootnoteReference"/>
        </w:rPr>
        <w:footnoteRef/>
      </w:r>
      <w:r>
        <w:t xml:space="preserve"> </w:t>
      </w:r>
      <w:r>
        <w:tab/>
        <w:t>COM(2017) 71.</w:t>
      </w:r>
    </w:p>
  </w:footnote>
  <w:footnote w:id="8">
    <w:p>
      <w:pPr>
        <w:pStyle w:val="FootnoteText"/>
      </w:pPr>
      <w:r>
        <w:rPr>
          <w:rStyle w:val="FootnoteReference"/>
        </w:rPr>
        <w:footnoteRef/>
      </w:r>
      <w:r>
        <w:t xml:space="preserve"> </w:t>
      </w:r>
      <w:r>
        <w:tab/>
        <w:t>http://sdmx.org/(είναι διαθέσιμο μόνο στα αγγλικά).</w:t>
      </w:r>
    </w:p>
  </w:footnote>
  <w:footnote w:id="9">
    <w:p>
      <w:pPr>
        <w:pStyle w:val="FootnoteText"/>
      </w:pPr>
      <w:r>
        <w:rPr>
          <w:rStyle w:val="FootnoteReference"/>
        </w:rPr>
        <w:footnoteRef/>
      </w:r>
      <w:r>
        <w:t xml:space="preserve"> https://ec.europa.eu/eurostat/cache/metadata/en/lci_esms.htm</w:t>
      </w:r>
    </w:p>
  </w:footnote>
  <w:footnote w:id="10">
    <w:p>
      <w:pPr>
        <w:pStyle w:val="FootnoteText"/>
        <w:ind w:left="720" w:hanging="720"/>
      </w:pPr>
      <w:r>
        <w:rPr>
          <w:rStyle w:val="FootnoteReference"/>
        </w:rPr>
        <w:footnoteRef/>
      </w:r>
      <w:r>
        <w:tab/>
        <w:t>COM(2002) 661, Ανακοίνωση της Επιτροπής προς το Ευρωπαϊκό Κοινοβούλιο και το Συμβούλιο με τίτλο «</w:t>
      </w:r>
      <w:r>
        <w:rPr>
          <w:i/>
        </w:rPr>
        <w:t>Προς βελτιωμένες μεθοδολογίες για τις στατιστικές και τους δείκτες της ευρωζώνης</w:t>
      </w:r>
      <w:r>
        <w:t>».</w:t>
      </w:r>
    </w:p>
  </w:footnote>
  <w:footnote w:id="11">
    <w:p>
      <w:pPr>
        <w:pStyle w:val="FootnoteText"/>
        <w:ind w:left="720" w:hanging="720"/>
      </w:pPr>
      <w:r>
        <w:rPr>
          <w:rStyle w:val="FootnoteReference"/>
        </w:rPr>
        <w:footnoteRef/>
      </w:r>
      <w:r>
        <w:t xml:space="preserve"> </w:t>
      </w:r>
      <w:r>
        <w:tab/>
        <w:t xml:space="preserve">Βλ. σύνολο στοιχείων </w:t>
      </w:r>
      <w:r>
        <w:rPr>
          <w:i/>
        </w:rPr>
        <w:t>lc_lci_lev</w:t>
      </w:r>
      <w:r>
        <w:t xml:space="preserve"> στην Eurobase (</w:t>
      </w:r>
      <w:hyperlink r:id="rId2" w:history="1">
        <w:r>
          <w:rPr>
            <w:rStyle w:val="Hyperlink"/>
          </w:rPr>
          <w:t>http://ec.europa.eu/eurostat/data/database</w:t>
        </w:r>
      </w:hyperlink>
      <w:r>
        <w:t>, στα αγγλικά, τα γαλλικά και τα γερμανικά).</w:t>
      </w:r>
    </w:p>
  </w:footnote>
  <w:footnote w:id="12">
    <w:p>
      <w:pPr>
        <w:pStyle w:val="FootnoteText"/>
        <w:ind w:left="720" w:hanging="720"/>
      </w:pPr>
      <w:r>
        <w:rPr>
          <w:rStyle w:val="FootnoteReference"/>
        </w:rPr>
        <w:footnoteRef/>
      </w:r>
      <w:r>
        <w:t xml:space="preserve"> </w:t>
      </w:r>
      <w:r>
        <w:tab/>
        <w:t>Σύμφωνα με τον κανονισμό (ΕΚ) αριθ. 1216/2003, η Δανία, η Γερμανία, η Γαλλία και η Σουηδία δεν υποχρεούνται να υποβάλλουν στοιχεία χωρίς εποχική διόρθωση.</w:t>
      </w:r>
    </w:p>
  </w:footnote>
  <w:footnote w:id="13">
    <w:p>
      <w:pPr>
        <w:pStyle w:val="FootnoteText"/>
      </w:pPr>
      <w:r>
        <w:rPr>
          <w:rStyle w:val="FootnoteReference"/>
        </w:rPr>
        <w:footnoteRef/>
      </w:r>
      <w:r>
        <w:t xml:space="preserve"> </w:t>
      </w:r>
      <w:r>
        <w:tab/>
        <w:t>Ο κανονισμός (ΕΚ) αριθ. 450/2003 δεν εφαρμόζεται για το Λιχτενστάιν.</w:t>
      </w:r>
    </w:p>
  </w:footnote>
  <w:footnote w:id="14">
    <w:p>
      <w:pPr>
        <w:pStyle w:val="FootnoteText"/>
        <w:ind w:left="720" w:hanging="720"/>
      </w:pPr>
      <w:r>
        <w:rPr>
          <w:rStyle w:val="FootnoteReference"/>
        </w:rPr>
        <w:footnoteRef/>
      </w:r>
      <w:r>
        <w:tab/>
        <w:t xml:space="preserve">Βλέπε το σύνολο δεδομένων </w:t>
      </w:r>
      <w:r>
        <w:rPr>
          <w:i/>
          <w:lang w:val="en-US"/>
        </w:rPr>
        <w:t>lc</w:t>
      </w:r>
      <w:r>
        <w:rPr>
          <w:i/>
        </w:rPr>
        <w:t>_</w:t>
      </w:r>
      <w:r>
        <w:rPr>
          <w:i/>
          <w:lang w:val="en-US"/>
        </w:rPr>
        <w:t>lci</w:t>
      </w:r>
      <w:r>
        <w:rPr>
          <w:i/>
        </w:rPr>
        <w:t>_</w:t>
      </w:r>
      <w:r>
        <w:rPr>
          <w:i/>
          <w:lang w:val="en-US"/>
        </w:rPr>
        <w:t>r</w:t>
      </w:r>
      <w:r>
        <w:rPr>
          <w:i/>
        </w:rPr>
        <w:t>2_</w:t>
      </w:r>
      <w:r>
        <w:rPr>
          <w:i/>
          <w:lang w:val="en-US"/>
        </w:rPr>
        <w:t>q</w:t>
      </w:r>
      <w:r>
        <w:t xml:space="preserve"> στην </w:t>
      </w:r>
      <w:r>
        <w:rPr>
          <w:lang w:val="en-US"/>
        </w:rPr>
        <w:t>Eurobase</w:t>
      </w:r>
      <w:r>
        <w:t xml:space="preserve"> (</w:t>
      </w:r>
      <w:hyperlink r:id="rId3" w:history="1">
        <w:r>
          <w:rPr>
            <w:rStyle w:val="Hyperlink"/>
            <w:lang w:val="en-US"/>
          </w:rPr>
          <w:t>http</w:t>
        </w:r>
        <w:r>
          <w:rPr>
            <w:rStyle w:val="Hyperlink"/>
          </w:rPr>
          <w:t>://</w:t>
        </w:r>
        <w:r>
          <w:rPr>
            <w:rStyle w:val="Hyperlink"/>
            <w:lang w:val="en-US"/>
          </w:rPr>
          <w:t>ec</w:t>
        </w:r>
        <w:r>
          <w:rPr>
            <w:rStyle w:val="Hyperlink"/>
          </w:rPr>
          <w:t>.</w:t>
        </w:r>
        <w:r>
          <w:rPr>
            <w:rStyle w:val="Hyperlink"/>
            <w:lang w:val="en-US"/>
          </w:rPr>
          <w:t>europa</w:t>
        </w:r>
        <w:r>
          <w:rPr>
            <w:rStyle w:val="Hyperlink"/>
          </w:rPr>
          <w:t>.</w:t>
        </w:r>
        <w:r>
          <w:rPr>
            <w:rStyle w:val="Hyperlink"/>
            <w:lang w:val="en-US"/>
          </w:rPr>
          <w:t>eu</w:t>
        </w:r>
        <w:r>
          <w:rPr>
            <w:rStyle w:val="Hyperlink"/>
          </w:rPr>
          <w:t>/</w:t>
        </w:r>
        <w:r>
          <w:rPr>
            <w:rStyle w:val="Hyperlink"/>
            <w:lang w:val="en-US"/>
          </w:rPr>
          <w:t>eurostat</w:t>
        </w:r>
        <w:r>
          <w:rPr>
            <w:rStyle w:val="Hyperlink"/>
          </w:rPr>
          <w:t>/</w:t>
        </w:r>
        <w:r>
          <w:rPr>
            <w:rStyle w:val="Hyperlink"/>
            <w:lang w:val="en-US"/>
          </w:rPr>
          <w:t>data</w:t>
        </w:r>
        <w:r>
          <w:rPr>
            <w:rStyle w:val="Hyperlink"/>
          </w:rPr>
          <w:t>/</w:t>
        </w:r>
        <w:r>
          <w:rPr>
            <w:rStyle w:val="Hyperlink"/>
            <w:lang w:val="en-US"/>
          </w:rPr>
          <w:t>database</w:t>
        </w:r>
      </w:hyperlink>
      <w:r>
        <w:t>, που είναι διαθέσιμο στα αγγλικά, τα γαλλικά και τα γερμανικά).</w:t>
      </w:r>
    </w:p>
  </w:footnote>
  <w:footnote w:id="15">
    <w:p>
      <w:pPr>
        <w:pStyle w:val="FootnoteText"/>
      </w:pPr>
      <w:r>
        <w:rPr>
          <w:rStyle w:val="FootnoteReference"/>
        </w:rPr>
        <w:footnoteRef/>
      </w:r>
      <w:r>
        <w:t xml:space="preserve"> </w:t>
      </w:r>
      <w:r>
        <w:tab/>
      </w:r>
      <w:hyperlink r:id="rId4" w:history="1">
        <w:r>
          <w:rPr>
            <w:rStyle w:val="Hyperlink"/>
          </w:rPr>
          <w:t>http://ec.europa.eu/eurostat/cache/metadata/EN/lci_esqrs.htm</w:t>
        </w:r>
      </w:hyperlink>
      <w:r>
        <w:t xml:space="preserve"> (είναι διαθέσιμο μόνο στα αγγλικά).</w:t>
      </w:r>
    </w:p>
  </w:footnote>
  <w:footnote w:id="16">
    <w:p>
      <w:pPr>
        <w:ind w:left="720" w:hanging="720"/>
        <w:jc w:val="both"/>
      </w:pPr>
      <w:r>
        <w:rPr>
          <w:rStyle w:val="FootnoteReference"/>
        </w:rPr>
        <w:footnoteRef/>
      </w:r>
      <w:r>
        <w:tab/>
        <w:t>Κανονισμός (ΕΕ) αριθ. 549/2013 του Ευρωπαϊκού Κοινοβουλίου και του Συμβουλίου, της 21ης Μαΐου 2013, για το ευρωπαϊκό σύστημα εθνικών και περιφερειακών λογαριασμών της Ευρωπαϊκής Ένωσης (ΕΕ L 174 της 26.6.2013,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E634DC-217F-414F-85F8-21C6EBBBE5CD"/>
    <w:docVar w:name="LW_COVERPAGE_TYPE" w:val="1"/>
    <w:docVar w:name="LW_CROSSREFERENCE" w:val="&lt;UNUSED&gt;"/>
    <w:docVar w:name="LW_DocType" w:val="NORMAL"/>
    <w:docVar w:name="LW_EMISSION" w:val="22.12.2020"/>
    <w:docVar w:name="LW_EMISSION_ISODATE" w:val="2020-12-22"/>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47?\u953?\u945? \u964?\u951?\u957? \u949?\u966?\u945?\u961?\u956?\u959?\u947?\u942? \u964?\u959?\u965? \u954?\u945?\u957?\u959?\u957?\u953?\u963?\u956?\u959?\u973? (\u917?\u922?) \u945?\u961?\u953?\u952?. 450/2003 \u964?\u959?\u965? \u917?\u965?\u961?\u969?\u960?\u945?\u970?\u954?\u959?\u973? \u922?\u959?\u953?\u957?\u959?\u946?\u959?\u965?\u955?\u943?\u959?\u965? \u954?\u945?\u953? \u964?\u959?\u965? \u931?\u965?\u956?\u946?\u959?\u965?\u955?\u943?\u959?\u965? \u963?\u967?\u949?\u964?\u953?\u954?\u940? \u956?\u949? \u964?\u959?\u957? \u948?\u949?\u943?\u954?\u964?\u951? \u954?\u972?\u963?\u964?\u959?\u965?\u962? \u949?\u961?\u947?\u945?\u963?\u943?\u945?\u962? (\u916?\u922?\u917?)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l-GR"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l-GR"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character" w:styleId="Hyperlink">
    <w:name w:val="Hyperlink"/>
    <w:rPr>
      <w:color w:val="0000FF"/>
      <w:u w:val="single"/>
    </w:rPr>
  </w:style>
  <w:style w:type="character" w:styleId="Emphasis">
    <w:name w:val="Emphasis"/>
    <w:qFormat/>
    <w:rPr>
      <w:i/>
      <w:i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l-GR"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jc w:val="both"/>
    </w:pPr>
    <w:rPr>
      <w:noProof/>
      <w:szCs w:val="20"/>
    </w:rPr>
  </w:style>
  <w:style w:type="paragraph" w:customStyle="1" w:styleId="Text1">
    <w:name w:val="Text 1"/>
    <w:basedOn w:val="Normal"/>
    <w:pPr>
      <w:spacing w:before="120" w:after="120"/>
      <w:ind w:left="850"/>
      <w:jc w:val="both"/>
    </w:pPr>
    <w:rPr>
      <w:szCs w:val="20"/>
    </w:rPr>
  </w:style>
  <w:style w:type="paragraph" w:customStyle="1" w:styleId="ManualHeading1">
    <w:name w:val="Manual Heading 1"/>
    <w:basedOn w:val="Normal"/>
    <w:next w:val="Text1"/>
    <w:link w:val="ManualHeading1Char"/>
    <w:pPr>
      <w:keepNext/>
      <w:tabs>
        <w:tab w:val="left" w:pos="850"/>
      </w:tabs>
      <w:spacing w:before="360" w:after="120"/>
      <w:ind w:left="850" w:hanging="850"/>
      <w:jc w:val="both"/>
      <w:outlineLvl w:val="0"/>
    </w:pPr>
    <w:rPr>
      <w:b/>
      <w:smallCaps/>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l-GR" w:eastAsia="en-GB"/>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l-G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l-GR"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l-GR"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character" w:styleId="Hyperlink">
    <w:name w:val="Hyperlink"/>
    <w:rPr>
      <w:color w:val="0000FF"/>
      <w:u w:val="single"/>
    </w:rPr>
  </w:style>
  <w:style w:type="character" w:styleId="Emphasis">
    <w:name w:val="Emphasis"/>
    <w:qFormat/>
    <w:rPr>
      <w:i/>
      <w:i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l-GR"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jc w:val="both"/>
    </w:pPr>
    <w:rPr>
      <w:noProof/>
      <w:szCs w:val="20"/>
    </w:rPr>
  </w:style>
  <w:style w:type="paragraph" w:customStyle="1" w:styleId="Text1">
    <w:name w:val="Text 1"/>
    <w:basedOn w:val="Normal"/>
    <w:pPr>
      <w:spacing w:before="120" w:after="120"/>
      <w:ind w:left="850"/>
      <w:jc w:val="both"/>
    </w:pPr>
    <w:rPr>
      <w:szCs w:val="20"/>
    </w:rPr>
  </w:style>
  <w:style w:type="paragraph" w:customStyle="1" w:styleId="ManualHeading1">
    <w:name w:val="Manual Heading 1"/>
    <w:basedOn w:val="Normal"/>
    <w:next w:val="Text1"/>
    <w:link w:val="ManualHeading1Char"/>
    <w:pPr>
      <w:keepNext/>
      <w:tabs>
        <w:tab w:val="left" w:pos="850"/>
      </w:tabs>
      <w:spacing w:before="360" w:after="120"/>
      <w:ind w:left="850" w:hanging="850"/>
      <w:jc w:val="both"/>
      <w:outlineLvl w:val="0"/>
    </w:pPr>
    <w:rPr>
      <w:b/>
      <w:smallCaps/>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l-GR" w:eastAsia="en-GB"/>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l-G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ata/database" TargetMode="External"/><Relationship Id="rId2" Type="http://schemas.openxmlformats.org/officeDocument/2006/relationships/hyperlink" Target="http://ec.europa.eu/eurostat/data/database" TargetMode="External"/><Relationship Id="rId1" Type="http://schemas.openxmlformats.org/officeDocument/2006/relationships/hyperlink" Target="https://ec.europa.eu/eurostat/web/main" TargetMode="External"/><Relationship Id="rId4" Type="http://schemas.openxmlformats.org/officeDocument/2006/relationships/hyperlink" Target="http://ec.europa.eu/eurostat/cache/metadata/EN/lci_esq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4080-6821-49E1-B380-7B1E6954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2961</Words>
  <Characters>17175</Characters>
  <Application>Microsoft Office Word</Application>
  <DocSecurity>0</DocSecurity>
  <Lines>286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2020-11-19T07:33:00Z</dcterms:created>
  <dcterms:modified xsi:type="dcterms:W3CDTF">2020-12-17T09:16:00Z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