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2343B086-4004-4E37-99C3-4298911980B4" style="width:450.8pt;height:334.2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p>
      <w:pPr>
        <w:pStyle w:val="ManualHeading1"/>
        <w:numPr>
          <w:ilvl w:val="0"/>
          <w:numId w:val="1"/>
        </w:numPr>
        <w:rPr>
          <w:noProof/>
        </w:rPr>
      </w:pPr>
      <w:r>
        <w:rPr>
          <w:noProof/>
        </w:rPr>
        <w:t>Introduzzjoni</w:t>
      </w:r>
    </w:p>
    <w:p>
      <w:pPr>
        <w:pStyle w:val="Text1"/>
        <w:ind w:left="720"/>
        <w:rPr>
          <w:noProof/>
        </w:rPr>
      </w:pPr>
      <w:bookmarkStart w:id="2" w:name="_Toc360453126"/>
      <w:r>
        <w:rPr>
          <w:noProof/>
        </w:rPr>
        <w:t>Ir-Regolament tal-Kunsill (UE, Euratom) 2020/2093 li jistabbilixxi l-qafas finanzjarju pluriennali għas-snin mill-2021 sal-2027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(ir-Regolament QFP) jinkludi t-tabella tal-qafas finanzjarju għall-EU-27 għall-perjodu 2021-2027, espress fi prezzijiet tal-2018 (it-Tabella 1). </w:t>
      </w:r>
    </w:p>
    <w:p>
      <w:pPr>
        <w:pStyle w:val="Text1"/>
        <w:ind w:left="720"/>
        <w:rPr>
          <w:noProof/>
        </w:rPr>
      </w:pPr>
      <w:r>
        <w:rPr>
          <w:noProof/>
        </w:rPr>
        <w:t xml:space="preserve">L-għan ta’ din il-komunikazzjoni huwa li r-riżultat tal-aġġustament tekniku għall-2021 jingħata lill-awtorità baġitarja f’konformità mal-Artikolu 4 tar-Regolament QFP. B’mod partikolari, l-aġġustament tekniku jistabbilixxi l-limiti massimi tan-nefqa bil-prezzijiet attwali bbażati fuq id-deflatur fiss ta’ 2 % kif previst fl-Artikolu 4(2) tar-Regolament QFP. </w:t>
      </w:r>
    </w:p>
    <w:p>
      <w:pPr>
        <w:pStyle w:val="Text1"/>
        <w:ind w:left="720"/>
        <w:rPr>
          <w:noProof/>
        </w:rPr>
      </w:pPr>
      <w:r>
        <w:rPr>
          <w:noProof/>
        </w:rPr>
        <w:t>Abbażi tal-aħħar previżjonijiet ekonomiċi</w:t>
      </w:r>
      <w:r>
        <w:rPr>
          <w:rStyle w:val="FootnoteReference"/>
          <w:noProof/>
        </w:rPr>
        <w:footnoteReference w:id="3"/>
      </w:r>
      <w:r>
        <w:rPr>
          <w:noProof/>
        </w:rPr>
        <w:t>, il-komunikazzjoni tipprovdi wkoll il-kalkolu tal-marġni taħt il-limitu massimu tar-riżorsi proprji stabbilit skont id-Deċiżjoni tal-Kunsill dwar is-sistema tar-riżorsi proprji tal-Unjoni Ewropea adottata skont l-Artikolu 311(3) TFUE, li hija attwalment fis-seħħ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Text1"/>
        <w:ind w:left="720"/>
        <w:rPr>
          <w:noProof/>
        </w:rPr>
      </w:pPr>
      <w:r>
        <w:rPr>
          <w:noProof/>
        </w:rPr>
        <w:t>Il-Komunikazzjoni tippreżenta wkoll il-kalkolu tal-ammonti disponibbli skont l-Istrument ta’ Marġni Uniku skont l-Artikolu 11 tar-Regolament QFP. Mis-sena 2022, il-Kummissjoni se tikkalkula wkoll, kif previst fl-Artikolu 5 tar-Regolament QFP, l-aġġustamenti speċifiċi għall-programmmi elenkati fl-Anness II tar-Regolament QFP u se tinkludihom fil-komunikazzjoni dwar l-aġġustament tekniku.</w:t>
      </w:r>
    </w:p>
    <w:p>
      <w:pPr>
        <w:pStyle w:val="Text1"/>
        <w:ind w:left="720"/>
        <w:rPr>
          <w:noProof/>
        </w:rPr>
      </w:pPr>
      <w:r>
        <w:rPr>
          <w:noProof/>
        </w:rPr>
        <w:t>Skont l-Artikolu 4(1) tar-Regolament QFP, il-Kummissjoni se tagħmel l-aġġustament tekniku fil-qafas finanzjarju u kull sena se tikkomunika r-riżultati lill-awtorità baġitarja, qabel il-proċedura baġitarja għas-sena n+1. Minħabba li l-aġġustament tekniku għas-sena 2021 huwa bbażat fuq id-dispożizzjonijiet tar-Regolament QFP li ma kienx ġie adottat qabel il-bidu tal-proċedura baġitarja għas-sena 2021, dan l-aġġustament, b’mod eċċezzjonali, ma sarx qabel il-proċedura baġitarja. Madankollu, l-baġit għall-2021 jenħtieġ li jkun skont il-limiti massimi u l-ammonti li jirriżultaw minn dan l-aġġustament tekniku.</w:t>
      </w:r>
    </w:p>
    <w:p>
      <w:pPr>
        <w:pStyle w:val="Text1"/>
        <w:ind w:left="720"/>
        <w:rPr>
          <w:noProof/>
        </w:rPr>
      </w:pPr>
      <w:r>
        <w:rPr>
          <w:noProof/>
        </w:rPr>
        <w:t xml:space="preserve">Skont l-Artikolu 4(4) tar-Regolament tal-QFP ma jsir l-ebda aġġustament tekniku ulterjuri fir-rigward tas-sena inkwistjoni, la matul is-sena u lanqas bħala korrezzjonijiet </w:t>
      </w:r>
      <w:r>
        <w:rPr>
          <w:i/>
          <w:iCs/>
          <w:noProof/>
        </w:rPr>
        <w:t>ex post</w:t>
      </w:r>
      <w:r>
        <w:rPr>
          <w:noProof/>
        </w:rPr>
        <w:t xml:space="preserve"> matul is-snin ta’ wara.</w:t>
      </w:r>
    </w:p>
    <w:p>
      <w:pPr>
        <w:pStyle w:val="ManualHeading1"/>
        <w:numPr>
          <w:ilvl w:val="0"/>
          <w:numId w:val="1"/>
        </w:numPr>
        <w:rPr>
          <w:noProof/>
        </w:rPr>
      </w:pPr>
      <w:r>
        <w:rPr>
          <w:noProof/>
        </w:rPr>
        <w:t>It-termini tal-aġġustament tat-tabella tal-Qafas Finanzjarju Pluriennali (l-Anness - it-tabelli 1-2)</w:t>
      </w:r>
      <w:bookmarkEnd w:id="2"/>
    </w:p>
    <w:p>
      <w:pPr>
        <w:pStyle w:val="Text1"/>
        <w:rPr>
          <w:noProof/>
        </w:rPr>
      </w:pPr>
      <w:r>
        <w:rPr>
          <w:noProof/>
        </w:rPr>
        <w:t>It-</w:t>
      </w:r>
      <w:r>
        <w:rPr>
          <w:noProof/>
          <w:u w:val="single"/>
        </w:rPr>
        <w:t>Tabella 1</w:t>
      </w:r>
      <w:r>
        <w:rPr>
          <w:noProof/>
        </w:rPr>
        <w:t xml:space="preserve"> fl-Anness turi l-qafas finanzjarju pluriennali għall-EU-27 fi prezzijiet tal-2018 tar-Regolament QFP aġġustati skont l-Artikolu 2(1). </w:t>
      </w:r>
    </w:p>
    <w:p>
      <w:pPr>
        <w:pStyle w:val="Text1"/>
        <w:rPr>
          <w:noProof/>
        </w:rPr>
      </w:pPr>
      <w:r>
        <w:rPr>
          <w:noProof/>
        </w:rPr>
        <w:t>It-</w:t>
      </w:r>
      <w:r>
        <w:rPr>
          <w:noProof/>
          <w:u w:val="single"/>
        </w:rPr>
        <w:t>Tabella 2</w:t>
      </w:r>
      <w:r>
        <w:rPr>
          <w:noProof/>
        </w:rPr>
        <w:t xml:space="preserve"> turi l-qafas finanzjarju pluriennali għall-EU-27 aġġustat fi prezzijiet attwali. </w:t>
      </w:r>
    </w:p>
    <w:p>
      <w:pPr>
        <w:pStyle w:val="Text1"/>
        <w:rPr>
          <w:noProof/>
        </w:rPr>
      </w:pPr>
      <w:r>
        <w:rPr>
          <w:noProof/>
        </w:rPr>
        <w:t xml:space="preserve">Il-qafas finanzjarju espress bħala perċentwal tal-introjtu nazzjonali gross (ING) tal-Unjoni huwa aġġornat bl-aħħar previżjonijiet ekonomiċi disponibbli mill-Kummissjoni Ewropea (il-Ħarifa 2020). Skont din il-previżjoni, l-ING għall-2021 huwa stabbilit għal EUR 13 896 720 miljun fi prezzijiet attwali għall-EU-27. </w:t>
      </w:r>
    </w:p>
    <w:p>
      <w:pPr>
        <w:pStyle w:val="Text1"/>
        <w:rPr>
          <w:noProof/>
        </w:rPr>
      </w:pPr>
    </w:p>
    <w:p>
      <w:pPr>
        <w:pStyle w:val="ManualHeading2"/>
        <w:numPr>
          <w:ilvl w:val="1"/>
          <w:numId w:val="1"/>
        </w:numPr>
        <w:rPr>
          <w:noProof/>
        </w:rPr>
      </w:pPr>
      <w:bookmarkStart w:id="3" w:name="_Toc360453128"/>
      <w:r>
        <w:rPr>
          <w:noProof/>
        </w:rPr>
        <w:t>Ir-riżultati ewlenin tal-aġġustament tekniku tal-Qafas Finanzjarju Pluriennali għall-</w:t>
      </w:r>
      <w:bookmarkEnd w:id="3"/>
      <w:r>
        <w:rPr>
          <w:noProof/>
        </w:rPr>
        <w:t>2021</w:t>
      </w:r>
    </w:p>
    <w:p>
      <w:pPr>
        <w:pStyle w:val="Text1"/>
        <w:rPr>
          <w:noProof/>
        </w:rPr>
      </w:pPr>
      <w:r>
        <w:rPr>
          <w:noProof/>
        </w:rPr>
        <w:t>Il-limitu massimu globali tal-QFP għall-approprjazzjonijiet ta’ impenn għall-2021 huwa ta’EUR 163 483 miljun fi prezzijiet kurrenti, li huwa ekwivalenti għal 1,18 % tal-ING. Il-limitu massimu kumplessiv tal-QFP għall-approprjazzjonijiet ta’ pagament jikkorrispondi għal EUR 166 140 miljun fi prezzijiet attwali, ekwivalenti għal 1,20 % tal-ING.</w:t>
      </w:r>
    </w:p>
    <w:p>
      <w:pPr>
        <w:pStyle w:val="Text1"/>
        <w:rPr>
          <w:noProof/>
        </w:rPr>
      </w:pPr>
      <w:r>
        <w:rPr>
          <w:noProof/>
        </w:rPr>
        <w:t>Bl-applikazzjoni tad-Deċiżjoni tal-Kunsill għas-sistema ta’ riżorsi proprji attwalment fis-seħħ, dan iħalli marġni taħt il-limitu massimu tar-riżorsi proprji għall-approprjazzjonijiet ta’ pagament ta’ EUR 621 miljun. Madankollu, bl-applikazzjoni tad-Deċiżjoni tal-Kunsill tal-14 ta’ Diċembru 2020, 2020/2053/UE, Euratom fuq is-sistema tar-riżorsi proprji, il-limitu massimu tar-riżorsi proprji għall-approprjazzjonijiet ta’ pagament huwa stabbilit għal 1,40 % tal-ING, li huwa ekwivalenti għal EUR 194 554 miljun fl-2021. Dan jirriżulta f’marġni bejn il-limitu massimu tal-QFP għall-approprjazzjonijiet ta’ pagament u l-limitu massimu tar-riżorsi proprji għall-approprjazzjonijiet ta’ pagament ta’ EUR 28 414 miljun, jew 0,20 % tal-ING. Ladarba d-Deċiżjoni tal-Kunsill 2020/2053/EU, Euratom tidħol fis-seħħ, din se tapplika b’mod retroattiv mill-1 ta’ Jannar 2021.</w:t>
      </w:r>
    </w:p>
    <w:p>
      <w:pPr>
        <w:pStyle w:val="Text1"/>
        <w:rPr>
          <w:noProof/>
        </w:rPr>
      </w:pPr>
      <w:r>
        <w:rPr>
          <w:noProof/>
        </w:rPr>
        <w:t>It-tabella ta’ hawn taħt tipprovdi informazzjoni għall-perjodu 2021-2027 dwar il-marġni f’perċentwal tal-ING bejn il-limitu massimu tal-QFP għall-approprjazzjonijiet ta’ pagament u l-limitu massimu tar-riżorsi proprji għall-approprjazzjonijiet ta’ pagament ta’ 1,20 % tal-ING attwalment fis-seħħ. Għal finijiet ta’ informazzjoni, it-tabella tipprovdi wkoll il-marġni abbażi tal-limitu massimu propost tar-riżorsi proprji ġodda ta’ 1,40 % tal-ING.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850"/>
        <w:gridCol w:w="850"/>
        <w:gridCol w:w="850"/>
        <w:gridCol w:w="969"/>
      </w:tblGrid>
      <w:tr>
        <w:tc>
          <w:tcPr>
            <w:tcW w:w="2721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F’% tal-ING tal-EU27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2027</w:t>
            </w:r>
          </w:p>
        </w:tc>
        <w:tc>
          <w:tcPr>
            <w:tcW w:w="969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2021-2027</w:t>
            </w:r>
          </w:p>
        </w:tc>
      </w:tr>
      <w:tr>
        <w:trPr>
          <w:trHeight w:val="635"/>
        </w:trPr>
        <w:tc>
          <w:tcPr>
            <w:tcW w:w="2721" w:type="dxa"/>
            <w:vAlign w:val="center"/>
          </w:tcPr>
          <w:p>
            <w:pPr>
              <w:pStyle w:val="Text1"/>
              <w:spacing w:before="0" w:after="0"/>
              <w:ind w:left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Il-limitu massimu tal-QFP għall-approprjazzjonijiet ta’ pagament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1,20 %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1,15 %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1,10 %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1,09 %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1,07 %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1,06 %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1,06 %</w:t>
            </w:r>
          </w:p>
        </w:tc>
        <w:tc>
          <w:tcPr>
            <w:tcW w:w="969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1,10 %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Text1"/>
              <w:spacing w:before="0" w:after="0"/>
              <w:ind w:left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Il-marġni taħt il-limitu massimu tar-riżorsi proprji fl-applikazzjoni tad-Deċiżjoni tal-Kunsill 2014/335/UE, Euratom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0,00 %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0,05 %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0,10 %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0,11 %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0,13 %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0,14 %</w:t>
            </w:r>
          </w:p>
        </w:tc>
        <w:tc>
          <w:tcPr>
            <w:tcW w:w="850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0,14 %</w:t>
            </w:r>
          </w:p>
        </w:tc>
        <w:tc>
          <w:tcPr>
            <w:tcW w:w="969" w:type="dxa"/>
            <w:vAlign w:val="center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0,10 %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Text1"/>
              <w:spacing w:before="0" w:after="0"/>
              <w:ind w:left="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Il-marġni taħt il-limitu massimu tar-riżorsi proprji fl-applikazzjoni tad-Deċiżjoni tal-Kunsill 2020/2053/UE, Euratom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0,20 %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0,25 %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0,30 %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0,31 %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0,33 %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0,34 %</w:t>
            </w:r>
          </w:p>
        </w:tc>
        <w:tc>
          <w:tcPr>
            <w:tcW w:w="850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0,34 %</w:t>
            </w:r>
          </w:p>
        </w:tc>
        <w:tc>
          <w:tcPr>
            <w:tcW w:w="969" w:type="dxa"/>
          </w:tcPr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</w:p>
          <w:p>
            <w:pPr>
              <w:pStyle w:val="Text1"/>
              <w:spacing w:before="0" w:after="0"/>
              <w:ind w:left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0,30 %</w:t>
            </w:r>
          </w:p>
        </w:tc>
      </w:tr>
    </w:tbl>
    <w:p>
      <w:pPr>
        <w:pStyle w:val="Text1"/>
        <w:rPr>
          <w:noProof/>
        </w:rPr>
      </w:pPr>
    </w:p>
    <w:p>
      <w:pPr>
        <w:pStyle w:val="ManualHeading2"/>
        <w:numPr>
          <w:ilvl w:val="1"/>
          <w:numId w:val="1"/>
        </w:numPr>
        <w:rPr>
          <w:noProof/>
        </w:rPr>
      </w:pPr>
      <w:r>
        <w:rPr>
          <w:noProof/>
        </w:rPr>
        <w:t>Aġġustament tas-sottolimitu massimu għall-Intestatura 3</w:t>
      </w:r>
    </w:p>
    <w:p>
      <w:pPr>
        <w:pStyle w:val="Text1"/>
        <w:rPr>
          <w:noProof/>
        </w:rPr>
      </w:pPr>
      <w:r>
        <w:rPr>
          <w:noProof/>
        </w:rPr>
        <w:t>Skont l-Artikolu 2(1) tar-Regolament QFP, is-sottolimitu għall-Intestatura 3 għan-nefqa relatata mas-suq u għall-pagamenti diretti (l-ewwel pilastru tal-politika agrikola komuni - PAK) fil-perjodu mill-2021 sal-2027 għandu jiġi aġġustat wara li jsiru t-trasferimenti bejn l-ewwel u t-tieni pilastri tal-PAK, f’konformità mal-att legali li jistabbilixxi dawn it-trasferimenti. L-ammont totali tal-limitu massimu għall-approprjazzjonijiet ta’ impenn għall-Intestatura 3 ma jinbidilx.</w:t>
      </w:r>
    </w:p>
    <w:p>
      <w:pPr>
        <w:pStyle w:val="Text1"/>
        <w:rPr>
          <w:noProof/>
        </w:rPr>
      </w:pPr>
      <w:r>
        <w:rPr>
          <w:noProof/>
        </w:rPr>
        <w:t xml:space="preserve">Is-sottolimitu għall-Intestatura 3 ġie aġġustat għall-ewwel darba fl-aġġustament tekniku tal-QFP għall-2021. </w:t>
      </w:r>
    </w:p>
    <w:p>
      <w:pPr>
        <w:pStyle w:val="Text1"/>
        <w:rPr>
          <w:noProof/>
        </w:rPr>
      </w:pPr>
      <w:r>
        <w:rPr>
          <w:noProof/>
        </w:rPr>
        <w:t>L-iskadenza għas-sottomissjoni tan-notifiki mill-Istati Membri lill-Kummissjoni kienet fil-31 ta’ Diċembru 2019 u t-8 ta’ Frar 2020. Ir-riżultat ġie stabbilit fir-Regolament Delegat tal-Kummissjoni (UE) 2020/756 tal-1 ta’ April 2020</w:t>
      </w:r>
      <w:r>
        <w:rPr>
          <w:rStyle w:val="FootnoteReference"/>
          <w:noProof/>
        </w:rPr>
        <w:footnoteReference w:id="5"/>
      </w:r>
      <w:r>
        <w:rPr>
          <w:noProof/>
        </w:rPr>
        <w:t>. Fid-dawl tal-kriżi tal-COVID-19, dan ir-Regolament Delegat ġie emendat ulterjorment bir-Regolament Delegat tal-Kummissjoni (UE) 2020/1314 tal-10 ta’ Lulju 2020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Il-modifika tas-sottolimitu għall-Intestatura 3 fi prezzijiet attwali teħtieġ li tiġi konvertita fi prezzijiet tal-2018 sabiex ikun jista’ jitwettaq l-aġġustament tekniku tat-tabella tal-QFP fi prezzijiet tal-2018. Għal dan l-għan il-bilanċ nett l-ewwel jiġi ttrasformat fi prezzijiet tal-2018 permezz tad-deflatur fiss ta’ 2%. Dan imbagħad jiġi aġġustat ’il fuq sabiex jinkiseb is-sottolimitu aġġustat billi l-limiti massimi tal-QFP jingħataw biss f’miljuni ta’ euro. Huwa biss permezz ta’ din il-proċedura ta’ aġġustament ’il fuq li jista’ jiġi żgurat li s-sottolimitu tal-QFP ikun dejjem ogħla mill-bilanċ nett disponibbli għan-nefqa skont il-Fond Agrikolu Ewropew ta’ Garanzija (FAEG). Id-differenza żgħira li tirriżulta ma tikkostitwixxix marġni disponibbli, iżda tirriżulta esklussivament mill-operazzjoni ta’ ammonti maqtugħin għad-dritt. Għal kull baġit annwali, il-Kummissjoni se tuża l-ammonti eżatti tal-bilanċ nett disponibbli għan-nefqa tal-FAEG.</w:t>
      </w:r>
    </w:p>
    <w:p>
      <w:pPr>
        <w:pStyle w:val="Text1"/>
        <w:rPr>
          <w:noProof/>
        </w:rPr>
      </w:pPr>
      <w:r>
        <w:rPr>
          <w:noProof/>
        </w:rPr>
        <w:t>It-tabella ta’ hawn taħt turi r-riżultat nett (f’miljuni ta’ euro) tat-trasferiment bejn iż-żewġ pilastri tal-PAK u l-impatt tagħhom fuq is-sottolimitu tal-Intestatura 3.</w:t>
      </w:r>
    </w:p>
    <w:p>
      <w:pPr>
        <w:pStyle w:val="Text1"/>
        <w:ind w:left="-567"/>
        <w:rPr>
          <w:noProof/>
        </w:rPr>
      </w:pPr>
      <w:r>
        <w:rPr>
          <w:noProof/>
          <w:lang w:val="en-GB"/>
        </w:rPr>
        <w:drawing>
          <wp:inline distT="0" distB="0" distL="0" distR="0">
            <wp:extent cx="6515725" cy="284952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45" cy="28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ManualHeading1"/>
        <w:numPr>
          <w:ilvl w:val="0"/>
          <w:numId w:val="1"/>
        </w:numPr>
        <w:rPr>
          <w:noProof/>
        </w:rPr>
      </w:pPr>
      <w:bookmarkStart w:id="4" w:name="_Toc360453132"/>
      <w:r>
        <w:rPr>
          <w:noProof/>
        </w:rPr>
        <w:t>Strumenti Speċjali</w:t>
      </w:r>
      <w:bookmarkEnd w:id="4"/>
    </w:p>
    <w:p>
      <w:pPr>
        <w:pStyle w:val="Text1"/>
        <w:rPr>
          <w:noProof/>
        </w:rPr>
      </w:pPr>
      <w:r>
        <w:rPr>
          <w:noProof/>
        </w:rPr>
        <w:t>Hemm għadd ta’ strumenti speċjali li huma disponibbli barra mil-limiti massimi tan-nefqa tal-qafas finanzjarju pluriennali 2021-2027. Dawn l-istrumenti għandhom l-għan li jiżguraw rispons rapidu għal ċirkustanzi eċċezzjonali jew mhux previsti, u li jipprovdu, sa ċerti limiti, daqsxejn ta’ flessibbiltà lil hinn mil-limiti massimi tan-nefqa miftiehma.</w:t>
      </w:r>
    </w:p>
    <w:p>
      <w:pPr>
        <w:pStyle w:val="ManualHeading2"/>
        <w:numPr>
          <w:ilvl w:val="1"/>
          <w:numId w:val="1"/>
        </w:numPr>
        <w:rPr>
          <w:noProof/>
        </w:rPr>
      </w:pPr>
      <w:r>
        <w:rPr>
          <w:noProof/>
        </w:rPr>
        <w:t>Strumenti tematiki speċjali</w:t>
      </w:r>
    </w:p>
    <w:p>
      <w:pPr>
        <w:pStyle w:val="ManualHeading2"/>
        <w:numPr>
          <w:ilvl w:val="2"/>
          <w:numId w:val="1"/>
        </w:numPr>
        <w:rPr>
          <w:noProof/>
        </w:rPr>
      </w:pPr>
      <w:r>
        <w:rPr>
          <w:noProof/>
        </w:rPr>
        <w:t>Fond Ewropew ta’ Aġġustament għall-Globalizzazzjoni</w:t>
      </w:r>
    </w:p>
    <w:p>
      <w:pPr>
        <w:pStyle w:val="Text1"/>
        <w:rPr>
          <w:noProof/>
        </w:rPr>
      </w:pPr>
      <w:r>
        <w:rPr>
          <w:noProof/>
        </w:rPr>
        <w:t>Skont l-Artikolu 8 tar-Regolament QFP, il-</w:t>
      </w:r>
      <w:r>
        <w:rPr>
          <w:i/>
          <w:noProof/>
        </w:rPr>
        <w:t>Fond Ewropew ta’ Aġġustament għall-Globalizzazzjoni</w:t>
      </w:r>
      <w:r>
        <w:rPr>
          <w:noProof/>
        </w:rPr>
        <w:t xml:space="preserve"> jista’ jiġi mobilizzat sa massimu ta’ EUR 186 miljun fis-sena fi prezzijiet tal-2018, jew EUR 197,4 miljun fl-2021 fi prezzijiet kurrenti (EUR 1 467,4 miljun għall-perjodu kollu fi prezzijiet kurrenti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). Ammonti mhux użati mis-sena ta’ qabel ma jistgħux jiġu riportati. </w:t>
      </w:r>
    </w:p>
    <w:p>
      <w:pPr>
        <w:pStyle w:val="ManualHeading2"/>
        <w:numPr>
          <w:ilvl w:val="2"/>
          <w:numId w:val="1"/>
        </w:numPr>
        <w:rPr>
          <w:noProof/>
        </w:rPr>
      </w:pPr>
      <w:bookmarkStart w:id="5" w:name="_Toc360453133"/>
      <w:r>
        <w:rPr>
          <w:noProof/>
        </w:rPr>
        <w:t>Riżerva ta’ Solidarjetà u Għajnuna ta’ Emerġenza</w:t>
      </w:r>
      <w:bookmarkEnd w:id="5"/>
    </w:p>
    <w:p>
      <w:pPr>
        <w:pStyle w:val="Text1"/>
        <w:rPr>
          <w:noProof/>
        </w:rPr>
      </w:pPr>
      <w:r>
        <w:rPr>
          <w:noProof/>
        </w:rPr>
        <w:t>Skont l-Artikolu 9 tar-Regolament QFP, ir-Riżerva ta’ Solidarjetà u Għajnuna ta’ Emerġenza tista’ tiġi mobilizzata sal-ammont massimu ta’ EUR 1 200  miljun fis-sena bil-prezzijiet tal-2018, jew EUR 1 273,4 miljun bi prezzijiet kurrenti għall-2021 (EUR 9 467,2 miljun għall-perjodu kollu bi prezzijiet kurrenti). Il-parti tal-ammont mhux użat tas-sena preċedenti tista’ tiġi riportata għas-sena ta’ wara.</w:t>
      </w:r>
    </w:p>
    <w:p>
      <w:pPr>
        <w:pStyle w:val="Text1"/>
        <w:rPr>
          <w:noProof/>
        </w:rPr>
      </w:pPr>
      <w:r>
        <w:rPr>
          <w:noProof/>
        </w:rPr>
        <w:t>Mid-data ta ’din il-Komunikazzjoni, l-ammont li ma ntefaqx ta’ EUR 47,981,598 mill-Fond ta ’Solidarjetà tal-UE se jiġi ttrasferit mis-sena 2020 għas-sena 2021.</w:t>
      </w:r>
    </w:p>
    <w:p>
      <w:pPr>
        <w:pStyle w:val="ManualHeading2"/>
        <w:numPr>
          <w:ilvl w:val="2"/>
          <w:numId w:val="1"/>
        </w:numPr>
        <w:rPr>
          <w:noProof/>
        </w:rPr>
      </w:pPr>
      <w:r>
        <w:rPr>
          <w:noProof/>
        </w:rPr>
        <w:t>Ir-Riżerva ta’ Aġġustament għall-Brexit</w:t>
      </w:r>
    </w:p>
    <w:p>
      <w:pPr>
        <w:pStyle w:val="Text1"/>
        <w:rPr>
          <w:noProof/>
        </w:rPr>
      </w:pPr>
      <w:r>
        <w:rPr>
          <w:noProof/>
        </w:rPr>
        <w:t xml:space="preserve">Skont l-Artikolu 10 tar-Regolament QFP, ir-Riżerva ta’ Aġġustament għall-Brexit tista’ tiġi mobilizzata għal ammont totali ta’ EUR 5 000 miljun fi prezzijiet tal-2018 matul il-perjodu 2021-2027. L-ammont għandu jiddaħħal fil-baġit bħala provvediment. </w:t>
      </w:r>
    </w:p>
    <w:p>
      <w:pPr>
        <w:pStyle w:val="Text1"/>
        <w:rPr>
          <w:noProof/>
        </w:rPr>
      </w:pPr>
    </w:p>
    <w:p>
      <w:pPr>
        <w:pStyle w:val="ManualHeading2"/>
        <w:numPr>
          <w:ilvl w:val="1"/>
          <w:numId w:val="1"/>
        </w:numPr>
        <w:rPr>
          <w:noProof/>
        </w:rPr>
      </w:pPr>
      <w:r>
        <w:rPr>
          <w:noProof/>
        </w:rPr>
        <w:t>Strument speċjali mhux tematiku</w:t>
      </w:r>
    </w:p>
    <w:p>
      <w:pPr>
        <w:pStyle w:val="ManualHeading2"/>
        <w:numPr>
          <w:ilvl w:val="2"/>
          <w:numId w:val="1"/>
        </w:numPr>
        <w:rPr>
          <w:noProof/>
        </w:rPr>
      </w:pPr>
      <w:bookmarkStart w:id="6" w:name="_Toc360453134"/>
      <w:bookmarkStart w:id="7" w:name="_Toc360453135"/>
      <w:bookmarkEnd w:id="6"/>
      <w:r>
        <w:rPr>
          <w:noProof/>
        </w:rPr>
        <w:t>Strument ta’ Marġni Uniku</w:t>
      </w:r>
    </w:p>
    <w:p>
      <w:pPr>
        <w:pStyle w:val="Text1"/>
        <w:rPr>
          <w:noProof/>
        </w:rPr>
      </w:pPr>
      <w:r>
        <w:rPr>
          <w:noProof/>
        </w:rPr>
        <w:t xml:space="preserve">F’konformità mal-Artikolu 4(1)(c) tar-Regolament QFP, l-aġġustament tekniku għandu jikkomunika l-ammont disponibbli f’approprjazzjonijiet ta’ impenn taħt l-Istrument ta’ Marġni Uniku kif imsemmi fil-punt (a) tal-ewwel subparagrafu tal-Artikolu 11(1). L-ebda ammont ma huwa disponibbli għall-2021 sa issa. </w:t>
      </w:r>
    </w:p>
    <w:p>
      <w:pPr>
        <w:pStyle w:val="Text1"/>
        <w:rPr>
          <w:noProof/>
        </w:rPr>
      </w:pPr>
      <w:r>
        <w:rPr>
          <w:noProof/>
        </w:rPr>
        <w:t>L-ammont massimu totali msemmi fil-punt (a) tal-ewwel subparagrafu tal-Artikolu 11(2) huwa 0,04 % tal-ING tal-UE-27, li huwa ekwivalenti għal EUR 5 558,7 miljun fl-2021.</w:t>
      </w:r>
    </w:p>
    <w:p>
      <w:pPr>
        <w:pStyle w:val="Text1"/>
        <w:rPr>
          <w:noProof/>
        </w:rPr>
      </w:pPr>
      <w:r>
        <w:rPr>
          <w:noProof/>
        </w:rPr>
        <w:t>L-ammont massimu totali msemmi fil-punt (b) tal-ewwel subparagrafu tal-Artikolu 11(2) huwa 0,03 % tal-ING tal-UE-27, li huwa ekwivalenti għal EUR 4 169,0 miljun fl-2021.</w:t>
      </w:r>
    </w:p>
    <w:p>
      <w:pPr>
        <w:pStyle w:val="Text1"/>
        <w:rPr>
          <w:noProof/>
        </w:rPr>
      </w:pPr>
      <w:r>
        <w:rPr>
          <w:noProof/>
        </w:rPr>
        <w:t xml:space="preserve">F’konformità mal-Artikolu 4(1)(d) tar-Regolament QFP, l-aġġustament tekniku għandu jikkomunika l-ammont ta’ aġġustament tal-limitu massimu għall-approprjazzjonijiet ta’ pagament taħt l-Istrument ta’ Marġni Uniku kif imsemmi fil-punt (b) tal-ewwel subparagrafu tal-Artikolu 11(1). L-ebda ammont ma huwa disponibbli għall-2021 sa issa. </w:t>
      </w:r>
    </w:p>
    <w:p>
      <w:pPr>
        <w:pStyle w:val="ManualHeading2"/>
        <w:numPr>
          <w:ilvl w:val="2"/>
          <w:numId w:val="1"/>
        </w:numPr>
        <w:rPr>
          <w:noProof/>
        </w:rPr>
      </w:pPr>
      <w:r>
        <w:rPr>
          <w:noProof/>
        </w:rPr>
        <w:t>Strument ta’ Flessibbiltà</w:t>
      </w:r>
      <w:bookmarkEnd w:id="7"/>
    </w:p>
    <w:p>
      <w:pPr>
        <w:pStyle w:val="Text1"/>
        <w:rPr>
          <w:noProof/>
        </w:rPr>
      </w:pPr>
      <w:r>
        <w:rPr>
          <w:noProof/>
        </w:rPr>
        <w:t xml:space="preserve">Skont l-Artikolu 12 tar-Regolament QFP, </w:t>
      </w:r>
      <w:r>
        <w:rPr>
          <w:i/>
          <w:noProof/>
        </w:rPr>
        <w:t>l-Istrument ta’ Flessibbiltà</w:t>
      </w:r>
      <w:r>
        <w:rPr>
          <w:noProof/>
        </w:rPr>
        <w:t xml:space="preserve"> jista’ jiġi</w:t>
      </w:r>
      <w:r>
        <w:rPr>
          <w:i/>
          <w:noProof/>
        </w:rPr>
        <w:t xml:space="preserve"> </w:t>
      </w:r>
      <w:r>
        <w:rPr>
          <w:noProof/>
        </w:rPr>
        <w:t>mobilizzat sal-ammont annwali massimu ta’ EUR 915 miljun fi prezzijiet tal-2018, jew EUR 971,0 miljun fl-2021 fi prezzijiet attwali (EUR 7 218,7-il miljun għall-perjodu kollu fi prezzijiet attwali). Il-porzjon tal-ammonti annwali mhux użati tas-sentejn preċedenti jista’ jiġi riportat.</w:t>
      </w:r>
    </w:p>
    <w:p>
      <w:pPr>
        <w:pStyle w:val="ManualHeading1"/>
        <w:numPr>
          <w:ilvl w:val="0"/>
          <w:numId w:val="1"/>
        </w:numPr>
        <w:rPr>
          <w:noProof/>
        </w:rPr>
      </w:pPr>
      <w:r>
        <w:rPr>
          <w:noProof/>
        </w:rPr>
        <w:t>Tabella sommarja u konklużjonijiet</w:t>
      </w:r>
    </w:p>
    <w:p>
      <w:pPr>
        <w:pStyle w:val="Text1"/>
        <w:rPr>
          <w:noProof/>
        </w:rPr>
      </w:pPr>
      <w:r>
        <w:rPr>
          <w:noProof/>
        </w:rPr>
        <w:t>It-tabelli ta’ hawn taħt jiġbru fil-qosor il-bidliet fil-limiti massimi tal-approprjazzjonijiet ta’ impenn u ta’ pagament fil-qafas finanzjarju abbażi tal-Artikoli 2(1) u 4 tar-Regolament QFP bi prezzijiet kurrenti u tal-2018: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noProof/>
        </w:rPr>
      </w:pPr>
      <w:r>
        <w:rPr>
          <w:noProof/>
          <w:lang w:val="en-GB"/>
        </w:rPr>
        <w:drawing>
          <wp:inline distT="0" distB="0" distL="0" distR="0">
            <wp:extent cx="6141508" cy="4600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11" cy="46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7144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Għadu mhux ippubblikat fil-Ġurnal Uffiċjali.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It-tbassir tal-Kummissjoni Ewropea tal-ħarifa tal-2020: https://ec.europa.eu/info/business-economy-euro/economic-performance-and-forecasts/economic-forecasts/autumn-2020-economic-forecast_en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hd w:val="clear" w:color="auto" w:fill="FFFFFF"/>
        </w:rPr>
        <w:t xml:space="preserve">Id-Deċiżjoni tal-Kunsill tas-26 ta’ Mejju 2014 dwar is-sistema tar-riżorsi proprji tal-Unjoni Ewropea (2014/335/UE, Euratom)  </w:t>
      </w:r>
      <w:r>
        <w:rPr>
          <w:rStyle w:val="Emphasis"/>
          <w:i w:val="0"/>
          <w:shd w:val="clear" w:color="auto" w:fill="FFFFFF"/>
        </w:rPr>
        <w:t>ĠU L 168, 7.6.2014, p. 105</w:t>
      </w:r>
      <w:r>
        <w:rPr>
          <w:rStyle w:val="Emphasis"/>
          <w:shd w:val="clear" w:color="auto" w:fill="FFFFFF"/>
        </w:rPr>
        <w:t>.</w:t>
      </w:r>
      <w:r>
        <w:rPr>
          <w:rStyle w:val="Emphasis"/>
          <w:rFonts w:ascii="Segoe UI" w:hAnsi="Segoe UI"/>
          <w:sz w:val="21"/>
          <w:szCs w:val="21"/>
          <w:shd w:val="clear" w:color="auto" w:fill="FFFFFF"/>
        </w:rPr>
        <w:t xml:space="preserve">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 (UE) 2020/756 tal-1 ta’ April 2020 li jemenda l-Annessi II u III tar-Regolament (UE) Nru 1307/2013 tal-Parlament Ewropew u tal-Kunsill, ĠU L 179, 9.6.2020, p. 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 (UE) 2020/1314 tal-10 ta’ Lulju 2020 li jemenda l-Annessi II u III tar-Regolament (UE) Nru 1307/2013 tal-Parlament Ewropew u tal-Kunsill fir-rigward tal-limiti massimi nazzjonali u tal-limiti massimi netti għall-pagamenti diretti għal ċerti Stati Membri għas-sena kalendarja 2020, OJ L 307, 22.9.2020, p. 1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Skont ir-Regolament QFP, il-konverżjoni hija bbażata fuq deflatur fiss ta’ 2 %. Ir-riżultat fi prezzijiet attwali huwa espress f’miljuni u mqarreb għal tliet ċifri deċimali.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5CAC2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B3C78B8"/>
    <w:multiLevelType w:val="multilevel"/>
    <w:tmpl w:val="67C675F6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2">
    <w:nsid w:val="5B8B29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343B086-4004-4E37-99C3-4298911980B4"/>
    <w:docVar w:name="LW_COVERPAGE_TYPE" w:val="1"/>
    <w:docVar w:name="LW_CROSSREFERENCE" w:val="&lt;UNUSED&gt;"/>
    <w:docVar w:name="LW_DocType" w:val="NORMAL"/>
    <w:docVar w:name="LW_EMISSION" w:val="18.12.2020"/>
    <w:docVar w:name="LW_EMISSION_ISODATE" w:val="2020-12-18"/>
    <w:docVar w:name="LW_EMISSION_LOCATION" w:val="BRX"/>
    <w:docVar w:name="LW_EMISSION_PREFIX" w:val="Brussell, "/>
    <w:docVar w:name="LW_EMISSION_SUFFIX" w:val=" "/>
    <w:docVar w:name="LW_ID_DOCTYPE_NONLW" w:val="CP-012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8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L-a\u289?\u289?ustament tekniku tal-qafas finanzjarju g\u295?all-2021 f\u8217?konformità mal-Artikolu 4 tar-Regolament tal-Kunsill (UE, Euratom) 2020/2093 li jistabbilixxi l-qafas finanzjarju pluriennali g\u295?as-snin mill-2021 sal-2027"/>
    <w:docVar w:name="LW_TYPE.DOC.CP" w:val="KOMUNIKAZZJONI TAL-KUMMISSJONI LILL-PARLAMENT EWROPEW U LILL-KUNSILL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ManualHeading1">
    <w:name w:val="Manual Heading 1"/>
    <w:basedOn w:val="Normal"/>
    <w:next w:val="Text1"/>
    <w:link w:val="ManualHeading1Char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ManualHeading1Char">
    <w:name w:val="Manual Heading 1 Char"/>
    <w:basedOn w:val="DefaultParagraphFont"/>
    <w:link w:val="ManualHeading1"/>
    <w:rPr>
      <w:rFonts w:ascii="Times New Roman" w:eastAsia="Times New Roman" w:hAnsi="Times New Roman" w:cs="Times New Roman"/>
      <w:b/>
      <w:smallCaps/>
      <w:sz w:val="24"/>
      <w:lang w:eastAsia="en-GB"/>
    </w:rPr>
  </w:style>
  <w:style w:type="character" w:customStyle="1" w:styleId="FooterCoverPageChar">
    <w:name w:val="Footer Cover Page Char"/>
    <w:basedOn w:val="ManualHeading1Char"/>
    <w:link w:val="Foot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ManualHeading1Char"/>
    <w:link w:val="Foot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ManualHeading1Char"/>
    <w:link w:val="Head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ManualHeading1Char"/>
    <w:link w:val="Head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styleId="ListBullet4">
    <w:name w:val="List Bullet 4"/>
    <w:basedOn w:val="Normal"/>
    <w:pPr>
      <w:numPr>
        <w:numId w:val="2"/>
      </w:numPr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  <w:lang w:eastAsia="en-I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lang w:eastAsia="en-US"/>
    </w:rPr>
  </w:style>
  <w:style w:type="paragraph" w:customStyle="1" w:styleId="Point0number">
    <w:name w:val="Point 0 (number)"/>
    <w:basedOn w:val="Normal"/>
    <w:pPr>
      <w:numPr>
        <w:numId w:val="3"/>
      </w:numPr>
    </w:pPr>
    <w:rPr>
      <w:rFonts w:eastAsiaTheme="minorHAnsi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3"/>
      </w:numPr>
    </w:pPr>
    <w:rPr>
      <w:rFonts w:eastAsiaTheme="minorHAnsi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3"/>
      </w:numPr>
    </w:pPr>
    <w:rPr>
      <w:rFonts w:eastAsiaTheme="minorHAnsi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3"/>
      </w:numPr>
    </w:pPr>
    <w:rPr>
      <w:rFonts w:eastAsiaTheme="minorHAnsi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3"/>
      </w:numPr>
    </w:pPr>
    <w:rPr>
      <w:rFonts w:eastAsiaTheme="minorHAnsi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3"/>
      </w:numPr>
    </w:pPr>
    <w:rPr>
      <w:rFonts w:eastAsiaTheme="minorHAnsi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3"/>
      </w:numPr>
    </w:pPr>
    <w:rPr>
      <w:rFonts w:eastAsiaTheme="minorHAnsi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3"/>
      </w:numPr>
    </w:pPr>
    <w:rPr>
      <w:rFonts w:eastAsiaTheme="minorHAnsi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3"/>
      </w:numPr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ManualHeading1">
    <w:name w:val="Manual Heading 1"/>
    <w:basedOn w:val="Normal"/>
    <w:next w:val="Text1"/>
    <w:link w:val="ManualHeading1Char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ManualHeading1Char">
    <w:name w:val="Manual Heading 1 Char"/>
    <w:basedOn w:val="DefaultParagraphFont"/>
    <w:link w:val="ManualHeading1"/>
    <w:rPr>
      <w:rFonts w:ascii="Times New Roman" w:eastAsia="Times New Roman" w:hAnsi="Times New Roman" w:cs="Times New Roman"/>
      <w:b/>
      <w:smallCaps/>
      <w:sz w:val="24"/>
      <w:lang w:eastAsia="en-GB"/>
    </w:rPr>
  </w:style>
  <w:style w:type="character" w:customStyle="1" w:styleId="FooterCoverPageChar">
    <w:name w:val="Footer Cover Page Char"/>
    <w:basedOn w:val="ManualHeading1Char"/>
    <w:link w:val="Foot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ManualHeading1Char"/>
    <w:link w:val="Foot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ManualHeading1Char"/>
    <w:link w:val="HeaderCoverPage"/>
    <w:rPr>
      <w:rFonts w:ascii="Times New Roman" w:eastAsia="Times New Roman" w:hAnsi="Times New Roman" w:cs="Times New Roman"/>
      <w:b w:val="0"/>
      <w:smallCaps w:val="0"/>
      <w:sz w:val="24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ManualHeading1Char"/>
    <w:link w:val="HeaderSensitivity"/>
    <w:rPr>
      <w:rFonts w:ascii="Times New Roman" w:eastAsia="Times New Roman" w:hAnsi="Times New Roman" w:cs="Times New Roman"/>
      <w:b/>
      <w:smallCaps w:val="0"/>
      <w:sz w:val="32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styleId="ListBullet4">
    <w:name w:val="List Bullet 4"/>
    <w:basedOn w:val="Normal"/>
    <w:pPr>
      <w:numPr>
        <w:numId w:val="2"/>
      </w:numPr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  <w:lang w:eastAsia="en-I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lang w:eastAsia="en-US"/>
    </w:rPr>
  </w:style>
  <w:style w:type="paragraph" w:customStyle="1" w:styleId="Point0number">
    <w:name w:val="Point 0 (number)"/>
    <w:basedOn w:val="Normal"/>
    <w:pPr>
      <w:numPr>
        <w:numId w:val="3"/>
      </w:numPr>
    </w:pPr>
    <w:rPr>
      <w:rFonts w:eastAsiaTheme="minorHAnsi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3"/>
      </w:numPr>
    </w:pPr>
    <w:rPr>
      <w:rFonts w:eastAsiaTheme="minorHAnsi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3"/>
      </w:numPr>
    </w:pPr>
    <w:rPr>
      <w:rFonts w:eastAsiaTheme="minorHAnsi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3"/>
      </w:numPr>
    </w:pPr>
    <w:rPr>
      <w:rFonts w:eastAsiaTheme="minorHAnsi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3"/>
      </w:numPr>
    </w:pPr>
    <w:rPr>
      <w:rFonts w:eastAsiaTheme="minorHAnsi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3"/>
      </w:numPr>
    </w:pPr>
    <w:rPr>
      <w:rFonts w:eastAsiaTheme="minorHAnsi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3"/>
      </w:numPr>
    </w:pPr>
    <w:rPr>
      <w:rFonts w:eastAsiaTheme="minorHAnsi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3"/>
      </w:numPr>
    </w:pPr>
    <w:rPr>
      <w:rFonts w:eastAsiaTheme="minorHAnsi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3"/>
      </w:numPr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7A028088B2B45866D9EDA770826A9" ma:contentTypeVersion="0" ma:contentTypeDescription="Create a new document." ma:contentTypeScope="" ma:versionID="07285c3953cac2a1a3581c0898c6df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9f10bb60c4c2391c9f5c59e6ace2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42E6A3-6DA4-45D9-A111-9C9065477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BF5DF-F487-472D-8A7D-CC6FB6432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E43E4-8FCD-47AD-9256-23E28830018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2B6489-98AE-497B-8B59-38E29C49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1329</Words>
  <Characters>9398</Characters>
  <Application>Microsoft Office Word</Application>
  <DocSecurity>0</DocSecurity>
  <Lines>213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23</cp:revision>
  <cp:lastPrinted>2019-04-11T08:28:00Z</cp:lastPrinted>
  <dcterms:created xsi:type="dcterms:W3CDTF">2020-12-17T09:49:00Z</dcterms:created>
  <dcterms:modified xsi:type="dcterms:W3CDTF">2020-12-22T10:29:00Z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CP-012</vt:lpwstr>
  </property>
  <property fmtid="{D5CDD505-2E9C-101B-9397-08002B2CF9AE}" pid="9" name="IsMyDocuments">
    <vt:bool>true</vt:bool>
  </property>
  <property fmtid="{D5CDD505-2E9C-101B-9397-08002B2CF9AE}" pid="10" name="_LW_INVALIDATED__LW_INVALIDATED__LW_INVALIDATED__LW_INVALIDATED__LW_INVALIDATED__LW_INVALIDATED__LW_INVALIDATED__LW_INVALIDATED__LW_INVALIDATED__LW_INVALIDATED__LW_INVALIDATED__LW_INVALIDATED__LW_INVALIDATED_ContentTypeId">
    <vt:lpwstr>0x010100D417A028088B2B45866D9EDA770826A9</vt:lpwstr>
  </property>
  <property fmtid="{D5CDD505-2E9C-101B-9397-08002B2CF9AE}" pid="11" name="_LW_INVALIDATED__LW_INVALIDATED__LW_INVALIDATED__LW_INVALIDATED__LW_INVALIDATED__LW_INVALIDATED__LW_INVALIDATED__LW_INVALIDATED__LW_INVALIDATED__LW_INVALIDATED__LW_INVALIDATED__LW_INVALIDATED_ContentTypeId">
    <vt:lpwstr>0x010100D417A028088B2B45866D9EDA770826A9</vt:lpwstr>
  </property>
</Properties>
</file>