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718519A8-EEA6-4BCA-9F6E-2892B04F5568" style="width:450.75pt;height:408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120" w:line="240" w:lineRule="auto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Mi a probléma lényege?</w:t>
      </w:r>
    </w:p>
    <w:p>
      <w:pPr>
        <w:spacing w:after="0" w:line="240" w:lineRule="auto"/>
        <w:jc w:val="both"/>
        <w:rPr>
          <w:noProof/>
        </w:rPr>
      </w:pPr>
      <w:r>
        <w:rPr>
          <w:noProof/>
          <w:color w:val="000000" w:themeColor="text1"/>
        </w:rPr>
        <w:t xml:space="preserve">Ez a hatásvizsgálat az elemekről és akkumulátorokról szóló irányelv helyébe lépő rendeletre irányuló javaslatot vizsgálja. </w:t>
      </w:r>
      <w:r>
        <w:rPr>
          <w:noProof/>
        </w:rPr>
        <w:t xml:space="preserve">Célja az elemekhez kapcsolódó, egymással szoros összefüggésben álló problémák három csoportjának kezelése: </w:t>
      </w:r>
    </w:p>
    <w:p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>
        <w:rPr>
          <w:noProof/>
        </w:rPr>
        <w:t xml:space="preserve">a fenntartható elemekre irányuló gyártási kapacitásba való beruházásokhoz ösztönzést nyújtó keretfeltételek hiánya, ami összefügg a belső piacon belül esetleg eltérő szabályozási keretekkel; </w:t>
      </w:r>
    </w:p>
    <w:p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>
        <w:rPr>
          <w:noProof/>
        </w:rPr>
        <w:t xml:space="preserve">az újrafeldolgozási piacok optimálistól elmaradó működése, valamint a zárt anyagkörforgás kezdetlegessége, ami korlátozza az EU lehetőségét arra, hogy csökkentse a nyersanyagellátással kapcsolatos kockázatokat; </w:t>
      </w:r>
    </w:p>
    <w:p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>
        <w:rPr>
          <w:noProof/>
        </w:rPr>
        <w:t>azok a társadalmi és környezeti kockázatok, amelyekkel az uniós környezetvédelmi jog jelenleg nem foglalkozik.</w:t>
      </w:r>
    </w:p>
    <w:p>
      <w:pPr>
        <w:spacing w:after="0" w:line="240" w:lineRule="auto"/>
        <w:rPr>
          <w:b/>
          <w:noProof/>
        </w:rPr>
      </w:pPr>
    </w:p>
    <w:p>
      <w:pPr>
        <w:spacing w:after="120" w:line="240" w:lineRule="auto"/>
        <w:rPr>
          <w:b/>
          <w:noProof/>
        </w:rPr>
      </w:pPr>
      <w:r>
        <w:rPr>
          <w:b/>
          <w:noProof/>
        </w:rPr>
        <w:t>Mit akarunk elérni?</w:t>
      </w:r>
    </w:p>
    <w:p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A javaslatnak három, egymással szorosan összefüggő célkitűzése van: </w:t>
      </w:r>
    </w:p>
    <w:p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 xml:space="preserve">az uniós belső elempiac működésének megerősítése; </w:t>
      </w:r>
    </w:p>
    <w:p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az anyagkörforgás megvalósítása révén a gazdaság körforgásosságának elősegítése;</w:t>
      </w:r>
    </w:p>
    <w:p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 xml:space="preserve">az elemek életciklusa során jelentkező környezeti és társadalmi hatások csökkentése. </w:t>
      </w:r>
    </w:p>
    <w:p>
      <w:pPr>
        <w:pStyle w:val="ListParagraph"/>
        <w:spacing w:after="0" w:line="240" w:lineRule="auto"/>
        <w:contextualSpacing w:val="0"/>
        <w:rPr>
          <w:rFonts w:eastAsia="Calibri"/>
          <w:noProof/>
        </w:rPr>
      </w:pPr>
    </w:p>
    <w:p>
      <w:pPr>
        <w:spacing w:after="120"/>
        <w:rPr>
          <w:b/>
          <w:noProof/>
        </w:rPr>
      </w:pPr>
      <w:r>
        <w:rPr>
          <w:b/>
          <w:noProof/>
        </w:rPr>
        <w:t>Mik a lehetőségek?</w:t>
      </w:r>
    </w:p>
    <w:p>
      <w:pPr>
        <w:pStyle w:val="ListParagraph"/>
        <w:numPr>
          <w:ilvl w:val="0"/>
          <w:numId w:val="2"/>
        </w:numPr>
        <w:spacing w:line="240" w:lineRule="auto"/>
        <w:ind w:left="426"/>
        <w:contextualSpacing w:val="0"/>
        <w:rPr>
          <w:noProof/>
        </w:rPr>
      </w:pPr>
      <w:r>
        <w:rPr>
          <w:noProof/>
        </w:rPr>
        <w:t xml:space="preserve">1. lehetőség: a jelenlegi helyzet fenntartása. Nem módosul az elemekről és akkumulátorokról szóló irányelv, amely elsősorban az elemek életciklusának végével foglalkozik. Az elemek értékláncának és életciklusának korábbi szakaszaira jelenleg nem vonatkozik uniós jogszabály. </w:t>
      </w:r>
    </w:p>
    <w:p>
      <w:pPr>
        <w:pStyle w:val="ListParagraph"/>
        <w:numPr>
          <w:ilvl w:val="0"/>
          <w:numId w:val="2"/>
        </w:numPr>
        <w:spacing w:line="240" w:lineRule="auto"/>
        <w:ind w:left="426"/>
        <w:contextualSpacing w:val="0"/>
        <w:rPr>
          <w:noProof/>
        </w:rPr>
      </w:pPr>
      <w:r>
        <w:rPr>
          <w:noProof/>
        </w:rPr>
        <w:t xml:space="preserve">2. lehetőség: közepesen magas ambíciószint. A követelmények fokozatos szigorítása és növelése mind a gyártási szakaszban, mind az életciklus végéhez kapcsolódó szakaszban, többnyire tájékoztatási követelmények formájában. </w:t>
      </w:r>
    </w:p>
    <w:p>
      <w:pPr>
        <w:pStyle w:val="ListParagraph"/>
        <w:numPr>
          <w:ilvl w:val="0"/>
          <w:numId w:val="2"/>
        </w:numPr>
        <w:spacing w:line="240" w:lineRule="auto"/>
        <w:ind w:left="426"/>
        <w:contextualSpacing w:val="0"/>
        <w:rPr>
          <w:noProof/>
        </w:rPr>
      </w:pPr>
      <w:r>
        <w:rPr>
          <w:noProof/>
        </w:rPr>
        <w:t>3. lehetőség: magas ambíciószint. Ez valamivel diszruptívabb megközelítést jelent, de még mindig a műszaki megvalósíthatóság keretein belül marad. Meghatározott határidőn belül határértékeket és megfelelési küszöbértékeket ír elő.</w:t>
      </w:r>
    </w:p>
    <w:p>
      <w:pPr>
        <w:pStyle w:val="ListParagraph"/>
        <w:numPr>
          <w:ilvl w:val="0"/>
          <w:numId w:val="2"/>
        </w:numPr>
        <w:spacing w:after="0" w:line="240" w:lineRule="auto"/>
        <w:ind w:left="425"/>
        <w:contextualSpacing w:val="0"/>
        <w:rPr>
          <w:noProof/>
        </w:rPr>
      </w:pPr>
      <w:r>
        <w:rPr>
          <w:noProof/>
        </w:rPr>
        <w:t xml:space="preserve">4. lehetőség: nagyon magas ambíciószint. A jelenlegi szabályozási keretet és ágazati gyakorlatot messze meghaladó intézkedéseket foglal magában. </w:t>
      </w:r>
    </w:p>
    <w:p>
      <w:pPr>
        <w:pStyle w:val="ListParagraph"/>
        <w:spacing w:after="0" w:line="240" w:lineRule="auto"/>
        <w:ind w:left="425"/>
        <w:contextualSpacing w:val="0"/>
        <w:rPr>
          <w:noProof/>
        </w:rPr>
      </w:pPr>
    </w:p>
    <w:p>
      <w:pPr>
        <w:spacing w:after="120" w:line="240" w:lineRule="auto"/>
        <w:rPr>
          <w:b/>
          <w:noProof/>
        </w:rPr>
      </w:pPr>
      <w:r>
        <w:rPr>
          <w:b/>
          <w:noProof/>
        </w:rPr>
        <w:t>Melyik az előnyben részesített lehetőség és miért?</w:t>
      </w:r>
    </w:p>
    <w:p>
      <w:pPr>
        <w:spacing w:after="120" w:line="240" w:lineRule="auto"/>
        <w:jc w:val="both"/>
        <w:rPr>
          <w:noProof/>
        </w:rPr>
      </w:pPr>
      <w:r>
        <w:rPr>
          <w:noProof/>
        </w:rPr>
        <w:t xml:space="preserve">Az előnyben részesített opció a 2. lehetőség és a 3. lehetőség kombinációja. Ez az értéklánc különböző szakaszaihoz kapcsolódó intézkedéseket foglal magában, mint például az ipari elemek másodszori felhasználásának lehetővé tétele, a hulladékká vált hordozható elemek begyűjtési arányának 65 % fölé való növelése, az anyagok újrafeldolgozásának fokozása, új újrafeldolgozási hatékonysági követelmények meghatározása az ólom- és lítiumion-elemek vonatkozásában, a teljesítmény és a tartósság javítása, a karbonintenzitásra vonatkozó követelmények meghatározása, a nem megfelelő információáramlás kezelése, valamint a kellő gondosság előírása a nyersanyagok származása tekintetében. </w:t>
      </w:r>
    </w:p>
    <w:p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Jogi szempontból az irányelvről rendeletre való áttérés közvetlen követelmények megállapítását jelenti minden gazdasági szereplő és a különböző tagállami hatóságok és egyéb szervek számára. Jobb harmonizációt eredményez, hiszen az elemek teljes életciklusa mentén biztosítja a teljes mértékben integrált egész uniós piac létrehozásához szükséges jogbiztonságot és végrehajtási képességet. </w:t>
      </w:r>
    </w:p>
    <w:p>
      <w:pPr>
        <w:spacing w:after="0" w:line="240" w:lineRule="auto"/>
        <w:jc w:val="both"/>
        <w:rPr>
          <w:noProof/>
        </w:rPr>
      </w:pPr>
    </w:p>
    <w:p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Bizonyos intézkedésekkel összefüggésben felmerülnek pénzügyi vonzatok, de a vállalkozásokra vagy a fogyasztókra gyakorolt jelentős hatások nem várhatók. Kis mértékben nőni fog az adminisztratív teher, elsősorban a karbonlábnyommal és az újrafeldolgozott anyagtartalommal kapcsolatos követelmények miatt.  </w:t>
      </w:r>
    </w:p>
    <w:p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>
      <w:pPr>
        <w:spacing w:line="240" w:lineRule="auto"/>
        <w:jc w:val="both"/>
        <w:rPr>
          <w:noProof/>
        </w:rPr>
      </w:pPr>
      <w:r>
        <w:rPr>
          <w:noProof/>
        </w:rPr>
        <w:t>Az előnyök azonban egyértelműen túlmutatnak a költségeken. A javasolt rendelet kezeli a jelenlegi helyzettel együtt járó problémákat. Javítani fogja a belső piac működését, csökkenteni fogja a környezeti hatásokat, például az üvegházhatást okozó gázok kibocsátását, és kezeli a környezeti kockázatok mellett a társadalmi kockázatokat is. Mindemellett jelentős közvetett előnye lesz azon új munkahelyek formájában, amelyek a lítiumelemek gyártása terén és az újrafeldolgozási ágazatban jelennek meg.</w:t>
      </w: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92986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32D"/>
    <w:multiLevelType w:val="hybridMultilevel"/>
    <w:tmpl w:val="0F269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24EB"/>
    <w:multiLevelType w:val="hybridMultilevel"/>
    <w:tmpl w:val="F3443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29DE"/>
    <w:multiLevelType w:val="hybridMultilevel"/>
    <w:tmpl w:val="C4347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B7CBC"/>
    <w:multiLevelType w:val="hybridMultilevel"/>
    <w:tmpl w:val="27EE3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76CC9"/>
    <w:multiLevelType w:val="hybridMultilevel"/>
    <w:tmpl w:val="4FC6F4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CAB0F03"/>
    <w:multiLevelType w:val="hybridMultilevel"/>
    <w:tmpl w:val="4400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mely a következ\u337? dokumentumot kíséri"/>
    <w:docVar w:name="LW_CORRIGENDUM" w:val="&lt;UNUSED&gt;"/>
    <w:docVar w:name="LW_COVERPAGE_EXISTS" w:val="True"/>
    <w:docVar w:name="LW_COVERPAGE_GUID" w:val="718519A8-EEA6-4BCA-9F6E-2892B04F5568"/>
    <w:docVar w:name="LW_COVERPAGE_TYPE" w:val="1"/>
    <w:docVar w:name="LW_CROSSREFERENCE" w:val="{COM(2020) 798 final} - {SEC(2020) 420 final} - {SWD(2020) 335 final}"/>
    <w:docVar w:name="LW_DocType" w:val="NORMAL"/>
    <w:docVar w:name="LW_EMISSION" w:val="2020.12.10."/>
    <w:docVar w:name="LW_EMISSION_ISODATE" w:val="2020-12-10"/>
    <w:docVar w:name="LW_EMISSION_LOCATION" w:val="BRX"/>
    <w:docVar w:name="LW_EMISSION_PREFIX" w:val="Brüsszel, "/>
    <w:docVar w:name="LW_EMISSION_SUFFIX" w:val=" "/>
    <w:docVar w:name="LW_ID_DOCTYPE_NONLW" w:val="CP-02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z elemekr\u337?l és a hulladékelemekr\u337?l, a 2006/66/EK irányelv hatályon kívül helyezésér\u337?l és az (EU) 2019/1020 rendelet módosításáról"/>
    <w:docVar w:name="LW_PART_NBR" w:val="1"/>
    <w:docVar w:name="LW_PART_NBR_TOTAL" w:val="1"/>
    <w:docVar w:name="LW_REF.INST.NEW" w:val="SWD"/>
    <w:docVar w:name="LW_REF.INST.NEW_ADOPTED" w:val="final"/>
    <w:docVar w:name="LW_REF.INST.NEW_TEXT" w:val="(2020) 3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BIZOTTSÁGI SZOLGÁLATI MUNKADOKUMENTUM_x000b__x000b_A HATÁSVIZSGÁLATI JELENTÉS VEZET\u336?I ÖSSZEFOGLALÓJA_x000b_"/>
    <w:docVar w:name="LW_TYPEACTEPRINCIPAL.CP" w:val="Javaslat_x000b_Az Európai Parlament és 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b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b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b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  <w:style w:type="character" w:customStyle="1" w:styleId="FooterCoverPageChar">
    <w:name w:val="Footer Cover Page Char"/>
    <w:basedOn w:val="TypedudocumentChar"/>
    <w:link w:val="FooterCoverPage"/>
    <w:rPr>
      <w:rFonts w:ascii="Times New Roman" w:hAnsi="Times New Roman" w:cs="Times New Roman"/>
      <w:b w:val="0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TypedudocumentChar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</w:style>
  <w:style w:type="character" w:customStyle="1" w:styleId="HeaderCoverPageChar">
    <w:name w:val="Header Cover Page Char"/>
    <w:basedOn w:val="TypedudocumentChar"/>
    <w:link w:val="HeaderCoverPage"/>
    <w:rPr>
      <w:rFonts w:ascii="Times New Roman" w:hAnsi="Times New Roman" w:cs="Times New Roman"/>
      <w:b w:val="0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TypedudocumentChar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sz w:val="28"/>
    </w:rPr>
  </w:style>
  <w:style w:type="character" w:customStyle="1" w:styleId="HeaderSensitivityRightChar">
    <w:name w:val="Header Sensitivity Right Char"/>
    <w:basedOn w:val="TypedudocumentChar"/>
    <w:link w:val="HeaderSensitivityRight"/>
    <w:rPr>
      <w:rFonts w:ascii="Times New Roman" w:hAnsi="Times New Roman" w:cs="Times New Roman"/>
      <w:b w:val="0"/>
      <w:sz w:val="28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lp1"/>
    <w:basedOn w:val="Normal"/>
    <w:link w:val="ListParagraphChar"/>
    <w:uiPriority w:val="34"/>
    <w:qFormat/>
    <w:pPr>
      <w:spacing w:after="120" w:line="259" w:lineRule="auto"/>
      <w:ind w:left="720"/>
      <w:contextualSpacing/>
      <w:jc w:val="both"/>
    </w:p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b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b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b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  <w:style w:type="character" w:customStyle="1" w:styleId="FooterCoverPageChar">
    <w:name w:val="Footer Cover Page Char"/>
    <w:basedOn w:val="TypedudocumentChar"/>
    <w:link w:val="FooterCoverPage"/>
    <w:rPr>
      <w:rFonts w:ascii="Times New Roman" w:hAnsi="Times New Roman" w:cs="Times New Roman"/>
      <w:b w:val="0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TypedudocumentChar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</w:style>
  <w:style w:type="character" w:customStyle="1" w:styleId="HeaderCoverPageChar">
    <w:name w:val="Header Cover Page Char"/>
    <w:basedOn w:val="TypedudocumentChar"/>
    <w:link w:val="HeaderCoverPage"/>
    <w:rPr>
      <w:rFonts w:ascii="Times New Roman" w:hAnsi="Times New Roman" w:cs="Times New Roman"/>
      <w:b w:val="0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TypedudocumentChar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sz w:val="28"/>
    </w:rPr>
  </w:style>
  <w:style w:type="character" w:customStyle="1" w:styleId="HeaderSensitivityRightChar">
    <w:name w:val="Header Sensitivity Right Char"/>
    <w:basedOn w:val="TypedudocumentChar"/>
    <w:link w:val="HeaderSensitivityRight"/>
    <w:rPr>
      <w:rFonts w:ascii="Times New Roman" w:hAnsi="Times New Roman" w:cs="Times New Roman"/>
      <w:b w:val="0"/>
      <w:sz w:val="28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lp1"/>
    <w:basedOn w:val="Normal"/>
    <w:link w:val="ListParagraphChar"/>
    <w:uiPriority w:val="34"/>
    <w:qFormat/>
    <w:pPr>
      <w:spacing w:after="120" w:line="259" w:lineRule="auto"/>
      <w:ind w:left="720"/>
      <w:contextualSpacing/>
      <w:jc w:val="both"/>
    </w:p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468</Words>
  <Characters>3441</Characters>
  <Application>Microsoft Office Word</Application>
  <DocSecurity>0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17</cp:revision>
  <dcterms:created xsi:type="dcterms:W3CDTF">2020-12-07T20:05:00Z</dcterms:created>
  <dcterms:modified xsi:type="dcterms:W3CDTF">2020-12-22T15:00:00Z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CP-027</vt:lpwstr>
  </property>
  <property fmtid="{D5CDD505-2E9C-101B-9397-08002B2CF9AE}" pid="7" name="Last edited using">
    <vt:lpwstr>LW 7.0.1, Build 20190916</vt:lpwstr>
  </property>
  <property fmtid="{D5CDD505-2E9C-101B-9397-08002B2CF9AE}" pid="8" name="Created using">
    <vt:lpwstr>LW 7.0.1, Build 20190916</vt:lpwstr>
  </property>
</Properties>
</file>