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2E107D2-120D-427D-8850-0BE1EAA6AB22" style="width:450.4pt;height:395.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120" w:line="240" w:lineRule="auto"/>
        <w:rPr>
          <w:b/>
          <w:noProof/>
        </w:rPr>
      </w:pPr>
      <w:bookmarkStart w:id="1" w:name="_GoBack"/>
      <w:bookmarkEnd w:id="1"/>
      <w:r>
        <w:rPr>
          <w:b/>
          <w:noProof/>
        </w:rPr>
        <w:lastRenderedPageBreak/>
        <w:t>Kāda ir risināmā problēma?</w:t>
      </w:r>
    </w:p>
    <w:p>
      <w:pPr>
        <w:spacing w:after="0" w:line="240" w:lineRule="auto"/>
        <w:jc w:val="both"/>
        <w:rPr>
          <w:noProof/>
        </w:rPr>
      </w:pPr>
      <w:r>
        <w:rPr>
          <w:noProof/>
          <w:color w:val="000000" w:themeColor="text1"/>
        </w:rPr>
        <w:t xml:space="preserve">Šajā ietekmes novērtējumā aplūkots priekšlikums regulai, kas aizstās Bateriju direktīvu. </w:t>
      </w:r>
      <w:r>
        <w:rPr>
          <w:noProof/>
        </w:rPr>
        <w:t xml:space="preserve">Tās mērķis ir risināt savstarpēji cieši saistītas problēmas, kas skar baterijas, un šīs problēmas var iedalīt šādās trīs grupās: </w:t>
      </w:r>
    </w:p>
    <w:p>
      <w:pPr>
        <w:pStyle w:val="ListParagraph"/>
        <w:numPr>
          <w:ilvl w:val="0"/>
          <w:numId w:val="5"/>
        </w:numPr>
        <w:spacing w:after="0" w:line="240" w:lineRule="auto"/>
        <w:rPr>
          <w:noProof/>
        </w:rPr>
      </w:pPr>
      <w:r>
        <w:rPr>
          <w:noProof/>
        </w:rPr>
        <w:t xml:space="preserve">tāda nosacījumu satvara neesība, kas stimulētu investēt ilgtspējīgu bateriju ražošanas jaudā; turklāt šāda satvara trūkums var nozīmēt, ka iekšējā tirgū ir piemērojami atšķirīgi regulatīvie satvari; </w:t>
      </w:r>
    </w:p>
    <w:p>
      <w:pPr>
        <w:pStyle w:val="ListParagraph"/>
        <w:numPr>
          <w:ilvl w:val="0"/>
          <w:numId w:val="5"/>
        </w:numPr>
        <w:spacing w:after="0" w:line="240" w:lineRule="auto"/>
        <w:rPr>
          <w:noProof/>
        </w:rPr>
      </w:pPr>
      <w:r>
        <w:rPr>
          <w:noProof/>
        </w:rPr>
        <w:t xml:space="preserve">neoptimāla reciklēšanas tirgu darbība un nepietiekami noslēgts materiālu aprites loks, kas ierobežo ES iespējas mazināt izejmateriālu sagādes riskus; </w:t>
      </w:r>
    </w:p>
    <w:p>
      <w:pPr>
        <w:pStyle w:val="ListParagraph"/>
        <w:numPr>
          <w:ilvl w:val="0"/>
          <w:numId w:val="5"/>
        </w:numPr>
        <w:spacing w:after="0" w:line="240" w:lineRule="auto"/>
        <w:rPr>
          <w:noProof/>
        </w:rPr>
      </w:pPr>
      <w:r>
        <w:rPr>
          <w:noProof/>
        </w:rPr>
        <w:t>sociālie un vidiskie riski, kuri pašlaik ES vides tiesību aktos nav reglamentēti.</w:t>
      </w:r>
    </w:p>
    <w:p>
      <w:pPr>
        <w:spacing w:after="0" w:line="240" w:lineRule="auto"/>
        <w:rPr>
          <w:b/>
          <w:noProof/>
        </w:rPr>
      </w:pPr>
    </w:p>
    <w:p>
      <w:pPr>
        <w:spacing w:after="120" w:line="240" w:lineRule="auto"/>
        <w:rPr>
          <w:b/>
          <w:noProof/>
        </w:rPr>
      </w:pPr>
      <w:r>
        <w:rPr>
          <w:b/>
          <w:noProof/>
        </w:rPr>
        <w:t>Ko ar priekšlikumu plānots panākt?</w:t>
      </w:r>
    </w:p>
    <w:p>
      <w:pPr>
        <w:spacing w:after="0" w:line="240" w:lineRule="auto"/>
        <w:jc w:val="both"/>
        <w:rPr>
          <w:noProof/>
        </w:rPr>
      </w:pPr>
      <w:r>
        <w:rPr>
          <w:noProof/>
        </w:rPr>
        <w:t xml:space="preserve">Priekšlikumam ir trīs savstarpēji cieši saistīti mērķi: </w:t>
      </w:r>
    </w:p>
    <w:p>
      <w:pPr>
        <w:pStyle w:val="ListParagraph"/>
        <w:numPr>
          <w:ilvl w:val="0"/>
          <w:numId w:val="6"/>
        </w:numPr>
        <w:spacing w:after="0" w:line="240" w:lineRule="auto"/>
        <w:rPr>
          <w:noProof/>
        </w:rPr>
      </w:pPr>
      <w:r>
        <w:rPr>
          <w:noProof/>
        </w:rPr>
        <w:t xml:space="preserve">stiprināt ES iekšējā bateriju tirgus darbību, </w:t>
      </w:r>
    </w:p>
    <w:p>
      <w:pPr>
        <w:pStyle w:val="ListParagraph"/>
        <w:numPr>
          <w:ilvl w:val="0"/>
          <w:numId w:val="6"/>
        </w:numPr>
        <w:spacing w:after="0" w:line="240" w:lineRule="auto"/>
        <w:rPr>
          <w:noProof/>
        </w:rPr>
      </w:pPr>
      <w:r>
        <w:rPr>
          <w:noProof/>
        </w:rPr>
        <w:t>sekmēt aprites ekonomiku, noslēdzot materiālu aprites loku,</w:t>
      </w:r>
    </w:p>
    <w:p>
      <w:pPr>
        <w:pStyle w:val="ListParagraph"/>
        <w:numPr>
          <w:ilvl w:val="0"/>
          <w:numId w:val="6"/>
        </w:numPr>
        <w:spacing w:after="0" w:line="240" w:lineRule="auto"/>
        <w:rPr>
          <w:noProof/>
        </w:rPr>
      </w:pPr>
      <w:r>
        <w:rPr>
          <w:noProof/>
        </w:rPr>
        <w:t xml:space="preserve">samazināt bateriju vidisko un sociālo ietekmi visā to aprites ciklā. </w:t>
      </w:r>
    </w:p>
    <w:p>
      <w:pPr>
        <w:pStyle w:val="ListParagraph"/>
        <w:spacing w:after="0" w:line="240" w:lineRule="auto"/>
        <w:contextualSpacing w:val="0"/>
        <w:rPr>
          <w:rFonts w:eastAsia="Calibri"/>
          <w:noProof/>
        </w:rPr>
      </w:pPr>
    </w:p>
    <w:p>
      <w:pPr>
        <w:spacing w:after="120"/>
        <w:rPr>
          <w:b/>
          <w:noProof/>
        </w:rPr>
      </w:pPr>
      <w:r>
        <w:rPr>
          <w:b/>
          <w:noProof/>
        </w:rPr>
        <w:t>Kādi ir varianti, kā to panākt?</w:t>
      </w:r>
    </w:p>
    <w:p>
      <w:pPr>
        <w:pStyle w:val="ListParagraph"/>
        <w:numPr>
          <w:ilvl w:val="0"/>
          <w:numId w:val="2"/>
        </w:numPr>
        <w:spacing w:line="240" w:lineRule="auto"/>
        <w:ind w:left="426"/>
        <w:contextualSpacing w:val="0"/>
        <w:rPr>
          <w:noProof/>
        </w:rPr>
      </w:pPr>
      <w:r>
        <w:rPr>
          <w:noProof/>
        </w:rPr>
        <w:t xml:space="preserve">Variants Nr. 1 ir ierastās darbības scenārijs, kas paredz, ka Bateriju direktīva, kura galvenokārt attiecas uz bateriju kalpošanas laika beigu stadiju, netiek grozīta. Pašlaik nav ES tiesību aktu, kas attiektos uz bateriju vērtības ķēdes un aprites cikla agrākiem posmiem. </w:t>
      </w:r>
    </w:p>
    <w:p>
      <w:pPr>
        <w:pStyle w:val="ListParagraph"/>
        <w:numPr>
          <w:ilvl w:val="0"/>
          <w:numId w:val="2"/>
        </w:numPr>
        <w:spacing w:line="240" w:lineRule="auto"/>
        <w:ind w:left="426"/>
        <w:contextualSpacing w:val="0"/>
        <w:rPr>
          <w:noProof/>
        </w:rPr>
      </w:pPr>
      <w:r>
        <w:rPr>
          <w:noProof/>
        </w:rPr>
        <w:t xml:space="preserve">Variants Nr. 2 ir vidēji vērienīgas rīcības scenārijs, kurā prasības tiek pastiprinātas pakāpeniski un vēriens tiek palielināts gan izgatavošanas, gan bateriju kalpošanas laika beigu stadijā, un tas galvenokārt tiek panākts, nosakot informācijas sniegšanas pienākumus. </w:t>
      </w:r>
    </w:p>
    <w:p>
      <w:pPr>
        <w:pStyle w:val="ListParagraph"/>
        <w:numPr>
          <w:ilvl w:val="0"/>
          <w:numId w:val="2"/>
        </w:numPr>
        <w:spacing w:line="240" w:lineRule="auto"/>
        <w:ind w:left="426"/>
        <w:contextualSpacing w:val="0"/>
        <w:rPr>
          <w:noProof/>
        </w:rPr>
      </w:pPr>
      <w:r>
        <w:rPr>
          <w:noProof/>
        </w:rPr>
        <w:t>Variants Nr. 3 ir vērienīgas rīcības scenārijs ar nedaudz revolucionārāku pieeju, taču tas joprojām ir tehniski īstenojams. Tas paredz noteikt robežvērtības un sliekšņus, atbilstība kuriem jāpanāk noteiktā termiņā.</w:t>
      </w:r>
    </w:p>
    <w:p>
      <w:pPr>
        <w:pStyle w:val="ListParagraph"/>
        <w:numPr>
          <w:ilvl w:val="0"/>
          <w:numId w:val="2"/>
        </w:numPr>
        <w:spacing w:after="0" w:line="240" w:lineRule="auto"/>
        <w:ind w:left="425"/>
        <w:contextualSpacing w:val="0"/>
        <w:rPr>
          <w:noProof/>
        </w:rPr>
      </w:pPr>
      <w:r>
        <w:rPr>
          <w:noProof/>
        </w:rPr>
        <w:t xml:space="preserve">Variants Nr. 4 ir ļoti vērienīgas rīcības scenārijs, un tas ietver pasākumus, kas būtu ievērojami vērienīgāki par pašreizējo regulatīvo satvaru un darījumdarbības praksi. </w:t>
      </w:r>
    </w:p>
    <w:p>
      <w:pPr>
        <w:pStyle w:val="ListParagraph"/>
        <w:spacing w:after="0" w:line="240" w:lineRule="auto"/>
        <w:ind w:left="425"/>
        <w:contextualSpacing w:val="0"/>
        <w:rPr>
          <w:noProof/>
        </w:rPr>
      </w:pPr>
    </w:p>
    <w:p>
      <w:pPr>
        <w:spacing w:after="120" w:line="240" w:lineRule="auto"/>
        <w:rPr>
          <w:b/>
          <w:noProof/>
        </w:rPr>
      </w:pPr>
      <w:r>
        <w:rPr>
          <w:b/>
          <w:noProof/>
        </w:rPr>
        <w:t>Kurš ir vēlamais variants un kāpēc?</w:t>
      </w:r>
    </w:p>
    <w:p>
      <w:pPr>
        <w:spacing w:after="120" w:line="240" w:lineRule="auto"/>
        <w:jc w:val="both"/>
        <w:rPr>
          <w:noProof/>
        </w:rPr>
      </w:pPr>
      <w:r>
        <w:rPr>
          <w:noProof/>
        </w:rPr>
        <w:t xml:space="preserve">Vēlamais variants ir varianta Nr. 2 un 3 apvienojums. Tas ietver virkni pasākumu visā vērtības ķēdes garumā, piemēram, otrā mūža došanu rūpnieciskajām baterijām, nolietotu pārnēsājamo bateriju savākšanas mērķrādītāja palielināšanu no 65 %, materiālu atgūšanas apjomu palielināšanu, jaunu reciklēšanas efektivitātes prasību noteikšanu svina un litija jonu baterijām, snieguma un ilgizturības uzlabošanu, prasību noteikšanu attiecībā uz oglekļintensitāti, vēršanos pret vāju informācijas apriti un pienācīgas pārbaudes ieviešanu attiecībā uz izejmateriālu izcelsmi. </w:t>
      </w:r>
    </w:p>
    <w:p>
      <w:pPr>
        <w:spacing w:after="0" w:line="240" w:lineRule="auto"/>
        <w:jc w:val="both"/>
        <w:rPr>
          <w:noProof/>
        </w:rPr>
      </w:pPr>
      <w:r>
        <w:rPr>
          <w:noProof/>
        </w:rPr>
        <w:t xml:space="preserve">Juridiski pāreja no direktīvas uz regulu nozīmē, ka prasības būs tieši piemērojamas visiem ekonomikas operatoriem un vairākām valsts iestādēm un citām struktūrām. Tas uzlabos saskaņošanu, dos vajadzīgo juridisko noteiktību un ļaus visā bateriju aprites ciklā Eiropas Savienībā panākt pilnībā integrētu tirgu. </w:t>
      </w:r>
    </w:p>
    <w:p>
      <w:pPr>
        <w:spacing w:after="0" w:line="240" w:lineRule="auto"/>
        <w:jc w:val="both"/>
        <w:rPr>
          <w:noProof/>
        </w:rPr>
      </w:pPr>
    </w:p>
    <w:p>
      <w:pPr>
        <w:spacing w:after="0" w:line="240" w:lineRule="auto"/>
        <w:jc w:val="both"/>
        <w:rPr>
          <w:noProof/>
        </w:rPr>
      </w:pPr>
      <w:r>
        <w:rPr>
          <w:noProof/>
        </w:rPr>
        <w:lastRenderedPageBreak/>
        <w:t xml:space="preserve">Daži pasākumi radīs zināmas finansiālas izmaksas, bet paredzams, ka ietekme uz uzņēmumiem vai patērētājiem nebūs liela. Nedaudz palielināsies administratīvais slogs, jo īpaši attiecībā uz prasībām, kas attiecas uz oglekļa pēdu un reciklētu materiālu saturu.  </w:t>
      </w:r>
    </w:p>
    <w:p>
      <w:pPr>
        <w:spacing w:after="0" w:line="240" w:lineRule="auto"/>
        <w:rPr>
          <w:noProof/>
        </w:rPr>
      </w:pPr>
      <w:r>
        <w:rPr>
          <w:noProof/>
        </w:rPr>
        <w:t xml:space="preserve"> </w:t>
      </w:r>
    </w:p>
    <w:p>
      <w:pPr>
        <w:spacing w:line="240" w:lineRule="auto"/>
        <w:jc w:val="both"/>
        <w:rPr>
          <w:noProof/>
        </w:rPr>
      </w:pPr>
      <w:r>
        <w:rPr>
          <w:noProof/>
        </w:rPr>
        <w:t>Tomēr ieguvumi nepārprotami ir lielāki nekā izmaksas. Ar ierosināto regulu tiks risinātas problēmas, kas raksturīgas pašreizējos apstākļos. Regula uzlabos iekšējā tirgus darbību, samazinās vidisko ietekmi, piemēram, siltumnīcefekta gāzu emisijas, un samazinās vidiskos un sociālos riskus. Turklāt tā dos ievērojamu netiešu labumu, kas izpaudīsies kā jaunas darbavietas litija bateriju izgatavošanas un reciklēšanas sektorā.</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2986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32D"/>
    <w:multiLevelType w:val="hybridMultilevel"/>
    <w:tmpl w:val="0F269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4124EB"/>
    <w:multiLevelType w:val="hybridMultilevel"/>
    <w:tmpl w:val="A110694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829DE"/>
    <w:multiLevelType w:val="hybridMultilevel"/>
    <w:tmpl w:val="2492558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5B7CBC"/>
    <w:multiLevelType w:val="hybridMultilevel"/>
    <w:tmpl w:val="27EE30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876CC9"/>
    <w:multiLevelType w:val="hybridMultilevel"/>
    <w:tmpl w:val="4FC6F4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7CAB0F03"/>
    <w:multiLevelType w:val="hybridMultilevel"/>
    <w:tmpl w:val="440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avaddokuments dokumentam"/>
    <w:docVar w:name="LW_CORRIGENDUM" w:val="&lt;UNUSED&gt;"/>
    <w:docVar w:name="LW_COVERPAGE_EXISTS" w:val="True"/>
    <w:docVar w:name="LW_COVERPAGE_GUID" w:val="92E107D2-120D-427D-8850-0BE1EAA6AB22"/>
    <w:docVar w:name="LW_COVERPAGE_TYPE" w:val="1"/>
    <w:docVar w:name="LW_CROSSREFERENCE" w:val="{COM(2020) 798 final} - {SEC(2020) 420 final} - {SWD(2020) 335 final}"/>
    <w:docVar w:name="LW_DocType" w:val="NORMAL"/>
    <w:docVar w:name="LW_EMISSION" w:val="10.12.2020"/>
    <w:docVar w:name="LW_EMISSION_ISODATE" w:val="2020-12-10"/>
    <w:docVar w:name="LW_EMISSION_LOCATION" w:val="BRX"/>
    <w:docVar w:name="LW_EMISSION_PREFIX" w:val="Briselē, "/>
    <w:docVar w:name="LW_EMISSION_SUFFIX" w:val="."/>
    <w:docVar w:name="LW_ID_DOCTYPE_NONLW" w:val="CP-027"/>
    <w:docVar w:name="LW_LANGUE" w:val="LV"/>
    <w:docVar w:name="LW_LEVEL_OF_SENSITIVITY" w:val="Standard treatment"/>
    <w:docVar w:name="LW_NOM.INST" w:val="EIROPAS KOMISIJA"/>
    <w:docVar w:name="LW_NOM.INST_JOINTDOC" w:val="&lt;EMPTY&gt;"/>
    <w:docVar w:name="LW_OBJETACTEPRINCIPAL.CP" w:val="par baterij\u257?m un bateriju atkritumiem, ar ko atce\u316? Direkt\u299?vu 2006/66/EK un groza Regulu (ES) 2019/1020"/>
    <w:docVar w:name="LW_PART_NBR" w:val="1"/>
    <w:docVar w:name="LW_PART_NBR_TOTAL" w:val="1"/>
    <w:docVar w:name="LW_REF.INST.NEW" w:val="SWD"/>
    <w:docVar w:name="LW_REF.INST.NEW_ADOPTED" w:val="final"/>
    <w:docVar w:name="LW_REF.INST.NEW_TEXT" w:val="(2020)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KOMISIJAS DIENESTU DARBA DOKUMENTS_x000b__x000b_IETEKMES NOV\u274?RT\u274?JUMA KOPSAVILKUMA ZI\u325?OJUMS_x000b_"/>
    <w:docVar w:name="LW_TYPEACTEPRINCIPAL.CP" w:val="Priek\u353?likums 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b/>
    </w:rPr>
  </w:style>
  <w:style w:type="paragraph" w:customStyle="1" w:styleId="Accompagnant">
    <w:name w:val="Accompagnant"/>
    <w:basedOn w:val="Normal"/>
    <w:next w:val="Normal"/>
    <w:pPr>
      <w:spacing w:after="240" w:line="240" w:lineRule="auto"/>
      <w:jc w:val="center"/>
    </w:pPr>
    <w:rPr>
      <w:b/>
      <w:i/>
    </w:rPr>
  </w:style>
  <w:style w:type="paragraph" w:customStyle="1" w:styleId="Typeacteprincipal">
    <w:name w:val="Type acte principal"/>
    <w:basedOn w:val="Normal"/>
    <w:next w:val="Normal"/>
    <w:pPr>
      <w:spacing w:after="240" w:line="240" w:lineRule="auto"/>
      <w:jc w:val="center"/>
    </w:pPr>
    <w:rPr>
      <w:b/>
    </w:rPr>
  </w:style>
  <w:style w:type="paragraph" w:customStyle="1" w:styleId="Objetacteprincipal">
    <w:name w:val="Objet acte principal"/>
    <w:basedOn w:val="Normal"/>
    <w:next w:val="Normal"/>
    <w:pPr>
      <w:spacing w:after="360" w:line="240" w:lineRule="auto"/>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lp1"/>
    <w:basedOn w:val="Normal"/>
    <w:link w:val="ListParagraphChar"/>
    <w:uiPriority w:val="34"/>
    <w:qFormat/>
    <w:pPr>
      <w:spacing w:after="120" w:line="259" w:lineRule="auto"/>
      <w:ind w:left="720"/>
      <w:contextualSpacing/>
      <w:jc w:val="both"/>
    </w:p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semiHidden/>
    <w:unhideWhenUsed/>
    <w:rPr>
      <w:color w:val="0000FF"/>
      <w:u w:val="single"/>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b/>
    </w:rPr>
  </w:style>
  <w:style w:type="paragraph" w:customStyle="1" w:styleId="Accompagnant">
    <w:name w:val="Accompagnant"/>
    <w:basedOn w:val="Normal"/>
    <w:next w:val="Normal"/>
    <w:pPr>
      <w:spacing w:after="240" w:line="240" w:lineRule="auto"/>
      <w:jc w:val="center"/>
    </w:pPr>
    <w:rPr>
      <w:b/>
      <w:i/>
    </w:rPr>
  </w:style>
  <w:style w:type="paragraph" w:customStyle="1" w:styleId="Typeacteprincipal">
    <w:name w:val="Type acte principal"/>
    <w:basedOn w:val="Normal"/>
    <w:next w:val="Normal"/>
    <w:pPr>
      <w:spacing w:after="240" w:line="240" w:lineRule="auto"/>
      <w:jc w:val="center"/>
    </w:pPr>
    <w:rPr>
      <w:b/>
    </w:rPr>
  </w:style>
  <w:style w:type="paragraph" w:customStyle="1" w:styleId="Objetacteprincipal">
    <w:name w:val="Objet acte principal"/>
    <w:basedOn w:val="Normal"/>
    <w:next w:val="Normal"/>
    <w:pPr>
      <w:spacing w:after="360" w:line="240" w:lineRule="auto"/>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lp1"/>
    <w:basedOn w:val="Normal"/>
    <w:link w:val="ListParagraphChar"/>
    <w:uiPriority w:val="34"/>
    <w:qFormat/>
    <w:pPr>
      <w:spacing w:after="120" w:line="259" w:lineRule="auto"/>
      <w:ind w:left="720"/>
      <w:contextualSpacing/>
      <w:jc w:val="both"/>
    </w:p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semiHidden/>
    <w:unhideWhenUsed/>
    <w:rPr>
      <w:color w:val="0000FF"/>
      <w:u w:val="single"/>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460</Words>
  <Characters>3056</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2020-12-07T20:05:00Z</dcterms:created>
  <dcterms:modified xsi:type="dcterms:W3CDTF">2020-12-22T14:59:00Z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 Build 20190717</vt:lpwstr>
  </property>
  <property fmtid="{D5CDD505-2E9C-101B-9397-08002B2CF9AE}" pid="8" name="Created using">
    <vt:lpwstr>LW 7.0.1, Build 20190916</vt:lpwstr>
  </property>
</Properties>
</file>