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A232CE9D-7A8C-4A8F-8BB7-CD8C7369129A" style="width:450.75pt;height:410.2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IARSCRÍBHINN </w:t>
      </w:r>
    </w:p>
    <w:p>
      <w:pPr>
        <w:jc w:val="center"/>
        <w:rPr>
          <w:b/>
          <w:noProof/>
          <w:u w:val="single"/>
        </w:rPr>
      </w:pPr>
    </w:p>
    <w:p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>In Iarscríbhinn I a ghabhann le Cinneadh 2003/17/CE, leasaítear an tábla mar a leanas:</w:t>
      </w:r>
    </w:p>
    <w:p>
      <w:pPr>
        <w:pStyle w:val="Point10"/>
        <w:rPr>
          <w:noProof/>
        </w:rPr>
      </w:pPr>
      <w:r>
        <w:rPr>
          <w:noProof/>
        </w:rPr>
        <w:t>(1)</w:t>
      </w:r>
      <w:r>
        <w:rPr>
          <w:noProof/>
        </w:rPr>
        <w:tab/>
        <w:t>cuirtear an iontráil seo a leanas isteach idir an iontráil ‘CL’ agus an iontráil ‘IL’:</w:t>
      </w:r>
    </w:p>
    <w:tbl>
      <w:tblPr>
        <w:tblW w:w="0" w:type="auto"/>
        <w:tblInd w:w="9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771"/>
        <w:gridCol w:w="1751"/>
      </w:tblGrid>
      <w:tr>
        <w:tc>
          <w:tcPr>
            <w:tcW w:w="2268" w:type="dxa"/>
            <w:shd w:val="clear" w:color="auto" w:fill="auto"/>
          </w:tcPr>
          <w:p>
            <w:pPr>
              <w:spacing w:before="40" w:after="4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‘GB**</w:t>
            </w:r>
          </w:p>
        </w:tc>
        <w:tc>
          <w:tcPr>
            <w:tcW w:w="3771" w:type="dxa"/>
            <w:shd w:val="clear" w:color="auto" w:fill="auto"/>
          </w:tcPr>
          <w:p>
            <w:pPr>
              <w:spacing w:before="40" w:after="4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Department for Environment, Food &amp; Rural Affairs</w:t>
            </w:r>
          </w:p>
          <w:p>
            <w:pPr>
              <w:spacing w:before="40" w:after="4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Sand Hutton, York YO41 1LZ</w:t>
            </w:r>
          </w:p>
        </w:tc>
        <w:tc>
          <w:tcPr>
            <w:tcW w:w="1751" w:type="dxa"/>
          </w:tcPr>
          <w:p>
            <w:pPr>
              <w:spacing w:before="40" w:after="4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66/401/CEE 66/402/CEE 2002/54/CE</w:t>
            </w:r>
          </w:p>
          <w:p>
            <w:pPr>
              <w:spacing w:before="40" w:after="4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2002/57/CE</w:t>
            </w:r>
          </w:p>
        </w:tc>
      </w:tr>
    </w:tbl>
    <w:p>
      <w:pPr>
        <w:pStyle w:val="Point0"/>
        <w:rPr>
          <w:noProof/>
        </w:rPr>
      </w:pPr>
      <w:r>
        <w:rPr>
          <w:noProof/>
        </w:rPr>
        <w:t>_____________________</w:t>
      </w:r>
    </w:p>
    <w:p>
      <w:pPr>
        <w:pStyle w:val="Point0"/>
        <w:rPr>
          <w:noProof/>
        </w:rPr>
      </w:pPr>
      <w:r>
        <w:rPr>
          <w:i/>
          <w:iCs/>
          <w:noProof/>
          <w:sz w:val="20"/>
          <w:szCs w:val="20"/>
        </w:rPr>
        <w:t>(**)</w:t>
      </w:r>
      <w:r>
        <w:rPr>
          <w:noProof/>
        </w:rPr>
        <w:tab/>
      </w:r>
      <w:r>
        <w:rPr>
          <w:i/>
          <w:iCs/>
          <w:noProof/>
          <w:sz w:val="20"/>
          <w:szCs w:val="20"/>
        </w:rPr>
        <w:t>I gcomhréir leis an gComhaontú maidir le Ríocht Aontaithe na Breataine Móire agus Thuaisceart Éireann a bheith ag tarraingt siar as an Aontas Eorpach agus as an gComhphobal Eorpach do Fhuinneamh Adamhach, agus go háirithe Airteagal 5(4) den Phrótacal maidir le hÉirinn/Tuaisceart Éireann i dteannta le hIarscríbhinn 2 a ghabhann leis an bPrótacal sin, chun críocha na hIarscríbhinne seo, ní bhaineann tagairtí don Ríocht Aontaithe le Tuaisceart Éireann</w:t>
      </w:r>
      <w:r>
        <w:rPr>
          <w:noProof/>
        </w:rPr>
        <w:t>’;</w:t>
      </w:r>
    </w:p>
    <w:p>
      <w:pPr>
        <w:pStyle w:val="Point10"/>
        <w:rPr>
          <w:noProof/>
        </w:rPr>
      </w:pPr>
      <w:r>
        <w:rPr>
          <w:noProof/>
        </w:rPr>
        <w:t>(2)</w:t>
      </w:r>
      <w:r>
        <w:rPr>
          <w:noProof/>
        </w:rPr>
        <w:tab/>
        <w:t>in ionad fhonóta (*), cuirtear na téarmaí seo a leanas idir ‘CL— An tSile agus ‘IL — Iosrael’:</w:t>
      </w:r>
    </w:p>
    <w:p>
      <w:pPr>
        <w:pStyle w:val="Text2"/>
        <w:rPr>
          <w:noProof/>
        </w:rPr>
      </w:pPr>
      <w:r>
        <w:rPr>
          <w:noProof/>
        </w:rPr>
        <w:t>‘GB — An Ríocht Aontaithe’.</w:t>
      </w:r>
    </w:p>
    <w:p>
      <w:pPr>
        <w:pStyle w:val="Point0"/>
        <w:rPr>
          <w:noProof/>
          <w:szCs w:val="24"/>
        </w:rPr>
      </w:pPr>
      <w:r>
        <w:rPr>
          <w:noProof/>
        </w:rPr>
        <w:t>2.</w:t>
      </w:r>
      <w:r>
        <w:rPr>
          <w:noProof/>
        </w:rPr>
        <w:tab/>
        <w:t>San Iarscríbhinn a ghabhann le Cinneadh 2005/834/CE, leasaítear an tábla mar seo a leanas:</w:t>
      </w:r>
    </w:p>
    <w:p>
      <w:pPr>
        <w:pStyle w:val="Point10"/>
        <w:rPr>
          <w:noProof/>
        </w:rPr>
      </w:pPr>
      <w:r>
        <w:rPr>
          <w:noProof/>
        </w:rPr>
        <w:t>(1)</w:t>
      </w:r>
      <w:r>
        <w:rPr>
          <w:noProof/>
        </w:rPr>
        <w:tab/>
        <w:t>cuirtear an iontráil seo a leanas isteach idir an iontráil ‘CL’ agus an iontráil ‘IL’:</w:t>
      </w:r>
    </w:p>
    <w:tbl>
      <w:tblPr>
        <w:tblW w:w="0" w:type="auto"/>
        <w:tblInd w:w="9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771"/>
        <w:gridCol w:w="1751"/>
      </w:tblGrid>
      <w:tr>
        <w:tc>
          <w:tcPr>
            <w:tcW w:w="2268" w:type="dxa"/>
            <w:shd w:val="clear" w:color="auto" w:fill="auto"/>
          </w:tcPr>
          <w:p>
            <w:pPr>
              <w:spacing w:before="40" w:after="4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‘GB**</w:t>
            </w:r>
          </w:p>
        </w:tc>
        <w:tc>
          <w:tcPr>
            <w:tcW w:w="3771" w:type="dxa"/>
            <w:shd w:val="clear" w:color="auto" w:fill="auto"/>
          </w:tcPr>
          <w:p>
            <w:pPr>
              <w:spacing w:before="40" w:after="4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Department for Environment, Food &amp; Rural Affairs</w:t>
            </w:r>
          </w:p>
          <w:p>
            <w:pPr>
              <w:spacing w:before="40" w:after="4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Sand Hutton, York YO41 1LZ</w:t>
            </w:r>
          </w:p>
        </w:tc>
        <w:tc>
          <w:tcPr>
            <w:tcW w:w="1751" w:type="dxa"/>
          </w:tcPr>
          <w:p>
            <w:pPr>
              <w:spacing w:before="40" w:after="4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66/401/CEE 66/402/CEE 2002/54/CE</w:t>
            </w:r>
          </w:p>
          <w:p>
            <w:pPr>
              <w:spacing w:before="40" w:after="4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2002/55/CE</w:t>
            </w:r>
          </w:p>
          <w:p>
            <w:pPr>
              <w:spacing w:before="40" w:after="4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2002/57/CE</w:t>
            </w:r>
          </w:p>
        </w:tc>
      </w:tr>
    </w:tbl>
    <w:p>
      <w:pPr>
        <w:pStyle w:val="Point0"/>
        <w:rPr>
          <w:noProof/>
        </w:rPr>
      </w:pPr>
      <w:r>
        <w:rPr>
          <w:noProof/>
        </w:rPr>
        <w:t>_____________________</w:t>
      </w:r>
    </w:p>
    <w:p>
      <w:pPr>
        <w:pStyle w:val="Point0"/>
        <w:rPr>
          <w:noProof/>
        </w:rPr>
      </w:pPr>
      <w:r>
        <w:rPr>
          <w:i/>
          <w:iCs/>
          <w:noProof/>
          <w:sz w:val="20"/>
          <w:szCs w:val="20"/>
        </w:rPr>
        <w:t>(**)</w:t>
      </w:r>
      <w:r>
        <w:rPr>
          <w:noProof/>
        </w:rPr>
        <w:tab/>
      </w:r>
      <w:r>
        <w:rPr>
          <w:i/>
          <w:iCs/>
          <w:noProof/>
          <w:sz w:val="20"/>
          <w:szCs w:val="20"/>
        </w:rPr>
        <w:t>I gcomhréir leis an gComhaontú maidir le Ríocht Aontaithe na Breataine Móire agus Thuaisceart Éireann a bheith ag tarraingt siar as an Aontas Eorpach agus as an gComhphobal Eorpach do Fhuinneamh Adamhach, agus go háirithe Airteagal 5(4) den Phrótacal maidir le hÉirinn/Tuaisceart Éireann i dteannta le hIarscríbhinn 2 a ghabhann leis an bPrótacal sin, chun críocha na hIarscríbhinne seo, ní bhaineann tagairtí don Ríocht Aontaithe le Tuaisceart Éireann</w:t>
      </w:r>
      <w:r>
        <w:rPr>
          <w:noProof/>
        </w:rPr>
        <w:t>’;</w:t>
      </w:r>
    </w:p>
    <w:p>
      <w:pPr>
        <w:pStyle w:val="Point10"/>
        <w:rPr>
          <w:noProof/>
        </w:rPr>
      </w:pPr>
      <w:r>
        <w:rPr>
          <w:noProof/>
        </w:rPr>
        <w:t>(2)</w:t>
      </w:r>
      <w:r>
        <w:rPr>
          <w:noProof/>
        </w:rPr>
        <w:tab/>
        <w:t>in ionad fhonóta (*), cuirtear na téarmaí seo a leanas idir ‘CS— an tSeirbia agus Montainéagró’ agus ‘IL — Iosrael’.</w:t>
      </w:r>
    </w:p>
    <w:p>
      <w:pPr>
        <w:pStyle w:val="Text2"/>
        <w:rPr>
          <w:noProof/>
          <w:szCs w:val="24"/>
        </w:rPr>
      </w:pPr>
      <w:r>
        <w:rPr>
          <w:noProof/>
        </w:rPr>
        <w:tab/>
        <w:t>‘GB — An Ríocht Aontaithe’.</w:t>
      </w: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GA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GA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GA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GA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2832509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11EC0A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FFFFFF7F"/>
    <w:multiLevelType w:val="singleLevel"/>
    <w:tmpl w:val="CF28E6D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FFFFFF81"/>
    <w:multiLevelType w:val="singleLevel"/>
    <w:tmpl w:val="8B0E16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D86E57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A98E5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ED0E5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8FEFB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12-22 11:17:5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a ghabhann leis an Togra le haghaidh "/>
    <w:docVar w:name="LW_ACCOMPAGNANT.CP" w:val="a ghabhann leis an Togra le haghaidh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A232CE9D-7A8C-4A8F-8BB7-CD8C7369129A"/>
    <w:docVar w:name="LW_COVERPAGE_TYPE" w:val="1"/>
    <w:docVar w:name="LW_CROSSREFERENCE" w:val="&lt;UNUSED&gt;"/>
    <w:docVar w:name="LW_DocType" w:val="ANNEX"/>
    <w:docVar w:name="LW_EMISSION" w:val="23.12.2020"/>
    <w:docVar w:name="LW_EMISSION_ISODATE" w:val="2020-12-23"/>
    <w:docVar w:name="LW_EMISSION_LOCATION" w:val="BRX"/>
    <w:docVar w:name="LW_EMISSION_PREFIX" w:val="An Bhruiséil,"/>
    <w:docVar w:name="LW_EMISSION_SUFFIX" w:val=" "/>
    <w:docVar w:name="LW_ID_DOCSTRUCTURE" w:val="COM/ANNEX"/>
    <w:docVar w:name="LW_ID_DOCTYPE" w:val="SG-017"/>
    <w:docVar w:name="LW_LANGUE" w:val="GA"/>
    <w:docVar w:name="LW_LEVEL_OF_SENSITIVITY" w:val="Standard treatment"/>
    <w:docVar w:name="LW_NOM.INST" w:val="AN COIMISIÚN EORPACH"/>
    <w:docVar w:name="LW_NOM.INST_JOINTDOC" w:val="&lt;EMPTY&gt;"/>
    <w:docVar w:name="LW_OBJETACTEPRINCIPAL" w:val="&lt;FMT:Bold&gt;lena leasaítear Cinntí 2003/17/CE agus 2005/834/CE ón gComhairle a mhéid a bhaineann le coibhéis na gcigireachtaí allamuigh agus le coibhéis seiceálacha ar chleachtais maidir le cineálacha speicis phlandaí talmhaíochta a chothabháil a dhéantar sa Ríocht Aontaithe&lt;/FMT&gt;"/>
    <w:docVar w:name="LW_OBJETACTEPRINCIPAL.CP" w:val="&lt;FMT:Bold&gt;lena leasaítear Cinntí 2003/17/CE agus 2005/834/CE ón gComhairle a mhéid a bhaineann le coibhéis na gcigireachtaí allamuigh agus le coibhéis seiceálacha ar chleachtais maidir le cineálacha speicis phlandaí talmhaíochta a chothabháil a dhéantar sa Ríocht Aontaithe&lt;/FMT&gt;"/>
    <w:docVar w:name="LW_PART_NBR" w:val="1"/>
    <w:docVar w:name="LW_PART_NBR_TOTAL" w:val="1"/>
    <w:docVar w:name="LW_REF.INST.NEW" w:val="COM"/>
    <w:docVar w:name="LW_REF.INST.NEW_ADOPTED" w:val="final"/>
    <w:docVar w:name="LW_REF.INST.NEW_TEXT" w:val="(2020) 85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IARSCRÍBHINN"/>
    <w:docVar w:name="LW_TYPE.DOC.CP" w:val="IARSCRÍBHINN"/>
    <w:docVar w:name="LW_TYPEACTEPRINCIPAL" w:val="CINNEADH Ó PHARLAIMINT NA hEORPA AGUS ÓN gCOMHAIRLE"/>
    <w:docVar w:name="LW_TYPEACTEPRINCIPAL.CP" w:val="CINNEADH Ó PHARLAIMINT NA hEORPA AGUS ÓN gCOMHAIRL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ga-I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ga-I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ga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ga-I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point1">
    <w:name w:val="point  1"/>
    <w:basedOn w:val="Text1"/>
  </w:style>
  <w:style w:type="paragraph" w:customStyle="1" w:styleId="Point10">
    <w:name w:val="Point 1"/>
    <w:basedOn w:val="Normal"/>
    <w:pPr>
      <w:ind w:left="1417" w:hanging="567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ga-I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ga-I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ga-I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ga-I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ga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ga-I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point1">
    <w:name w:val="point  1"/>
    <w:basedOn w:val="Text1"/>
  </w:style>
  <w:style w:type="paragraph" w:customStyle="1" w:styleId="Point10">
    <w:name w:val="Point 1"/>
    <w:basedOn w:val="Normal"/>
    <w:pPr>
      <w:ind w:left="1417" w:hanging="567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ga-I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ga-I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1E799-FBE7-4D54-B7E2-5436341E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2</Pages>
  <Words>285</Words>
  <Characters>1605</Characters>
  <Application>Microsoft Office Word</Application>
  <DocSecurity>0</DocSecurity>
  <Lines>48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SZOEKE-DENES Melinda (SANTE)</dc:creator>
  <cp:keywords/>
  <dc:description/>
  <cp:lastModifiedBy>WES PDFC Administrator</cp:lastModifiedBy>
  <cp:revision>9</cp:revision>
  <dcterms:created xsi:type="dcterms:W3CDTF">2020-12-21T14:19:00Z</dcterms:created>
  <dcterms:modified xsi:type="dcterms:W3CDTF">2020-12-22T10:17:00Z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7.0.9.0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7.0.1, Build 20190916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