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87AEC272-4F81-4538-AB42-603E484E528D" style="width:450.75pt;height:3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ANNEX </w:t>
      </w:r>
    </w:p>
    <w:p>
      <w:pPr>
        <w:jc w:val="center"/>
        <w:rPr>
          <w:b/>
          <w:noProof/>
          <w:u w:val="single"/>
        </w:rPr>
      </w:pPr>
    </w:p>
    <w:p>
      <w:pPr>
        <w:pStyle w:val="Point0"/>
        <w:rPr>
          <w:noProof/>
        </w:rPr>
      </w:pPr>
      <w:r>
        <w:rPr>
          <w:noProof/>
        </w:rPr>
        <w:t>1.</w:t>
      </w:r>
      <w:r>
        <w:rPr>
          <w:noProof/>
        </w:rPr>
        <w:tab/>
        <w:t>In Annex I to Decision 2003/17/EC, the table is amended as follows:</w:t>
      </w:r>
    </w:p>
    <w:p>
      <w:pPr>
        <w:pStyle w:val="Point10"/>
        <w:rPr>
          <w:noProof/>
        </w:rPr>
      </w:pPr>
      <w:r>
        <w:rPr>
          <w:noProof/>
        </w:rPr>
        <w:t>(1)</w:t>
      </w:r>
      <w:r>
        <w:rPr>
          <w:noProof/>
        </w:rPr>
        <w:tab/>
        <w:t>the following entry is inserted between the entries for ‘CL’ and ‘IL’:</w:t>
      </w:r>
    </w:p>
    <w:tbl>
      <w:tblPr>
        <w:tblW w:w="0" w:type="auto"/>
        <w:tblInd w:w="95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68"/>
        <w:gridCol w:w="3771"/>
        <w:gridCol w:w="1751"/>
      </w:tblGrid>
      <w:tr>
        <w:tc>
          <w:tcPr>
            <w:tcW w:w="2268" w:type="dxa"/>
            <w:shd w:val="clear" w:color="auto" w:fill="auto"/>
          </w:tcPr>
          <w:p>
            <w:pPr>
              <w:spacing w:before="40" w:after="40"/>
              <w:rPr>
                <w:rFonts w:eastAsia="Calibri"/>
                <w:noProof/>
                <w:szCs w:val="24"/>
              </w:rPr>
            </w:pPr>
            <w:r>
              <w:rPr>
                <w:rFonts w:eastAsia="Calibri"/>
                <w:noProof/>
                <w:szCs w:val="24"/>
              </w:rPr>
              <w:t>‘GB**</w:t>
            </w:r>
          </w:p>
        </w:tc>
        <w:tc>
          <w:tcPr>
            <w:tcW w:w="3771" w:type="dxa"/>
            <w:shd w:val="clear" w:color="auto" w:fill="auto"/>
          </w:tcPr>
          <w:p>
            <w:pPr>
              <w:spacing w:before="40" w:after="40"/>
              <w:rPr>
                <w:rFonts w:eastAsia="Calibri"/>
                <w:noProof/>
                <w:szCs w:val="24"/>
                <w:lang w:val="en-IE"/>
              </w:rPr>
            </w:pPr>
            <w:r>
              <w:rPr>
                <w:rFonts w:eastAsia="Calibri"/>
                <w:noProof/>
                <w:szCs w:val="24"/>
                <w:lang w:val="en-IE"/>
              </w:rPr>
              <w:t>Department for Environment, Food &amp; Rural Affairs</w:t>
            </w:r>
          </w:p>
          <w:p>
            <w:pPr>
              <w:spacing w:before="40" w:after="40"/>
              <w:rPr>
                <w:rFonts w:eastAsia="Calibri"/>
                <w:noProof/>
                <w:szCs w:val="24"/>
                <w:lang w:val="en-IE"/>
              </w:rPr>
            </w:pPr>
            <w:r>
              <w:rPr>
                <w:rFonts w:eastAsia="Calibri"/>
                <w:noProof/>
                <w:szCs w:val="24"/>
                <w:lang w:val="en-IE"/>
              </w:rPr>
              <w:t>Sand Hutton, York YO41 1LZ</w:t>
            </w:r>
          </w:p>
        </w:tc>
        <w:tc>
          <w:tcPr>
            <w:tcW w:w="1751" w:type="dxa"/>
          </w:tcPr>
          <w:p>
            <w:pPr>
              <w:spacing w:before="40" w:after="40"/>
              <w:rPr>
                <w:rFonts w:eastAsia="Calibri"/>
                <w:noProof/>
                <w:szCs w:val="24"/>
              </w:rPr>
            </w:pPr>
            <w:r>
              <w:rPr>
                <w:rFonts w:eastAsia="Calibri"/>
                <w:noProof/>
                <w:szCs w:val="24"/>
              </w:rPr>
              <w:t>66/401/EEC 66/402/EEC 2002/54/EC</w:t>
            </w:r>
          </w:p>
          <w:p>
            <w:pPr>
              <w:spacing w:before="40" w:after="40"/>
              <w:rPr>
                <w:rFonts w:eastAsia="Calibri"/>
                <w:noProof/>
                <w:szCs w:val="24"/>
              </w:rPr>
            </w:pPr>
            <w:r>
              <w:rPr>
                <w:rFonts w:eastAsia="Calibri"/>
                <w:noProof/>
                <w:szCs w:val="24"/>
              </w:rPr>
              <w:t>2002/57/EC</w:t>
            </w:r>
          </w:p>
        </w:tc>
      </w:tr>
    </w:tbl>
    <w:p>
      <w:pPr>
        <w:pStyle w:val="Point0"/>
        <w:rPr>
          <w:noProof/>
        </w:rPr>
      </w:pPr>
      <w:r>
        <w:rPr>
          <w:noProof/>
        </w:rPr>
        <w:t>_____________________</w:t>
      </w:r>
    </w:p>
    <w:p>
      <w:pPr>
        <w:pStyle w:val="Point0"/>
        <w:rPr>
          <w:noProof/>
        </w:rPr>
      </w:pPr>
      <w:r>
        <w:rPr>
          <w:i/>
          <w:iCs/>
          <w:noProof/>
          <w:sz w:val="20"/>
          <w:szCs w:val="20"/>
          <w:lang w:val="en-IE"/>
        </w:rPr>
        <w:t>(**)</w:t>
      </w:r>
      <w:r>
        <w:rPr>
          <w:i/>
          <w:iCs/>
          <w:noProof/>
          <w:sz w:val="20"/>
          <w:szCs w:val="20"/>
          <w:lang w:val="en-IE"/>
        </w:rPr>
        <w:tab/>
        <w:t>In accordance with the Agreement on the withdrawal of the United Kingdom of Great Britain and Northern Ireland from the European Union and the European Atomic Energy Community, and in particular Article 5(4) of the Protocol on Ireland/Northern Ireland in conjunction with Annex 2 to that Protocol, for the purposes of this Annex, references to the United Kingdom do not include Northern Ireland.</w:t>
      </w:r>
      <w:r>
        <w:rPr>
          <w:rFonts w:eastAsia="Calibri"/>
          <w:noProof/>
          <w:szCs w:val="24"/>
        </w:rPr>
        <w:t>’</w:t>
      </w:r>
      <w:r>
        <w:rPr>
          <w:noProof/>
        </w:rPr>
        <w:t>;</w:t>
      </w:r>
    </w:p>
    <w:p>
      <w:pPr>
        <w:pStyle w:val="Point10"/>
        <w:rPr>
          <w:noProof/>
        </w:rPr>
      </w:pPr>
      <w:r>
        <w:rPr>
          <w:noProof/>
        </w:rPr>
        <w:t>(2)</w:t>
      </w:r>
      <w:r>
        <w:rPr>
          <w:noProof/>
        </w:rPr>
        <w:tab/>
        <w:t>in the footnote (*), the following terms are inserted between ‘CL— Chile and ‘IL — Israel’:</w:t>
      </w:r>
    </w:p>
    <w:p>
      <w:pPr>
        <w:pStyle w:val="Text2"/>
        <w:rPr>
          <w:noProof/>
        </w:rPr>
      </w:pPr>
      <w:r>
        <w:rPr>
          <w:noProof/>
        </w:rPr>
        <w:t>‘GB — United Kingdom’.</w:t>
      </w:r>
    </w:p>
    <w:p>
      <w:pPr>
        <w:pStyle w:val="Point0"/>
        <w:rPr>
          <w:noProof/>
          <w:szCs w:val="24"/>
        </w:rPr>
      </w:pPr>
      <w:r>
        <w:rPr>
          <w:noProof/>
          <w:szCs w:val="24"/>
        </w:rPr>
        <w:t>2.</w:t>
      </w:r>
      <w:r>
        <w:rPr>
          <w:noProof/>
          <w:szCs w:val="24"/>
        </w:rPr>
        <w:tab/>
        <w:t>In the Annex to Decision 2005/834/EC, the table is amended as follows:</w:t>
      </w:r>
    </w:p>
    <w:p>
      <w:pPr>
        <w:pStyle w:val="Point10"/>
        <w:rPr>
          <w:noProof/>
        </w:rPr>
      </w:pPr>
      <w:r>
        <w:rPr>
          <w:noProof/>
        </w:rPr>
        <w:t>(1)</w:t>
      </w:r>
      <w:r>
        <w:rPr>
          <w:noProof/>
        </w:rPr>
        <w:tab/>
        <w:t>the following entry is inserted between the entries for ‘CS’ and ‘IL’:</w:t>
      </w:r>
    </w:p>
    <w:tbl>
      <w:tblPr>
        <w:tblW w:w="0" w:type="auto"/>
        <w:tblInd w:w="95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68"/>
        <w:gridCol w:w="3771"/>
        <w:gridCol w:w="1751"/>
      </w:tblGrid>
      <w:tr>
        <w:tc>
          <w:tcPr>
            <w:tcW w:w="2268" w:type="dxa"/>
            <w:shd w:val="clear" w:color="auto" w:fill="auto"/>
          </w:tcPr>
          <w:p>
            <w:pPr>
              <w:spacing w:before="40" w:after="40"/>
              <w:rPr>
                <w:rFonts w:eastAsia="Calibri"/>
                <w:noProof/>
                <w:szCs w:val="24"/>
              </w:rPr>
            </w:pPr>
            <w:r>
              <w:rPr>
                <w:rFonts w:eastAsia="Calibri"/>
                <w:noProof/>
                <w:szCs w:val="24"/>
              </w:rPr>
              <w:t>‘GB**</w:t>
            </w:r>
          </w:p>
        </w:tc>
        <w:tc>
          <w:tcPr>
            <w:tcW w:w="3771" w:type="dxa"/>
            <w:shd w:val="clear" w:color="auto" w:fill="auto"/>
          </w:tcPr>
          <w:p>
            <w:pPr>
              <w:spacing w:before="40" w:after="40"/>
              <w:rPr>
                <w:rFonts w:eastAsia="Calibri"/>
                <w:noProof/>
                <w:szCs w:val="24"/>
                <w:lang w:val="en-IE"/>
              </w:rPr>
            </w:pPr>
            <w:r>
              <w:rPr>
                <w:rFonts w:eastAsia="Calibri"/>
                <w:noProof/>
                <w:szCs w:val="24"/>
                <w:lang w:val="en-IE"/>
              </w:rPr>
              <w:t>Department for Environment, Food &amp; Rural Affairs</w:t>
            </w:r>
          </w:p>
          <w:p>
            <w:pPr>
              <w:spacing w:before="40" w:after="40"/>
              <w:rPr>
                <w:rFonts w:eastAsia="Calibri"/>
                <w:noProof/>
                <w:szCs w:val="24"/>
                <w:lang w:val="en-IE"/>
              </w:rPr>
            </w:pPr>
            <w:r>
              <w:rPr>
                <w:rFonts w:eastAsia="Calibri"/>
                <w:noProof/>
                <w:szCs w:val="24"/>
                <w:lang w:val="en-IE"/>
              </w:rPr>
              <w:t>Sand Hutton, York YO41 1LZ</w:t>
            </w:r>
          </w:p>
        </w:tc>
        <w:tc>
          <w:tcPr>
            <w:tcW w:w="1751" w:type="dxa"/>
          </w:tcPr>
          <w:p>
            <w:pPr>
              <w:spacing w:before="40" w:after="40"/>
              <w:rPr>
                <w:rFonts w:eastAsia="Calibri"/>
                <w:noProof/>
                <w:szCs w:val="24"/>
                <w:lang w:val="fr-BE"/>
              </w:rPr>
            </w:pPr>
            <w:r>
              <w:rPr>
                <w:rFonts w:eastAsia="Calibri"/>
                <w:noProof/>
                <w:szCs w:val="24"/>
                <w:lang w:val="fr-BE"/>
              </w:rPr>
              <w:t>66/401/EEC 66/402/EEC 2002/54/EC</w:t>
            </w:r>
          </w:p>
          <w:p>
            <w:pPr>
              <w:spacing w:before="40" w:after="40"/>
              <w:rPr>
                <w:rFonts w:eastAsia="Calibri"/>
                <w:noProof/>
                <w:szCs w:val="24"/>
                <w:lang w:val="fr-BE"/>
              </w:rPr>
            </w:pPr>
            <w:r>
              <w:rPr>
                <w:rFonts w:eastAsia="Calibri"/>
                <w:noProof/>
                <w:szCs w:val="24"/>
                <w:lang w:val="fr-BE"/>
              </w:rPr>
              <w:t>2002/55/EC</w:t>
            </w:r>
          </w:p>
          <w:p>
            <w:pPr>
              <w:spacing w:before="40" w:after="40"/>
              <w:rPr>
                <w:rFonts w:eastAsia="Calibri"/>
                <w:noProof/>
                <w:szCs w:val="24"/>
                <w:lang w:val="fr-BE"/>
              </w:rPr>
            </w:pPr>
            <w:r>
              <w:rPr>
                <w:rFonts w:eastAsia="Calibri"/>
                <w:noProof/>
                <w:szCs w:val="24"/>
                <w:lang w:val="fr-BE"/>
              </w:rPr>
              <w:t>2002/57/EC</w:t>
            </w:r>
          </w:p>
        </w:tc>
      </w:tr>
    </w:tbl>
    <w:p>
      <w:pPr>
        <w:pStyle w:val="Point0"/>
        <w:rPr>
          <w:noProof/>
        </w:rPr>
      </w:pPr>
      <w:r>
        <w:rPr>
          <w:noProof/>
        </w:rPr>
        <w:t>_____________________</w:t>
      </w:r>
    </w:p>
    <w:p>
      <w:pPr>
        <w:pStyle w:val="Point0"/>
        <w:rPr>
          <w:noProof/>
        </w:rPr>
      </w:pPr>
      <w:r>
        <w:rPr>
          <w:i/>
          <w:iCs/>
          <w:noProof/>
          <w:sz w:val="20"/>
          <w:szCs w:val="20"/>
          <w:lang w:val="en-IE"/>
        </w:rPr>
        <w:t>(**)</w:t>
      </w:r>
      <w:r>
        <w:rPr>
          <w:i/>
          <w:iCs/>
          <w:noProof/>
          <w:sz w:val="20"/>
          <w:szCs w:val="20"/>
          <w:lang w:val="en-IE"/>
        </w:rPr>
        <w:tab/>
        <w:t>In accordance with the Agreement on the withdrawal of the United Kingdom of Great Britain and Northern Ireland from the European Union and the European Atomic Energy Community, and in particular Article 5(4) of the Protocol on Ireland/Northern Ireland in conjunction with Annex 2 to that Protocol, for the purposes of this Annex, references to the United Kingdom do not include Northern Ireland.</w:t>
      </w:r>
      <w:r>
        <w:rPr>
          <w:rFonts w:eastAsia="Calibri"/>
          <w:noProof/>
          <w:szCs w:val="24"/>
        </w:rPr>
        <w:t>’</w:t>
      </w:r>
      <w:r>
        <w:rPr>
          <w:noProof/>
        </w:rPr>
        <w:t>;</w:t>
      </w:r>
    </w:p>
    <w:p>
      <w:pPr>
        <w:pStyle w:val="Point10"/>
        <w:rPr>
          <w:noProof/>
        </w:rPr>
      </w:pPr>
      <w:r>
        <w:rPr>
          <w:iCs/>
          <w:noProof/>
          <w:szCs w:val="24"/>
        </w:rPr>
        <w:t>(2)</w:t>
      </w:r>
      <w:r>
        <w:rPr>
          <w:i/>
          <w:iCs/>
          <w:noProof/>
          <w:sz w:val="20"/>
          <w:szCs w:val="20"/>
        </w:rPr>
        <w:tab/>
      </w:r>
      <w:r>
        <w:rPr>
          <w:noProof/>
        </w:rPr>
        <w:t>in the footnote (*), the following terms are inserted between ‘CS — Serbia and Montenegro’ and ‘IL— Israel’.</w:t>
      </w:r>
    </w:p>
    <w:p>
      <w:pPr>
        <w:pStyle w:val="Text2"/>
        <w:rPr>
          <w:noProof/>
          <w:szCs w:val="24"/>
        </w:rPr>
      </w:pPr>
      <w:r>
        <w:rPr>
          <w:noProof/>
          <w:szCs w:val="24"/>
        </w:rPr>
        <w:tab/>
        <w:t>‘GB — United Kingdom’.</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832509E"/>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11EC0A6E"/>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CF28E6DE"/>
    <w:lvl w:ilvl="0">
      <w:start w:val="1"/>
      <w:numFmt w:val="decimal"/>
      <w:pStyle w:val="ListNumber2"/>
      <w:lvlText w:val="%1."/>
      <w:lvlJc w:val="left"/>
      <w:pPr>
        <w:tabs>
          <w:tab w:val="num" w:pos="720"/>
        </w:tabs>
        <w:ind w:left="720" w:hanging="360"/>
      </w:pPr>
    </w:lvl>
  </w:abstractNum>
  <w:abstractNum w:abstractNumId="3">
    <w:nsid w:val="FFFFFF81"/>
    <w:multiLevelType w:val="singleLevel"/>
    <w:tmpl w:val="8B0E1698"/>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7D86E57A"/>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CA98E518"/>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BED0E5A6"/>
    <w:lvl w:ilvl="0">
      <w:start w:val="1"/>
      <w:numFmt w:val="decimal"/>
      <w:pStyle w:val="ListNumber"/>
      <w:lvlText w:val="%1."/>
      <w:lvlJc w:val="left"/>
      <w:pPr>
        <w:tabs>
          <w:tab w:val="num" w:pos="360"/>
        </w:tabs>
        <w:ind w:left="360" w:hanging="360"/>
      </w:pPr>
    </w:lvl>
  </w:abstractNum>
  <w:abstractNum w:abstractNumId="7">
    <w:nsid w:val="FFFFFF89"/>
    <w:multiLevelType w:val="singleLevel"/>
    <w:tmpl w:val="38FEFB8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22 11:16: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ACCOMPAGNANT.CP" w:val="to the Proposal for a"/>
    <w:docVar w:name="LW_ANNEX_NBR_FIRST" w:val="1"/>
    <w:docVar w:name="LW_ANNEX_NBR_LAST" w:val="1"/>
    <w:docVar w:name="LW_ANNEX_UNIQUE" w:val="1"/>
    <w:docVar w:name="LW_CORRIGENDUM" w:val="&lt;UNUSED&gt;"/>
    <w:docVar w:name="LW_COVERPAGE_EXISTS" w:val="True"/>
    <w:docVar w:name="LW_COVERPAGE_GUID" w:val="87AEC272-4F81-4538-AB42-603E484E528D"/>
    <w:docVar w:name="LW_COVERPAGE_TYPE" w:val="1"/>
    <w:docVar w:name="LW_CROSSREFERENCE" w:val="&lt;UNUSED&gt;"/>
    <w:docVar w:name="LW_DocType" w:val="ANNEX"/>
    <w:docVar w:name="LW_EMISSION" w:val="23.12.2020"/>
    <w:docVar w:name="LW_EMISSION_ISODATE" w:val="2020-12-23"/>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CP" w:val="amending Council Decisions 2003/17/EC and 2005/834/EC as regards the equivalence of field inspections and the equivalence of checks on practices for the maintenance of varieties of agricultural plant species carried out in the United Kingdom"/>
    <w:docVar w:name="LW_PART_NBR" w:val="1"/>
    <w:docVar w:name="LW_PART_NBR_TOTAL" w:val="1"/>
    <w:docVar w:name="LW_REF.INST.NEW" w:val="COM"/>
    <w:docVar w:name="LW_REF.INST.NEW_ADOPTED" w:val="final"/>
    <w:docVar w:name="LW_REF.INST.NEW_TEXT" w:val="(2020) 8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
    <w:docVar w:name="LW_TYPEACTEPRINCIPAL.CP" w:val="DECIS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customStyle="1" w:styleId="point1">
    <w:name w:val="point  1"/>
    <w:basedOn w:val="Text1"/>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0">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0"/>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customStyle="1" w:styleId="point1">
    <w:name w:val="point  1"/>
    <w:basedOn w:val="Text1"/>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0">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0"/>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2</Pages>
  <Words>260</Words>
  <Characters>1417</Characters>
  <Application>Microsoft Office Word</Application>
  <DocSecurity>0</DocSecurity>
  <Lines>44</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SZOEKE-DENES Melinda (SANTE)</dc:creator>
  <cp:keywords/>
  <dc:description/>
  <cp:lastModifiedBy>WES PDFC Administrator</cp:lastModifiedBy>
  <cp:revision>9</cp:revision>
  <dcterms:created xsi:type="dcterms:W3CDTF">2020-12-08T17:19:00Z</dcterms:created>
  <dcterms:modified xsi:type="dcterms:W3CDTF">2020-12-22T10:16:00Z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