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A8635C9-9A13-49F9-8D9D-549B149CCD46"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 xml:space="preserve">V rozhodnutí Rady 2008/971/ES sú stanovené pravidlá týkajúce sa rovnocennosti množiteľského materiálu lesných kultúr vyprodukovaného v tretích krajinách. </w:t>
      </w:r>
    </w:p>
    <w:p>
      <w:pPr>
        <w:rPr>
          <w:noProof/>
        </w:rPr>
      </w:pPr>
      <w:r>
        <w:rPr>
          <w:noProof/>
        </w:rPr>
        <w:t>Vzhľadom na to, že 1. februára 2020 Spojené kráľovstvo vystúpilo z Únie a 31. decembra 2020 sa skončí prechodné obdobie stanovené v Dohode o vystúpení Spojeného kráľovstva Veľkej Británie a Severného Írska z Európskej únie a z Európskeho spoločenstva pre atómovú energiu (dohoda o vystúpení), Spojené kráľovstvo predložilo Komisii žiadosť, aby bol množiteľský materiál lesných kultúr vyprodukovaný v Spojenom kráľovstve, ktorý spĺňa požiadavky smernice Rady 1999/105/ES, považovaný za rovnocenný.</w:t>
      </w:r>
    </w:p>
    <w:p>
      <w:pPr>
        <w:rPr>
          <w:noProof/>
        </w:rPr>
      </w:pPr>
      <w:r>
        <w:rPr>
          <w:noProof/>
        </w:rPr>
        <w:t xml:space="preserve">Spojené kráľovstvo transponovalo a účinne vykonávalo smernicu 1999/105/ES od jej prijatia. </w:t>
      </w:r>
    </w:p>
    <w:p>
      <w:pPr>
        <w:rPr>
          <w:noProof/>
        </w:rPr>
      </w:pPr>
      <w:r>
        <w:rPr>
          <w:noProof/>
        </w:rPr>
        <w:t>Informovalo Komisiu, že jeho príslušné právne predpisy, ktorými sa transponovala daná smernica, sa nezmenia a budú sa od 1. januára 2021 naďalej uplatňovať. Komisia preskúmala právne predpisy Spojeného kráľovstva a dospela k záveru, že množiteľský materiál lesných kultúr vyprodukovaný v Spojenom kráľovstve je rovnocenný s množiteľským materiálom lesných kultúr vyprodukovaným v Únii a spĺňajúcim požiadavky smernice 1999/105/ES, keďže poskytuje rovnaké záruky z hľadiska schvaľovania základného materiálu a opatrení prijatých na jeho produkciu s cieľom ich uvádzania na trh ako takýto materiál vyprodukovaný v Únii.</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rFonts w:eastAsia="Arial Unicode MS"/>
          <w:noProof/>
        </w:rPr>
      </w:pPr>
      <w:r>
        <w:rPr>
          <w:noProof/>
        </w:rPr>
        <w:t>Ide o technické vykonávanie existujúcich požiadaviek, ktoré je v súlade s existujúcimi ustanoveniami v tejto oblasti politiky alebo v oblasti uvádzania osiva na trh.</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Tento návrh je v súlade s cieľmi obchodnej a poľnohospodárskej politiky Únie, pretože podporí obchod s množiteľským materiálom lesných kultúr, ktorý spĺňa požiadavky pravidiel Únie.</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Právny základ</w:t>
      </w:r>
    </w:p>
    <w:p>
      <w:pPr>
        <w:pBdr>
          <w:top w:val="nil"/>
          <w:left w:val="nil"/>
          <w:bottom w:val="nil"/>
          <w:right w:val="nil"/>
          <w:between w:val="nil"/>
          <w:bar w:val="nil"/>
        </w:pBdr>
        <w:spacing w:before="0" w:after="240"/>
        <w:rPr>
          <w:rFonts w:eastAsia="Arial Unicode MS"/>
          <w:noProof/>
        </w:rPr>
      </w:pPr>
      <w:r>
        <w:rPr>
          <w:noProof/>
        </w:rPr>
        <w:t>Právnym základom tohto aktu je článok 43 ods. 2 ZFEÚ, ktorým sa Európskemu parlamentu a Rade udeľuje právomoc zaviesť ustanovenia potrebné na dosiahnutie cieľov spoločnej poľnohospodárskej politiky.</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prípade inej ako výlučnej právomoci) </w:t>
      </w:r>
    </w:p>
    <w:p>
      <w:pPr>
        <w:pBdr>
          <w:top w:val="nil"/>
          <w:left w:val="nil"/>
          <w:bottom w:val="nil"/>
          <w:right w:val="nil"/>
          <w:between w:val="nil"/>
          <w:bar w:val="nil"/>
        </w:pBdr>
        <w:spacing w:before="0" w:after="240"/>
        <w:rPr>
          <w:rFonts w:eastAsia="Arial Unicode MS"/>
          <w:noProof/>
        </w:rPr>
      </w:pPr>
      <w:r>
        <w:rPr>
          <w:noProof/>
        </w:rPr>
        <w:t>Požiadavky na množiteľský materiál lesných kultúr sú regulované na úrovni Únie. Aby sa zaručil voľný pohyb takéhoto materiálu dovezeného zo Spojeného kráľovstva na vnútornom trhu, je potrebné prijať opatrenia na úrovni Únie.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rFonts w:eastAsia="Arial Unicode MS"/>
          <w:noProof/>
        </w:rPr>
      </w:pPr>
      <w:r>
        <w:rPr>
          <w:noProof/>
        </w:rPr>
        <w:t>Je to jediná možná forma opatrení Únie na dosiahnutie vytýčeného cieľa.</w:t>
      </w:r>
    </w:p>
    <w:p>
      <w:pPr>
        <w:pStyle w:val="ManualHeading2"/>
        <w:rPr>
          <w:rFonts w:eastAsia="Arial Unicode MS"/>
          <w:b w:val="0"/>
          <w:noProof/>
          <w:u w:color="000000"/>
          <w:bdr w:val="nil"/>
        </w:rPr>
      </w:pPr>
      <w:r>
        <w:rPr>
          <w:noProof/>
          <w:u w:color="000000"/>
          <w:bdr w:val="nil"/>
        </w:rPr>
        <w:lastRenderedPageBreak/>
        <w:t>•</w:t>
      </w:r>
      <w:r>
        <w:rPr>
          <w:noProof/>
        </w:rPr>
        <w:tab/>
      </w:r>
      <w:r>
        <w:rPr>
          <w:noProof/>
          <w:u w:color="000000"/>
          <w:bdr w:val="nil"/>
        </w:rPr>
        <w:t>Výber nástroja</w:t>
      </w:r>
    </w:p>
    <w:p>
      <w:pPr>
        <w:pBdr>
          <w:top w:val="nil"/>
          <w:left w:val="nil"/>
          <w:bottom w:val="nil"/>
          <w:right w:val="nil"/>
          <w:between w:val="nil"/>
          <w:bar w:val="nil"/>
        </w:pBdr>
        <w:spacing w:before="0" w:after="240"/>
        <w:rPr>
          <w:rFonts w:eastAsia="Arial Unicode MS"/>
          <w:noProof/>
        </w:rPr>
      </w:pPr>
      <w:r>
        <w:rPr>
          <w:noProof/>
        </w:rPr>
        <w:t>Rozhodnutie je vhodným nástrojom na toto technické vykonávanie existujúcich požiadaviek.</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Hodnotenia </w:t>
      </w:r>
      <w:r>
        <w:rPr>
          <w:i/>
          <w:noProof/>
          <w:u w:color="000000"/>
          <w:bdr w:val="nil"/>
        </w:rPr>
        <w:t>ex post</w:t>
      </w:r>
      <w:r>
        <w:rPr>
          <w:noProof/>
          <w:u w:color="000000"/>
          <w:bdr w:val="nil"/>
        </w:rPr>
        <w:t>/kontroly vhodnosti existujúcich právnych predpisov</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Konzultácie so zainteresovanými stranami</w:t>
      </w:r>
    </w:p>
    <w:p>
      <w:pPr>
        <w:pBdr>
          <w:top w:val="nil"/>
          <w:left w:val="nil"/>
          <w:bottom w:val="nil"/>
          <w:right w:val="nil"/>
          <w:between w:val="nil"/>
          <w:bar w:val="nil"/>
        </w:pBdr>
        <w:spacing w:before="0" w:after="240"/>
        <w:rPr>
          <w:rFonts w:eastAsia="Arial Unicode MS"/>
          <w:noProof/>
        </w:rPr>
      </w:pPr>
      <w:r>
        <w:rPr>
          <w:noProof/>
        </w:rPr>
        <w:t>Nevyžaduje sa žiadna samostatná konzultácia, keďže táto iniciatíva sa týka len technického vykonávania existujúcich pravidiel a ani v minulosti sa v rámci podobných iniciatív neuskutočnila samostatná konzultácia.</w:t>
      </w:r>
    </w:p>
    <w:p>
      <w:pPr>
        <w:pStyle w:val="ManualHeading2"/>
        <w:rPr>
          <w:rFonts w:eastAsia="Arial Unicode MS"/>
          <w:noProof/>
          <w:u w:color="000000"/>
          <w:bdr w:val="nil"/>
        </w:rPr>
      </w:pPr>
      <w:r>
        <w:rPr>
          <w:noProof/>
          <w:u w:color="000000"/>
          <w:bdr w:val="nil"/>
        </w:rPr>
        <w:t>•</w:t>
      </w:r>
      <w:r>
        <w:rPr>
          <w:noProof/>
        </w:rPr>
        <w:tab/>
      </w:r>
      <w:r>
        <w:rPr>
          <w:noProof/>
          <w:u w:color="000000"/>
          <w:bdr w:val="nil"/>
        </w:rPr>
        <w:t>Získavanie a využívanie expertízy</w:t>
      </w:r>
    </w:p>
    <w:p>
      <w:pPr>
        <w:pBdr>
          <w:top w:val="nil"/>
          <w:left w:val="nil"/>
          <w:bottom w:val="nil"/>
          <w:right w:val="nil"/>
          <w:between w:val="nil"/>
          <w:bar w:val="nil"/>
        </w:pBdr>
        <w:spacing w:before="0" w:after="240"/>
        <w:rPr>
          <w:noProof/>
        </w:rPr>
      </w:pPr>
      <w:r>
        <w:rPr>
          <w:noProof/>
        </w:rPr>
        <w:t>Komisia vykonala právnu analýzu v spolupráci so Spojeným kráľovstvom. Spojené kráľovstvo transponovalo a vykonáva smernicu 1999/105/ES, ako aj súvisiace vykonávacie akty, a dodržiavalo ich požiadavky ešte pred svojím vystúpením z Únie. Spojené kráľovstvo informovalo Komisiu, že tieto právne predpisy sa nezmenia a budú sa od 1. januára 2021 naďalej uplatňovať.</w:t>
      </w:r>
    </w:p>
    <w:p>
      <w:pPr>
        <w:pStyle w:val="ManualHeading2"/>
        <w:rPr>
          <w:rFonts w:eastAsia="Arial Unicode MS"/>
          <w:noProof/>
          <w:u w:color="000000"/>
          <w:bdr w:val="nil"/>
        </w:rPr>
      </w:pPr>
      <w:r>
        <w:rPr>
          <w:noProof/>
          <w:u w:color="000000"/>
          <w:bdr w:val="nil"/>
        </w:rPr>
        <w:t>•</w:t>
      </w:r>
      <w:r>
        <w:rPr>
          <w:noProof/>
        </w:rPr>
        <w:tab/>
      </w:r>
      <w:r>
        <w:rPr>
          <w:noProof/>
          <w:u w:color="000000"/>
          <w:bdr w:val="nil"/>
        </w:rPr>
        <w:t>Posúdenie vplyvu</w:t>
      </w:r>
    </w:p>
    <w:p>
      <w:pPr>
        <w:pBdr>
          <w:top w:val="nil"/>
          <w:left w:val="nil"/>
          <w:bottom w:val="nil"/>
          <w:right w:val="nil"/>
          <w:between w:val="nil"/>
          <w:bar w:val="nil"/>
        </w:pBdr>
        <w:spacing w:before="0" w:after="240"/>
        <w:rPr>
          <w:rFonts w:eastAsia="Arial Unicode MS"/>
          <w:noProof/>
        </w:rPr>
      </w:pPr>
      <w:r>
        <w:rPr>
          <w:noProof/>
        </w:rPr>
        <w:t>Ide o rozhodnutie čisto technickej povahy, ktorým sa vykonávajú existujúce pravidlá, takže posúdenie vplyvu nie je potrebné.</w:t>
      </w:r>
    </w:p>
    <w:p>
      <w:pPr>
        <w:pStyle w:val="ManualHeading2"/>
        <w:rPr>
          <w:rFonts w:eastAsia="Arial Unicode MS"/>
          <w:noProof/>
          <w:u w:color="000000"/>
          <w:bdr w:val="nil"/>
        </w:rPr>
      </w:pPr>
      <w:r>
        <w:rPr>
          <w:noProof/>
          <w:u w:color="000000"/>
          <w:bdr w:val="nil"/>
        </w:rPr>
        <w:t>•</w:t>
      </w:r>
      <w:r>
        <w:rPr>
          <w:noProof/>
        </w:rPr>
        <w:tab/>
      </w:r>
      <w:r>
        <w:rPr>
          <w:noProof/>
          <w:u w:color="000000"/>
          <w:bdr w:val="nil"/>
        </w:rPr>
        <w:t>Regulačná vhodnosť a zjednodušenie</w:t>
      </w:r>
    </w:p>
    <w:p>
      <w:pPr>
        <w:pBdr>
          <w:top w:val="nil"/>
          <w:left w:val="nil"/>
          <w:bottom w:val="nil"/>
          <w:right w:val="nil"/>
          <w:between w:val="nil"/>
          <w:bar w:val="nil"/>
        </w:pBdr>
        <w:spacing w:before="0" w:after="240"/>
        <w:rPr>
          <w:rFonts w:eastAsia="Arial Unicode MS"/>
          <w:noProof/>
        </w:rPr>
      </w:pPr>
      <w:r>
        <w:rPr>
          <w:noProof/>
        </w:rPr>
        <w:t>Tento návrh nesúvisí s programom REFIT. Návrhom sa zachová obchod s množiteľským materiálom lesných kultúr medzi Spojeným kráľovstvom a Úniou. Vďaka rovnocennosti by sa teda zachovala kontinuálna ponuka vysokokvalitného osiva v Únii. Z návrhu nevyplývajú pre prevádzkovateľov žiadne náklady na účely súladu s predpismi. Na tento návrh sa neuplatňuje tzv. digitálna kontrola.</w:t>
      </w:r>
    </w:p>
    <w:p>
      <w:pPr>
        <w:pStyle w:val="ManualHeading2"/>
        <w:rPr>
          <w:rFonts w:eastAsia="Arial Unicode MS"/>
          <w:noProof/>
          <w:u w:color="000000"/>
          <w:bdr w:val="nil"/>
        </w:rPr>
      </w:pPr>
      <w:r>
        <w:rPr>
          <w:noProof/>
          <w:u w:color="000000"/>
          <w:bdr w:val="nil"/>
        </w:rPr>
        <w:t>•</w:t>
      </w:r>
      <w:r>
        <w:rPr>
          <w:noProof/>
        </w:rPr>
        <w:tab/>
      </w:r>
      <w:r>
        <w:rPr>
          <w:noProof/>
          <w:u w:color="000000"/>
          <w:bdr w:val="nil"/>
        </w:rPr>
        <w:t>Základné práva</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Žiaden</w:t>
      </w:r>
    </w:p>
    <w:p>
      <w:pPr>
        <w:pStyle w:val="ManualHeading1"/>
        <w:rPr>
          <w:noProof/>
        </w:rPr>
      </w:pPr>
      <w:r>
        <w:rPr>
          <w:noProof/>
        </w:rPr>
        <w:t>5.</w:t>
      </w:r>
      <w:r>
        <w:rPr>
          <w:noProof/>
        </w:rPr>
        <w:tab/>
        <w:t>INÉ PRVKY</w:t>
      </w:r>
    </w:p>
    <w:p>
      <w:pPr>
        <w:pStyle w:val="ManualHeading2"/>
        <w:rPr>
          <w:rFonts w:eastAsia="Arial Unicode MS"/>
          <w:noProof/>
          <w:u w:color="000000"/>
          <w:bdr w:val="nil"/>
        </w:rPr>
      </w:pPr>
      <w:r>
        <w:rPr>
          <w:noProof/>
          <w:u w:color="000000"/>
          <w:bdr w:val="nil"/>
        </w:rPr>
        <w:t>•</w:t>
      </w:r>
      <w:r>
        <w:rPr>
          <w:noProof/>
        </w:rPr>
        <w:tab/>
      </w:r>
      <w:r>
        <w:rPr>
          <w:noProof/>
          <w:u w:color="000000"/>
          <w:bdr w:val="nil"/>
        </w:rPr>
        <w:t>Plány vykonávania, spôsob monitorovania, hodnotenia a podávania správ</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u w:color="000000"/>
          <w:bdr w:val="nil"/>
        </w:rPr>
        <w:t>•</w:t>
      </w:r>
      <w:r>
        <w:rPr>
          <w:noProof/>
        </w:rPr>
        <w:tab/>
      </w:r>
      <w:r>
        <w:rPr>
          <w:noProof/>
          <w:u w:color="000000"/>
          <w:bdr w:val="nil"/>
        </w:rPr>
        <w:t>Vysvetľujúce dokumenty (v prípade smerníc)</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Podrobné vysvetlenie konkrétnych ustanovení návrhu</w:t>
      </w:r>
    </w:p>
    <w:p>
      <w:pPr>
        <w:pBdr>
          <w:top w:val="nil"/>
          <w:left w:val="nil"/>
          <w:bottom w:val="nil"/>
          <w:right w:val="nil"/>
          <w:between w:val="nil"/>
          <w:bar w:val="nil"/>
        </w:pBdr>
        <w:spacing w:before="0" w:after="240"/>
        <w:rPr>
          <w:noProof/>
        </w:rPr>
      </w:pPr>
      <w:r>
        <w:rPr>
          <w:noProof/>
        </w:rPr>
        <w:t>V rozhodnutí Rady 2008/971/ES sa stanovujú podmienky, za akých sa do Únie dováža množiteľský materiál lesných kultúr kategórií „identifikovaný zdroj“, „selektovaný“ a „kvalifikovaný“, vyprodukovaný v tretej krajine uvedenej v prílohe I. Uplatňuje sa za predpokladu, že sú splnené podmienky stanovené v prílohe II k danému rozhodnutiu a v smerniciach Rady 2000/29/ES a 2001/18/ES. Systémy schvaľovania a registrácie základného materiálu a následná produkcia množiteľského materiálu z tohto základného materiálu pod kontrolou orgánov tretej krajiny uvedených v prílohe I k danému rozhodnutiu alebo pod úradným dohľadom týchto orgánov, ktoré sa používajú v tretích krajinách zaradených do zoznamu v uvedenej prílohe, sa považujú za rovnocenné so systémami, ktoré používajú členské štáty v súlade so smernicou 1999/105/ES.</w:t>
      </w:r>
    </w:p>
    <w:p>
      <w:pPr>
        <w:pBdr>
          <w:top w:val="nil"/>
          <w:left w:val="nil"/>
          <w:bottom w:val="nil"/>
          <w:right w:val="nil"/>
          <w:between w:val="nil"/>
          <w:bar w:val="nil"/>
        </w:pBdr>
        <w:spacing w:before="0" w:after="240"/>
        <w:rPr>
          <w:rFonts w:eastAsia="Calibri"/>
          <w:noProof/>
        </w:rPr>
      </w:pPr>
      <w:r>
        <w:rPr>
          <w:noProof/>
        </w:rPr>
        <w:t>Jediným hmotnoprávnym ustanovením uvedeným v návrhu je doplnenie Spojeného kráľovstva do zoznamu krajín, v prípade ktorých Únia uznáva rovnocennosť množiteľského materiálu lesných kultúr, a najmä materiálu kategórií „identifikovaný zdroj“, „selektovaný“ a „kvalifikovaný“, s takýmto materiálom vyprodukovaným v Únii. Toto rozhodnutie bolo prijaté na základe preskúmania uplatniteľných právnych predpisov Spojeného kráľovstva, z ktorého bol vyvodený záver, že požiadavky týchto právnych predpisov, ako aj používaný systém sú rovnocenné s požiadavkami smernice 1999/105/ES a rozhodnutí Rady 2008/971/ES a poskytujú rovnaké záruky ako systém Únie.</w:t>
      </w:r>
    </w:p>
    <w:p>
      <w:pPr>
        <w:pBdr>
          <w:top w:val="nil"/>
          <w:left w:val="nil"/>
          <w:bottom w:val="nil"/>
          <w:right w:val="nil"/>
          <w:between w:val="nil"/>
          <w:bar w:val="nil"/>
        </w:pBdr>
        <w:spacing w:before="0" w:after="240"/>
        <w:rPr>
          <w:noProof/>
        </w:rPr>
      </w:pPr>
      <w:r>
        <w:rPr>
          <w:noProof/>
        </w:rPr>
        <w:t>Po doplnení Spojeného kráľovstva do zoznamu krajín v prílohe I k rozhodnutiu 2008/971 bude povolený dovoz množiteľského materiálu lesných kultúr zo Spojeného kráľovstva do Únie.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2020/0378 (COD)</w:t>
      </w:r>
    </w:p>
    <w:p>
      <w:pPr>
        <w:pStyle w:val="Statut"/>
        <w:rPr>
          <w:noProof/>
        </w:rPr>
      </w:pPr>
      <w:r>
        <w:rPr>
          <w:noProof/>
        </w:rPr>
        <w:t>Návrh</w:t>
      </w:r>
    </w:p>
    <w:p>
      <w:pPr>
        <w:pStyle w:val="Typedudocument"/>
        <w:rPr>
          <w:noProof/>
        </w:rPr>
      </w:pPr>
      <w:r>
        <w:rPr>
          <w:noProof/>
        </w:rPr>
        <w:t>ROZHODNUTIE EURÓPSKEHO PARLAMENTU A RADY,</w:t>
      </w:r>
    </w:p>
    <w:p>
      <w:pPr>
        <w:pStyle w:val="Titreobjet"/>
        <w:rPr>
          <w:noProof/>
        </w:rPr>
      </w:pPr>
      <w:r>
        <w:rPr>
          <w:noProof/>
        </w:rPr>
        <w:t>ktorým sa mení rozhodnutie Rady 2008/971/ES, pokiaľ ide o rovnocennosť množiteľského materiálu lesných kultúr vyprodukovaného v Spojenom kráľovstve s takýmto materiálom vyprodukovaným v Únii</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szCs w:val="24"/>
        </w:rPr>
      </w:pPr>
      <w:r>
        <w:rPr>
          <w:noProof/>
        </w:rPr>
        <w:t>so zreteľom na Zmluvu o fungovaní Európskej únie, a najmä na jej článok 43 ods. 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V rozhodnutí Rady 2008/971/ES</w:t>
      </w:r>
      <w:r>
        <w:rPr>
          <w:rStyle w:val="FootnoteReference"/>
          <w:noProof/>
        </w:rPr>
        <w:footnoteReference w:id="1"/>
      </w:r>
      <w:r>
        <w:rPr>
          <w:noProof/>
        </w:rPr>
        <w:t xml:space="preserve"> sú stanovené pravidlá týkajúce sa rovnocennosti množiteľského materiálu lesných kultúr vyprodukovaného v tretích krajinách.</w:t>
      </w:r>
    </w:p>
    <w:p>
      <w:pPr>
        <w:pStyle w:val="ManualConsidrant"/>
        <w:rPr>
          <w:noProof/>
        </w:rPr>
      </w:pPr>
      <w:r>
        <w:t>(2)</w:t>
      </w:r>
      <w:r>
        <w:tab/>
      </w:r>
      <w:r>
        <w:rPr>
          <w:noProof/>
        </w:rPr>
        <w:t>Smernica Rady 1999/105/ES</w:t>
      </w:r>
      <w:r>
        <w:rPr>
          <w:rStyle w:val="FootnoteReference"/>
          <w:noProof/>
        </w:rPr>
        <w:footnoteReference w:id="2"/>
      </w:r>
      <w:r>
        <w:rPr>
          <w:noProof/>
        </w:rPr>
        <w:t xml:space="preserve"> sa uplatňuje na uvádzanie množiteľského materiálu lesných kultúr na trh v Únii. Týka sa množiteľského materiálu tých druhov stromov a ich umelých hybridov, ktoré sú dôležité pre potreby lesníctva v celej Únii.</w:t>
      </w:r>
    </w:p>
    <w:p>
      <w:pPr>
        <w:pStyle w:val="ManualConsidrant"/>
        <w:rPr>
          <w:noProof/>
        </w:rPr>
      </w:pPr>
      <w:r>
        <w:t>(3)</w:t>
      </w:r>
      <w:r>
        <w:tab/>
      </w:r>
      <w:r>
        <w:rPr>
          <w:noProof/>
        </w:rPr>
        <w:t xml:space="preserve">Spojené kráľovstvo transponovalo a účinne vykonáva smernicu Rady 1999/105/ES, ako aj súvisiace vykonávacie akty. </w:t>
      </w:r>
    </w:p>
    <w:p>
      <w:pPr>
        <w:pStyle w:val="ManualConsidrant"/>
        <w:rPr>
          <w:noProof/>
        </w:rPr>
      </w:pPr>
      <w:r>
        <w:t>(4)</w:t>
      </w:r>
      <w:r>
        <w:tab/>
      </w:r>
      <w:r>
        <w:rPr>
          <w:noProof/>
        </w:rPr>
        <w:t xml:space="preserve">V súlade s Dohodou o vystúpení Spojeného kráľovstva Veľkej Británie a Severného Írska z Európskej únie a z Európskeho spoločenstva pre atómovú energiu (dohoda o vystúpení), a najmä s jej článkom 126 a článkom 127 ods. 1, sa právo Únie, a teda aj </w:t>
      </w:r>
      <w:r>
        <w:rPr>
          <w:noProof/>
          <w:shd w:val="clear" w:color="auto" w:fill="FFFFFF"/>
        </w:rPr>
        <w:t>smernica 1999/105/ES</w:t>
      </w:r>
      <w:r>
        <w:rPr>
          <w:noProof/>
        </w:rPr>
        <w:t xml:space="preserve"> a rozhodnutie 2008/971/ES, uplatňuje na Spojené kráľovstvo a v Spojenom kráľovstve počas prechodného obdobia, ktoré sa skončí 31. decembra 2020.</w:t>
      </w:r>
    </w:p>
    <w:p>
      <w:pPr>
        <w:pStyle w:val="ManualConsidrant"/>
        <w:rPr>
          <w:noProof/>
        </w:rPr>
      </w:pPr>
      <w:r>
        <w:t>(5)</w:t>
      </w:r>
      <w:r>
        <w:tab/>
      </w:r>
      <w:r>
        <w:rPr>
          <w:noProof/>
        </w:rPr>
        <w:t>Vzhľadom na koniec prechodného obdobia stanoveného v dohode o vystúpení Spojené kráľovstvo predložilo Komisii žiadosť, aby sa od 1. januára 2021 množiteľský materiál lesných kultúr vyprodukovaný v Spojenom kráľovstve považoval za rovnocenný s množiteľským materiálom lesných kultúr vyprodukovaným v Únii v súlade s príslušnými právnymi predpismi Únie.</w:t>
      </w:r>
    </w:p>
    <w:p>
      <w:pPr>
        <w:pStyle w:val="ManualConsidrant"/>
        <w:rPr>
          <w:noProof/>
        </w:rPr>
      </w:pPr>
      <w:r>
        <w:lastRenderedPageBreak/>
        <w:t>(6)</w:t>
      </w:r>
      <w:r>
        <w:tab/>
      </w:r>
      <w:r>
        <w:rPr>
          <w:noProof/>
        </w:rPr>
        <w:t xml:space="preserve">Spojené kráľovstvo informovalo Komisiu, že jeho právne predpisy, ktorými sa transponovala smernica 1999/105/ES, sa nezmenia a budú sa od 1. januára 2021 naďalej uplatňovať. </w:t>
      </w:r>
    </w:p>
    <w:p>
      <w:pPr>
        <w:pStyle w:val="ManualConsidrant"/>
        <w:rPr>
          <w:noProof/>
        </w:rPr>
      </w:pPr>
      <w:r>
        <w:t>(7)</w:t>
      </w:r>
      <w:r>
        <w:tab/>
      </w:r>
      <w:r>
        <w:rPr>
          <w:noProof/>
        </w:rPr>
        <w:t>Komisia preskúmala príslušné právne predpisy Spojeného kráľovstva. Dospela k záveru, že množiteľský materiál lesných kultúr, najmä materiál kategórií „identifikovaný zdroj“, „selektovaný“ a „kvalifikovaný“, ktorý je vyprodukovaný v Spojenom kráľovstve, je rovnocenný s množiteľským materiálom lesných kultúr vyprodukovaným v Únii a spĺňajúcim požiadavky smernice 1999/105 a podmienky prílohy II k rozhodnutiu 2008/971/ES, keďže poskytuje rovnaké záruky z hľadiska schvaľovania základného materiálu a opatrení prijatých na jeho produkciu s cieľom uvádzania na trh ako takýto materiál vyprodukovaný v Únii.</w:t>
      </w:r>
    </w:p>
    <w:p>
      <w:pPr>
        <w:pStyle w:val="ManualConsidrant"/>
        <w:rPr>
          <w:noProof/>
        </w:rPr>
      </w:pPr>
      <w:r>
        <w:t>(8)</w:t>
      </w:r>
      <w:r>
        <w:tab/>
      </w:r>
      <w:r>
        <w:rPr>
          <w:noProof/>
        </w:rPr>
        <w:t>Preto je vhodné uznať množiteľský materiál lesných kultúr vyprodukovaný v Spojenom kráľovstve za rovnocenný s takýmto materiálom vyprodukovaným v Únii.</w:t>
      </w:r>
    </w:p>
    <w:p>
      <w:pPr>
        <w:pStyle w:val="ManualConsidrant"/>
        <w:rPr>
          <w:noProof/>
        </w:rPr>
      </w:pPr>
      <w:r>
        <w:t>(9)</w:t>
      </w:r>
      <w:r>
        <w:tab/>
      </w:r>
      <w:r>
        <w:rPr>
          <w:noProof/>
        </w:rPr>
        <w:t>Spojené kráľovstvo by sa preto malo začleniť do prílohy I k rozhodnutiu 2008/971/ES bez toho, aby bolo dotknuté uplatňovanie práva Únie na Spojené kráľovstvo a v Spojenom kráľovstve v súvislosti so Severným Írskom v súlade s článkom 5 ods. 4 Protokolu o Írsku/Severnom Írsku k dohode o vystúpení v spojení s prílohou 2 k uvedenému protokolu.</w:t>
      </w:r>
    </w:p>
    <w:p>
      <w:pPr>
        <w:pStyle w:val="ManualConsidrant"/>
        <w:rPr>
          <w:noProof/>
        </w:rPr>
      </w:pPr>
      <w:r>
        <w:t>(10)</w:t>
      </w:r>
      <w:r>
        <w:tab/>
      </w:r>
      <w:r>
        <w:rPr>
          <w:noProof/>
        </w:rPr>
        <w:t>Rozhodnutie 2008/971/ES by sa preto malo zodpovedajúcim spôsobom zmeniť.</w:t>
      </w:r>
    </w:p>
    <w:p>
      <w:pPr>
        <w:pStyle w:val="ManualConsidrant"/>
        <w:rPr>
          <w:noProof/>
        </w:rPr>
      </w:pPr>
      <w:r>
        <w:t>(11)</w:t>
      </w:r>
      <w:r>
        <w:tab/>
      </w:r>
      <w:r>
        <w:rPr>
          <w:noProof/>
        </w:rPr>
        <w:t>Keďže prechodné obdobie stanovené v dohode o vystúpení sa skončí 31. decembra 2020, toto rozhodnutie by sa malo uplatňovať od 1. januára 2021,</w:t>
      </w:r>
    </w:p>
    <w:p>
      <w:pPr>
        <w:pStyle w:val="Formuledadoption"/>
        <w:rPr>
          <w:noProof/>
        </w:rPr>
      </w:pPr>
      <w:r>
        <w:rPr>
          <w:noProof/>
        </w:rPr>
        <w:t>PRIJALI TOTO ROZHODNUTIE:</w:t>
      </w:r>
    </w:p>
    <w:p>
      <w:pPr>
        <w:pStyle w:val="Titrearticle"/>
        <w:spacing w:after="0"/>
        <w:rPr>
          <w:noProof/>
        </w:rPr>
      </w:pPr>
      <w:r>
        <w:rPr>
          <w:noProof/>
        </w:rPr>
        <w:t>Článok 1</w:t>
      </w:r>
    </w:p>
    <w:p>
      <w:pPr>
        <w:pStyle w:val="Titrearticle"/>
        <w:spacing w:before="0"/>
        <w:rPr>
          <w:b/>
          <w:i w:val="0"/>
          <w:noProof/>
        </w:rPr>
      </w:pPr>
      <w:r>
        <w:rPr>
          <w:b/>
          <w:i w:val="0"/>
          <w:noProof/>
        </w:rPr>
        <w:t>Zmeny rozhodnutia 2008/971/ES</w:t>
      </w:r>
    </w:p>
    <w:p>
      <w:pPr>
        <w:rPr>
          <w:noProof/>
        </w:rPr>
      </w:pPr>
      <w:r>
        <w:rPr>
          <w:noProof/>
        </w:rPr>
        <w:t>Príloha I k rozhodnutiu 2008/971/ES sa mení v súlade s prílohou k tomuto rozhodnutiu.</w:t>
      </w:r>
    </w:p>
    <w:p>
      <w:pPr>
        <w:pStyle w:val="Titrearticle"/>
        <w:spacing w:after="0"/>
        <w:rPr>
          <w:noProof/>
        </w:rPr>
      </w:pPr>
      <w:r>
        <w:rPr>
          <w:noProof/>
        </w:rPr>
        <w:t>Článok 2</w:t>
      </w:r>
    </w:p>
    <w:p>
      <w:pPr>
        <w:pStyle w:val="Titrearticle"/>
        <w:spacing w:before="0"/>
        <w:rPr>
          <w:noProof/>
        </w:rPr>
      </w:pPr>
      <w:r>
        <w:rPr>
          <w:b/>
          <w:i w:val="0"/>
          <w:noProof/>
        </w:rPr>
        <w:t>Nadobudnutie účinnosti a uplatňovanie</w:t>
      </w:r>
    </w:p>
    <w:p>
      <w:pPr>
        <w:rPr>
          <w:noProof/>
        </w:rPr>
      </w:pPr>
      <w:r>
        <w:rPr>
          <w:noProof/>
        </w:rPr>
        <w:t xml:space="preserve">Toto rozhodnutie nadobúda účinnosť tretím dňom po jeho uverejnení v </w:t>
      </w:r>
      <w:r>
        <w:rPr>
          <w:i/>
          <w:noProof/>
        </w:rPr>
        <w:t>Úradnom vestníku Európskej únie</w:t>
      </w:r>
      <w:r>
        <w:rPr>
          <w:noProof/>
        </w:rPr>
        <w:t>.</w:t>
      </w:r>
    </w:p>
    <w:p>
      <w:pPr>
        <w:rPr>
          <w:noProof/>
        </w:rPr>
      </w:pPr>
      <w:r>
        <w:rPr>
          <w:noProof/>
        </w:rPr>
        <w:t>Uplatňuje sa od 1. januára 2021.</w:t>
      </w:r>
    </w:p>
    <w:p>
      <w:pPr>
        <w:pStyle w:val="Titrearticle"/>
        <w:spacing w:after="0"/>
        <w:rPr>
          <w:noProof/>
        </w:rPr>
      </w:pPr>
      <w:r>
        <w:rPr>
          <w:noProof/>
        </w:rPr>
        <w:t>Článok 3</w:t>
      </w:r>
    </w:p>
    <w:p>
      <w:pPr>
        <w:pStyle w:val="Titrearticle"/>
        <w:spacing w:before="0"/>
        <w:rPr>
          <w:noProof/>
        </w:rPr>
      </w:pPr>
      <w:r>
        <w:rPr>
          <w:b/>
          <w:i w:val="0"/>
          <w:noProof/>
        </w:rPr>
        <w:t>Adresáti</w:t>
      </w:r>
    </w:p>
    <w:p>
      <w:pPr>
        <w:rPr>
          <w:noProof/>
        </w:rPr>
      </w:pPr>
      <w:r>
        <w:rPr>
          <w:noProof/>
        </w:rPr>
        <w:t xml:space="preserve">Toto rozhodnutie je určené členským štátom. </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spacing w:before="0" w:beforeAutospacing="0" w:after="120" w:afterAutospacing="0"/>
        <w:ind w:left="720" w:hanging="720"/>
        <w:jc w:val="both"/>
      </w:pPr>
      <w:r>
        <w:rPr>
          <w:rStyle w:val="FootnoteReference"/>
        </w:rPr>
        <w:footnoteRef/>
      </w:r>
      <w:r>
        <w:tab/>
      </w:r>
      <w:r>
        <w:rPr>
          <w:sz w:val="20"/>
          <w:szCs w:val="20"/>
        </w:rPr>
        <w:t>Rozhodnutie Rady 2008/971/ES zo 16. decembra 2008 o rovnocennosti množiteľského materiálu lesných kultúr produkovaného v tretích krajinách (</w:t>
      </w:r>
      <w:r>
        <w:rPr>
          <w:rStyle w:val="Emphasis"/>
          <w:i w:val="0"/>
          <w:sz w:val="20"/>
          <w:szCs w:val="20"/>
        </w:rPr>
        <w:t>Ú. v. EÚ L 345, 23.12.2008, s. 83).</w:t>
      </w:r>
    </w:p>
  </w:footnote>
  <w:footnote w:id="2">
    <w:p>
      <w:pPr>
        <w:pStyle w:val="FootnoteText"/>
        <w:spacing w:after="120"/>
      </w:pPr>
      <w:r>
        <w:rPr>
          <w:rStyle w:val="FootnoteReference"/>
        </w:rPr>
        <w:footnoteRef/>
      </w:r>
      <w:r>
        <w:tab/>
        <w:t>Smernica Rady 1999/105/ES z 22. decembra 1999 o uvádzaní množiteľského materiálu lesných kultúr na trh (Ú. v. ES L 11, 15.1.2000, s.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EAB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6832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40D0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D6786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9E94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EA7E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D384A22"/>
    <w:lvl w:ilvl="0">
      <w:start w:val="1"/>
      <w:numFmt w:val="decimal"/>
      <w:pStyle w:val="ListNumber"/>
      <w:lvlText w:val="%1."/>
      <w:lvlJc w:val="left"/>
      <w:pPr>
        <w:tabs>
          <w:tab w:val="num" w:pos="360"/>
        </w:tabs>
        <w:ind w:left="360" w:hanging="360"/>
      </w:pPr>
    </w:lvl>
  </w:abstractNum>
  <w:abstractNum w:abstractNumId="7">
    <w:nsid w:val="FFFFFF89"/>
    <w:multiLevelType w:val="singleLevel"/>
    <w:tmpl w:val="3FECC7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2-22 10:58: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A8635C9-9A13-49F9-8D9D-549B149CCD46"/>
    <w:docVar w:name="LW_COVERPAGE_TYPE" w:val="1"/>
    <w:docVar w:name="LW_CROSSREFERENCE" w:val="&lt;UNUSED&gt;"/>
    <w:docVar w:name="LW_DocType" w:val="COM"/>
    <w:docVar w:name="LW_EMISSION" w:val="23. 12. 2020"/>
    <w:docVar w:name="LW_EMISSION_ISODATE" w:val="2020-12-23"/>
    <w:docVar w:name="LW_EMISSION_LOCATION" w:val="BRX"/>
    <w:docVar w:name="LW_EMISSION_PREFIX" w:val="V Bruseli"/>
    <w:docVar w:name="LW_EMISSION_SUFFIX" w:val=" "/>
    <w:docVar w:name="LW_ID_DOCMODEL" w:val="SJ-025"/>
    <w:docVar w:name="LW_ID_DOCSIGNATURE" w:val="SJ-025"/>
    <w:docVar w:name="LW_ID_DOCSTRUCTURE" w:val="COM/PL/ORG"/>
    <w:docVar w:name="LW_ID_DOCTYPE" w:val="SJ-025"/>
    <w:docVar w:name="LW_ID_STATUT" w:val="SJ-025"/>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378"/>
    <w:docVar w:name="LW_REF.II.NEW.CP_YEAR" w:val="2020"/>
    <w:docVar w:name="LW_REF.INST.NEW" w:val="COM"/>
    <w:docVar w:name="LW_REF.INST.NEW_ADOPTED" w:val="final"/>
    <w:docVar w:name="LW_REF.INST.NEW_TEXT" w:val="(2020) 8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mení rozhodnutie Rady 2008/971/ES, pokia\u318? ide o rovnocennos\u357? mno\u382?ite\u318?ského materiálu lesných kultúr vyprodukovaného v Spojenom krá\u318?ovstve s takýmto materiálom vyprodukovaným v Únii"/>
    <w:docVar w:name="LW_TYPE.DOC.CP" w:val="ROZHODNUT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Art">
    <w:name w:val="Art"/>
    <w:basedOn w:val="Text1"/>
    <w:pPr>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Art">
    <w:name w:val="Art"/>
    <w:basedOn w:val="Text1"/>
    <w:pPr>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3508">
      <w:bodyDiv w:val="1"/>
      <w:marLeft w:val="0"/>
      <w:marRight w:val="0"/>
      <w:marTop w:val="0"/>
      <w:marBottom w:val="0"/>
      <w:divBdr>
        <w:top w:val="none" w:sz="0" w:space="0" w:color="auto"/>
        <w:left w:val="none" w:sz="0" w:space="0" w:color="auto"/>
        <w:bottom w:val="none" w:sz="0" w:space="0" w:color="auto"/>
        <w:right w:val="none" w:sz="0" w:space="0" w:color="auto"/>
      </w:divBdr>
    </w:div>
    <w:div w:id="929238839">
      <w:bodyDiv w:val="1"/>
      <w:marLeft w:val="0"/>
      <w:marRight w:val="0"/>
      <w:marTop w:val="0"/>
      <w:marBottom w:val="0"/>
      <w:divBdr>
        <w:top w:val="none" w:sz="0" w:space="0" w:color="auto"/>
        <w:left w:val="none" w:sz="0" w:space="0" w:color="auto"/>
        <w:bottom w:val="none" w:sz="0" w:space="0" w:color="auto"/>
        <w:right w:val="none" w:sz="0" w:space="0" w:color="auto"/>
      </w:divBdr>
    </w:div>
    <w:div w:id="1674724883">
      <w:bodyDiv w:val="1"/>
      <w:marLeft w:val="0"/>
      <w:marRight w:val="0"/>
      <w:marTop w:val="0"/>
      <w:marBottom w:val="0"/>
      <w:divBdr>
        <w:top w:val="none" w:sz="0" w:space="0" w:color="auto"/>
        <w:left w:val="none" w:sz="0" w:space="0" w:color="auto"/>
        <w:bottom w:val="none" w:sz="0" w:space="0" w:color="auto"/>
        <w:right w:val="none" w:sz="0" w:space="0" w:color="auto"/>
      </w:divBdr>
    </w:div>
    <w:div w:id="19537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1778-C545-4873-834B-89E2F199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1344</Words>
  <Characters>8469</Characters>
  <Application>Microsoft Office Word</Application>
  <DocSecurity>0</DocSecurity>
  <Lines>166</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2020-12-21T15:09:00Z</dcterms:created>
  <dcterms:modified xsi:type="dcterms:W3CDTF">2020-12-22T09:58:00Z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SJ-025</vt:lpwstr>
  </property>
  <property fmtid="{D5CDD505-2E9C-101B-9397-08002B2CF9AE}" pid="9" name="Level of sensitivity">
    <vt:lpwstr>Standard treatment</vt:lpwstr>
  </property>
  <property fmtid="{D5CDD505-2E9C-101B-9397-08002B2CF9AE}" pid="10" name="DQCStatus">
    <vt:lpwstr>Green (DQC version 03)</vt:lpwstr>
  </property>
</Properties>
</file>