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EF" w:rsidRDefault="005A422B" w:rsidP="005A422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C43F9BF-9E42-4AF4-BEF8-F3865FF25E87" style="width:450.6pt;height:445.8pt">
            <v:imagedata r:id="rId8" o:title=""/>
          </v:shape>
        </w:pict>
      </w:r>
    </w:p>
    <w:p w:rsidR="003B3CEF" w:rsidRDefault="003B3CEF">
      <w:pPr>
        <w:rPr>
          <w:noProof/>
        </w:rPr>
        <w:sectPr w:rsidR="003B3CEF" w:rsidSect="005A422B">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3B3CEF" w:rsidRDefault="005A422B">
      <w:pPr>
        <w:pStyle w:val="Exposdesmotifstitre"/>
        <w:rPr>
          <w:noProof/>
        </w:rPr>
      </w:pPr>
      <w:bookmarkStart w:id="0" w:name="_GoBack"/>
      <w:bookmarkEnd w:id="0"/>
      <w:r>
        <w:rPr>
          <w:noProof/>
        </w:rPr>
        <w:lastRenderedPageBreak/>
        <w:t>ΑΙΤΙΟΛΟΓΙΚΗ ΕΚΘΕΣΗ</w:t>
      </w:r>
    </w:p>
    <w:p w:rsidR="003B3CEF" w:rsidRDefault="005A422B">
      <w:pPr>
        <w:pStyle w:val="ManualHeading1"/>
        <w:rPr>
          <w:noProof/>
        </w:rPr>
      </w:pPr>
      <w:r>
        <w:rPr>
          <w:noProof/>
        </w:rPr>
        <w:t>1.</w:t>
      </w:r>
      <w:r>
        <w:rPr>
          <w:noProof/>
        </w:rPr>
        <w:tab/>
        <w:t>ΠΛΑΙΣΙΟ ΤΗΣ ΠΡΟΤΑΣΗΣ</w:t>
      </w:r>
    </w:p>
    <w:p w:rsidR="003B3CEF" w:rsidRDefault="005A422B">
      <w:pPr>
        <w:pStyle w:val="Bullet1"/>
        <w:numPr>
          <w:ilvl w:val="0"/>
          <w:numId w:val="18"/>
        </w:numPr>
        <w:rPr>
          <w:b/>
          <w:noProof/>
        </w:rPr>
      </w:pPr>
      <w:r>
        <w:rPr>
          <w:b/>
          <w:noProof/>
        </w:rPr>
        <w:t>Αιτιολόγηση και στόχοι της πρότασης</w:t>
      </w:r>
    </w:p>
    <w:p w:rsidR="003B3CEF" w:rsidRDefault="005A422B">
      <w:pPr>
        <w:pStyle w:val="Text2"/>
        <w:rPr>
          <w:noProof/>
        </w:rPr>
      </w:pPr>
      <w:r>
        <w:rPr>
          <w:noProof/>
        </w:rPr>
        <w:t xml:space="preserve">Στις 29 Μαρτίου 2017 το Ηνωμένο Βασίλειο γνωστοποίησε στο Ευρωπαϊκό Συμβούλιο την πρόθεσή του να αποχωρήσει από την Ευρωπαϊκή Ένωση και την Ευρωπαϊκή Κοινότητα Ατομικής Ενέργειας σύμφωνα με το άρθρο 50 της Συνθήκης για την Ευρωπαϊκή Ένωση (ΣΕΕ). </w:t>
      </w:r>
    </w:p>
    <w:p w:rsidR="003B3CEF" w:rsidRDefault="005A422B">
      <w:pPr>
        <w:pStyle w:val="Text2"/>
        <w:rPr>
          <w:noProof/>
        </w:rPr>
      </w:pPr>
      <w:r>
        <w:rPr>
          <w:noProof/>
        </w:rPr>
        <w:t>Στις 30 Ι</w:t>
      </w:r>
      <w:r>
        <w:rPr>
          <w:noProof/>
        </w:rPr>
        <w:t>ανουαρίου 2020, κατόπιν έγκρισης του Ευρωπαϊκού Κοινοβουλίου, το Συμβούλιο εξέδωσε την απόφαση (ΕΕ) 2020/135 σχετικά με τη σύναψη της συμφωνίας για την αποχώρηση του Ηνωμένου Βασιλείου της Μεγάλης Βρετανίας και της Βόρειας Ιρλανδίας από την Ευρωπαϊκή Ένωση</w:t>
      </w:r>
      <w:r>
        <w:rPr>
          <w:noProof/>
        </w:rPr>
        <w:t xml:space="preserve"> και την Ευρωπαϊκή Κοινότητα Ατομικής Ενέργειας (στο εξής: συμφωνία αποχώρησης)</w:t>
      </w:r>
      <w:r>
        <w:rPr>
          <w:rStyle w:val="FootnoteReference"/>
          <w:noProof/>
        </w:rPr>
        <w:footnoteReference w:id="2"/>
      </w:r>
      <w:r>
        <w:rPr>
          <w:noProof/>
        </w:rPr>
        <w:t>. Η συμφωνία αποχώρησης τέθηκε σε ισχύ την 1η Φεβρουαρίου 2020 και προβλέπει μεταβατική περίοδο κατά τη διάρκεια της οποίας το δίκαιο της Ένωσης θα εφαρμόζεται ως προς το Ηνωμέ</w:t>
      </w:r>
      <w:r>
        <w:rPr>
          <w:noProof/>
        </w:rPr>
        <w:t>νο Βασίλειο και εντός αυτού σύμφωνα με την εν λόγω συμφωνία. Η περίοδος αυτή θα λήξει στις 31 Δεκεμβρίου 2020.</w:t>
      </w:r>
    </w:p>
    <w:p w:rsidR="003B3CEF" w:rsidRDefault="005A422B">
      <w:pPr>
        <w:pStyle w:val="Text2"/>
        <w:rPr>
          <w:noProof/>
        </w:rPr>
      </w:pPr>
      <w:r>
        <w:rPr>
          <w:noProof/>
        </w:rPr>
        <w:t>Στους προσανατολισμούς του της 23ης Μαρτίου 2018 το Ευρωπαϊκό Συμβούλιο επανέλαβε τη βούληση της Ένωσης να έχει στο μέλλον όσο το δυνατόν στενότε</w:t>
      </w:r>
      <w:r>
        <w:rPr>
          <w:noProof/>
        </w:rPr>
        <w:t>ρη εταιρική σχέση με το Ηνωμένο Βασίλειο. Σύμφωνα με τους προσανατολισμούς αυτούς, η εν λόγω εταιρική σχέση θα πρέπει να καλύπτει την εμπορική και οικονομική συνεργασία καθώς και άλλους τομείς, ιδίως την καταπολέμηση της τρομοκρατίας και του διεθνούς εγκλή</w:t>
      </w:r>
      <w:r>
        <w:rPr>
          <w:noProof/>
        </w:rPr>
        <w:t>ματος, καθώς και την ασφάλεια, την άμυνα και την εξωτερική πολιτική. Το Ευρωπαϊκό Συμβούλιο καθόρισε τους εν λόγω προσανατολισμούς σε σχέση με τη συνολική συναντίληψη για το πλαίσιο της μελλοντικής σχέσης, η οποία επρόκειτο να προσδιορίζεται σε πολιτική δή</w:t>
      </w:r>
      <w:r>
        <w:rPr>
          <w:noProof/>
        </w:rPr>
        <w:t>λωση που θα συνόδευε τη συμφωνία αποχώρησης και θα αναφερόταν σ’ αυτήν.</w:t>
      </w:r>
    </w:p>
    <w:p w:rsidR="003B3CEF" w:rsidRDefault="005A422B">
      <w:pPr>
        <w:pStyle w:val="Text2"/>
        <w:rPr>
          <w:noProof/>
        </w:rPr>
      </w:pPr>
      <w:r>
        <w:rPr>
          <w:noProof/>
        </w:rPr>
        <w:t>Η πολιτική διακήρυξη που συνοδεύει τη συμφωνία αποχώρησης καθορίζει το πλαίσιο της μελλοντικής σχέσης μεταξύ της Ευρωπαϊκής Ένωσης και του Ηνωμένου Βασιλείου</w:t>
      </w:r>
      <w:r>
        <w:rPr>
          <w:rStyle w:val="FootnoteReference"/>
          <w:noProof/>
        </w:rPr>
        <w:footnoteReference w:id="3"/>
      </w:r>
      <w:r>
        <w:rPr>
          <w:noProof/>
        </w:rPr>
        <w:t xml:space="preserve"> (στο εξής: πολιτική διακή</w:t>
      </w:r>
      <w:r>
        <w:rPr>
          <w:noProof/>
        </w:rPr>
        <w:t xml:space="preserve">ρυξη). Καθορίζει τις παραμέτρους «μιας φιλόδοξης, ευρείας, βαθιάς και ευέλικτης εταιρικής σχέσης που θα καλύπτει το εμπόριο και την οικονομική συνεργασία, με πυρήνα μια συνολική και ισορροπημένη συμφωνία ελεύθερων συναλλαγών, την επιβολή του νόμου και την </w:t>
      </w:r>
      <w:r>
        <w:rPr>
          <w:noProof/>
        </w:rPr>
        <w:t>ποινική δικαιοσύνη, την εξωτερική πολιτική, την ασφάλεια και την άμυνα και ευρύτερους τομείς συνεργασίας.»</w:t>
      </w:r>
    </w:p>
    <w:p w:rsidR="003B3CEF" w:rsidRDefault="005A422B">
      <w:pPr>
        <w:pStyle w:val="Text2"/>
        <w:rPr>
          <w:noProof/>
        </w:rPr>
      </w:pPr>
      <w:r>
        <w:rPr>
          <w:noProof/>
        </w:rPr>
        <w:t>Το άρθρο 184 της συμφωνίας αποχώρησης ορίζει ότι η Ένωση και το Ηνωμένο Βασίλειο καταβάλλουν κάθε προσπάθεια, καλή την πίστει και με πλήρη σεβασμό στ</w:t>
      </w:r>
      <w:r>
        <w:rPr>
          <w:noProof/>
        </w:rPr>
        <w:t>ην εθνική έννομη τάξη τους, ώστε να προβούν στις κατάλληλες ενέργειες με σκοπό την ταχεία διαπραγμάτευση των συμφωνιών που θα διέπουν τη μελλοντική τους σχέση όπως αναφέρεται στην πολιτική διακήρυξη και να προβούν στις σχετικές διαδικασίες για την κύρωση ή</w:t>
      </w:r>
      <w:r>
        <w:rPr>
          <w:noProof/>
        </w:rPr>
        <w:t xml:space="preserve"> τη σύναψη των εν λόγω συμφωνιών, με σκοπό να εξασφαλιστεί ότι οι εν λόγω συμφωνίες εφαρμόζονται, στο βαθμό του δυνατού, από τη λήξη της μεταβατικής περιόδου.</w:t>
      </w:r>
    </w:p>
    <w:p w:rsidR="003B3CEF" w:rsidRDefault="005A422B">
      <w:pPr>
        <w:pStyle w:val="Text2"/>
        <w:rPr>
          <w:noProof/>
        </w:rPr>
      </w:pPr>
      <w:r>
        <w:rPr>
          <w:noProof/>
        </w:rPr>
        <w:t>Στις 25 Φεβρουαρίου 2020 το Συμβούλιο εξέδωσε την απόφαση (ΕΕ, Ευρατόμ) 2020/266</w:t>
      </w:r>
      <w:r>
        <w:rPr>
          <w:rStyle w:val="FootnoteReference"/>
          <w:noProof/>
        </w:rPr>
        <w:footnoteReference w:id="4"/>
      </w:r>
      <w:r>
        <w:rPr>
          <w:noProof/>
        </w:rPr>
        <w:t xml:space="preserve"> με την οποία εγ</w:t>
      </w:r>
      <w:r>
        <w:rPr>
          <w:noProof/>
        </w:rPr>
        <w:t>κρίνεται η έναρξη διαπραγματεύσεων με το Ηνωμένο Βασίλειο της Μεγάλης Βρετανίας και της Βόρειας Ιρλανδίας για νέα συμφωνία εταιρικής σχέσης. Η Επιτροπή ορίστηκε διαπραγματευτής της Ένωσης. Η απόφαση του Συμβουλίου περιλάμβανε επίσης προσθήκη με τις κατευθυ</w:t>
      </w:r>
      <w:r>
        <w:rPr>
          <w:noProof/>
        </w:rPr>
        <w:t xml:space="preserve">ντήριες γραμμές για τη διαπραγμάτευση νέας εταιρικής σχέσης με το Ηνωμένο Βασίλειο της Μεγάλης Βρετανίας και της Βόρειας Ιρλανδίας (στο εξής: οδηγίες διαπραγμάτευσης). </w:t>
      </w:r>
    </w:p>
    <w:p w:rsidR="003B3CEF" w:rsidRDefault="005A422B">
      <w:pPr>
        <w:pStyle w:val="Text2"/>
        <w:rPr>
          <w:noProof/>
        </w:rPr>
      </w:pPr>
      <w:r>
        <w:rPr>
          <w:noProof/>
        </w:rPr>
        <w:t>Η Επιτροπή διεξήγαγε τις διαπραγματεύσεις σε διαβούλευση με την ειδική επιτροπή που διό</w:t>
      </w:r>
      <w:r>
        <w:rPr>
          <w:noProof/>
        </w:rPr>
        <w:t>ρισε το Συμβούλιο (ομάδα «Ηνωμένο Βασίλειο» του Συμβουλίου). Ελήφθησαν δεόντως υπόψη τα ψηφίσματα του Ευρωπαϊκού Κοινοβουλίου της 12ης Φεβρουαρίου 2020 και της 18ης Ιουνίου 2020 και η Επιτροπή ενημέρωσε πλήρως το Ευρωπαϊκό Κοινοβούλιο σύμφωνα με το άρθρο 2</w:t>
      </w:r>
      <w:r>
        <w:rPr>
          <w:noProof/>
        </w:rPr>
        <w:t xml:space="preserve">18 παράγραφος 10 της ΣΛΕΕ, ιδίως μέσω της ομάδας του συντονισμού για το Ηνωμένο Βασίλειο. </w:t>
      </w:r>
    </w:p>
    <w:p w:rsidR="003B3CEF" w:rsidRDefault="005A422B">
      <w:pPr>
        <w:pStyle w:val="Text2"/>
        <w:rPr>
          <w:noProof/>
        </w:rPr>
      </w:pPr>
      <w:r>
        <w:rPr>
          <w:noProof/>
        </w:rPr>
        <w:t>Ιδιαίτερη προσοχή δόθηκε στη διασφάλιση της διαφάνειας στη διαδικασία, σύμφωνα με τις κατευθυντήριες αρχές που ενέκρινε το Συμβούλιο στις 22 Ιανουαρίου 2020 για τη δ</w:t>
      </w:r>
      <w:r>
        <w:rPr>
          <w:noProof/>
        </w:rPr>
        <w:t xml:space="preserve">ιαφάνεια κατά τις διαπραγματεύσεις για τη μελλοντική σχέση. Ως εκ τούτου, όλα τα διαπραγματευτικά έγγραφα του διαπραγματευτή της Ένωσης (της Επιτροπής) που κοινοποιήθηκαν στο Συμβούλιο, το Ευρωπαϊκό Κοινοβούλιο, τα εθνικά κοινοβούλια ή το Ηνωμένο Βασίλειο </w:t>
      </w:r>
      <w:r>
        <w:rPr>
          <w:noProof/>
        </w:rPr>
        <w:t xml:space="preserve">δημοσιοποιήθηκαν, εντός των ορίων του δικαίου της Ένωσης. Επιπλέον, ο επικεφαλής διαπραγματευτής ενημέρωνε τακτικά και πλήρως το Συμβούλιο και το Ευρωπαϊκό Συμβούλιο, το Ευρωπαϊκό Κοινοβούλιο και τα εθνικά κοινοβούλια, καθώς και το ECOSOC και την Επιτροπή </w:t>
      </w:r>
      <w:r>
        <w:rPr>
          <w:noProof/>
        </w:rPr>
        <w:t>των Περιφερειών σχετικά με τις εξελίξεις.</w:t>
      </w:r>
    </w:p>
    <w:p w:rsidR="003B3CEF" w:rsidRDefault="005A422B">
      <w:pPr>
        <w:pStyle w:val="Text2"/>
        <w:rPr>
          <w:noProof/>
        </w:rPr>
      </w:pPr>
      <w:r>
        <w:rPr>
          <w:noProof/>
        </w:rPr>
        <w:t>Οι διαπραγματεύσεις ολοκληρώθηκαν και η συμφωνία εμπορίου και συνεργασίας, μαζί με τη συμφωνία σχετικά με διαδικασίες ασφάλειας για την ανταλλαγή και την προστασία διαβαθμισμένων πληροφοριών (στο εξής: συμφωνία για</w:t>
      </w:r>
      <w:r>
        <w:rPr>
          <w:noProof/>
        </w:rPr>
        <w:t xml:space="preserve"> την ασφάλεια των πληροφοριών), μονογραφήθηκαν σε επίπεδο επικεφαλής διαπραγματευτών στις Βρυξέλλες στις 24 Δεκεμβρίου 2020. </w:t>
      </w:r>
    </w:p>
    <w:p w:rsidR="003B3CEF" w:rsidRDefault="005A422B">
      <w:pPr>
        <w:pStyle w:val="Text2"/>
        <w:rPr>
          <w:noProof/>
        </w:rPr>
      </w:pPr>
      <w:r>
        <w:rPr>
          <w:noProof/>
        </w:rPr>
        <w:t>Η συμφωνία για την ασφάλεια των πληροφοριών είναι συμπληρωματική συμφωνία της συμφωνίας εμπορίου και συνεργασίας και, σύμφωνα με τ</w:t>
      </w:r>
      <w:r>
        <w:rPr>
          <w:noProof/>
        </w:rPr>
        <w:t>ο άρθρο COMPROV.2 της συμφωνίας εμπορίου και συνεργασίας, αποτελεί αναπόσπαστο μέρος των συνολικών διμερών σχέσεων μεταξύ της Ένωσης και του Ηνωμένου Βασιλείου, οι οποίες διέπονται από τη συμφωνία εμπορίου και συνεργασίας, και συνιστά τμήμα του συνολικού π</w:t>
      </w:r>
      <w:r>
        <w:rPr>
          <w:noProof/>
        </w:rPr>
        <w:t>λαισίου. Η συμφωνία για την ασφάλεια των πληροφοριών συνδέεται με τη συμφωνία εμπορίου και συνεργασίας καθώς έχει την ίδια ημερομηνία έναρξης εφαρμογής και την ίδια διάταξη περί καταγγελίας.</w:t>
      </w:r>
    </w:p>
    <w:p w:rsidR="003B3CEF" w:rsidRDefault="005A422B">
      <w:pPr>
        <w:pStyle w:val="Text2"/>
        <w:rPr>
          <w:noProof/>
        </w:rPr>
      </w:pPr>
      <w:r>
        <w:rPr>
          <w:noProof/>
        </w:rPr>
        <w:t>Παράλληλα με τη συμφωνία εμπορίου και συνεργασίας και τη συμφωνία</w:t>
      </w:r>
      <w:r>
        <w:rPr>
          <w:noProof/>
        </w:rPr>
        <w:t xml:space="preserve"> για την ασφάλεια των πληροφοριών, η Επιτροπή διαπραγματεύθηκε τη συμφωνία μεταξύ της κυβέρνησης του Ηνωμένου Βασιλείου της Μεγάλης Βρετανίας και της Βόρειας Ιρλανδίας και της Ευρωπαϊκής Κοινότητας Ατομικής Ενέργειας σχετικά με τη συνεργασία για τις ασφαλε</w:t>
      </w:r>
      <w:r>
        <w:rPr>
          <w:noProof/>
        </w:rPr>
        <w:t>ίς και ειρηνικές χρήσεις της πυρηνικής ενέργειας. Η σύσταση για απόφαση του Συμβουλίου σχετικά με την έγκριση της εν λόγω συμφωνίας υποβάλλεται μαζί με την παρούσα πρόταση στο πλαίσιο ξεχωριστής διαδικασίας. Επιπλέον της σύναψης της συμφωνίας σχετικά με τη</w:t>
      </w:r>
      <w:r>
        <w:rPr>
          <w:noProof/>
        </w:rPr>
        <w:t xml:space="preserve"> συνεργασία για τις ασφαλείς και ειρηνικές χρήσεις της πυρηνικής ενέργειας, η εν λόγω διαδικασία καλύπτει επίσης τη σύναψη της συμφωνίας εμπορίου και συνεργασίας όσον αφορά θέματα που εμπίπτουν στην αρμοδιότητα της Ευρωπαϊκής Κοινότητας Ατομικής Ενέργειας </w:t>
      </w:r>
      <w:r>
        <w:rPr>
          <w:noProof/>
        </w:rPr>
        <w:t>[ιδίως τη συμμετοχή του Ηνωμένου Βασιλείου ως τρίτης χώρας στο ερευνητικό πρόγραμμα της Ευρατόμ και στις ευρωπαϊκές δραστηριότητες σύντηξης, συμπεριλαμβανομένων των δραστηριοτήτων ITER, μέσω της συμμετοχής του, ως τρίτης χώρας, στην ευρωπαϊκή κοινή επιχείρ</w:t>
      </w:r>
      <w:r>
        <w:rPr>
          <w:noProof/>
        </w:rPr>
        <w:t>ηση για τον ITER και την ανάπτυξη της πυρηνικής σύντηξης (στο εξής: σύντηξη για ενέργεια)].</w:t>
      </w:r>
    </w:p>
    <w:p w:rsidR="003B3CEF" w:rsidRDefault="005A422B">
      <w:pPr>
        <w:pStyle w:val="Text2"/>
        <w:rPr>
          <w:noProof/>
        </w:rPr>
      </w:pPr>
      <w:r>
        <w:rPr>
          <w:noProof/>
        </w:rPr>
        <w:t>Η έναρξη εφαρμογής της συμφωνίας εμπορίου και συνεργασίας αποτελεί ζήτημα ιδιαίτερα επείγουσας ανάγκης. Το Ηνωμένο Βασίλειο, ως πρώην κράτος μέλος, έχει εκτεταμένου</w:t>
      </w:r>
      <w:r>
        <w:rPr>
          <w:noProof/>
        </w:rPr>
        <w:t>ς δεσμούς με την Ένωση σε ευρύ φάσμα οικονομικών και άλλων τομέων. Εάν δεν υπάρχει εφαρμοστέο πλαίσιο που να ρυθμίζει τις σχέσεις μεταξύ της Ένωσης και του Ηνωμένου Βασιλείου μετά τις 31 Δεκεμβρίου 2020, οι σχέσεις αυτές θα διαταραχθούν σημαντικά και θα ζη</w:t>
      </w:r>
      <w:r>
        <w:rPr>
          <w:noProof/>
        </w:rPr>
        <w:t xml:space="preserve">μιωθούν ιδιώτες, επιχειρήσεις και άλλα ενδιαφερόμενα μέρη. Οι διαπραγματεύσεις μπόρεσαν να ολοκληρωθούν μόλις λίγο πριν από τη λήξη της μεταβατικής περιόδου. Η καθυστέρηση αυτή δεν θα πρέπει να θέσει σε κίνδυνο τον δημοκρατικό έλεγχο που πρέπει να ασκήσει </w:t>
      </w:r>
      <w:r>
        <w:rPr>
          <w:noProof/>
        </w:rPr>
        <w:t>το Ευρωπαϊκό Κοινοβούλιο σύμφωνα με τις Συνθήκες. Υπό το πρίσμα αυτών των εξαιρετικών περιστάσεων, η Επιτροπή προτείνει την προσωρινή εφαρμογή των συμφωνιών έως τις 28 Φεβρουαρίου 2021 ή άλλη ημερομηνία που αποφασίζεται από το συμβούλιο εταιρικής σχέσης, ή</w:t>
      </w:r>
      <w:r>
        <w:rPr>
          <w:noProof/>
        </w:rPr>
        <w:t xml:space="preserve"> έως την πρώτη ημέρα του μήνα που ακολουθεί τον μήνα εντός του οποίου τα Μέρη θα ενημερώσουν το ένα το άλλο ότι έχουν ολοκληρώσει τις αντίστοιχες εσωτερικές απαιτήσεις και διαδικασίες τους για να διατυπώσουν τη συγκατάθεσή τους να δεσμευτούν, ανάλογα με το</w:t>
      </w:r>
      <w:r>
        <w:rPr>
          <w:noProof/>
        </w:rPr>
        <w:t xml:space="preserve"> ποια ημερομηνία είναι προγενέστερη. </w:t>
      </w:r>
    </w:p>
    <w:p w:rsidR="003B3CEF" w:rsidRDefault="005A422B">
      <w:pPr>
        <w:pStyle w:val="Bullet1"/>
        <w:rPr>
          <w:b/>
          <w:noProof/>
        </w:rPr>
      </w:pPr>
      <w:r>
        <w:rPr>
          <w:b/>
          <w:noProof/>
        </w:rPr>
        <w:t>Συνέπεια με τις ισχύουσες διατάξεις στον τομέα πολιτικής</w:t>
      </w:r>
    </w:p>
    <w:p w:rsidR="003B3CEF" w:rsidRDefault="005A422B">
      <w:pPr>
        <w:pStyle w:val="Text2"/>
        <w:rPr>
          <w:noProof/>
        </w:rPr>
      </w:pPr>
      <w:r>
        <w:rPr>
          <w:noProof/>
        </w:rPr>
        <w:t xml:space="preserve">Τόσο στους προσανατολισμούς του Ευρωπαϊκού Συμβουλίου της 23ης Μαρτίου 2018 όσο και στην πολιτική διακήρυξη διατυπώνεται έκκληση για στενή εταιρική σχέση μεταξύ </w:t>
      </w:r>
      <w:r>
        <w:rPr>
          <w:noProof/>
        </w:rPr>
        <w:t>της Ένωσης και του Ηνωμένου Βασιλείου.</w:t>
      </w:r>
    </w:p>
    <w:p w:rsidR="003B3CEF" w:rsidRDefault="005A422B">
      <w:pPr>
        <w:pStyle w:val="Text2"/>
        <w:rPr>
          <w:noProof/>
        </w:rPr>
      </w:pPr>
      <w:r>
        <w:rPr>
          <w:noProof/>
        </w:rPr>
        <w:t>Πριν από τις διαπραγματεύσεις για τη συμφωνία εμπορίου και συνεργασίας και τη συμφωνία για την ασφάλεια των πληροφοριών είχε συναφθεί η συμφωνία αποχώρησης, η οποία τέθηκε σε ισχύ την 1η Φεβρουαρίου 2020. Η συμφωνία α</w:t>
      </w:r>
      <w:r>
        <w:rPr>
          <w:noProof/>
        </w:rPr>
        <w:t>ποχώρησης προβλέπει μεταβατική περίοδο κατά τη διάρκεια της οποίας το δίκαιο της Ένωσης θα εφαρμόζεται ως προς το Ηνωμένο Βασίλειο και εντός αυτού σύμφωνα με τις διατάξεις της εν λόγω συμφωνία. Η μεταβατική περίοδος λήγει στις 31 Δεκεμβρίου 2020. Η συμφωνί</w:t>
      </w:r>
      <w:r>
        <w:rPr>
          <w:noProof/>
        </w:rPr>
        <w:t>α εμπορίου και συνεργασίας και η συμφωνία για την ασφάλεια των πληροφοριών αποσκοπούν στη ρύθμιση της νέας σχέσης μεταξύ της Ένωσης και του Ηνωμένου Βασιλείου και, ως εκ τούτου, στην πρόληψη σημαντικών διαταράξεων που θα μπορούσαν να προκύψουν σε διαφορετι</w:t>
      </w:r>
      <w:r>
        <w:rPr>
          <w:noProof/>
        </w:rPr>
        <w:t>κή περίπτωση στη σχέση αυτή μετά τη λήξη της μεταβατικής περιόδου.</w:t>
      </w:r>
    </w:p>
    <w:p w:rsidR="003B3CEF" w:rsidRDefault="005A422B">
      <w:pPr>
        <w:pStyle w:val="Text2"/>
        <w:rPr>
          <w:noProof/>
        </w:rPr>
      </w:pPr>
      <w:r>
        <w:rPr>
          <w:noProof/>
        </w:rPr>
        <w:t>Η συμφωνία εμπορίου και συνεργασίας θέτει μια στερεά βάση για μια αμοιβαία επωφελή και ισορροπημένη εταιρική σχέση μεταξύ της Ένωσης και του Ηνωμένου Βασιλείου. Αντικατοπτρίζει επίσης το γε</w:t>
      </w:r>
      <w:r>
        <w:rPr>
          <w:noProof/>
        </w:rPr>
        <w:t>γονός ότι, ως μη μέλος της Ένωσης, το Ηνωμένο Βασίλειο δεν έχει τα ίδια δικαιώματα ούτε απολαύει των ίδιων οφελών με τα κράτη μέλη.</w:t>
      </w:r>
    </w:p>
    <w:p w:rsidR="003B3CEF" w:rsidRDefault="005A422B">
      <w:pPr>
        <w:pStyle w:val="Text1"/>
        <w:rPr>
          <w:b/>
          <w:noProof/>
        </w:rPr>
      </w:pPr>
      <w:r>
        <w:rPr>
          <w:b/>
          <w:noProof/>
        </w:rPr>
        <w:t>•</w:t>
      </w:r>
      <w:r>
        <w:rPr>
          <w:noProof/>
        </w:rPr>
        <w:tab/>
      </w:r>
      <w:r>
        <w:rPr>
          <w:b/>
          <w:noProof/>
        </w:rPr>
        <w:t>Συνέπεια με άλλες πολιτικές της Ένωσης</w:t>
      </w:r>
    </w:p>
    <w:p w:rsidR="003B3CEF" w:rsidRDefault="005A422B">
      <w:pPr>
        <w:pStyle w:val="Text2"/>
        <w:rPr>
          <w:noProof/>
        </w:rPr>
      </w:pPr>
      <w:r>
        <w:rPr>
          <w:noProof/>
        </w:rPr>
        <w:t>Η συμφωνία εμπορίου και συνεργασίας και η συμφωνία για την ασφάλεια των πληροφοριών</w:t>
      </w:r>
      <w:r>
        <w:rPr>
          <w:noProof/>
        </w:rPr>
        <w:t xml:space="preserve"> σέβονται πλήρως τις Συνθήκες και διαφυλάσσουν την ακεραιότητα και την αυτονομία της έννομης τάξης της Ένωσης. Οι συμφωνίες αυτές δεν θα απαιτούν από την Ένωση να τροποποιήσει τους κανόνες, τους κανονισμούς ή τα πρότυπά της σε οποιονδήποτε ρυθμιζόμενο τομέ</w:t>
      </w:r>
      <w:r>
        <w:rPr>
          <w:noProof/>
        </w:rPr>
        <w:t xml:space="preserve">α. Προωθούν τις αξίες, τους στόχους και τα συμφέροντα της Ένωσης και διασφαλίζουν την συνοχή, την αποτελεσματικότητα και τη συνέχεια των πολιτικών και των δράσεών της. </w:t>
      </w:r>
    </w:p>
    <w:p w:rsidR="003B3CEF" w:rsidRDefault="005A422B">
      <w:pPr>
        <w:pStyle w:val="Text2"/>
        <w:rPr>
          <w:noProof/>
        </w:rPr>
      </w:pPr>
      <w:r>
        <w:rPr>
          <w:noProof/>
        </w:rPr>
        <w:t>Όλες οι εισαγωγές από το Ηνωμένο Βασίλειο θα πρέπει να πληρούν τους κανόνες και κανονισ</w:t>
      </w:r>
      <w:r>
        <w:rPr>
          <w:noProof/>
        </w:rPr>
        <w:t xml:space="preserve">μούς της Ένωσης (π.χ. τους τεχνικούς κανόνες και τα πρότυπα προϊόντων, τους υγειονομικούς και φυτοϋγειονομικούς κανόνες, τους κανονισμούς σχετικά με την ασφάλεια των τροφίμων, τα πρότυπα υγείας και ασφάλειας, την προστασία του περιβάλλοντος, την προστασία </w:t>
      </w:r>
      <w:r>
        <w:rPr>
          <w:noProof/>
        </w:rPr>
        <w:t xml:space="preserve">των καταναλωτών). </w:t>
      </w:r>
    </w:p>
    <w:p w:rsidR="003B3CEF" w:rsidRDefault="005A422B">
      <w:pPr>
        <w:pStyle w:val="Text2"/>
        <w:rPr>
          <w:noProof/>
        </w:rPr>
      </w:pPr>
      <w:r>
        <w:rPr>
          <w:noProof/>
        </w:rPr>
        <w:t>Η συμφωνία εμπορίου και συνεργασίας περιλαμβάνει ειδικούς τίτλους σχετικά με τα πρότυπα για το εμπόριο και τους ισότιμους όρους ανταγωνισμού στους τομείς της εργασίας, του περιβάλλοντος, της καταπολέμησης της κλιματικής αλλαγής και της β</w:t>
      </w:r>
      <w:r>
        <w:rPr>
          <w:noProof/>
        </w:rPr>
        <w:t>ιώσιμης ανάπτυξης, οι οποίοι συνδέουν το οικονομικό μέρος της συμφωνίας εμπορίου και συνεργασίας με τους γενικούς στόχους της Ένωσης για τη βιώσιμη ανάπτυξη και τους ειδικούς στόχους της στον τομέα της εργασίας, του περιβάλλοντος και της κλιματικής αλλαγής</w:t>
      </w:r>
      <w:r>
        <w:rPr>
          <w:noProof/>
        </w:rPr>
        <w:t>.</w:t>
      </w:r>
    </w:p>
    <w:p w:rsidR="003B3CEF" w:rsidRDefault="005A422B">
      <w:pPr>
        <w:pStyle w:val="Text2"/>
        <w:rPr>
          <w:noProof/>
        </w:rPr>
      </w:pPr>
      <w:r>
        <w:rPr>
          <w:noProof/>
        </w:rPr>
        <w:t>Κατά τη συμμετοχή του Ηνωμένου Βασιλείου σε προγράμματα της Ένωσης θα τηρούνται πλήρως οι βασικές πράξεις που καθορίζουν τα προγράμματα και οι ισχύοντες κανονισμοί της Ένωσης σχετικά με τη δημοσιονομική διαχείριση, όπως ο δημοσιονομικός κανονισμός.</w:t>
      </w:r>
    </w:p>
    <w:p w:rsidR="003B3CEF" w:rsidRDefault="005A422B">
      <w:pPr>
        <w:pStyle w:val="ManualHeading1"/>
        <w:rPr>
          <w:noProof/>
        </w:rPr>
      </w:pPr>
      <w:r>
        <w:rPr>
          <w:noProof/>
        </w:rPr>
        <w:t>2.</w:t>
      </w:r>
      <w:r>
        <w:rPr>
          <w:noProof/>
        </w:rPr>
        <w:tab/>
        <w:t>ΝΟ</w:t>
      </w:r>
      <w:r>
        <w:rPr>
          <w:noProof/>
        </w:rPr>
        <w:t>ΜΙΚΗ ΒΑΣΗ</w:t>
      </w:r>
    </w:p>
    <w:p w:rsidR="003B3CEF" w:rsidRDefault="005A422B">
      <w:pPr>
        <w:pStyle w:val="Text1"/>
        <w:rPr>
          <w:noProof/>
        </w:rPr>
      </w:pPr>
      <w:r>
        <w:rPr>
          <w:noProof/>
        </w:rPr>
        <w:t xml:space="preserve">Η ουσιαστική νομική βάση για την προτεινόμενη απόφαση του Συμβουλίου σχετικά με την υπογραφή είναι το άρθρο 217 της ΣΛΕΕ. Αυτή η νομική βάση είναι η καταλληλότερη δεδομένου του ευρέος πεδίου της σκοπούμενης εταιρικής σχέσης. </w:t>
      </w:r>
    </w:p>
    <w:p w:rsidR="003B3CEF" w:rsidRDefault="005A422B">
      <w:pPr>
        <w:pStyle w:val="Text1"/>
        <w:rPr>
          <w:noProof/>
        </w:rPr>
      </w:pPr>
      <w:r>
        <w:rPr>
          <w:noProof/>
        </w:rPr>
        <w:t>Η διαδικαστική νομικ</w:t>
      </w:r>
      <w:r>
        <w:rPr>
          <w:noProof/>
        </w:rPr>
        <w:t>ή βάση είναι το άρθρο 218 παράγραφος 5 της ΣΛΕΕ, σε συνδυασμό με το άρθρο 218 παράγραφος 8 δεύτερο εδάφιο της ΣΛΕΕ, το οποίο προβλέπει τη λήψη απόφασης από το Συμβούλιο με ομοφωνία.</w:t>
      </w:r>
    </w:p>
    <w:p w:rsidR="003B3CEF" w:rsidRDefault="005A422B">
      <w:pPr>
        <w:pStyle w:val="Text1"/>
        <w:rPr>
          <w:noProof/>
        </w:rPr>
      </w:pPr>
      <w:r>
        <w:rPr>
          <w:noProof/>
        </w:rPr>
        <w:t xml:space="preserve">Ως εκ τούτου, η νομική βάση για την προτεινόμενη απόφαση του Συμβουλίου </w:t>
      </w:r>
      <w:r>
        <w:rPr>
          <w:noProof/>
        </w:rPr>
        <w:t>είναι το άρθρο 217 της ΣΛΕΕ, σε συνδυασμό με το άρθρο 218 παράγραφος 5 της ΣΛΕΕ και το άρθρο 218 παράγραφος 8 δεύτερο εδάφιο της ΣΛΕΕ.</w:t>
      </w:r>
    </w:p>
    <w:p w:rsidR="003B3CEF" w:rsidRDefault="005A422B">
      <w:pPr>
        <w:pStyle w:val="ManualHeading1"/>
        <w:rPr>
          <w:noProof/>
        </w:rPr>
      </w:pPr>
      <w:r>
        <w:rPr>
          <w:noProof/>
        </w:rPr>
        <w:t>3.</w:t>
      </w:r>
      <w:r>
        <w:rPr>
          <w:noProof/>
        </w:rPr>
        <w:tab/>
        <w:t>ΛΟΙΠΑ ΣΤΟΙΧΕΙΑ</w:t>
      </w:r>
    </w:p>
    <w:p w:rsidR="003B3CEF" w:rsidRDefault="005A422B">
      <w:pPr>
        <w:pStyle w:val="Bullet1"/>
        <w:rPr>
          <w:b/>
          <w:noProof/>
        </w:rPr>
      </w:pPr>
      <w:r>
        <w:rPr>
          <w:b/>
          <w:noProof/>
        </w:rPr>
        <w:t xml:space="preserve">Εφαρμογή από τα όργανα που έχουν συσταθεί στο πλαίσιο της συμφωνίας εμπορίου και συνεργασίας </w:t>
      </w:r>
    </w:p>
    <w:p w:rsidR="003B3CEF" w:rsidRDefault="005A422B">
      <w:pPr>
        <w:pStyle w:val="Text2"/>
        <w:rPr>
          <w:noProof/>
        </w:rPr>
      </w:pPr>
      <w:r>
        <w:rPr>
          <w:noProof/>
        </w:rPr>
        <w:t>Βάσει του</w:t>
      </w:r>
      <w:r>
        <w:rPr>
          <w:noProof/>
        </w:rPr>
        <w:t xml:space="preserve"> πρώτου μέρους τίτλος III της συμφωνίας εμπορίου και συνεργασίας συστήνεται συμβούλιο εταιρικής σχέσης που θα εποπτεύει την επίτευξη των στόχων της εν λόγω συμφωνίας και οποιασδήποτε συμπληρωματικής συμφωνίας. Το συμβούλιο εταιρικής σχέσης αποτελείται από </w:t>
      </w:r>
      <w:r>
        <w:rPr>
          <w:noProof/>
        </w:rPr>
        <w:t>εκπροσώπους της Ένωσης και του Ηνωμένου Βασιλείου σε υπουργικό επίπεδο που θα συνεδριάζουν τουλάχιστον μία φορά ετησίως και θα επιβλέπει και θα διευκολύνει την υλοποίηση και την εφαρμογή της συμφωνίας εμπορίου και συνεργασίας και οποιασδήποτε συμπληρωματικ</w:t>
      </w:r>
      <w:r>
        <w:rPr>
          <w:noProof/>
        </w:rPr>
        <w:t>ής συμφωνίας, όπως η συμφωνία για την ασφάλεια των πληροφοριών.</w:t>
      </w:r>
    </w:p>
    <w:p w:rsidR="003B3CEF" w:rsidRDefault="005A422B">
      <w:pPr>
        <w:pStyle w:val="Text2"/>
        <w:rPr>
          <w:noProof/>
        </w:rPr>
      </w:pPr>
      <w:r>
        <w:rPr>
          <w:noProof/>
        </w:rPr>
        <w:t>Το συμβούλιο εταιρικής σχέσης μπορεί να εκδίδει αποφάσεις για κάθε ζήτημα στις περιπτώσεις όπου αυτό προβλέπεται στη συμφωνία εμπορίου και συνεργασίας ή σε οποιαδήποτε συμπληρωματική συμφωνία.</w:t>
      </w:r>
      <w:r>
        <w:rPr>
          <w:noProof/>
        </w:rPr>
        <w:t xml:space="preserve"> Το συμβούλιο εταιρικής σχέσης μπορεί να λαμβάνει αποφάσεις και να διατυπώνει συστάσεις μόνο κατόπιν αμοιβαίας συμφωνίας μεταξύ της Ένωσης και του Ηνωμένου Βασιλείου. Δεν μπορεί να περιορίζει κατά κανέναν τρόπο τη διαδικασία λήψης αποφάσεων στο επίπεδο της</w:t>
      </w:r>
      <w:r>
        <w:rPr>
          <w:noProof/>
        </w:rPr>
        <w:t xml:space="preserve"> Ένωσης. Η Ένωση και το Ηνωμένο Βασίλειο μπορούν, μέσω του συμβουλίου εταιρικής σχέσης ή των ειδικών επιτροπών, να αποφασίσουν να τροποποιήσουν ορισμένες πτυχές της συμφωνίας εμπορίου και συνεργασίας ή οποιασδήποτε συμπληρωματικής συμφωνίας, μόνο στις περι</w:t>
      </w:r>
      <w:r>
        <w:rPr>
          <w:noProof/>
        </w:rPr>
        <w:t xml:space="preserve">πτώσεις που προβλέπονται ρητά σε αυτήν. Όταν τα Μέρη εγκρίνουν τέτοια απόφαση, αυτή υπόκειται στις εκατέρωθεν εφαρμοστέες εσωτερικές τους προϋποθέσεις και διαδικασίες. </w:t>
      </w:r>
    </w:p>
    <w:p w:rsidR="003B3CEF" w:rsidRDefault="005A422B">
      <w:pPr>
        <w:pStyle w:val="Text2"/>
        <w:rPr>
          <w:noProof/>
        </w:rPr>
      </w:pPr>
      <w:r>
        <w:rPr>
          <w:noProof/>
        </w:rPr>
        <w:t>Κατά την εκτέλεση των καθηκόντων του, το συμβούλιο εταιρικής σχέσης επικουρείται από τη</w:t>
      </w:r>
      <w:r>
        <w:rPr>
          <w:noProof/>
        </w:rPr>
        <w:t>ν επιτροπή εμπορικής εταιρικής σχέσης, η οποία με τη σειρά της επικουρείται από ειδικές επιτροπές σε θέματα εμπορίου και από άλλες ειδικές επιτροπές.</w:t>
      </w:r>
    </w:p>
    <w:p w:rsidR="003B3CEF" w:rsidRDefault="005A422B">
      <w:pPr>
        <w:pStyle w:val="Text2"/>
        <w:rPr>
          <w:noProof/>
          <w:u w:color="000000"/>
          <w:bdr w:val="nil"/>
        </w:rPr>
      </w:pPr>
      <w:r>
        <w:rPr>
          <w:noProof/>
          <w:u w:color="000000"/>
          <w:bdr w:val="nil"/>
        </w:rPr>
        <w:t xml:space="preserve">Με τη συμφωνία εμπορίου και συνεργασίας συστήνονται οι ακόλουθες ειδικές επιτροπές σε θέματα εμπορίου: </w:t>
      </w:r>
    </w:p>
    <w:p w:rsidR="003B3CEF" w:rsidRDefault="005A422B">
      <w:pPr>
        <w:pStyle w:val="Point2"/>
        <w:rPr>
          <w:noProof/>
        </w:rPr>
      </w:pPr>
      <w:r>
        <w:rPr>
          <w:noProof/>
        </w:rPr>
        <w:t>α)</w:t>
      </w:r>
      <w:r>
        <w:rPr>
          <w:noProof/>
        </w:rPr>
        <w:tab/>
        <w:t>Η ειδική σε θέματα εμπορίου επιτροπή για τα εμπορεύματα·</w:t>
      </w:r>
    </w:p>
    <w:p w:rsidR="003B3CEF" w:rsidRDefault="005A422B">
      <w:pPr>
        <w:pStyle w:val="Point2"/>
        <w:rPr>
          <w:noProof/>
        </w:rPr>
      </w:pPr>
      <w:r>
        <w:rPr>
          <w:noProof/>
        </w:rPr>
        <w:t>β)</w:t>
      </w:r>
      <w:r>
        <w:rPr>
          <w:noProof/>
        </w:rPr>
        <w:tab/>
        <w:t>Η ειδική σε θέματα εμπορίου επιτροπή για την τελωνειακή συνεργασία και τους κανόνες καταγωγής·</w:t>
      </w:r>
    </w:p>
    <w:p w:rsidR="003B3CEF" w:rsidRDefault="005A422B">
      <w:pPr>
        <w:pStyle w:val="Point2"/>
        <w:rPr>
          <w:noProof/>
        </w:rPr>
      </w:pPr>
      <w:r>
        <w:rPr>
          <w:noProof/>
        </w:rPr>
        <w:t>γ)</w:t>
      </w:r>
      <w:r>
        <w:rPr>
          <w:noProof/>
        </w:rPr>
        <w:tab/>
        <w:t>Η ειδική σε θέματα εμπορίου επιτροπή υγειονομικών και φυτοϋγειονομικών μέτρων·</w:t>
      </w:r>
    </w:p>
    <w:p w:rsidR="003B3CEF" w:rsidRDefault="005A422B">
      <w:pPr>
        <w:pStyle w:val="Point2"/>
        <w:rPr>
          <w:noProof/>
        </w:rPr>
      </w:pPr>
      <w:r>
        <w:rPr>
          <w:noProof/>
        </w:rPr>
        <w:t>δ)</w:t>
      </w:r>
      <w:r>
        <w:rPr>
          <w:noProof/>
        </w:rPr>
        <w:tab/>
        <w:t>Η ειδική σε θέμ</w:t>
      </w:r>
      <w:r>
        <w:rPr>
          <w:noProof/>
        </w:rPr>
        <w:t>ατα εμπορίου επιτροπή τεχνικών εμποδίων στο εμπόριο·</w:t>
      </w:r>
    </w:p>
    <w:p w:rsidR="003B3CEF" w:rsidRDefault="005A422B">
      <w:pPr>
        <w:pStyle w:val="Point2"/>
        <w:rPr>
          <w:noProof/>
        </w:rPr>
      </w:pPr>
      <w:r>
        <w:rPr>
          <w:noProof/>
        </w:rPr>
        <w:t>ε)</w:t>
      </w:r>
      <w:r>
        <w:rPr>
          <w:noProof/>
        </w:rPr>
        <w:tab/>
        <w:t>Η ειδική σε θέματα εμπορίου επιτροπή για τις υπηρεσίες, τις επενδύσεις και το ψηφιακό εμπόριο·</w:t>
      </w:r>
    </w:p>
    <w:p w:rsidR="003B3CEF" w:rsidRDefault="005A422B">
      <w:pPr>
        <w:pStyle w:val="Point2"/>
        <w:rPr>
          <w:noProof/>
        </w:rPr>
      </w:pPr>
      <w:r>
        <w:rPr>
          <w:noProof/>
        </w:rPr>
        <w:t>στ)</w:t>
      </w:r>
      <w:r>
        <w:rPr>
          <w:noProof/>
        </w:rPr>
        <w:tab/>
        <w:t>Η ειδική σε θέματα εμπορίου επιτροπή διανοητικής ιδιοκτησίας·</w:t>
      </w:r>
    </w:p>
    <w:p w:rsidR="003B3CEF" w:rsidRDefault="005A422B">
      <w:pPr>
        <w:pStyle w:val="Point2"/>
        <w:rPr>
          <w:noProof/>
        </w:rPr>
      </w:pPr>
      <w:r>
        <w:rPr>
          <w:noProof/>
        </w:rPr>
        <w:t>ζ)</w:t>
      </w:r>
      <w:r>
        <w:rPr>
          <w:noProof/>
        </w:rPr>
        <w:tab/>
        <w:t>Η ειδική σε θέματα εμπορίου επιτροπή</w:t>
      </w:r>
      <w:r>
        <w:rPr>
          <w:noProof/>
        </w:rPr>
        <w:t xml:space="preserve"> δημοσίων συμβάσεων·</w:t>
      </w:r>
    </w:p>
    <w:p w:rsidR="003B3CEF" w:rsidRDefault="005A422B">
      <w:pPr>
        <w:pStyle w:val="Point2"/>
        <w:rPr>
          <w:noProof/>
        </w:rPr>
      </w:pPr>
      <w:r>
        <w:rPr>
          <w:noProof/>
        </w:rPr>
        <w:t>η)</w:t>
      </w:r>
      <w:r>
        <w:rPr>
          <w:noProof/>
        </w:rPr>
        <w:tab/>
        <w:t>Η ειδική σε θέματα εμπορίου επιτροπή ρυθμιστικής συνεργασίας·</w:t>
      </w:r>
    </w:p>
    <w:p w:rsidR="003B3CEF" w:rsidRDefault="005A422B">
      <w:pPr>
        <w:pStyle w:val="Point2"/>
        <w:rPr>
          <w:noProof/>
        </w:rPr>
      </w:pPr>
      <w:r>
        <w:rPr>
          <w:noProof/>
        </w:rPr>
        <w:t>θ)</w:t>
      </w:r>
      <w:r>
        <w:rPr>
          <w:noProof/>
        </w:rPr>
        <w:tab/>
        <w:t>Η ειδική σε θέματα εμπορίου επιτροπής ισότιμων όρων ανταγωνισμού για ανοικτό και θεμιτό ανταγωνισμό και βιώσιμη ανάπτυξη·</w:t>
      </w:r>
    </w:p>
    <w:p w:rsidR="003B3CEF" w:rsidRDefault="005A422B">
      <w:pPr>
        <w:pStyle w:val="Point2"/>
        <w:rPr>
          <w:noProof/>
        </w:rPr>
      </w:pPr>
      <w:r>
        <w:rPr>
          <w:noProof/>
        </w:rPr>
        <w:t>ι)</w:t>
      </w:r>
      <w:r>
        <w:rPr>
          <w:noProof/>
        </w:rPr>
        <w:tab/>
        <w:t xml:space="preserve">Η ειδική σε θέματα εμπορίου επιτροπή </w:t>
      </w:r>
      <w:r>
        <w:rPr>
          <w:noProof/>
        </w:rPr>
        <w:t>διοικητικής συνεργασίας σε θέματα ΦΠΑ και είσπραξης φόρων και δασμών.</w:t>
      </w:r>
    </w:p>
    <w:p w:rsidR="003B3CEF" w:rsidRDefault="005A422B">
      <w:pPr>
        <w:pStyle w:val="Text2"/>
        <w:rPr>
          <w:noProof/>
          <w:u w:color="000000"/>
          <w:bdr w:val="nil"/>
        </w:rPr>
      </w:pPr>
      <w:r>
        <w:rPr>
          <w:noProof/>
          <w:u w:color="000000"/>
          <w:bdr w:val="nil"/>
        </w:rPr>
        <w:t xml:space="preserve">Με τη συμφωνία εμπορίου και συνεργασίας συστήνονται οι ακόλουθες ειδικές επιτροπές: </w:t>
      </w:r>
    </w:p>
    <w:p w:rsidR="003B3CEF" w:rsidRDefault="005A422B">
      <w:pPr>
        <w:pStyle w:val="Point2"/>
        <w:rPr>
          <w:noProof/>
        </w:rPr>
      </w:pPr>
      <w:r>
        <w:rPr>
          <w:noProof/>
        </w:rPr>
        <w:t>α)</w:t>
      </w:r>
      <w:r>
        <w:rPr>
          <w:noProof/>
        </w:rPr>
        <w:tab/>
        <w:t>Η ειδική επιτροπή ενέργειας·</w:t>
      </w:r>
    </w:p>
    <w:p w:rsidR="003B3CEF" w:rsidRDefault="005A422B">
      <w:pPr>
        <w:pStyle w:val="Point2"/>
        <w:rPr>
          <w:noProof/>
        </w:rPr>
      </w:pPr>
      <w:r>
        <w:rPr>
          <w:noProof/>
        </w:rPr>
        <w:t>β)</w:t>
      </w:r>
      <w:r>
        <w:rPr>
          <w:noProof/>
        </w:rPr>
        <w:tab/>
        <w:t>Η ειδική επιτροπή αεροπορικών μεταφορών·</w:t>
      </w:r>
    </w:p>
    <w:p w:rsidR="003B3CEF" w:rsidRDefault="005A422B">
      <w:pPr>
        <w:pStyle w:val="Point2"/>
        <w:rPr>
          <w:noProof/>
        </w:rPr>
      </w:pPr>
      <w:r>
        <w:rPr>
          <w:noProof/>
        </w:rPr>
        <w:t>γ)</w:t>
      </w:r>
      <w:r>
        <w:rPr>
          <w:noProof/>
        </w:rPr>
        <w:tab/>
        <w:t>Η ειδική επιτροπή αερο</w:t>
      </w:r>
      <w:r>
        <w:rPr>
          <w:noProof/>
        </w:rPr>
        <w:t>πορικής ασφάλειας·</w:t>
      </w:r>
    </w:p>
    <w:p w:rsidR="003B3CEF" w:rsidRDefault="005A422B">
      <w:pPr>
        <w:pStyle w:val="Point2"/>
        <w:rPr>
          <w:noProof/>
        </w:rPr>
      </w:pPr>
      <w:r>
        <w:rPr>
          <w:noProof/>
        </w:rPr>
        <w:t>δ)</w:t>
      </w:r>
      <w:r>
        <w:rPr>
          <w:noProof/>
        </w:rPr>
        <w:tab/>
        <w:t>Η ειδική επιτροπή οδικών μεταφορών·</w:t>
      </w:r>
    </w:p>
    <w:p w:rsidR="003B3CEF" w:rsidRDefault="005A422B">
      <w:pPr>
        <w:pStyle w:val="Point2"/>
        <w:rPr>
          <w:noProof/>
        </w:rPr>
      </w:pPr>
      <w:r>
        <w:rPr>
          <w:noProof/>
        </w:rPr>
        <w:t>ε)</w:t>
      </w:r>
      <w:r>
        <w:rPr>
          <w:noProof/>
        </w:rPr>
        <w:tab/>
        <w:t>Η ειδική επιτροπή συντονισμού της κοινωνικής ασφάλισης·</w:t>
      </w:r>
    </w:p>
    <w:p w:rsidR="003B3CEF" w:rsidRDefault="005A422B">
      <w:pPr>
        <w:pStyle w:val="Point2"/>
        <w:rPr>
          <w:noProof/>
        </w:rPr>
      </w:pPr>
      <w:r>
        <w:rPr>
          <w:noProof/>
        </w:rPr>
        <w:t>στ)</w:t>
      </w:r>
      <w:r>
        <w:rPr>
          <w:noProof/>
        </w:rPr>
        <w:tab/>
        <w:t>Η ειδική επιτροπή αλιείας·</w:t>
      </w:r>
    </w:p>
    <w:p w:rsidR="003B3CEF" w:rsidRDefault="005A422B">
      <w:pPr>
        <w:pStyle w:val="Point2"/>
        <w:rPr>
          <w:noProof/>
        </w:rPr>
      </w:pPr>
      <w:r>
        <w:rPr>
          <w:noProof/>
        </w:rPr>
        <w:t>ζ)</w:t>
      </w:r>
      <w:r>
        <w:rPr>
          <w:noProof/>
        </w:rPr>
        <w:tab/>
        <w:t>Η ειδική επιτροπή για τη συνεργασία στον τομέα επιβολής του νόμου και για τη δικαστική συνεργασία·</w:t>
      </w:r>
    </w:p>
    <w:p w:rsidR="003B3CEF" w:rsidRDefault="005A422B">
      <w:pPr>
        <w:pStyle w:val="Point2"/>
        <w:rPr>
          <w:noProof/>
        </w:rPr>
      </w:pPr>
      <w:r>
        <w:rPr>
          <w:noProof/>
        </w:rPr>
        <w:t>η)</w:t>
      </w:r>
      <w:r>
        <w:rPr>
          <w:noProof/>
        </w:rPr>
        <w:tab/>
        <w:t>Η ε</w:t>
      </w:r>
      <w:r>
        <w:rPr>
          <w:noProof/>
        </w:rPr>
        <w:t>ιδική επιτροπή για τη συμμετοχή σε προγράμματα της Ένωσης.</w:t>
      </w:r>
    </w:p>
    <w:p w:rsidR="003B3CEF" w:rsidRDefault="005A422B">
      <w:pPr>
        <w:pStyle w:val="Text2"/>
        <w:rPr>
          <w:noProof/>
        </w:rPr>
      </w:pPr>
      <w:r>
        <w:rPr>
          <w:noProof/>
        </w:rPr>
        <w:t>Το συμβούλιο εταιρικής σχέσης μπορεί να προβαίνει στη συγκρότηση ή τη λύση ειδικών επιτροπών σε θέματα εμπορίου ή ειδικών επιτροπών και η επιτροπή εμπορικής εταιρικής σχέσης μπορεί να προβαίνει στη</w:t>
      </w:r>
      <w:r>
        <w:rPr>
          <w:noProof/>
        </w:rPr>
        <w:t xml:space="preserve"> συγκρότηση ή τη λύση ειδικών επιτροπών σε θέματα εμπορίου.</w:t>
      </w:r>
    </w:p>
    <w:p w:rsidR="003B3CEF" w:rsidRDefault="005A422B">
      <w:pPr>
        <w:pStyle w:val="Text2"/>
        <w:rPr>
          <w:noProof/>
        </w:rPr>
      </w:pPr>
      <w:r>
        <w:rPr>
          <w:noProof/>
        </w:rPr>
        <w:t xml:space="preserve">Επίσης, η συμφωνία εμπορίου και συνεργασίας προβλέπει ότι το συμβούλιο εταιρικής σχέσης και οι ειδικές επιτροπές θα διαδραματίζουν ρόλο στο πλαίσιο της επίλυσης διαφορών, που καθορίζεται στο έκτο </w:t>
      </w:r>
      <w:r>
        <w:rPr>
          <w:noProof/>
        </w:rPr>
        <w:t>μέρος τίτλος I της συμφωνίας εμπορίου και συνεργασίας.</w:t>
      </w:r>
    </w:p>
    <w:p w:rsidR="003B3CEF" w:rsidRDefault="005A422B">
      <w:pPr>
        <w:pStyle w:val="Bullet1"/>
        <w:rPr>
          <w:b/>
          <w:noProof/>
          <w:u w:color="000000"/>
          <w:bdr w:val="nil"/>
        </w:rPr>
      </w:pPr>
      <w:r>
        <w:rPr>
          <w:b/>
          <w:noProof/>
        </w:rPr>
        <w:t>Υλοποίηση και εφαρμογή της συμφωνίας εμπορίου και συνεργασίας στην Ένωση</w:t>
      </w:r>
    </w:p>
    <w:p w:rsidR="003B3CEF" w:rsidRDefault="005A422B">
      <w:pPr>
        <w:pStyle w:val="Text2"/>
        <w:rPr>
          <w:noProof/>
          <w:szCs w:val="24"/>
        </w:rPr>
      </w:pPr>
      <w:r>
        <w:rPr>
          <w:noProof/>
          <w:u w:color="000000"/>
          <w:bdr w:val="nil"/>
        </w:rPr>
        <w:t>Σύμφωνα με το άρθρο 216 παράγραφος 2 της ΣΛΕΕ, οι συμφωνίες που συνάπτει η Ένωση δεσμεύουν τα θεσμικά όργανα της Ένωσης και τα κ</w:t>
      </w:r>
      <w:r>
        <w:rPr>
          <w:noProof/>
          <w:u w:color="000000"/>
          <w:bdr w:val="nil"/>
        </w:rPr>
        <w:t xml:space="preserve">ράτη μέλη. </w:t>
      </w:r>
    </w:p>
    <w:p w:rsidR="003B3CEF" w:rsidRDefault="005A422B">
      <w:pPr>
        <w:pStyle w:val="Text2"/>
        <w:rPr>
          <w:noProof/>
        </w:rPr>
      </w:pPr>
      <w:r>
        <w:rPr>
          <w:noProof/>
        </w:rPr>
        <w:t>Για να μπορεί η Ένωση να αντιδρά εγκαίρως όταν δεν πληρούνται πλέον οι οικείες προϋποθέσεις, η Επιτροπή θα πρέπει να εξουσιοδοτηθεί να λαμβάνει ορισμένες αποφάσεις για την αναστολή των οφελών που απονέμονται στο Ηνωμένο Βασίλειο βάσει του παραρ</w:t>
      </w:r>
      <w:r>
        <w:rPr>
          <w:noProof/>
        </w:rPr>
        <w:t>τήματος για τα βιολογικά προϊόντα και του παραρτήματος για τα φάρμακα. Πριν από αυτό, η Επιτροπή θα πρέπει να ενημερώνει τους αντιπροσώπους των κρατών μελών, οι οποίοι μπορούν να αντιταχθούν στη θέση της Επιτροπής εφόσον σχηματίζεται μειοψηφία αρνησικυρίας</w:t>
      </w:r>
      <w:r>
        <w:rPr>
          <w:noProof/>
        </w:rPr>
        <w:t>. Η Επιτροπή θα πρέπει επίσης να εξουσιοδοτηθεί να εγκρίνει, σύμφωνα με την ίδια διαδικασία, κάθε άλλη αναγκαία εκτελεστική ρύθμιση για την αποτελεσματική λειτουργία των εν λόγω παραρτημάτων.</w:t>
      </w:r>
    </w:p>
    <w:p w:rsidR="003B3CEF" w:rsidRDefault="005A422B">
      <w:pPr>
        <w:pStyle w:val="Text2"/>
        <w:rPr>
          <w:noProof/>
          <w:szCs w:val="24"/>
        </w:rPr>
      </w:pPr>
      <w:r>
        <w:rPr>
          <w:noProof/>
        </w:rPr>
        <w:t>Επιπλέον, υπάρχουν ισχυροί μηχανισμοί επιβολής με σκοπό τη διασφ</w:t>
      </w:r>
      <w:r>
        <w:rPr>
          <w:noProof/>
        </w:rPr>
        <w:t>άλιση της συμμόρφωσης με τις υποχρεώσεις που απορρέουν από τη συμφωνία εμπορίου και συνεργασίας. Η συμφωνία εμπορίου και συνεργασίας προβλέπει τη δυνατότητα των Μερών να λαμβάνουν άμεσα, αυτόνομα και επιχειρησιακά μέτρα για την προστασία των συμφερόντων το</w:t>
      </w:r>
      <w:r>
        <w:rPr>
          <w:noProof/>
        </w:rPr>
        <w:t>υς, ιδίως στους τομείς των ίσων όρων ανταγωνισμού (δηλαδή μέτρα επανεξισορρόπησης, διορθωτικά μέτρα) και της αλιείας (δηλαδή αντισταθμιστικά μέτρα, διορθωτικά μέτρα), καθώς και, γενικότερα, σε περιπτώσεις σοβαρών οικονομικών, κοινωνικών ή περιβαλλοντικών δ</w:t>
      </w:r>
      <w:r>
        <w:rPr>
          <w:noProof/>
        </w:rPr>
        <w:t>υσκολιών τομεακού ή περιφερειακού χαρακτήρα.</w:t>
      </w:r>
    </w:p>
    <w:p w:rsidR="003B3CEF" w:rsidRDefault="005A422B">
      <w:pPr>
        <w:pStyle w:val="Text2"/>
        <w:rPr>
          <w:noProof/>
        </w:rPr>
      </w:pPr>
      <w:r>
        <w:rPr>
          <w:noProof/>
        </w:rPr>
        <w:t>Είναι σημαντικό για την Ένωση να διαθέτει πλήρη ικανότητα να αναπτύσσει ταχέως και αποτελεσματικά τα εν λόγω μέτρα επιβολής. Για τον σκοπό αυτό, η Επιτροπή θα πρέπει να εξουσιοδοτηθεί να αναστέλλει υποχρεώσεις που απορρέουν από τη συμφωνία εμπορίου και συν</w:t>
      </w:r>
      <w:r>
        <w:rPr>
          <w:noProof/>
        </w:rPr>
        <w:t>εργασίας σύμφωνα με το άρθρο GOODS.19 σχετικά με μέτρα σε περίπτωση παραβίασης ή καταστρατήγησης της τελωνειακής νομοθεσίας, το άρθρο LPFOFCSD.3.12 σχετικά με διορθωτικά μέτρα στον τομέα των ισότιμων όρων ανταγωνισμού, το άρθρο ROAD.11 σχετικά με διορθωτικ</w:t>
      </w:r>
      <w:r>
        <w:rPr>
          <w:noProof/>
        </w:rPr>
        <w:t xml:space="preserve">ά μέτρα στις οδικές μεταφορές, το άρθρο AIRTRN.8 σχετικά με την απόρριψη, την ανάκληση, την αναστολή ή τον περιορισμό της άδειας λειτουργίας στον τομέα των αεροπορικών μεταφορών, το άρθρο </w:t>
      </w:r>
      <w:r>
        <w:rPr>
          <w:noProof/>
          <w:u w:color="000000"/>
          <w:bdr w:val="nil"/>
        </w:rPr>
        <w:t>FISH.14 σχετικά με διορθωτικά μέτρα στον τομέα της αλιείας</w:t>
      </w:r>
      <w:r>
        <w:rPr>
          <w:noProof/>
        </w:rPr>
        <w:t>, το άρθρο</w:t>
      </w:r>
      <w:r>
        <w:rPr>
          <w:noProof/>
        </w:rPr>
        <w:t xml:space="preserve"> FISH.9 σχετικά με τα αντισταθμιστικά μέτρα σε περίπτωση ανάκλησης ή μείωσης της πρόσβασης, τα άρθρα UNPRO.3.1 και UNPRO.3.20 σχετικά με την αναστολή και την παύση της συμμετοχής του Ηνωμένου Βασιλείου σε πρόγραμμα της Ένωσης και το άρθρο INST.24 σχετικά μ</w:t>
      </w:r>
      <w:r>
        <w:rPr>
          <w:noProof/>
        </w:rPr>
        <w:t>ε τα προσωρινά μέτρα αποκατάστασης ή να λαμβάνει κατάλληλα μέτρα διασφάλισης σύμφωνα με το άρθρο INST.36.</w:t>
      </w:r>
    </w:p>
    <w:p w:rsidR="003B3CEF" w:rsidRDefault="005A422B">
      <w:pPr>
        <w:pStyle w:val="Text2"/>
        <w:rPr>
          <w:b/>
          <w:noProof/>
        </w:rPr>
      </w:pPr>
      <w:r>
        <w:rPr>
          <w:noProof/>
        </w:rPr>
        <w:t xml:space="preserve">Σύμφωνα με τις Συνθήκες, η Επιτροπή θα ενεργεί επίσης εξ ονόματος της Ένωσης σε όλα τα στάδια της διαδικασίας σχετικά με την επίλυση διαφορών δυνάμει </w:t>
      </w:r>
      <w:r>
        <w:rPr>
          <w:noProof/>
        </w:rPr>
        <w:t>του έκτου μέρους τίτλος I της συμφωνίας εμπορίου και συνεργασίας.</w:t>
      </w:r>
    </w:p>
    <w:p w:rsidR="003B3CEF" w:rsidRDefault="005A422B">
      <w:pPr>
        <w:pStyle w:val="Bullet1"/>
        <w:rPr>
          <w:b/>
          <w:noProof/>
        </w:rPr>
      </w:pPr>
      <w:r>
        <w:rPr>
          <w:b/>
          <w:noProof/>
        </w:rPr>
        <w:t>Αναλυτική επεξήγηση των επιμέρους διατάξεων των σχεδίων των συμφωνιών</w:t>
      </w:r>
    </w:p>
    <w:p w:rsidR="003B3CEF" w:rsidRDefault="005A422B">
      <w:pPr>
        <w:pStyle w:val="Text2"/>
        <w:rPr>
          <w:noProof/>
        </w:rPr>
      </w:pPr>
      <w:r>
        <w:rPr>
          <w:noProof/>
        </w:rPr>
        <w:t xml:space="preserve">Η ευρεία και φιλόδοξη συνεργασία μεταξύ της Ένωσης και του Ηνωμένου Βασιλείου που προβλέπεται στη συμφωνία εμπορίου και </w:t>
      </w:r>
      <w:r>
        <w:rPr>
          <w:noProof/>
        </w:rPr>
        <w:t xml:space="preserve">συνεργασίας αντικατοπτρίζει τα συμπεράσματα και τους προσανατολισμούς του Ευρωπαϊκού Συμβουλίου της 23ης Μαρτίου 2018 και βασίζεται στην πολιτική διακήρυξη. </w:t>
      </w:r>
    </w:p>
    <w:p w:rsidR="003B3CEF" w:rsidRDefault="005A422B">
      <w:pPr>
        <w:pStyle w:val="Text2"/>
        <w:rPr>
          <w:noProof/>
        </w:rPr>
      </w:pPr>
      <w:r>
        <w:rPr>
          <w:noProof/>
        </w:rPr>
        <w:t>Η συμφωνία εμπορίου και συνεργασίας αποτελεί ενιαία δέσμη που περιλαμβάνει τέσσερις κύριες συνιστώ</w:t>
      </w:r>
      <w:r>
        <w:rPr>
          <w:noProof/>
        </w:rPr>
        <w:t xml:space="preserve">σες: </w:t>
      </w:r>
    </w:p>
    <w:p w:rsidR="003B3CEF" w:rsidRDefault="005A422B">
      <w:pPr>
        <w:pStyle w:val="Tiret2"/>
        <w:numPr>
          <w:ilvl w:val="0"/>
          <w:numId w:val="20"/>
        </w:numPr>
        <w:rPr>
          <w:noProof/>
        </w:rPr>
      </w:pPr>
      <w:r>
        <w:rPr>
          <w:noProof/>
        </w:rPr>
        <w:t xml:space="preserve">γενικές και θεσμικές ρυθμίσεις· </w:t>
      </w:r>
    </w:p>
    <w:p w:rsidR="003B3CEF" w:rsidRDefault="005A422B">
      <w:pPr>
        <w:pStyle w:val="Tiret2"/>
        <w:rPr>
          <w:noProof/>
        </w:rPr>
      </w:pPr>
      <w:r>
        <w:rPr>
          <w:noProof/>
        </w:rPr>
        <w:t xml:space="preserve">οικονομικές ρυθμίσεις (στις οποίες περιλαμβάνονται διατάξεις για το εμπόριο και εγγυήσεις για ισότιμους όρους ανταγωνισμού)· </w:t>
      </w:r>
    </w:p>
    <w:p w:rsidR="003B3CEF" w:rsidRDefault="005A422B">
      <w:pPr>
        <w:pStyle w:val="Tiret2"/>
        <w:rPr>
          <w:noProof/>
        </w:rPr>
      </w:pPr>
      <w:r>
        <w:rPr>
          <w:noProof/>
        </w:rPr>
        <w:t>ρυθμίσεις για την αστυνομική και τη δικαστική συνεργασία σε ποινικές υποθέσεις· και</w:t>
      </w:r>
    </w:p>
    <w:p w:rsidR="003B3CEF" w:rsidRDefault="005A422B">
      <w:pPr>
        <w:pStyle w:val="Tiret2"/>
        <w:rPr>
          <w:noProof/>
        </w:rPr>
      </w:pPr>
      <w:r>
        <w:rPr>
          <w:noProof/>
        </w:rPr>
        <w:t>διατάξε</w:t>
      </w:r>
      <w:r>
        <w:rPr>
          <w:noProof/>
        </w:rPr>
        <w:t>ις σχετικά με την επίλυση διαφορών, τις βασικές αξίες και τα μέτρα διασφάλισης.</w:t>
      </w:r>
    </w:p>
    <w:p w:rsidR="003B3CEF" w:rsidRDefault="005A422B">
      <w:pPr>
        <w:pStyle w:val="Text2"/>
        <w:rPr>
          <w:noProof/>
        </w:rPr>
      </w:pPr>
      <w:r>
        <w:rPr>
          <w:noProof/>
        </w:rPr>
        <w:t>Η προς σύναψη εταιρική σχέση βασίζεται στην αναγνώριση της δημοκρατίας, του κράτους δικαίου και των ανθρωπίνων δικαιωμάτων, καθώς και στην καταπολέμηση της κλιματικής αλλαγής κ</w:t>
      </w:r>
      <w:r>
        <w:rPr>
          <w:noProof/>
        </w:rPr>
        <w:t>αι στην αντιμετώπιση της διάδοσης των όπλων μαζικής καταστροφής. Η παραβίαση οποιουδήποτε από τα εν λόγω ουσιώδη στοιχεία επιτρέπει στα Μέρη να καταγγείλουν ή να αναστείλουν, εν όλω ή εν μέρει, την εφαρμογή της συμφωνίας εμπορίου και συνεργασίας ή οποιασδή</w:t>
      </w:r>
      <w:r>
        <w:rPr>
          <w:noProof/>
        </w:rPr>
        <w:t>ποτε συμπληρωματικής συμφωνίας. Επίσης, τα Μέρη επιβεβαιώνουν τη δέσμευσή τους για διασφάλιση υψηλού επιπέδου προστασίας των δεδομένων προσωπικού χαρακτήρα.</w:t>
      </w:r>
    </w:p>
    <w:p w:rsidR="003B3CEF" w:rsidRDefault="005A422B">
      <w:pPr>
        <w:pStyle w:val="Text2"/>
        <w:rPr>
          <w:noProof/>
        </w:rPr>
      </w:pPr>
      <w:r>
        <w:rPr>
          <w:noProof/>
        </w:rPr>
        <w:t>Το πεδίο εφαρμογής της συμφωνίας εμπορίου και συνεργασίας είναι περιεκτικό. Περιλαμβάνει τους τομεί</w:t>
      </w:r>
      <w:r>
        <w:rPr>
          <w:noProof/>
        </w:rPr>
        <w:t xml:space="preserve">ς ενδιαφέροντος που προσδιορίζονται στην πολιτική διακήρυξη: εμπόριο και οικονομική συνεργασία, συνεργασία στον τομέα επιβολής του νόμου και δικαστική συνεργασία σε ποινικές υποθέσεις, συμμετοχή σε προγράμματα της Ένωσης και θεματικούς τομείς συνεργασίας. </w:t>
      </w:r>
      <w:r>
        <w:rPr>
          <w:noProof/>
        </w:rPr>
        <w:t>Η συμφωνία εμπορίου και συνεργασίας δεν περιλαμβάνει ρυθμίσεις για τη συνεργασία στον τομέα της εξωτερικής πολιτικής, της εξωτερικής ασφάλειας και της άμυνας, δεδομένης της θέσης του Ηνωμένου Βασιλείου να μην διεξαχθούν σχετικές διαπραγματεύσεις και να μην</w:t>
      </w:r>
      <w:r>
        <w:rPr>
          <w:noProof/>
        </w:rPr>
        <w:t xml:space="preserve"> συμπεριληφθούν τέτοιες ρυθμίσεις στη συμφωνία εμπορίου και συνεργασίας. Η συμφωνία εμπορίου και συνεργασίας σέβεται την αυτονομία των εξουσιών λήψης αποφάσεων της Ένωσης και την έννομη τάξη της Ένωσης, την ακεραιότητα της ενιαίας αγοράς της και της τελωνε</w:t>
      </w:r>
      <w:r>
        <w:rPr>
          <w:noProof/>
        </w:rPr>
        <w:t>ιακής της ένωσης και το αδιαίρετο των τεσσάρων ελευθεριών κυκλοφορίας (προσώπων, αγαθών, υπηρεσιών και κεφαλαίων). Καλύπτει όχι μόνο τις ελεύθερες εμπορευματικές συναλλαγές και τις ελεύθερες συναλλαγές στον τομέα των υπηρεσιών, αλλά και τρόπους πρόληψης τω</w:t>
      </w:r>
      <w:r>
        <w:rPr>
          <w:noProof/>
        </w:rPr>
        <w:t>ν στρεβλώσεων και των αθέμιτων ανταγωνιστικών πλεονεκτημάτων. Η συμφωνία εμπορίου και συνεργασίας αντικατοπτρίζει το γεγονός ότι το Ηνωμένο Βασίλειο εγκαταλείπει το ενωσιακό σύστημα κοινών κανόνων, εποπτείας και μηχανισμών επιβολής και, ως εκ τούτου, δεν μ</w:t>
      </w:r>
      <w:r>
        <w:rPr>
          <w:noProof/>
        </w:rPr>
        <w:t>πορεί πλέον να απολαμβάνει τα οφέλη της ιδιότητας του μέλους ή της ενιαίας αγοράς.</w:t>
      </w:r>
    </w:p>
    <w:p w:rsidR="003B3CEF" w:rsidRDefault="005A422B">
      <w:pPr>
        <w:pStyle w:val="Text2"/>
        <w:rPr>
          <w:noProof/>
        </w:rPr>
      </w:pPr>
      <w:r>
        <w:rPr>
          <w:noProof/>
        </w:rPr>
        <w:t>Η συμφωνία εμπορίου και συνεργασίας θεσπίζει ένα συνολικό πλαίσιο διακυβέρνησης που καλύπτει όλους τους τομείς συνεργασίας στο πλαίσιο της συμφωνίας εμπορίου και συνεργασίας</w:t>
      </w:r>
      <w:r>
        <w:rPr>
          <w:noProof/>
        </w:rPr>
        <w:t xml:space="preserve"> και κάθε συμπληρωματικής συμφωνίας, όπως η συμφωνία για την ασφάλεια των πληροφοριών, ενώ περιλαμβάνει ορισμένες προσαρμογές για την κάλυψη αιτιολογημένων τομεακών αναγκών. </w:t>
      </w:r>
    </w:p>
    <w:p w:rsidR="003B3CEF" w:rsidRDefault="005A422B">
      <w:pPr>
        <w:pStyle w:val="Text2"/>
        <w:rPr>
          <w:noProof/>
          <w:szCs w:val="24"/>
        </w:rPr>
      </w:pPr>
      <w:r>
        <w:rPr>
          <w:noProof/>
        </w:rPr>
        <w:t>Για να εξασφαλιστεί η συμμόρφωση με τις υποχρεώσεις που απορρέουν από τη συμφωνία</w:t>
      </w:r>
      <w:r>
        <w:rPr>
          <w:noProof/>
        </w:rPr>
        <w:t xml:space="preserve"> εμπορίου και συνεργασίας, υπάρχουν ισχυροί μηχανισμοί επιβολής. Η συμφωνία εμπορίου και συνεργασίας προβλέπει τη δυνατότητα των Μερών να λαμβάνουν άμεσα, αυτόνομα και επιχειρησιακά μέτρα για την προστασία των συμφερόντων τους, ιδίως στους τομείς των ίσων </w:t>
      </w:r>
      <w:r>
        <w:rPr>
          <w:noProof/>
        </w:rPr>
        <w:t>όρων ανταγωνισμού (δηλαδή μέτρα επανεξισορρόπησης, διορθωτικά μέτρα) και της αλιείας (δηλαδή αντισταθμιστικά μέτρα, διορθωτικά μέτρα), καθώς και, γενικότερα, σε περιπτώσεις σοβαρών οικονομικών, κοινωνικών ή περιβαλλοντικών δυσκολιών τομεακού ή περιφερειακο</w:t>
      </w:r>
      <w:r>
        <w:rPr>
          <w:noProof/>
        </w:rPr>
        <w:t>ύ χαρακτήρα.</w:t>
      </w:r>
    </w:p>
    <w:p w:rsidR="003B3CEF" w:rsidRDefault="005A422B">
      <w:pPr>
        <w:pStyle w:val="Text2"/>
        <w:rPr>
          <w:noProof/>
        </w:rPr>
      </w:pPr>
      <w:r>
        <w:rPr>
          <w:noProof/>
        </w:rPr>
        <w:t>Όσον αφορά το πεδίο εδαφικής εφαρμογής, η συμφωνία εμπορίου και συνεργασίας καλύπτει, ως προς την Ένωση, τις επικράτειες στις οποίες εφαρμόζονται οι συνθήκες και, ως προς το Ηνωμένο Βασίλειο, την επικράτεια του Ηνωμένου Βασιλείου. Η συμφωνία ε</w:t>
      </w:r>
      <w:r>
        <w:rPr>
          <w:noProof/>
        </w:rPr>
        <w:t>μπορίου και συνεργασίας παρέχει επίσης περιορισμένη κάλυψη για τις Αγγλονορμανδικές Νήσους της Μάγχης και τη Νήσο του Μαν όσον αφορά τις εμπορευματικές συναλλαγές και την πρόσβαση σε ύδατα. Σύμφωνα με τις δηλώσεις που καταχωρίστηκαν στα πρακτικά του Ευρωπα</w:t>
      </w:r>
      <w:r>
        <w:rPr>
          <w:noProof/>
        </w:rPr>
        <w:t xml:space="preserve">ϊκού Συμβουλίου της 25ης Νοεμβρίου 2018 και με τις οδηγίες διαπραγμάτευσης του Συμβουλίου, η συμφωνία εμπορίου και συνεργασίας δεν εφαρμόζεται στο Γιβραλτάρ. </w:t>
      </w:r>
    </w:p>
    <w:p w:rsidR="003B3CEF" w:rsidRDefault="005A422B">
      <w:pPr>
        <w:pStyle w:val="Text2"/>
        <w:rPr>
          <w:noProof/>
        </w:rPr>
      </w:pPr>
      <w:r>
        <w:rPr>
          <w:noProof/>
        </w:rPr>
        <w:t xml:space="preserve">Η συμφωνία εμπορίου και συνεργασίας αποτελείται από επτά μέρη (τα οποία διαιρούνται περαιτέρω σε </w:t>
      </w:r>
      <w:r>
        <w:rPr>
          <w:noProof/>
        </w:rPr>
        <w:t>τομείς, τίτλους, κεφάλαια και τμήματα), τρία πρωτόκολλα και αριθμό παραρτημάτων, ως εξής:</w:t>
      </w:r>
    </w:p>
    <w:p w:rsidR="003B3CEF" w:rsidRDefault="005A422B">
      <w:pPr>
        <w:pStyle w:val="Text2"/>
        <w:rPr>
          <w:noProof/>
        </w:rPr>
      </w:pPr>
      <w:r>
        <w:rPr>
          <w:noProof/>
        </w:rPr>
        <w:t xml:space="preserve">Το </w:t>
      </w:r>
      <w:r>
        <w:rPr>
          <w:b/>
          <w:noProof/>
        </w:rPr>
        <w:t>πρώτο μέρος (Κοινές και θεσμικές διατάξεις)</w:t>
      </w:r>
      <w:r>
        <w:rPr>
          <w:noProof/>
        </w:rPr>
        <w:t xml:space="preserve"> περιλαμβάνει τις γενικές διατάξεις, τις αρχές ερμηνείας της συμφωνίας εμπορίου και συνεργασίας και ορισμούς, καθώς και </w:t>
      </w:r>
      <w:r>
        <w:rPr>
          <w:noProof/>
        </w:rPr>
        <w:t>το θεσμικό πλαίσιο.</w:t>
      </w:r>
    </w:p>
    <w:p w:rsidR="003B3CEF" w:rsidRDefault="005A422B">
      <w:pPr>
        <w:pStyle w:val="Text2"/>
        <w:rPr>
          <w:noProof/>
        </w:rPr>
      </w:pPr>
      <w:r>
        <w:rPr>
          <w:noProof/>
        </w:rPr>
        <w:t>Το πρώτο μέρος καθορίζει τις διατάξεις σχετικά με τη διακυβέρνηση και την εφαρμογή της συμφωνίας εμπορίου και συνεργασίας και θεσπίζει κοινά όργανα διακυβέρνησης (το συμβούλιο εταιρικής σχέσης, τη επιτροπή εμπορικής εταιρικής σχέσης, ει</w:t>
      </w:r>
      <w:r>
        <w:rPr>
          <w:noProof/>
        </w:rPr>
        <w:t xml:space="preserve">δικές επιτροπές σε θέματα εμπορίου και άλλες ειδικές επιτροπές). </w:t>
      </w:r>
    </w:p>
    <w:p w:rsidR="003B3CEF" w:rsidRDefault="005A422B">
      <w:pPr>
        <w:pStyle w:val="Text2"/>
        <w:rPr>
          <w:noProof/>
        </w:rPr>
      </w:pPr>
      <w:r>
        <w:rPr>
          <w:noProof/>
        </w:rPr>
        <w:t>Οι διατάξεις για τη διακυβέρνηση παρέχουν σαφήνεια σχετικά με τον τρόπο λειτουργίας και ελέγχου της συμφωνίας εμπορίου και συνεργασίας. Έχουν σχεδιαστεί έτσι ώστε να είναι ευέλικτες και προσ</w:t>
      </w:r>
      <w:r>
        <w:rPr>
          <w:noProof/>
        </w:rPr>
        <w:t>αρμόσιμες σε συγκεκριμένες ανάγκες που μπορεί να προκύψουν σε διάφορους τομείς. Λόγω του πεδίου εφαρμογής και της πολυπλοκότητας της συμφωνίας εμπορίου και συνεργασίας, η Ένωση επέμεινε σε ένα ενιαίο πλαίσιο διακυβέρνησης που να καλύπτει ολόκληρη τη συμφων</w:t>
      </w:r>
      <w:r>
        <w:rPr>
          <w:noProof/>
        </w:rPr>
        <w:t xml:space="preserve">ία. Αυτός είναι ο μόνος τρόπος για να παρασχεθεί ασφάλεια δικαίου στις επιχειρήσεις, τους καταναλωτές και τους πολίτες, αποφεύγοντας παράλληλα πολλαπλές παράλληλες δομές και τη δημιουργία πρόσθετης γραφειοκρατίας. </w:t>
      </w:r>
    </w:p>
    <w:p w:rsidR="003B3CEF" w:rsidRDefault="005A422B">
      <w:pPr>
        <w:pStyle w:val="Text2"/>
        <w:rPr>
          <w:noProof/>
        </w:rPr>
      </w:pPr>
      <w:r>
        <w:rPr>
          <w:noProof/>
        </w:rPr>
        <w:t>Το συμβούλιο εταιρικής σχέσης θα επιβλέπε</w:t>
      </w:r>
      <w:r>
        <w:rPr>
          <w:noProof/>
        </w:rPr>
        <w:t>ι την εφαρμογή της συμφωνίας. Το συμβούλιο εταιρικής σχέσης, που αποτελείται από εκπροσώπους της Ένωσης και του Ηνωμένου Βασιλείου σε υπουργικό επίπεδο, θα συνεδριάζει σε διαφορετικές συνθέσεις ανάλογα με το εκάστοτε θέμα. Θα αποτελεί το φόρουμ στο πλαίσιο</w:t>
      </w:r>
      <w:r>
        <w:rPr>
          <w:noProof/>
        </w:rPr>
        <w:t xml:space="preserve"> του οποίου τα Μέρη θα συζητούν κάθε ζήτημα που ενδέχεται να προκύψει, με την εξουσία να λαμβάνει δεσμευτικές αποφάσεις με αμοιβαία συναίνεση. Θα επικουρείται στο έργο του από την επιτροπή εμπορικής εταιρικής σχέσης, τις ειδικές επιτροπές σε θέματα εμπορίο</w:t>
      </w:r>
      <w:r>
        <w:rPr>
          <w:noProof/>
        </w:rPr>
        <w:t xml:space="preserve">υ και άλλες ειδικές επιτροπές. </w:t>
      </w:r>
    </w:p>
    <w:p w:rsidR="003B3CEF" w:rsidRDefault="005A422B">
      <w:pPr>
        <w:pStyle w:val="Text2"/>
        <w:rPr>
          <w:noProof/>
        </w:rPr>
      </w:pPr>
      <w:r>
        <w:rPr>
          <w:b/>
          <w:noProof/>
        </w:rPr>
        <w:t>Το δεύτερο μέρος (Εμπόριο, μεταφορές, αλιεία και άλλες ρυθμίσεις)</w:t>
      </w:r>
      <w:r>
        <w:rPr>
          <w:noProof/>
        </w:rPr>
        <w:t xml:space="preserve"> περιλαμβάνει έξι τομείς: </w:t>
      </w:r>
    </w:p>
    <w:p w:rsidR="003B3CEF" w:rsidRDefault="005A422B">
      <w:pPr>
        <w:pStyle w:val="Tiret2"/>
        <w:rPr>
          <w:noProof/>
        </w:rPr>
      </w:pPr>
      <w:r>
        <w:rPr>
          <w:noProof/>
        </w:rPr>
        <w:t>τον πρώτο τομέα: εμπόριο, που αποτελείται από δώδεκα τίτλους: τον τίτλο I (Εμπορευματικές συναλλαγές), τον τίτλο II (Υπηρεσίες και ε</w:t>
      </w:r>
      <w:r>
        <w:rPr>
          <w:noProof/>
        </w:rPr>
        <w:t>πενδύσεις), τον τίτλο III (Ψηφιακό εμπόριο), τον τίτλο IV (Κινήσεις κεφαλαίων, πληρωμές, μεταφορές και προσωρινά μέτρα διασφάλισης), τον τίτλο V (Διανοητική ιδιοκτησία), τον τίτλο VI (Δημόσιες συμβάσεις), τον τίτλο VII (Μικρές και μεσαίες επιχειρήσεις), το</w:t>
      </w:r>
      <w:r>
        <w:rPr>
          <w:noProof/>
        </w:rPr>
        <w:t>ν τίτλο VIII (Ενέργεια), τον τίτλο IX (Διαφάνεια), τον τίτλο X (Ορθές ρυθμιστικές πρακτικές και ρυθμιστική συνεργασία), τον τίτλο XI (Ισότιμοι ανταγωνισμού για ανοικτό και δίκαιο ανταγωνισμό και βιώσιμη ανάπτυξη), τον τίτλο XII (Εξαιρέσεις)·</w:t>
      </w:r>
    </w:p>
    <w:p w:rsidR="003B3CEF" w:rsidRDefault="005A422B">
      <w:pPr>
        <w:pStyle w:val="Tiret2"/>
        <w:rPr>
          <w:noProof/>
        </w:rPr>
      </w:pPr>
      <w:r>
        <w:rPr>
          <w:noProof/>
        </w:rPr>
        <w:t>τον δεύτερο το</w:t>
      </w:r>
      <w:r>
        <w:rPr>
          <w:noProof/>
        </w:rPr>
        <w:t>μέα: αεροπορία, που αποτελείται από δύο τίτλους: τον τίτλο I (Αεροπορικές μεταφορές) και τον τίτλο II (Αεροπορική ασφάλεια)·</w:t>
      </w:r>
    </w:p>
    <w:p w:rsidR="003B3CEF" w:rsidRDefault="005A422B">
      <w:pPr>
        <w:pStyle w:val="Tiret2"/>
        <w:rPr>
          <w:noProof/>
        </w:rPr>
      </w:pPr>
      <w:r>
        <w:rPr>
          <w:noProof/>
        </w:rPr>
        <w:t>τον τρίτο τομέα: οδικές μεταφορές, που αποτελείται από δύο τίτλους: τον τίτλο I (οδικές μεταφορές εμπορευμάτων) και τίτλος II (οδικ</w:t>
      </w:r>
      <w:r>
        <w:rPr>
          <w:noProof/>
        </w:rPr>
        <w:t>ές μεταφορές επιβατών)·</w:t>
      </w:r>
    </w:p>
    <w:p w:rsidR="003B3CEF" w:rsidRDefault="005A422B">
      <w:pPr>
        <w:pStyle w:val="Tiret2"/>
        <w:rPr>
          <w:noProof/>
        </w:rPr>
      </w:pPr>
      <w:r>
        <w:rPr>
          <w:noProof/>
        </w:rPr>
        <w:t>τον τέταρτο τομέα: συντονισμός της κοινωνικής ασφάλισης και θεωρήσεις για ταξίδια μικρής διάρκειας·</w:t>
      </w:r>
    </w:p>
    <w:p w:rsidR="003B3CEF" w:rsidRDefault="005A422B">
      <w:pPr>
        <w:pStyle w:val="Tiret2"/>
        <w:rPr>
          <w:noProof/>
        </w:rPr>
      </w:pPr>
      <w:r>
        <w:rPr>
          <w:noProof/>
        </w:rPr>
        <w:t>τον πέμπτο τομέα: αλιεία·</w:t>
      </w:r>
    </w:p>
    <w:p w:rsidR="003B3CEF" w:rsidRDefault="005A422B">
      <w:pPr>
        <w:pStyle w:val="Tiret2"/>
        <w:rPr>
          <w:noProof/>
        </w:rPr>
      </w:pPr>
      <w:r>
        <w:rPr>
          <w:noProof/>
        </w:rPr>
        <w:t>τον έκτο τομέα: λοιπές διατάξεις.</w:t>
      </w:r>
    </w:p>
    <w:p w:rsidR="003B3CEF" w:rsidRDefault="005A422B">
      <w:pPr>
        <w:pStyle w:val="Text2"/>
        <w:rPr>
          <w:noProof/>
        </w:rPr>
      </w:pPr>
      <w:r>
        <w:rPr>
          <w:noProof/>
        </w:rPr>
        <w:t>Όπως προκύπτει από τους τομείς και τους τίτλους του, το δεύτερο μέρος κα</w:t>
      </w:r>
      <w:r>
        <w:rPr>
          <w:noProof/>
        </w:rPr>
        <w:t>λύπτει τις εμπορευματικές συναλλαγές και τις συναλλαγές στον τομέα υπηρεσιών, καθώς και ένα ευρύ φάσμα άλλων τομέων οικονομικής και ευρύτερης συνεργασίας, όπως οι επενδύσεις, ο ανταγωνισμός, η φορολογική διαφάνεια, η ενέργεια, οι αεροπορικές και οδικές μετ</w:t>
      </w:r>
      <w:r>
        <w:rPr>
          <w:noProof/>
        </w:rPr>
        <w:t>αφορές, η μη εισαγωγή διακρίσεων ως προς ορισμένες ρυθμίσεις κινητικότητας και τον συντονισμό των συστημάτων κοινωνικής ασφάλισης και η αλιεία.</w:t>
      </w:r>
    </w:p>
    <w:p w:rsidR="003B3CEF" w:rsidRDefault="005A422B">
      <w:pPr>
        <w:pStyle w:val="Text2"/>
        <w:rPr>
          <w:noProof/>
        </w:rPr>
      </w:pPr>
      <w:r>
        <w:rPr>
          <w:noProof/>
        </w:rPr>
        <w:t>Το δεύτερο μέρος περιλαμβάνει διατάξεις για μια σύγχρονη, βιώσιμη εμπορική πολιτική. Αμφότερα τα Μέρη δεσμεύοντα</w:t>
      </w:r>
      <w:r>
        <w:rPr>
          <w:noProof/>
        </w:rPr>
        <w:t>ι να εφαρμόζουν κοινά υψηλά πρότυπα σε τομείς όπως τα εργασιακά και κοινωνικά πρότυπα, η προστασία του περιβάλλοντος, η καταπολέμηση της κλιματικής αλλαγής, συμπεριλαμβανομένης της τιμολόγησης του άνθρακα, και τα σχετικά πρότυπα για τη φοροαποφυγή και τη φ</w:t>
      </w:r>
      <w:r>
        <w:rPr>
          <w:noProof/>
        </w:rPr>
        <w:t>ορολογική διαφάνεια</w:t>
      </w:r>
      <w:r>
        <w:rPr>
          <w:rStyle w:val="FootnoteReference"/>
          <w:noProof/>
          <w:szCs w:val="24"/>
        </w:rPr>
        <w:footnoteReference w:id="5"/>
      </w:r>
      <w:r>
        <w:rPr>
          <w:noProof/>
        </w:rPr>
        <w:t>. Περιλαμβάνει επίσης αρχές σχετικά με τις επιδοτήσεις, ώστε να μην επιτρέπεται στα Μέρη να χορηγούν επιδοτήσεις οι οποίες επιδρούν ουσιωδώς στο εμπόριο ή τις επενδύσεις μεταξύ των Μερών. Τα εν λόγω συμφωνηθέντα πρότυπα και οι συμφωνηθε</w:t>
      </w:r>
      <w:r>
        <w:rPr>
          <w:noProof/>
        </w:rPr>
        <w:t>ίσες αρχές συνδέονται με τους εσωτερικούς μηχανισμούς επιβολής και επίλυσης διαφορών, ώστε να διασφαλίζεται ότι οι επιχειρήσεις από την ΕΕ και το Ηνωμένο Βασίλειο ανταγωνίζονται επί ίσοις όροις. Το δεύτερο μέρος προβλέπει ότι κάθε Μέρος μπορεί να λάβει μον</w:t>
      </w:r>
      <w:r>
        <w:rPr>
          <w:noProof/>
        </w:rPr>
        <w:t>ομερή μέτρα, ανάλογα με την περίπτωση, για να προστατευτεί από τις επιδράσεις στο εμπόριο ή τις επενδύσεις που προκύπτουν από επιδοτήσεις ή σημαντικές αποκλίσεις στα αντίστοιχα συστήματα ελέγχου των επιδοτήσεων ή στα αντίστοιχα επίπεδα προστασίας της εργασ</w:t>
      </w:r>
      <w:r>
        <w:rPr>
          <w:noProof/>
        </w:rPr>
        <w:t>ίας, του περιβάλλοντος ή του κλίματος.</w:t>
      </w:r>
    </w:p>
    <w:p w:rsidR="003B3CEF" w:rsidRDefault="005A422B">
      <w:pPr>
        <w:pStyle w:val="Text2"/>
        <w:rPr>
          <w:noProof/>
        </w:rPr>
      </w:pPr>
      <w:r>
        <w:rPr>
          <w:noProof/>
        </w:rPr>
        <w:t xml:space="preserve">Όσον αφορά τις εμπορευματικές συναλλαγές, οι διατάξεις του δεύτερου μέρους υπερβαίνουν τις πρόσφατες συμφωνίες ελεύθερων συναλλαγών της ΕΕ με εταίρους όπως ο Καναδάς και η Ιαπωνία, προβλέποντας μηδενικούς δασμούς και </w:t>
      </w:r>
      <w:r>
        <w:rPr>
          <w:noProof/>
        </w:rPr>
        <w:t>μηδενικές ποσοστώσεις για όλα τα εμπορεύματα. Για να επωφεληθούν από αυτήν την εξαιρετική προτιμησιακή μεταχείριση, οι επιχειρήσεις πρέπει να διασφαλίσουν ότι τα προϊόντα τους κατάγονται από την Ένωση ή το Ηνωμένο Βασίλειο. Αυτοί οι «κανόνες καταγωγής» είν</w:t>
      </w:r>
      <w:r>
        <w:rPr>
          <w:noProof/>
        </w:rPr>
        <w:t>αι απαραίτητοι για τη διασφάλιση της ακεραιότητας της αγοράς της Ένωσης. Η συμφωνίας εμπορίου και συνεργασίας θα διευκολύνει επίσης, στον βαθμό που το επιτρέπει ο ενωσιακός τελωνειακός κώδικας, τις τελωνειακές διατυπώσεις που εφαρμόζονται σε οποιαδήποτε τρ</w:t>
      </w:r>
      <w:r>
        <w:rPr>
          <w:noProof/>
        </w:rPr>
        <w:t>ίτη χώρα εκτός της τελωνειακής ένωσης. Επίσης, θα άρει τους περιττούς τεχνικούς φραγμούς στο εμπόριο, αλλά θα εξακολουθήσει να διασφαλίζει ότι όλα τα εμπορεύματα του Ηνωμένου Βασιλείου που εισέρχονται στην Ένωση συμμορφώνονται πλήρως με τα υψηλά ρυθμιστικά</w:t>
      </w:r>
      <w:r>
        <w:rPr>
          <w:noProof/>
        </w:rPr>
        <w:t xml:space="preserve"> πρότυπα της Ένωσης, μεταξύ άλλων όσον αφορά την ποιότητα των τροφίμων (π.χ. υγειονομικά και φυτοϋγειονομικά πρότυπα) και την ασφάλεια των προϊόντων. </w:t>
      </w:r>
    </w:p>
    <w:p w:rsidR="003B3CEF" w:rsidRDefault="005A422B">
      <w:pPr>
        <w:pStyle w:val="Text1"/>
        <w:ind w:left="1417"/>
        <w:rPr>
          <w:noProof/>
        </w:rPr>
      </w:pPr>
      <w:r>
        <w:rPr>
          <w:noProof/>
        </w:rPr>
        <w:t>Συμφωνείται επίσης ένα σημαντικό επίπεδο ανοίγματος για τις συναλλαγές στον τομέα των υπηρεσιών, το οποίο</w:t>
      </w:r>
      <w:r>
        <w:rPr>
          <w:noProof/>
        </w:rPr>
        <w:t xml:space="preserve"> υπερβαίνει τις βασικές διατάξεις της Γενικής Συμφωνίας του ΠΟΕ για τις συναλλαγές στον τομέα των υπηρεσιών (GATS), ενώ αντικατοπτρίζει το γεγονός ότι το Ηνωμένο Βασίλειο δεν επωφελείται πλέον από την ελεύθερη κυκλοφορία των προσώπων και, ως εκ τούτου, από</w:t>
      </w:r>
      <w:r>
        <w:rPr>
          <w:noProof/>
        </w:rPr>
        <w:t xml:space="preserve"> την ελευθερία παροχής υπηρεσιών. Οι πάροχοι υπηρεσιών του Ηνωμένου Βασιλείου που επιθυμούν να προσφέρουν υπηρεσίες στην Ένωση θα πρέπει να πληρούν όλες τις κατάλληλες κανονιστικές απαιτήσεις της Ένωσης, αλλά δεν θα τυγχάνουν λιγότερο ευνοϊκής μεταχείρισης</w:t>
      </w:r>
      <w:r>
        <w:rPr>
          <w:noProof/>
        </w:rPr>
        <w:t xml:space="preserve"> από ό,τι οι οικονομικούς φορείς της Ένωσης στους τομείς που καλύπτονται από τη συμφωνία εμπορίου και συνεργασίας, και αντιστρόφως</w:t>
      </w:r>
      <w:r>
        <w:rPr>
          <w:rStyle w:val="FootnoteReference"/>
          <w:noProof/>
          <w:szCs w:val="24"/>
        </w:rPr>
        <w:footnoteReference w:id="6"/>
      </w:r>
      <w:r>
        <w:rPr>
          <w:noProof/>
        </w:rPr>
        <w:t>. Οι επενδυτές του Ηνωμένου Βασιλείου μπορούν επίσης να ιδρύουν νομικές οντότητες στην Ένωση προκειμένου να προσφέρουν υπηρεσ</w:t>
      </w:r>
      <w:r>
        <w:rPr>
          <w:noProof/>
        </w:rPr>
        <w:t xml:space="preserve">ίες σε ολόκληρη την ενιαία αγορά και αντιστρόφως. Η συμφωνία περιλαμβάνει πλαίσιο για τη μελλοντική διαπραγμάτευση συμφωνιών αναγνώρισης σε σχέση με τα επαγγελματικά προσόντα. </w:t>
      </w:r>
    </w:p>
    <w:p w:rsidR="003B3CEF" w:rsidRDefault="005A422B">
      <w:pPr>
        <w:pStyle w:val="Text2"/>
        <w:rPr>
          <w:noProof/>
        </w:rPr>
      </w:pPr>
      <w:r>
        <w:rPr>
          <w:noProof/>
        </w:rPr>
        <w:t>Η συμφωνία εμπορίου και συνεργασίας περιέχει διατάξεις που αποσκοπούν στη διευκ</w:t>
      </w:r>
      <w:r>
        <w:rPr>
          <w:noProof/>
        </w:rPr>
        <w:t>όλυνση του ψηφιακού εμπορίου, μέσω της αντιμετώπισης των αδικαιολόγητων φραγμών και της διασφάλισης ενός ανοικτού, ασφαλούς και αξιόπιστου επιγραμμικού περιβάλλοντος για τις επιχειρήσεις και τους καταναλωτές, καθώς και υψηλών προτύπων προστασίας των δεδομέ</w:t>
      </w:r>
      <w:r>
        <w:rPr>
          <w:noProof/>
        </w:rPr>
        <w:t>νων προσωπικού χαρακτήρα. Η συμφωνία περιέχει επίσης διατάξεις που εγγυώνται την προστασία των δικαιωμάτων διανοητικής ιδιοκτησίας. Επιπλέον, περιλαμβάνει διατάξεις σχετικά με τις αμοιβαίες ευκαιρίες στις αντίστοιχες αγορές δημόσιων συμβάσεων των Μερών και</w:t>
      </w:r>
      <w:r>
        <w:rPr>
          <w:noProof/>
        </w:rPr>
        <w:t xml:space="preserve"> σχετικά με τα πρότυπα για τις δημόσιες συμβάσεις, οι οποίες υπερβαίνουν τις δεσμεύσεις τους στο πλαίσιο της συμφωνίας του ΠΟΕ για τις δημόσιες συμβάσεις (ΣΔΣ).</w:t>
      </w:r>
    </w:p>
    <w:p w:rsidR="003B3CEF" w:rsidRDefault="005A422B">
      <w:pPr>
        <w:pStyle w:val="Text2"/>
        <w:rPr>
          <w:noProof/>
        </w:rPr>
      </w:pPr>
      <w:r>
        <w:rPr>
          <w:noProof/>
        </w:rPr>
        <w:t>Στον τομέα της ενέργειας, δεδομένου ότι το Ηνωμένο Βασίλειο δεν θα συμμετέχει πλέον στην ενιαία</w:t>
      </w:r>
      <w:r>
        <w:rPr>
          <w:noProof/>
        </w:rPr>
        <w:t xml:space="preserve"> αγορά ηλεκτρικής ενέργειας και στις πλατφόρμες εμπορίας της ΕΕ, η συμφωνία εμπορίου και συνεργασίας δημιουργεί ένα νέο πλαίσιο διμερούς ενεργειακής συνεργασίας, που αποσκοπεί στην εξασφάλιση οικονομικά αποδοτικού, καθαρού και ασφαλούς ενεργειακού εφοδιασμ</w:t>
      </w:r>
      <w:r>
        <w:rPr>
          <w:noProof/>
        </w:rPr>
        <w:t>ού που είναι απαραίτητος για τη λειτουργία και των δύο οικονομιών, τη θέσπιση νέων μηχανισμών συνεργασίας στον τομέα των ανανεώσιμων πηγών ενέργειας, ιδίως στη Βόρεια Θάλασσα, και την αντιμετώπιση της κλιματικής αλλαγής. Ουσιαστικές διατάξεις σχετικά με το</w:t>
      </w:r>
      <w:r>
        <w:rPr>
          <w:noProof/>
        </w:rPr>
        <w:t>υς ισότιμους όρους ανταγωνισμού και την απελευθέρωση αποτελούν επίσης μέρος της συμφωνίας, μεταξύ άλλων όσον αφορά τις προϋποθέσεις για τις επιδοτήσεις στον τομέα της ενέργειας. Όπως και στους άλλους τομείς, οι διατάξεις για την ενέργεια δεν αναπαράγουν πλ</w:t>
      </w:r>
      <w:r>
        <w:rPr>
          <w:noProof/>
        </w:rPr>
        <w:t>ήρως τα οφέλη της ενιαίας αγοράς για το Ηνωμένο Βασίλειο, λαμβανομένου υπόψη του καθεστώτος του ως τρίτης χώρας.</w:t>
      </w:r>
    </w:p>
    <w:p w:rsidR="003B3CEF" w:rsidRDefault="005A422B">
      <w:pPr>
        <w:pStyle w:val="Text2"/>
        <w:rPr>
          <w:noProof/>
          <w:color w:val="FF0000"/>
        </w:rPr>
      </w:pPr>
      <w:r>
        <w:rPr>
          <w:noProof/>
        </w:rPr>
        <w:t>Όσον αφορά τις μεταφορές, η συμφωνία εμπορίου και συνεργασίας προβλέπει συνεχή και βιώσιμη αεροπορική και οδική συνδεσιμότητα, με παράλληλο σεβασμό της ακεραιότητας της ενιαίας αγοράς. Περιλαμβάνει διατάξεις που διασφαλίζουν ότι ο ανταγωνισμός μεταξύ των φ</w:t>
      </w:r>
      <w:r>
        <w:rPr>
          <w:noProof/>
        </w:rPr>
        <w:t xml:space="preserve">ορέων εκμετάλλευσης της Ένωσης και του Ηνωμένου Βασιλείου πραγματοποιείται επί ίσοις όροις, ώστε να μην υπονομεύονται τα δικαιώματα των επιβατών και η ασφάλεια των μεταφορών. </w:t>
      </w:r>
    </w:p>
    <w:p w:rsidR="003B3CEF" w:rsidRDefault="005A422B">
      <w:pPr>
        <w:pStyle w:val="Text2"/>
        <w:rPr>
          <w:noProof/>
        </w:rPr>
      </w:pPr>
      <w:r>
        <w:rPr>
          <w:noProof/>
        </w:rPr>
        <w:t>Το δεύτερο μέρος περιλαμβάνει επίσης πλαίσιο για την κοινή και βιώσιμη διαχείρισ</w:t>
      </w:r>
      <w:r>
        <w:rPr>
          <w:noProof/>
        </w:rPr>
        <w:t>η των αποθεμάτων αλιευμάτων στα ύδατα της Ένωσης και του Ηνωμένου Βασιλείου. Το Ηνωμένο Βασίλειο, ως ανεξάρτητο παράκτιο κράτος, θα έχει τον έλεγχο των υδάτων του και θα είναι σε θέση να αναπτύξει περαιτέρω τη βρετανική αλιεία, ωστόσο οι Ευρωπαίοι αλιείς θ</w:t>
      </w:r>
      <w:r>
        <w:rPr>
          <w:noProof/>
        </w:rPr>
        <w:t xml:space="preserve">α εξακολουθήσουν να έχουν πρόσβαση στα ύδατα του Ηνωμένου Βασιλείου ώστε να διενεργούν τις αλιευτικές δραστηριότητές τους. </w:t>
      </w:r>
    </w:p>
    <w:p w:rsidR="003B3CEF" w:rsidRDefault="005A422B">
      <w:pPr>
        <w:pStyle w:val="Text2"/>
        <w:rPr>
          <w:noProof/>
        </w:rPr>
      </w:pPr>
      <w:r>
        <w:rPr>
          <w:b/>
          <w:noProof/>
        </w:rPr>
        <w:t>Το τρίτο μέρος (Συνεργασία στον τομέα επιβολής του νόμου και δικαστική συνεργασία σε ποινικές υποθέσεις)</w:t>
      </w:r>
      <w:r>
        <w:rPr>
          <w:noProof/>
        </w:rPr>
        <w:t xml:space="preserve"> καθορίζει πλαίσιο για τη συ</w:t>
      </w:r>
      <w:r>
        <w:rPr>
          <w:noProof/>
        </w:rPr>
        <w:t>νεργασία στον τομέα επιβολής του νόμου και δικαστική συνεργασία σε ποινικές υποθέσεις. Αναγνωρίζει την ανάγκη για στενή συνεργασία μεταξύ των εθνικών αστυνομικών και δικαστικών αρχών, καθώς και μεταξύ των θεσμικών και λοιπών οργάνων και οργανισμών της Ένωσ</w:t>
      </w:r>
      <w:r>
        <w:rPr>
          <w:noProof/>
        </w:rPr>
        <w:t xml:space="preserve">ης, ιδίως στο πλαίσιο της καταπολέμησης και της δίωξης του διασυνοριακού εγκλήματος και της τρομοκρατίας. </w:t>
      </w:r>
    </w:p>
    <w:p w:rsidR="003B3CEF" w:rsidRDefault="005A422B">
      <w:pPr>
        <w:pStyle w:val="Text2"/>
        <w:rPr>
          <w:noProof/>
        </w:rPr>
      </w:pPr>
      <w:r>
        <w:rPr>
          <w:noProof/>
        </w:rPr>
        <w:t>Το τρίτο μέρος καλύπτει τα ακόλουθα βασικά πεδία:</w:t>
      </w:r>
    </w:p>
    <w:p w:rsidR="003B3CEF" w:rsidRDefault="005A422B">
      <w:pPr>
        <w:pStyle w:val="Tiret2"/>
        <w:rPr>
          <w:noProof/>
        </w:rPr>
      </w:pPr>
      <w:r>
        <w:rPr>
          <w:noProof/>
        </w:rPr>
        <w:t>Ανταλλαγή δεδομένων: ρυθμίσεις για την έγκαιρη, αποτελεσματική και αποδοτική ανταλλαγή δεδομένων επ</w:t>
      </w:r>
      <w:r>
        <w:rPr>
          <w:noProof/>
        </w:rPr>
        <w:t>ιβατών αεροσκαφών (γνωστών ως καταστάσεις ονομάτων επιβατών ή PNR), DNA, δακτυλικών αποτυπωμάτων και δεδομένων σχετικά με τις άδειες κυκλοφορίας οχημάτων (τα λεγόμενα «δεδομένα Prüm» — τα οποία δεν έχουν ποτέ ανταλλαγεί προηγουμένως μεταξύ της Ένωσης και τ</w:t>
      </w:r>
      <w:r>
        <w:rPr>
          <w:noProof/>
        </w:rPr>
        <w:t>ρίτης χώρας εκτός Σένγκεν), πληροφοριών ποινικού μητρώου και επιχειρησιακών πληροφοριών — που συμπληρώνουν διεθνείς διαύλους, όπως η Ιντερπόλ·</w:t>
      </w:r>
    </w:p>
    <w:p w:rsidR="003B3CEF" w:rsidRDefault="005A422B">
      <w:pPr>
        <w:pStyle w:val="Tiret2"/>
        <w:rPr>
          <w:noProof/>
        </w:rPr>
      </w:pPr>
      <w:r>
        <w:rPr>
          <w:noProof/>
        </w:rPr>
        <w:t>Ευρωπόλ και Eurojust: αποτελεσματική συνεργασία μεταξύ του Ηνωμένου Βασιλείου και της Ευρωπόλ και της Eurojust, σ</w:t>
      </w:r>
      <w:r>
        <w:rPr>
          <w:noProof/>
        </w:rPr>
        <w:t>ύμφωνα με τους κανόνες συνεργασίας με τρίτες χώρες που θεσπίζονται στη νομοθεσία της Ένωσης·</w:t>
      </w:r>
    </w:p>
    <w:p w:rsidR="003B3CEF" w:rsidRDefault="005A422B">
      <w:pPr>
        <w:pStyle w:val="Tiret2"/>
        <w:rPr>
          <w:noProof/>
        </w:rPr>
      </w:pPr>
      <w:r>
        <w:rPr>
          <w:noProof/>
        </w:rPr>
        <w:t>Παράδοση: διευκόλυνση της ταχείας παράδοσης εγκληματιών μεταξύ των κρατών μελών της Ένωσης και του Ηνωμένου Βασιλείου μέσω εξορθολογισμένων διαδικασιών, αυστηρών π</w:t>
      </w:r>
      <w:r>
        <w:rPr>
          <w:noProof/>
        </w:rPr>
        <w:t>ροθεσμιών, ισχυρών εγγυήσεων (συμπεριλαμβανομένων κατάλληλων λόγων άρνησης παράδοσης), δικονομικών δικαιωμάτων και δικαστικού ελέγχου·</w:t>
      </w:r>
    </w:p>
    <w:p w:rsidR="003B3CEF" w:rsidRDefault="005A422B">
      <w:pPr>
        <w:pStyle w:val="Tiret2"/>
        <w:rPr>
          <w:noProof/>
        </w:rPr>
      </w:pPr>
      <w:r>
        <w:rPr>
          <w:noProof/>
        </w:rPr>
        <w:t>Αμοιβαία συνδρομή: ρυθμίσεις για τη διευκόλυνση και τη συμπλήρωση των συμβάσεων του Συμβουλίου της Ευρώπης σε ποινικές υπ</w:t>
      </w:r>
      <w:r>
        <w:rPr>
          <w:noProof/>
        </w:rPr>
        <w:t>οθέσεις, για παράδειγμα μέσω εξορθολογισμένων διαδικασιών, προθεσμιών και τεχνολογικών υποδομών, σχετικά με ευρύ φάσμα μέτρων, συμπεριλαμβανομένης της δέσμευσης και της δήμευσης περιουσιακών στοιχείων·</w:t>
      </w:r>
    </w:p>
    <w:p w:rsidR="003B3CEF" w:rsidRDefault="005A422B">
      <w:pPr>
        <w:pStyle w:val="Tiret2"/>
        <w:rPr>
          <w:noProof/>
        </w:rPr>
      </w:pPr>
      <w:r>
        <w:rPr>
          <w:noProof/>
        </w:rPr>
        <w:t xml:space="preserve">Καταπολέμηση της νομιμοποίησης εσόδων από εγκληματικές δραστηριότητες: διατάξεις για τη συνεργασία στον τομέα της καταπολέμησης της νομιμοποίησης εσόδων από παράνομες δραστηριότητες και της χρηματοδότησης της τρομοκρατίας. </w:t>
      </w:r>
    </w:p>
    <w:p w:rsidR="003B3CEF" w:rsidRDefault="005A422B">
      <w:pPr>
        <w:pStyle w:val="Text2"/>
        <w:rPr>
          <w:noProof/>
        </w:rPr>
      </w:pPr>
      <w:r>
        <w:rPr>
          <w:noProof/>
        </w:rPr>
        <w:t>Το τρίτο μέρος σέβεται το καθεστ</w:t>
      </w:r>
      <w:r>
        <w:rPr>
          <w:noProof/>
        </w:rPr>
        <w:t xml:space="preserve">ώς του Ηνωμένου Βασιλείου ως μη μέλους της Ένωσης εκτός του χώρου Σένγκεν. Για παράδειγμα, το Ηνωμένο Βασίλειο δεν θα έχει πλέον άμεση, σε πραγματικό χρόνο πρόσβαση σε ευαίσθητες βάσεις δεδομένων της Ένωσης που στηρίζουν τον χώρο ελευθερίας, ασφάλειας και </w:t>
      </w:r>
      <w:r>
        <w:rPr>
          <w:noProof/>
        </w:rPr>
        <w:t>δικαιοσύνης της Ένωσης — δεδομένου ότι η εν λόγω πρόσβαση παρέχεται μόνο στα κράτη μέλη και στις πολύ στενά συνδεδεμένες χώρες που αποδέχονται όλες τις υποχρεώσεις που συνοδεύουν την εν λόγω πρόσβαση.</w:t>
      </w:r>
    </w:p>
    <w:p w:rsidR="003B3CEF" w:rsidRDefault="005A422B">
      <w:pPr>
        <w:pStyle w:val="Text2"/>
        <w:rPr>
          <w:noProof/>
        </w:rPr>
      </w:pPr>
      <w:r>
        <w:rPr>
          <w:noProof/>
        </w:rPr>
        <w:t>Η στενή και ολοκληρωμένη αστυνομική και δικαστική συνερ</w:t>
      </w:r>
      <w:r>
        <w:rPr>
          <w:noProof/>
        </w:rPr>
        <w:t>γασία υποστηρίζεται από εγγυήσεις για τον σεβασμό της δημοκρατίας και του κράτους δικαίου, για την αποτελεσματική προστασία των θεμελιωδών δικαιωμάτων και ελευθεριών των ατόμων, συμπεριλαμβανομένων εκείνων που κατοχυρώνονται στην Ευρωπαϊκή Σύμβαση Δικαιωμά</w:t>
      </w:r>
      <w:r>
        <w:rPr>
          <w:noProof/>
        </w:rPr>
        <w:t>των του Ανθρώπου και με την εφαρμογή τους σε εγχώριο επίπεδο, καθώς και από δεσμεύσεις αμφοτέρων των Μερών για την τήρηση υψηλών προτύπων προστασίας των δεδομένων. Αυτό ήταν ένα ιδιαίτερα σημαντικό αίτημα από την πλευρά της Ένωσης προκειμένου να διασφαλιστ</w:t>
      </w:r>
      <w:r>
        <w:rPr>
          <w:noProof/>
        </w:rPr>
        <w:t>εί η προστασία τόσο της ασφάλειας όσο και των θεμελιωδών δικαιωμάτων των πολιτών της. Το τρίτο μέρος προβλέπει επίσης ειδικές διατάξεις για την αναστολή της συνεργασίας σε περίπτωση σοβαρών και συστημικών ελλείψεων όσον αφορά τη διασφάλιση οποιωνδήποτε από</w:t>
      </w:r>
      <w:r>
        <w:rPr>
          <w:noProof/>
        </w:rPr>
        <w:t xml:space="preserve"> αυτές τις εγγυήσεις, καθώς και ειδικό μηχανισμό επίλυσης διαφορών.</w:t>
      </w:r>
    </w:p>
    <w:p w:rsidR="003B3CEF" w:rsidRDefault="005A422B">
      <w:pPr>
        <w:pStyle w:val="Text2"/>
        <w:rPr>
          <w:noProof/>
        </w:rPr>
      </w:pPr>
      <w:r>
        <w:rPr>
          <w:b/>
          <w:noProof/>
        </w:rPr>
        <w:t>Το τέταρτο μέρος (Θεματική συνεργασία)</w:t>
      </w:r>
      <w:r>
        <w:rPr>
          <w:noProof/>
        </w:rPr>
        <w:t xml:space="preserve"> περιλαμβάνει δύο τίτλους: τον τίτλο I: υγειονομική ασφάλεια, και τον τίτλο ΙΙ· κυβερνοασφάλεια. Στο τέταρτο μέρος καθορίζονται διατάξεις για τη συνερ</w:t>
      </w:r>
      <w:r>
        <w:rPr>
          <w:noProof/>
        </w:rPr>
        <w:t>γασία μεταξύ των Μερών σε θέματα υγειονομικής ασφάλειας και κυβερνοασφάλειας, μεταξύ άλλων μέσω της προσωρινής και περιορισμένης συμμετοχής του Ηνωμένου Βασιλείου σε ορισμένες δομές της Ένωσης, μόνο κατόπιν πρόσκλησης της Ένωσης, και υπό την προϋπόθεση ότι</w:t>
      </w:r>
      <w:r>
        <w:rPr>
          <w:noProof/>
        </w:rPr>
        <w:t xml:space="preserve"> προκύπτουν συγκεκριμένες κοινές απειλές.</w:t>
      </w:r>
    </w:p>
    <w:p w:rsidR="003B3CEF" w:rsidRDefault="005A422B">
      <w:pPr>
        <w:pStyle w:val="Text2"/>
        <w:rPr>
          <w:noProof/>
        </w:rPr>
      </w:pPr>
      <w:r>
        <w:rPr>
          <w:b/>
          <w:noProof/>
        </w:rPr>
        <w:t>Στο πέμπτο μέρος (Συμμετοχή σε ενωσιακά προγράμματα, χρηστή δημοσιονομική διαχείριση και δημοσιονομικές διατάξεις)</w:t>
      </w:r>
      <w:r>
        <w:rPr>
          <w:noProof/>
        </w:rPr>
        <w:t xml:space="preserve"> καθορίζονται διατάξεις σχετικά με τη συνεχιζόμενη συμμετοχή του Ηνωμένου Βασιλείου ως τρίτης χώρας </w:t>
      </w:r>
      <w:r>
        <w:rPr>
          <w:noProof/>
        </w:rPr>
        <w:t>σε ορισμένα εμβληματικά προγράμματα της Ένωσης, με την επιφύλαξη της χρηματοδοτικής συνεισφοράς του Ηνωμένου Βασιλείου στον προϋπολογισμό της Ένωσης. Ο ακριβής κατάλογος των προγραμμάτων αυτών θα εγκριθεί αργότερα από την ειδική επιτροπή για τη συμμετοχή σ</w:t>
      </w:r>
      <w:r>
        <w:rPr>
          <w:noProof/>
        </w:rPr>
        <w:t>ε προγράμματα της Ένωσης. Επιπλέον, η ειδική επιτροπή για τη συμμετοχή σε προγράμματα της Ένωσης μπορεί επίσης να καταρτίσει κατάλογο με τις υπηρεσίες που παρέχονται μέσω της υλοποίησης προγραμμάτων της Ένωσης στα οποία μπορεί να έχει πρόσβαση το Ηνωμένο Β</w:t>
      </w:r>
      <w:r>
        <w:rPr>
          <w:noProof/>
        </w:rPr>
        <w:t>ασίλειο.</w:t>
      </w:r>
    </w:p>
    <w:p w:rsidR="003B3CEF" w:rsidRDefault="005A422B">
      <w:pPr>
        <w:pStyle w:val="Text2"/>
        <w:rPr>
          <w:noProof/>
        </w:rPr>
      </w:pPr>
      <w:r>
        <w:rPr>
          <w:noProof/>
        </w:rPr>
        <w:t xml:space="preserve">Οι νομικές βάσεις (βασικές πράξεις) των προγραμμάτων και δραστηριοτήτων της Ένωσης στα οποία μπορεί να συμμετέχει το Ηνωμένο Βασίλειο δεν έχουν ακόμη εγκριθεί. Ωστόσο, υπάρχει κοινή αντίληψη μεταξύ του Ηνωμένου Βασιλείου και της Ένωσης σχετικά με </w:t>
      </w:r>
      <w:r>
        <w:rPr>
          <w:noProof/>
        </w:rPr>
        <w:t>τα προγράμματα στα οποία μπορεί να συμμετέχει το Ηνωμένο Βασίλειο και υπό ποιες ειδικές προϋποθέσεις, με την επιφύλαξη των όρων που προβλέπονται στις οριστικές νομικές βάσεις. Ως εκ τούτου, μια κοινή δήλωση που επισυνάπτεται στη συμφωνία εμπορίου και συνερ</w:t>
      </w:r>
      <w:r>
        <w:rPr>
          <w:noProof/>
        </w:rPr>
        <w:t>γασίας παρέχει πλαίσιο για τα πρωτόκολλα που θα προστεθούν στην εν λόγω συμφωνία από την ειδική επιτροπή για τη συμμετοχή σε προγράμματα της Ένωσης, όταν εγκριθούν οι νομικές βάσεις των εν λόγω προγραμμάτων.</w:t>
      </w:r>
    </w:p>
    <w:p w:rsidR="003B3CEF" w:rsidRDefault="005A422B">
      <w:pPr>
        <w:pStyle w:val="Text2"/>
        <w:rPr>
          <w:noProof/>
        </w:rPr>
      </w:pPr>
      <w:r>
        <w:rPr>
          <w:b/>
          <w:noProof/>
        </w:rPr>
        <w:t>Το έκτο μέρος (Επίλυση διαφορών και οριζόντιες δ</w:t>
      </w:r>
      <w:r>
        <w:rPr>
          <w:b/>
          <w:noProof/>
        </w:rPr>
        <w:t>ιατάξεις)</w:t>
      </w:r>
      <w:r>
        <w:rPr>
          <w:noProof/>
        </w:rPr>
        <w:t xml:space="preserve"> περιλαμβάνει τρεις τίτλους: τον τίτλο I (Επίλυση διαφορών), τον τίτλο II (Βάση της συνεργασίας) και τίτλος III (Εκπλήρωση υποχρεώσεων και μέτρα διασφάλισης). </w:t>
      </w:r>
    </w:p>
    <w:p w:rsidR="003B3CEF" w:rsidRDefault="005A422B">
      <w:pPr>
        <w:pStyle w:val="Text2"/>
        <w:rPr>
          <w:noProof/>
        </w:rPr>
      </w:pPr>
      <w:r>
        <w:rPr>
          <w:noProof/>
        </w:rPr>
        <w:t>Όσον αφορά την επίλυση διαφορών, εάν προκύψει διαφωνία και δεν μπορεί να βρεθεί λύση με</w:t>
      </w:r>
      <w:r>
        <w:rPr>
          <w:noProof/>
        </w:rPr>
        <w:t>ταξύ των Μερών, η συμφωνία εμπορίου και συνεργασίας προβλέπει τη σύσταση ανεξάρτητου διαιτητικού δικαστηρίου για την επίλυση του ζητήματος μέσω δεσμευτικής απόφασης. Ο εν λόγω μηχανισμός επίλυσης διαφορών εφαρμόζεται στους περισσότερους τομείς της συμφωνία</w:t>
      </w:r>
      <w:r>
        <w:rPr>
          <w:noProof/>
        </w:rPr>
        <w:t>ς εμπορίου και συνεργασίας, συμπεριλαμβανομένων των ισότιμων όρων ανταγωνισμού και της αλιείας. Συνοδεύεται από αξιόπιστους και ισχυρούς μηχανισμούς επιβολής και συμμόρφωσης, συμπεριλαμβανομένης της δυνατότητας αναστολής των υποχρεώσεων του προσφεύγοντος Μ</w:t>
      </w:r>
      <w:r>
        <w:rPr>
          <w:noProof/>
        </w:rPr>
        <w:t>έρους βάσει της συμφωνίας εμπορίου και συνεργασίας, για παράδειγμα της επαναφοράς δασμών και/ή ποσοστώσεων.</w:t>
      </w:r>
      <w:r>
        <w:rPr>
          <w:noProof/>
          <w:shd w:val="clear" w:color="auto" w:fill="FFFFFF" w:themeFill="background1"/>
        </w:rPr>
        <w:t xml:space="preserve"> </w:t>
      </w:r>
      <w:r>
        <w:rPr>
          <w:noProof/>
        </w:rPr>
        <w:t>Επιπλέον, κάθε Μέρος θα μπορεί, υπό ορισμένες προϋποθέσεις, να λαμβάνει αμοιβαία αντίμετρα όταν το άλλο Μέρος δεν συμμορφώνεται με την απόφαση του δ</w:t>
      </w:r>
      <w:r>
        <w:rPr>
          <w:noProof/>
        </w:rPr>
        <w:t>ιαιτητικού δικαστηρίου. Για παράδειγμα, συνεχιζόμενη παραβίαση από ένα Μέρος η οποία επηρεάζει συγκεκριμένο οικονομικό τομέα θα επιτρέπει στο άλλο μέρος να λαμβάνει αντίμετρα σε άλλους οικονομικούς τομείς. Κάθε Μέρος μπορεί επίσης να λαμβάνει μονομερώς κατ</w:t>
      </w:r>
      <w:r>
        <w:rPr>
          <w:noProof/>
        </w:rPr>
        <w:t xml:space="preserve">άλληλα μέτρα διασφάλισης σε περιπτώσεις σοβαρών οικονομικών, κοινωνικών ή περιβαλλοντικών δυσκολιών τομεακού ή περιφερειακού χαρακτήρα. </w:t>
      </w:r>
    </w:p>
    <w:p w:rsidR="003B3CEF" w:rsidRDefault="005A422B">
      <w:pPr>
        <w:pStyle w:val="Text2"/>
        <w:rPr>
          <w:noProof/>
        </w:rPr>
      </w:pPr>
      <w:r>
        <w:rPr>
          <w:b/>
          <w:noProof/>
        </w:rPr>
        <w:t xml:space="preserve">Το έβδομο μέρος (Τελικές διατάξεις) </w:t>
      </w:r>
      <w:r>
        <w:rPr>
          <w:noProof/>
        </w:rPr>
        <w:t>περιέχει τελικές διατάξεις, μεταξύ άλλων σχετικά με την έναρξη ισχύος, την επανεξέτ</w:t>
      </w:r>
      <w:r>
        <w:rPr>
          <w:noProof/>
        </w:rPr>
        <w:t>αση και την καταγγελία της συμφωνίας εμπορίου και συνεργασίας.</w:t>
      </w:r>
    </w:p>
    <w:p w:rsidR="003B3CEF" w:rsidRDefault="005A422B">
      <w:pPr>
        <w:pStyle w:val="Text2"/>
        <w:rPr>
          <w:noProof/>
        </w:rPr>
      </w:pPr>
      <w:r>
        <w:rPr>
          <w:noProof/>
        </w:rPr>
        <w:t xml:space="preserve">Δύο </w:t>
      </w:r>
      <w:r>
        <w:rPr>
          <w:b/>
          <w:noProof/>
        </w:rPr>
        <w:t>πρωτόκολλα</w:t>
      </w:r>
      <w:r>
        <w:rPr>
          <w:noProof/>
        </w:rPr>
        <w:t xml:space="preserve"> περιέχουν διατάξεις σχετικά με τη </w:t>
      </w:r>
      <w:r>
        <w:rPr>
          <w:b/>
          <w:noProof/>
        </w:rPr>
        <w:t>διοικητική συνεργασία και την καταπολέμηση της απάτης στον τομέα του φόρου προστιθέμενης αξίας, την αμοιβαία συνδρομή για την είσπραξη απαιτήσεω</w:t>
      </w:r>
      <w:r>
        <w:rPr>
          <w:b/>
          <w:noProof/>
        </w:rPr>
        <w:t xml:space="preserve">ν σχετικών με φόρους και δασμούς </w:t>
      </w:r>
      <w:r>
        <w:rPr>
          <w:noProof/>
        </w:rPr>
        <w:t xml:space="preserve">και </w:t>
      </w:r>
      <w:r>
        <w:rPr>
          <w:b/>
          <w:noProof/>
        </w:rPr>
        <w:t>την αμοιβαία διοικητική συνδρομή σε τελωνειακά θέματα</w:t>
      </w:r>
      <w:r>
        <w:rPr>
          <w:noProof/>
        </w:rPr>
        <w:t>.</w:t>
      </w:r>
    </w:p>
    <w:p w:rsidR="003B3CEF" w:rsidRDefault="005A422B">
      <w:pPr>
        <w:pStyle w:val="Text2"/>
        <w:rPr>
          <w:noProof/>
        </w:rPr>
      </w:pPr>
      <w:r>
        <w:rPr>
          <w:b/>
          <w:noProof/>
        </w:rPr>
        <w:t>Το πρωτόκολλο για τον συντονισμό της κοινωνικής ασφάλισης</w:t>
      </w:r>
      <w:r>
        <w:rPr>
          <w:noProof/>
        </w:rPr>
        <w:t xml:space="preserve"> καθορίζει μια σειρά μέτρων συντονισμού της κοινωνικής ασφάλισης που αποσκοπούν στην προστασία των δικαιωμά</w:t>
      </w:r>
      <w:r>
        <w:rPr>
          <w:noProof/>
        </w:rPr>
        <w:t>των κοινωνικής ασφάλισης των πολιτών της ΕΕ και των υπηκόων του Ηνωμένου Βασιλείου που βρίσκονται σε διασυνοριακή κατάσταση στην οποία εμπλέκονται το Ηνωμένο Βασίλειο και η ΕΕ από την 1η Ιανουαρίου 2021. Προστατεύονται επίσης οι υπήκοοι τρίτων χωρών, οι αν</w:t>
      </w:r>
      <w:r>
        <w:rPr>
          <w:noProof/>
        </w:rPr>
        <w:t>ιθαγενείς και οι πρόσφυγες. Καλύπτεται ευρύ φάσμα παροχών, συμπεριλαμβανομένων των συντάξεων γήρατος και επιζώντων, των επιδομάτων θανάτου, των παροχών ασθένειας, των παροχών μητρότητας/πατρότητας που συνδέονται με τη γέννηση τέκνου, των παροχών για εργατι</w:t>
      </w:r>
      <w:r>
        <w:rPr>
          <w:noProof/>
        </w:rPr>
        <w:t xml:space="preserve">κά ατυχήματα ή των παροχών προσύνταξης. Το πρωτόκολλο διασφαλίζει ότι οι ρυθμίσεις συντονισμού της κοινωνικής ασφάλισης που θεσπίζονται σ’ αυτό βασίζονται στην αρχή της μη διακριτικής μεταχείρισης μεταξύ των κρατών μελών της Ένωσης. </w:t>
      </w:r>
    </w:p>
    <w:p w:rsidR="003B3CEF" w:rsidRDefault="005A422B">
      <w:pPr>
        <w:pStyle w:val="Text2"/>
        <w:rPr>
          <w:noProof/>
        </w:rPr>
      </w:pPr>
      <w:r>
        <w:rPr>
          <w:b/>
          <w:noProof/>
        </w:rPr>
        <w:t xml:space="preserve">Η συμφωνία σχετικά με </w:t>
      </w:r>
      <w:r>
        <w:rPr>
          <w:b/>
          <w:noProof/>
        </w:rPr>
        <w:t>διαδικασίες ασφάλειας για την ανταλλαγή και την προστασία διαβαθμισμένων πληροφοριών</w:t>
      </w:r>
      <w:r>
        <w:rPr>
          <w:noProof/>
        </w:rPr>
        <w:t xml:space="preserve"> ορίζει κανόνες και ρυθμίσεις για την ανταλλαγή διαβαθμισμένων και μη διαβαθμισμένων ευαίσθητων πληροφοριών. Στο ίδιο πνεύμα με άλλες συμφωνίες για την ασφάλεια των πληροφο</w:t>
      </w:r>
      <w:r>
        <w:rPr>
          <w:noProof/>
        </w:rPr>
        <w:t xml:space="preserve">ριών που έχει συνάψει η Ένωση με άλλες τρίτες χώρες, η συμφωνία για την ασφάλεια των πληροφοριών διασφαλίζει τον ασφαλή χειρισμό των ευαίσθητων πληροφοριών, βάσει της αρχής της συγκατάθεσης του φορέα προέλευσης πριν από την κοινοποίηση των ανταλλασσόμενων </w:t>
      </w:r>
      <w:r>
        <w:rPr>
          <w:noProof/>
        </w:rPr>
        <w:t xml:space="preserve">πληροφοριών. </w:t>
      </w:r>
      <w:r>
        <w:rPr>
          <w:noProof/>
          <w:color w:val="000000"/>
        </w:rPr>
        <w:t>Η συμφωνία για την ασφάλεια των πληροφοριών εφαρμόζεται από την ημερομηνία εφαρμογής της συμφωνίας εμπορίου και συνεργασίας ή από την ημερομηνία κατά την οποία τα Μέρη ενημερώσουν το ένα το άλλο ότι έχουν ολοκληρώσει τις αντίστοιχες εσωτερικές</w:t>
      </w:r>
      <w:r>
        <w:rPr>
          <w:noProof/>
          <w:color w:val="000000"/>
        </w:rPr>
        <w:t xml:space="preserve"> απαιτήσεις και διαδικασίες τους για την κοινοποίηση διαβαθμισμένων πληροφοριών βάσει της εν λόγω συμφωνίας, ανάλογα με το ποια ημερομηνία είναι μεταγενέστερη.</w:t>
      </w:r>
    </w:p>
    <w:p w:rsidR="003B3CEF" w:rsidRDefault="003B3CEF">
      <w:pPr>
        <w:pBdr>
          <w:top w:val="nil"/>
          <w:left w:val="nil"/>
          <w:bottom w:val="nil"/>
          <w:right w:val="nil"/>
          <w:between w:val="nil"/>
          <w:bar w:val="nil"/>
        </w:pBdr>
        <w:spacing w:before="0" w:after="240"/>
        <w:rPr>
          <w:noProof/>
        </w:rPr>
        <w:sectPr w:rsidR="003B3CEF" w:rsidSect="005A422B">
          <w:footerReference w:type="default" r:id="rId15"/>
          <w:footerReference w:type="first" r:id="rId16"/>
          <w:pgSz w:w="11907" w:h="16839"/>
          <w:pgMar w:top="1134" w:right="1417" w:bottom="1134" w:left="1417" w:header="709" w:footer="709" w:gutter="0"/>
          <w:cols w:space="708"/>
          <w:docGrid w:linePitch="360"/>
        </w:sectPr>
      </w:pPr>
    </w:p>
    <w:p w:rsidR="003B3CEF" w:rsidRDefault="005A422B" w:rsidP="005A422B">
      <w:pPr>
        <w:pStyle w:val="Rfrenceinterinstitutionnelle"/>
        <w:rPr>
          <w:noProof/>
        </w:rPr>
      </w:pPr>
      <w:r w:rsidRPr="005A422B">
        <w:t>2020/0381 (NLE)</w:t>
      </w:r>
    </w:p>
    <w:p w:rsidR="003B3CEF" w:rsidRDefault="005A422B" w:rsidP="005A422B">
      <w:pPr>
        <w:pStyle w:val="Statut"/>
        <w:rPr>
          <w:noProof/>
        </w:rPr>
      </w:pPr>
      <w:r w:rsidRPr="005A422B">
        <w:t>Πρόταση</w:t>
      </w:r>
    </w:p>
    <w:p w:rsidR="003B3CEF" w:rsidRDefault="005A422B" w:rsidP="005A422B">
      <w:pPr>
        <w:pStyle w:val="Typedudocument"/>
        <w:rPr>
          <w:noProof/>
        </w:rPr>
      </w:pPr>
      <w:r w:rsidRPr="005A422B">
        <w:t>ΑΠΟΦΑΣΗ ΤΟΥ ΣΥΜΒΟΥΛΙΟΥ</w:t>
      </w:r>
    </w:p>
    <w:p w:rsidR="003B3CEF" w:rsidRDefault="005A422B" w:rsidP="005A422B">
      <w:pPr>
        <w:pStyle w:val="Titreobjet"/>
        <w:rPr>
          <w:noProof/>
        </w:rPr>
      </w:pPr>
      <w:r w:rsidRPr="005A422B">
        <w:t>για την υπογραφή, εξ ονόματος της Ένωσης, και για την προσωρινή εφαρμογή, της συμφωνίας εμπορίου και συνεργασίας μεταξύ της Ευρωπαϊκής Ένωσης και της Ευρωπαϊκής Κοινότητας Ατομικής Ενέργειας, αφενός, και του Ηνωμένου Βασιλείου της Μεγάλης Βρετανίας και της Βόρειας Ιρλανδίας, αφετέρου, και της συμφωνίας μεταξύ της Ευρωπαϊκής Ένωσης και του Ηνωμένου Βασιλείου της Μεγάλης Βρετανίας και της Βόρειας Ιρλανδίας σχετικά με διαδικασίες ασφάλειας για την ανταλλαγή και την προστασία διαβαθμισμένων πληροφοριών</w:t>
      </w:r>
    </w:p>
    <w:p w:rsidR="003B3CEF" w:rsidRDefault="005A422B">
      <w:pPr>
        <w:pStyle w:val="Institutionquiagit"/>
        <w:rPr>
          <w:noProof/>
        </w:rPr>
      </w:pPr>
      <w:r>
        <w:rPr>
          <w:noProof/>
        </w:rPr>
        <w:t>Τ</w:t>
      </w:r>
      <w:r>
        <w:rPr>
          <w:noProof/>
        </w:rPr>
        <w:t>Ο ΣΥΜΒΟΥΛΙΟ ΤΗΣ ΕΥΡΩΠΑΪΚΗΣ ΕΝΩΣΗΣ,</w:t>
      </w:r>
    </w:p>
    <w:p w:rsidR="003B3CEF" w:rsidRDefault="005A422B">
      <w:pPr>
        <w:rPr>
          <w:noProof/>
        </w:rPr>
      </w:pPr>
      <w:r>
        <w:rPr>
          <w:noProof/>
        </w:rPr>
        <w:t xml:space="preserve">Έχοντας υπόψη τη Συνθήκη για τη λειτουργία της Ευρωπαϊκής Ένωσης (στο εξής: ΣΛΕΕ), και ιδίως το άρθρο 217, σε συνδυασμό με το άρθρο 218 παράγραφος 5 και το άρθρο 218 παράγραφος 8 δεύτερο εδάφιο, </w:t>
      </w:r>
    </w:p>
    <w:p w:rsidR="003B3CEF" w:rsidRDefault="005A422B">
      <w:pPr>
        <w:rPr>
          <w:noProof/>
        </w:rPr>
      </w:pPr>
      <w:r>
        <w:rPr>
          <w:noProof/>
        </w:rPr>
        <w:t xml:space="preserve">Έχοντας υπόψη </w:t>
      </w:r>
      <w:r>
        <w:rPr>
          <w:noProof/>
        </w:rPr>
        <w:t>την πρόταση της Ευρωπαϊκής Επιτροπής,</w:t>
      </w:r>
    </w:p>
    <w:p w:rsidR="003B3CEF" w:rsidRDefault="005A422B">
      <w:pPr>
        <w:rPr>
          <w:noProof/>
        </w:rPr>
      </w:pPr>
      <w:r>
        <w:rPr>
          <w:noProof/>
        </w:rPr>
        <w:t>Εκτιμώντας τα ακόλουθα:</w:t>
      </w:r>
    </w:p>
    <w:p w:rsidR="003B3CEF" w:rsidRDefault="005A422B">
      <w:pPr>
        <w:pStyle w:val="ManualConsidrant"/>
        <w:rPr>
          <w:noProof/>
        </w:rPr>
      </w:pPr>
      <w:r>
        <w:rPr>
          <w:noProof/>
        </w:rPr>
        <w:t>(1)</w:t>
      </w:r>
      <w:r>
        <w:rPr>
          <w:noProof/>
        </w:rPr>
        <w:tab/>
        <w:t xml:space="preserve">Στις 29 Μαρτίου 2017 το Ηνωμένο Βασίλειο γνωστοποίησε στο Ευρωπαϊκό Συμβούλιο την πρόθεσή του να αποχωρήσει από την Ευρωπαϊκή Ένωση και την Ευρωπαϊκή Κοινότητα Ατομικής Ενέργειας σύμφωνα με </w:t>
      </w:r>
      <w:r>
        <w:rPr>
          <w:noProof/>
        </w:rPr>
        <w:t xml:space="preserve">το άρθρο 50 της Συνθήκης για την Ευρωπαϊκή Ένωση (ΣΕΕ). </w:t>
      </w:r>
    </w:p>
    <w:p w:rsidR="003B3CEF" w:rsidRDefault="005A422B">
      <w:pPr>
        <w:pStyle w:val="ManualConsidrant"/>
        <w:rPr>
          <w:noProof/>
        </w:rPr>
      </w:pPr>
      <w:r>
        <w:rPr>
          <w:noProof/>
        </w:rPr>
        <w:t>(2)</w:t>
      </w:r>
      <w:r>
        <w:rPr>
          <w:noProof/>
        </w:rPr>
        <w:tab/>
        <w:t>Στις 30 Ιανουαρίου 2020, το Συμβούλιο εξέδωσε την απόφαση (ΕΕ) 2020/135 σχετικά με τη σύναψη της συμφωνίας για την αποχώρηση του Ηνωμένου Βασιλείου της Μεγάλης Βρετανίας και της Βόρειας Ιρλανδίας</w:t>
      </w:r>
      <w:r>
        <w:rPr>
          <w:noProof/>
        </w:rPr>
        <w:t xml:space="preserve"> από την Ευρωπαϊκή Ένωση και την Ευρωπαϊκή Κοινότητα Ατομικής Ενέργειας (στο εξής: συμφωνία αποχώρησης)</w:t>
      </w:r>
      <w:r>
        <w:rPr>
          <w:rStyle w:val="FootnoteReference"/>
          <w:noProof/>
        </w:rPr>
        <w:footnoteReference w:id="7"/>
      </w:r>
      <w:r>
        <w:rPr>
          <w:noProof/>
        </w:rPr>
        <w:t>. Η συμφωνία αποχώρησης τέθηκε σε ισχύ την 1η Φεβρουαρίου 2020.</w:t>
      </w:r>
    </w:p>
    <w:p w:rsidR="003B3CEF" w:rsidRDefault="005A422B">
      <w:pPr>
        <w:pStyle w:val="ManualConsidrant"/>
        <w:rPr>
          <w:noProof/>
        </w:rPr>
      </w:pPr>
      <w:r>
        <w:rPr>
          <w:noProof/>
        </w:rPr>
        <w:t>(3)</w:t>
      </w:r>
      <w:r>
        <w:rPr>
          <w:noProof/>
        </w:rPr>
        <w:tab/>
        <w:t>Στις 25 Φεβρουαρίου 2020 το Συμβούλιο εξέδωσε την απόφαση (ΕΕ, Ευρατόμ) 2020/266</w:t>
      </w:r>
      <w:r>
        <w:rPr>
          <w:rStyle w:val="FootnoteReference"/>
          <w:noProof/>
        </w:rPr>
        <w:footnoteReference w:id="8"/>
      </w:r>
      <w:r>
        <w:rPr>
          <w:noProof/>
        </w:rPr>
        <w:t xml:space="preserve"> με</w:t>
      </w:r>
      <w:r>
        <w:rPr>
          <w:noProof/>
        </w:rPr>
        <w:t xml:space="preserve"> την οποία εξουσιοδοτείται η Επιτροπή να αρχίσει διαπραγματεύσεις με το Ηνωμένο Βασίλειο για νέα συμφωνία εταιρικής σχέσης. Οι διαπραγματεύσεις διεξήχθησαν υπό το πρίσμα των οδηγιών διαπραγμάτευσης της 25ης Φεβρουαρίου 2020.</w:t>
      </w:r>
    </w:p>
    <w:p w:rsidR="003B3CEF" w:rsidRDefault="005A422B">
      <w:pPr>
        <w:pStyle w:val="ManualConsidrant"/>
        <w:rPr>
          <w:noProof/>
        </w:rPr>
      </w:pPr>
      <w:r>
        <w:rPr>
          <w:noProof/>
        </w:rPr>
        <w:t>(4)</w:t>
      </w:r>
      <w:r>
        <w:rPr>
          <w:noProof/>
        </w:rPr>
        <w:tab/>
        <w:t>Οι διαπραγματεύσεις ολοκληρ</w:t>
      </w:r>
      <w:r>
        <w:rPr>
          <w:noProof/>
        </w:rPr>
        <w:t>ώθηκαν στις 24 Δεκεμβρίου 2020. Το αποτέλεσμά τους ήταν η συμφωνία εμπορίου και συνεργασίας μεταξύ της Ευρωπαϊκής Ένωσης και της Ευρωπαϊκής Κοινότητας Ατομικής Ενέργειας, αφενός, και του Ηνωμένου Βασιλείου της Μεγάλης Βρετανίας και της Βόρειας Ιρλανδίας, α</w:t>
      </w:r>
      <w:r>
        <w:rPr>
          <w:noProof/>
        </w:rPr>
        <w:t>φετέρου (στο εξής: συμφωνία εμπορίου και συνεργασίας) και η συμφωνία μεταξύ της Ευρωπαϊκής Ένωσης και του Ηνωμένου Βασιλείου της Μεγάλης Βρετανίας και της Βόρειας Ιρλανδίας σχετικά με διαδικασίες ασφάλειας για την ανταλλαγή και την προστασία διαβαθμισμένων</w:t>
      </w:r>
      <w:r>
        <w:rPr>
          <w:noProof/>
        </w:rPr>
        <w:t xml:space="preserve"> πληροφοριών (στο εξής: συμφωνία για την ασφάλεια των πληροφοριών).</w:t>
      </w:r>
      <w:r>
        <w:rPr>
          <w:rFonts w:asciiTheme="minorHAnsi" w:hAnsiTheme="minorHAnsi"/>
          <w:noProof/>
          <w:szCs w:val="24"/>
        </w:rPr>
        <w:t xml:space="preserve"> </w:t>
      </w:r>
    </w:p>
    <w:p w:rsidR="003B3CEF" w:rsidRDefault="005A422B">
      <w:pPr>
        <w:pStyle w:val="ManualConsidrant"/>
        <w:rPr>
          <w:noProof/>
        </w:rPr>
      </w:pPr>
      <w:r>
        <w:rPr>
          <w:noProof/>
        </w:rPr>
        <w:t>(5)</w:t>
      </w:r>
      <w:r>
        <w:rPr>
          <w:noProof/>
        </w:rPr>
        <w:tab/>
        <w:t>Η συμφωνία εμπορίου και συνεργασίας θεσπίζει τη βάση για μια ευρεία σχέση μεταξύ της Ένωσης και του Ηνωμένου Βασιλείου, η οποία συνεπάγεται αμοιβαία δικαιώματα και υποχρεώσεις, κοινές</w:t>
      </w:r>
      <w:r>
        <w:rPr>
          <w:noProof/>
        </w:rPr>
        <w:t xml:space="preserve"> δράσεις και ειδικές διαδικασίες. Η συμφωνία για την ασφάλεια των πληροφοριών αποτελεί συμφωνία συμπληρωματική της συμφωνίας εμπορίου και συνεργασίας, η οποία συνδέεται άρρηκτα μ’ αυτήν, ιδίως όσον αφορά την έναρξη της εφαρμογής και την καταγγελία της. Επο</w:t>
      </w:r>
      <w:r>
        <w:rPr>
          <w:noProof/>
        </w:rPr>
        <w:t>μένως, η απόφαση για την υπογραφή της συμφωνίας εμπορίου και συνεργασίας και της συμφωνίας για την ασφάλεια των πληροφοριών (στο εξής: συμφωνίες) θα πρέπει να στηρίζεται στη νομική βάση που προβλέπει τη σύσταση σύνδεσης η οποία επιτρέπει στην Ένωση να αναλ</w:t>
      </w:r>
      <w:r>
        <w:rPr>
          <w:noProof/>
        </w:rPr>
        <w:t>άβει δεσμεύσεις σε όλους τους τομείς που καλύπτουν οι Συνθήκες.</w:t>
      </w:r>
    </w:p>
    <w:p w:rsidR="003B3CEF" w:rsidRDefault="005A422B">
      <w:pPr>
        <w:pStyle w:val="ManualConsidrant"/>
        <w:rPr>
          <w:noProof/>
        </w:rPr>
      </w:pPr>
      <w:r>
        <w:rPr>
          <w:noProof/>
        </w:rPr>
        <w:t>(6)</w:t>
      </w:r>
      <w:r>
        <w:rPr>
          <w:noProof/>
        </w:rPr>
        <w:tab/>
        <w:t>Η υπογραφή της συμφωνίας εμπορίου και συνεργασίας όσον αφορά θέματα που εμπίπτουν στην αρμοδιότητα της Ευρωπαϊκής Κοινότητας Ατομικής Ενεργείας υπόκειται σε χωριστή διαδικασία.</w:t>
      </w:r>
    </w:p>
    <w:p w:rsidR="003B3CEF" w:rsidRDefault="005A422B">
      <w:pPr>
        <w:pStyle w:val="ManualConsidrant"/>
        <w:rPr>
          <w:noProof/>
        </w:rPr>
      </w:pPr>
      <w:r>
        <w:rPr>
          <w:noProof/>
        </w:rPr>
        <w:t>(7)</w:t>
      </w:r>
      <w:r>
        <w:rPr>
          <w:noProof/>
        </w:rPr>
        <w:tab/>
        <w:t>Είναι σ</w:t>
      </w:r>
      <w:r>
        <w:rPr>
          <w:noProof/>
        </w:rPr>
        <w:t>κόπιμο να καθοριστούν οι όροι εκπροσώπησης της Ένωσης στο συμβούλιο εταιρικής σχέσης και στις επιτροπές που συγκροτούνται βάσει της συμφωνίας εμπορίου και συνεργασίας. Η Επιτροπή, όπως προβλέπεται στο άρθρο 17 παράγραφος 1 της Συνθήκης για την Ευρωπαϊκή Έν</w:t>
      </w:r>
      <w:r>
        <w:rPr>
          <w:noProof/>
        </w:rPr>
        <w:t>ωση (ΣΕΕ), εκπροσωπεί την Ένωση και εκφράζει τις θέσεις της Ένωσης όπως καθορίζονται από το Συμβούλιο σύμφωνα με τις Συνθήκες. Το Συμβούλιο ασκεί τα καθήκοντά του χάραξης πολιτικής και συντονισμού, όπως προβλέπεται στο άρθρο 16 παράγραφος 1 της ΣΕΕ, καθορί</w:t>
      </w:r>
      <w:r>
        <w:rPr>
          <w:noProof/>
        </w:rPr>
        <w:t>ζοντας τις θέσεις που πρέπει να ληφθούν εξ ονόματος της Ένωσης στο συμβούλιο εταιρικής σχέσης και στις επιτροπές που συστήνονται με τη συμφωνία εμπορίου και συνεργασίας. Επιπλέον, όταν το συμβούλιο εταιρικής σχέσης ή οι επιτροπές που συστήνονται με τη συμφ</w:t>
      </w:r>
      <w:r>
        <w:rPr>
          <w:noProof/>
        </w:rPr>
        <w:t>ωνία εμπορίου και συνεργασίας καλούνται να θεσπίσουν πράξεις που παράγουν έννομα αποτελέσματα, οι θέσεις που θα πρέπει να ληφθούν εξ ονόματος της Ένωσης στα εν λόγω όργανα θα πρέπει να καθορίζονται σύμφωνα με τη διαδικασία του άρθρου 218 παράγραφος 9 της Σ</w:t>
      </w:r>
      <w:r>
        <w:rPr>
          <w:noProof/>
        </w:rPr>
        <w:t xml:space="preserve">ΛΕΕ. </w:t>
      </w:r>
    </w:p>
    <w:p w:rsidR="003B3CEF" w:rsidRDefault="005A422B">
      <w:pPr>
        <w:pStyle w:val="ManualConsidrant"/>
        <w:rPr>
          <w:noProof/>
        </w:rPr>
      </w:pPr>
      <w:r>
        <w:rPr>
          <w:noProof/>
        </w:rPr>
        <w:t>(8)</w:t>
      </w:r>
      <w:r>
        <w:rPr>
          <w:noProof/>
        </w:rPr>
        <w:tab/>
        <w:t xml:space="preserve">Ένα ή περισσότερα κράτη μέλη μπορούν να ζητήσουν να συνοδεύεται ο εκπρόσωπος της Επιτροπής από εκπρόσωπο του εν λόγω κράτους μέλους ή των εν λόγω κρατών μελών, ως μέλος της αντιπροσωπείας της Ένωσης, σε συνεδρίαση του συμβουλίου εταιρικής σχέσης </w:t>
      </w:r>
      <w:r>
        <w:rPr>
          <w:noProof/>
        </w:rPr>
        <w:t>και των άλλων κοινών οργάνων που συστήνονται με τη συμφωνία.</w:t>
      </w:r>
    </w:p>
    <w:p w:rsidR="003B3CEF" w:rsidRDefault="005A422B">
      <w:pPr>
        <w:pStyle w:val="ManualConsidrant"/>
        <w:rPr>
          <w:noProof/>
          <w:szCs w:val="24"/>
        </w:rPr>
      </w:pPr>
      <w:r>
        <w:rPr>
          <w:noProof/>
        </w:rPr>
        <w:t>(9)</w:t>
      </w:r>
      <w:r>
        <w:rPr>
          <w:noProof/>
        </w:rPr>
        <w:tab/>
        <w:t>Για να μπορεί η Ένωση να αντιδρά εγκαίρως όταν δεν πληρούνται πλέον οι οικείες προϋποθέσεις, η Επιτροπή θα πρέπει να εξουσιοδοτηθεί να λαμβάνει ορισμένες αποφάσεις για την αναστολή των οφελών</w:t>
      </w:r>
      <w:r>
        <w:rPr>
          <w:noProof/>
        </w:rPr>
        <w:t xml:space="preserve"> που απονέμονται στο Ηνωμένο Βασίλειο βάσει του παραρτήματος για τα βιολογικά προϊόντα και του παραρτήματος για τα φάρμακα. Πριν από αυτό, η Επιτροπή θα πρέπει να ενημερώνει τους αντιπροσώπους των κρατών μελών, οι οποίοι μπορούν να αντιταχθούν στη θέση της</w:t>
      </w:r>
      <w:r>
        <w:rPr>
          <w:noProof/>
        </w:rPr>
        <w:t xml:space="preserve"> Επιτροπής εφόσον σχηματίζεται μειοψηφία αρνησικυρίας. Η Επιτροπή θα πρέπει επίσης να εξουσιοδοτηθεί να εγκρίνει, σύμφωνα με την ίδια διαδικασία, κάθε άλλη αναγκαία εκτελεστική ρύθμιση για την αποτελεσματική λειτουργία των εν λόγω παραρτημάτων.</w:t>
      </w:r>
    </w:p>
    <w:p w:rsidR="003B3CEF" w:rsidRDefault="005A422B">
      <w:pPr>
        <w:pStyle w:val="ManualConsidrant"/>
        <w:rPr>
          <w:noProof/>
        </w:rPr>
      </w:pPr>
      <w:r>
        <w:rPr>
          <w:noProof/>
        </w:rPr>
        <w:t>(10)</w:t>
      </w:r>
      <w:r>
        <w:rPr>
          <w:noProof/>
        </w:rPr>
        <w:tab/>
        <w:t>Για να</w:t>
      </w:r>
      <w:r>
        <w:rPr>
          <w:noProof/>
        </w:rPr>
        <w:t xml:space="preserve"> μπορεί η Ένωση να αναλαμβάνει ταχεία και αποτελεσματική δράση για την προστασία των συμφερόντων της σύμφωνα με τη συμφωνία εμπορίου και συνεργασίας, και έως ότου θεσπιστεί και τεθεί σε ισχύ στην Ένωση ειδική νομοθετική πράξη που θα ρυθμίζει τη λήψη διορθω</w:t>
      </w:r>
      <w:r>
        <w:rPr>
          <w:noProof/>
        </w:rPr>
        <w:t>τικών μέτρων βάσει της συμφωνίας εμπορίου και συνεργασίας, η Επιτροπή θα πρέπει να εξουσιοδοτηθεί να λαμβάνει διορθωτικά μέτρα, όπως η αναστολή των υποχρεώσεων βάσει της συμφωνίας εμπορίου και συνεργασίας ή οποιασδήποτε συμπληρωματικής συμφωνίας, σε περιπτ</w:t>
      </w:r>
      <w:r>
        <w:rPr>
          <w:noProof/>
        </w:rPr>
        <w:t>ώσεις παραβίασης ορισμένων διατάξεων της συμφωνίας εμπορίου και συνεργασίας ή μη εκπλήρωσης ορισμένων όρων, ιδίως στους τομείς των εμπορευματικών συναλλαγών, των ισότιμων όρων ανταγωνισμού, των οδικών μεταφορών, των αεροπορικών μεταφορών, της αλιείας και τ</w:t>
      </w:r>
      <w:r>
        <w:rPr>
          <w:noProof/>
        </w:rPr>
        <w:t>ων προγραμμάτων της Ένωσης, όπως ορίζεται στη συμφωνία εμπορίου και συνεργασίας, καθώς και να λαμβάνει κατάλληλα διορθωτικά μέτρα, μέτρα επανεξισορρόπησης και αντίμετρα.</w:t>
      </w:r>
    </w:p>
    <w:p w:rsidR="003B3CEF" w:rsidRDefault="005A422B">
      <w:pPr>
        <w:pStyle w:val="ManualConsidrant"/>
        <w:rPr>
          <w:noProof/>
        </w:rPr>
      </w:pPr>
      <w:r>
        <w:rPr>
          <w:noProof/>
        </w:rPr>
        <w:t>(11)</w:t>
      </w:r>
      <w:r>
        <w:rPr>
          <w:noProof/>
        </w:rPr>
        <w:tab/>
        <w:t xml:space="preserve">Όταν η Ένωση οφείλει να προβεί σε ενέργειες για τον σκοπό της συμμόρφωσης με τις </w:t>
      </w:r>
      <w:r>
        <w:rPr>
          <w:noProof/>
        </w:rPr>
        <w:t>διατάξεις των συμφωνιών, προβαίνει στις εν λόγω ενέργειες σύμφωνα με τις διατάξεις των Συνθηκών, με παράλληλο σεβασμό προς τα όρια των αρμοδιοτήτων που ανατίθενται σε κάθε θεσμικό όργανο. Ως εκ τούτου, εναπόκειται στην Επιτροπή να παρέχει στο Ηνωμένο Βασίλ</w:t>
      </w:r>
      <w:r>
        <w:rPr>
          <w:noProof/>
        </w:rPr>
        <w:t>ειο τις πληροφορίες ή τις κοινοποιήσεις που απαιτούνται βάσει των συμφωνιών, εκτός αν οι συμφωνίες αναφέρονται σε άλλα συγκεκριμένα θεσμικά ή άλλα όργανα ή οργανισμούς της Ένωσης, και να διαβουλεύεται με το Ηνωμένο Βασίλειο για συγκεκριμένα ζητήματα. Επίση</w:t>
      </w:r>
      <w:r>
        <w:rPr>
          <w:noProof/>
        </w:rPr>
        <w:t>ς η Επιτροπή εκπροσωπεί την Ένωση ενώπιον του διαιτητικού δικαστηρίου, όταν μια διαφορά έχει υποβληθεί σε διαιτησία βάσει της συμφωνίας εμπορίου και συνεργασίας.</w:t>
      </w:r>
    </w:p>
    <w:p w:rsidR="003B3CEF" w:rsidRDefault="005A422B">
      <w:pPr>
        <w:pStyle w:val="ManualConsidrant"/>
        <w:rPr>
          <w:noProof/>
        </w:rPr>
      </w:pPr>
      <w:r>
        <w:rPr>
          <w:noProof/>
        </w:rPr>
        <w:t>(12)</w:t>
      </w:r>
      <w:r>
        <w:rPr>
          <w:noProof/>
        </w:rPr>
        <w:tab/>
        <w:t>Υπενθυμίζεται ότι, σύμφωνα με τις οδηγίες διαπραγμάτευσης της 25ης Φεβρουαρίου 2020, το ε</w:t>
      </w:r>
      <w:r>
        <w:rPr>
          <w:noProof/>
        </w:rPr>
        <w:t xml:space="preserve">δαφικό πεδίο εφαρμογής της συμφωνίας εμπορίου και συνεργασίας που συνήφθη μεταξύ της Ένωσης και του Ηνωμένου Βασιλείου δεν περιλαμβάνει το Γιβραλτάρ. Το γεγονός αυτό δεν αποκλείει τη δυνατότητα σύναψης χωριστών συμφωνιών μεταξύ της Ένωσης και του Ηνωμένου </w:t>
      </w:r>
      <w:r>
        <w:rPr>
          <w:noProof/>
        </w:rPr>
        <w:t>Βασιλείου όσον αφορά το Γιβραλτάρ, σύμφωνα με τη δήλωση του Ευρωπαϊκού Συμβουλίου και της Επιτροπής που περιλαμβάνεται στα πρακτικά της συνόδου του Ευρωπαϊκού Συμβουλίου της 25ης Νοεμβρίου 2018.</w:t>
      </w:r>
    </w:p>
    <w:p w:rsidR="003B3CEF" w:rsidRDefault="005A422B">
      <w:pPr>
        <w:pStyle w:val="ManualConsidrant"/>
        <w:rPr>
          <w:noProof/>
        </w:rPr>
      </w:pPr>
      <w:r>
        <w:rPr>
          <w:noProof/>
        </w:rPr>
        <w:t>(13)</w:t>
      </w:r>
      <w:r>
        <w:rPr>
          <w:noProof/>
        </w:rPr>
        <w:tab/>
        <w:t>Δεδομένου ότι το Ηνωμένο Βασίλειο έχει αποχωρήσει από τη</w:t>
      </w:r>
      <w:r>
        <w:rPr>
          <w:noProof/>
        </w:rPr>
        <w:t>ν Ένωση, βρίσκεται σε διαφορετική και εξαιρετική κατάσταση όσον αφορά την Ένωση σε σύγκριση με άλλες τρίτες χώρες με τις οποίες η Ένωση έχει διαπραγματευθεί και συνάψει συμφωνίες. Βάσει της συμφωνίας αποχώρησης, το δίκαιο της Ένωσης εφαρμόζεται στο Ηνωμένο</w:t>
      </w:r>
      <w:r>
        <w:rPr>
          <w:noProof/>
        </w:rPr>
        <w:t xml:space="preserve"> Βασίλειο και εντός αυτού κατά τη διάρκεια της μεταβατικής περιόδου και, κατά τη λήξη της εν λόγω περιόδου, η βάση της συνεργασίας με τα κράτη μέλη της Ένωσης βρίσκεται, συνεπώς, σε πολύ υψηλό επίπεδο, ιδίως στους τομείς της εσωτερικής αγοράς, της κοινής α</w:t>
      </w:r>
      <w:r>
        <w:rPr>
          <w:noProof/>
        </w:rPr>
        <w:t>λιευτικής πολιτικής και της ελευθερίας, ασφάλειας και δικαιοσύνης. Εάν οι συμφωνίες δεν τεθούν σε εφαρμογή την 1η Ιανουαρίου 2021, η συνεργασία μεταξύ της Ένωσης και του Ηνωμένου Βασιλείου θα πέσει σε επίπεδο που δεν είναι ούτε επιθυμητό ούτε προς το συμφέ</w:t>
      </w:r>
      <w:r>
        <w:rPr>
          <w:noProof/>
        </w:rPr>
        <w:t>ρον της Ένωσης, προκαλώντας διαταράξεις στη σχέση μεταξύ της Ένωσης και του Ηνωμένου Βασιλείου. Οι διαταράξεις αυτές μπορούν να περιοριστούν μέσω της προσωρινής εφαρμογής των συμφωνιών.</w:t>
      </w:r>
    </w:p>
    <w:p w:rsidR="003B3CEF" w:rsidRDefault="005A422B">
      <w:pPr>
        <w:pStyle w:val="ManualConsidrant"/>
        <w:rPr>
          <w:noProof/>
        </w:rPr>
      </w:pPr>
      <w:r>
        <w:rPr>
          <w:noProof/>
        </w:rPr>
        <w:t>(14)</w:t>
      </w:r>
      <w:r>
        <w:rPr>
          <w:noProof/>
        </w:rPr>
        <w:tab/>
        <w:t>Ως εκ τούτου, δεδομένης της εξαιρετικής κατάστασης του Ηνωμένου Β</w:t>
      </w:r>
      <w:r>
        <w:rPr>
          <w:noProof/>
        </w:rPr>
        <w:t>ασιλείου όσον αφορά την Ένωση, του επείγοντος χαρακτήρα της κατάστασης δεδομένου ότι η μεταβατική περίοδος λήγει στις 31 Δεκεμβρίου 2020, καθώς και της ανάγκης να παρασχεθεί επαρκής χρόνος στο Ευρωπαϊκό Κοινοβούλιο και το Συμβούλιο για τον κατάλληλο έλεγχο</w:t>
      </w:r>
      <w:r>
        <w:rPr>
          <w:noProof/>
        </w:rPr>
        <w:t xml:space="preserve"> του κειμένου των συμφωνιών, οι συμφωνίες θα πρέπει να εφαρμοστούν σε προσωρινή βάση, για περιορισμένο χρονικό διάστημα, όπως ορίζεται στο άρθρο FINPROV.11 [Έναρξη ισχύος και προσωρινή εφαρμογή] παράγραφος 2 της συμφωνίας εμπορίου και συνεργασίας και στο ά</w:t>
      </w:r>
      <w:r>
        <w:rPr>
          <w:noProof/>
        </w:rPr>
        <w:t>ρθρο 19 της συμφωνίας για την ασφάλεια των πληροφοριών.</w:t>
      </w:r>
    </w:p>
    <w:p w:rsidR="003B3CEF" w:rsidRDefault="005A422B">
      <w:pPr>
        <w:pStyle w:val="ManualConsidrant"/>
        <w:rPr>
          <w:noProof/>
        </w:rPr>
      </w:pPr>
      <w:r>
        <w:rPr>
          <w:noProof/>
        </w:rPr>
        <w:t>(15)</w:t>
      </w:r>
      <w:r>
        <w:rPr>
          <w:noProof/>
        </w:rPr>
        <w:tab/>
        <w:t>Λόγω της πολύ καθυστερημένης ολοκλήρωσης των διαπραγματεύσεων σχετικά με τις συμφωνίες λίγες μόλις ημέρες πριν από τη λήξη της μεταβατικής περιόδου, δεν κατέστη δυνατός ο τελικός έλεγχος των κειμ</w:t>
      </w:r>
      <w:r>
        <w:rPr>
          <w:noProof/>
        </w:rPr>
        <w:t>ένων των συμφωνιών από τους γλωσσομαθείς νομικούς πριν από την υπογραφή τους. Ως εκ τούτου, αμέσως μετά την υπογραφή των συμφωνιών, γλωσσομαθείς νομικοί των Μερών θα πρέπει να προβούν σε τελικό έλεγχο των αυθεντικών κειμένων των συμφωνιών και στις 24 γλώσσ</w:t>
      </w:r>
      <w:r>
        <w:rPr>
          <w:noProof/>
        </w:rPr>
        <w:t>ες. Ο εν λόγω έλεγχος από τους γλωσσομαθείς νομικούς θα πρέπει να ολοκληρωθεί το αργότερο έως τις 30 Απριλίου 2021. Παρά την προηγούμενη περίοδο, η διαδικασία του τελικού νομικού ελέγχου της αγγλικής έκδοσης της συμφωνίας θα πρέπει να ολοκληρωθεί έως την η</w:t>
      </w:r>
      <w:r>
        <w:rPr>
          <w:noProof/>
        </w:rPr>
        <w:t>μερομηνία που αναφέρεται στο άρθρο FINPROV.11 [Έναρξη ισχύος και προσωρινή εφαρμογή] παράγραφος 1, εφόσον η εν λόγω ημερομηνία είναι προγενέστερη της 30ής Απριλίου 2021. Στη συνέχεια, τα Μέρη θα πρέπει να καταστήσουν, με ανταλλαγή διπλωματικών διακοινώσεων</w:t>
      </w:r>
      <w:r>
        <w:rPr>
          <w:noProof/>
        </w:rPr>
        <w:t>, τα εν λόγω κείμενα των συμφωνιών που θα έχουν ελεγχθεί από γλωσσομαθείς νομικούς αυθεντικά και οριστικά σε όλες τις εν λόγω γλώσσες. Τα εν λόγω ελεγμένα κείμενα θα πρέπει να αντικαταστήσουν εξ υπαρχής τις υπογεγραμμένες εκδόσεις των συμφωνιών.</w:t>
      </w:r>
    </w:p>
    <w:p w:rsidR="003B3CEF" w:rsidRDefault="005A422B">
      <w:pPr>
        <w:pStyle w:val="ManualConsidrant"/>
        <w:rPr>
          <w:noProof/>
        </w:rPr>
      </w:pPr>
      <w:r>
        <w:rPr>
          <w:noProof/>
        </w:rPr>
        <w:t>(16)</w:t>
      </w:r>
      <w:r>
        <w:rPr>
          <w:noProof/>
        </w:rPr>
        <w:tab/>
        <w:t>Οι συ</w:t>
      </w:r>
      <w:r>
        <w:rPr>
          <w:noProof/>
        </w:rPr>
        <w:t xml:space="preserve">μφωνίες θα πρέπει να υπογραφούν εξ ονόματος της Ένωσης, με την επιφύλαξη της τήρησης των διαδικασιών που απαιτούνται για τη σύναψή τους σε μεταγενέστερη ημερομηνία, </w:t>
      </w:r>
    </w:p>
    <w:p w:rsidR="003B3CEF" w:rsidRDefault="005A422B">
      <w:pPr>
        <w:pStyle w:val="Formuledadoption"/>
        <w:spacing w:before="360" w:after="360"/>
        <w:rPr>
          <w:noProof/>
        </w:rPr>
      </w:pPr>
      <w:r>
        <w:rPr>
          <w:noProof/>
        </w:rPr>
        <w:t xml:space="preserve">ΕΞΕΔΩΣΕ ΤΗΝ ΠΑΡΟΥΣΑ ΑΠΟΦΑΣΗ: </w:t>
      </w:r>
    </w:p>
    <w:p w:rsidR="003B3CEF" w:rsidRDefault="005A422B">
      <w:pPr>
        <w:pStyle w:val="Titrearticle"/>
        <w:rPr>
          <w:noProof/>
        </w:rPr>
      </w:pPr>
      <w:r>
        <w:rPr>
          <w:noProof/>
        </w:rPr>
        <w:t>Άρθρο 1</w:t>
      </w:r>
    </w:p>
    <w:p w:rsidR="003B3CEF" w:rsidRDefault="005A422B">
      <w:pPr>
        <w:rPr>
          <w:noProof/>
        </w:rPr>
      </w:pPr>
      <w:r>
        <w:rPr>
          <w:noProof/>
        </w:rPr>
        <w:t>Εγκρίνεται η υπογραφή, εξ ονόματος της Ένωσης, για τ</w:t>
      </w:r>
      <w:r>
        <w:rPr>
          <w:noProof/>
        </w:rPr>
        <w:t>α μέρη πλην εκείνων που εμπίπτουν στην αρμοδιότητα της Ευρωπαϊκής Κοινότητας Ατομικής Ενέργειας, της συμφωνίας εμπορίου και συνεργασίας μεταξύ της Ευρωπαϊκής Ένωσης και της Ευρωπαϊκής Κοινότητας Ατομικής Ενέργειας, αφενός, και του Ηνωμένου Βασιλείου της Με</w:t>
      </w:r>
      <w:r>
        <w:rPr>
          <w:noProof/>
        </w:rPr>
        <w:t>γάλης Βρετανίας και της Βόρειας Ιρλανδίας, αφετέρου, με την επιφύλαξη της σύναψης της εν λόγω συμφωνίας.</w:t>
      </w:r>
    </w:p>
    <w:p w:rsidR="003B3CEF" w:rsidRDefault="005A422B">
      <w:pPr>
        <w:rPr>
          <w:noProof/>
        </w:rPr>
      </w:pPr>
      <w:r>
        <w:rPr>
          <w:noProof/>
        </w:rPr>
        <w:t>Εγκρίνεται η υπογραφή, εξ ονόματος της Ένωσης, της συμφωνίας μεταξύ της Ευρωπαϊκής Ένωσης και του Ηνωμένου Βασιλείου της Μεγάλης Βρετανίας και της Βόρε</w:t>
      </w:r>
      <w:r>
        <w:rPr>
          <w:noProof/>
        </w:rPr>
        <w:t>ιας Ιρλανδίας σχετικά με διαδικασίες ασφάλειας για την ανταλλαγή και την προστασία διαβαθμισμένων πληροφοριών, με την επιφύλαξη της σύναψης της εν λόγω συμφωνίας.</w:t>
      </w:r>
    </w:p>
    <w:p w:rsidR="003B3CEF" w:rsidRDefault="005A422B">
      <w:pPr>
        <w:rPr>
          <w:noProof/>
        </w:rPr>
      </w:pPr>
      <w:r>
        <w:rPr>
          <w:noProof/>
        </w:rPr>
        <w:t>Τα κείμενα των εν λόγω συμφωνιών επισυνάπτονται στην παρούσα απόφαση.</w:t>
      </w:r>
    </w:p>
    <w:p w:rsidR="003B3CEF" w:rsidRDefault="005A422B">
      <w:pPr>
        <w:pStyle w:val="Titrearticle"/>
        <w:rPr>
          <w:noProof/>
        </w:rPr>
      </w:pPr>
      <w:r>
        <w:rPr>
          <w:noProof/>
        </w:rPr>
        <w:t>Άρθρο 2</w:t>
      </w:r>
    </w:p>
    <w:p w:rsidR="003B3CEF" w:rsidRDefault="003B3CEF">
      <w:pPr>
        <w:keepNext/>
        <w:rPr>
          <w:noProof/>
        </w:rPr>
      </w:pPr>
    </w:p>
    <w:p w:rsidR="003B3CEF" w:rsidRDefault="005A422B">
      <w:pPr>
        <w:rPr>
          <w:noProof/>
        </w:rPr>
      </w:pPr>
      <w:r>
        <w:rPr>
          <w:noProof/>
        </w:rPr>
        <w:t>Όταν η Επιτροπ</w:t>
      </w:r>
      <w:r>
        <w:rPr>
          <w:noProof/>
        </w:rPr>
        <w:t>ή εκπροσωπεί την Ένωση σε όργανα που έχουν δημιουργηθεί από τη συμφωνία εμπορίου και συνεργασίας, ενημερώνει εγκαίρως το Συμβούλιο σχετικά με τις συζητήσεις και το αποτέλεσμα των συνεδριάσεων και των πράξεων που εκδίδονται με γραπτή διαδικασία, και, κατόπι</w:t>
      </w:r>
      <w:r>
        <w:rPr>
          <w:noProof/>
        </w:rPr>
        <w:t>ν σχετικού αιτήματος, υποβάλλει πρακτικά και άλλα έγγραφα σχετικά με τις εν λόγω συνεδριάσεις ή διαδικασίες. Όταν συντρέχει σχετική περίπτωση, η Επιτροπή ενημερώνει επίσης το Ευρωπαϊκό Κοινοβούλιο.</w:t>
      </w:r>
    </w:p>
    <w:p w:rsidR="003B3CEF" w:rsidRDefault="005A422B">
      <w:pPr>
        <w:pStyle w:val="Point0"/>
        <w:rPr>
          <w:noProof/>
        </w:rPr>
      </w:pPr>
      <w:r>
        <w:rPr>
          <w:noProof/>
        </w:rPr>
        <w:t xml:space="preserve"> </w:t>
      </w:r>
    </w:p>
    <w:p w:rsidR="003B3CEF" w:rsidRDefault="005A422B">
      <w:pPr>
        <w:pStyle w:val="Titrearticle"/>
        <w:keepNext w:val="0"/>
        <w:rPr>
          <w:noProof/>
        </w:rPr>
      </w:pPr>
      <w:r>
        <w:rPr>
          <w:noProof/>
        </w:rPr>
        <w:t>Άρθρο 3</w:t>
      </w:r>
    </w:p>
    <w:p w:rsidR="003B3CEF" w:rsidRDefault="005A422B">
      <w:pPr>
        <w:pStyle w:val="Point0"/>
        <w:rPr>
          <w:noProof/>
        </w:rPr>
      </w:pPr>
      <w:r>
        <w:rPr>
          <w:noProof/>
        </w:rPr>
        <w:t>1.</w:t>
      </w:r>
      <w:r>
        <w:rPr>
          <w:noProof/>
        </w:rPr>
        <w:tab/>
        <w:t xml:space="preserve">Η Επιτροπή εξουσιοδοτείται να λάβει, εξ </w:t>
      </w:r>
      <w:r>
        <w:rPr>
          <w:noProof/>
        </w:rPr>
        <w:t>ονόματος της Ένωσης, κάθε απόφαση:</w:t>
      </w:r>
    </w:p>
    <w:p w:rsidR="003B3CEF" w:rsidRDefault="005A422B">
      <w:pPr>
        <w:pStyle w:val="Point1"/>
        <w:rPr>
          <w:noProof/>
        </w:rPr>
      </w:pPr>
      <w:r>
        <w:rPr>
          <w:noProof/>
        </w:rPr>
        <w:t>α)</w:t>
      </w:r>
      <w:r>
        <w:rPr>
          <w:noProof/>
        </w:rPr>
        <w:tab/>
        <w:t>για την επιβεβαίωση ή την αναστολή της αναγνώρισης της ισοδυναμίας μετά την επαναξιολόγηση της ισοδυναμίας που θα διενεργηθεί έως τις 31 Δεκεμβρίου 2023, σύμφωνα με την παράγραφο 3 του άρθρου 3 [Αναγνώριση ισοδυναμίας]</w:t>
      </w:r>
      <w:r>
        <w:rPr>
          <w:noProof/>
        </w:rPr>
        <w:t xml:space="preserve"> του παραρτήματος TBT-4 [Βιολογικά προϊόντα]· </w:t>
      </w:r>
    </w:p>
    <w:p w:rsidR="003B3CEF" w:rsidRDefault="005A422B">
      <w:pPr>
        <w:pStyle w:val="Point1"/>
        <w:rPr>
          <w:noProof/>
        </w:rPr>
      </w:pPr>
      <w:r>
        <w:rPr>
          <w:noProof/>
        </w:rPr>
        <w:t>β)</w:t>
      </w:r>
      <w:r>
        <w:rPr>
          <w:noProof/>
        </w:rPr>
        <w:tab/>
        <w:t>για την αναστολή της αναγνώρισης της ισοδυναμίας σύμφωνα με τις παραγράφους 5 και 6 του άρθρου 3 [Αναγνώριση ισοδυναμίας] του παραρτήματος TBT-4 [Βιολογικά προϊόντα]·</w:t>
      </w:r>
    </w:p>
    <w:p w:rsidR="003B3CEF" w:rsidRDefault="005A422B">
      <w:pPr>
        <w:pStyle w:val="Point1"/>
        <w:rPr>
          <w:noProof/>
        </w:rPr>
      </w:pPr>
      <w:r>
        <w:rPr>
          <w:noProof/>
        </w:rPr>
        <w:t>γ)</w:t>
      </w:r>
      <w:r>
        <w:rPr>
          <w:noProof/>
        </w:rPr>
        <w:tab/>
        <w:t>για την αποδοχή επίσημων εγγράφων ορ</w:t>
      </w:r>
      <w:r>
        <w:rPr>
          <w:noProof/>
        </w:rPr>
        <w:t>θής παρασκευαστικής πρακτικής που έχουν εκδοθεί από αρχή του Ηνωμένου Βασιλείου για εγκαταστάσεις παρασκευής που βρίσκονται εκτός της περιφέρειας της αρχής έκδοσης, καθώς και για τον καθορισμό των όρων και των προϋποθέσεων υπό τους οποίους η Ένωση αποδέχετ</w:t>
      </w:r>
      <w:r>
        <w:rPr>
          <w:noProof/>
        </w:rPr>
        <w:t>αι τα εν λόγω επίσημα έγγραφα ορθής παρασκευαστικής πρακτικής, σύμφωνα με τις παραγράφους 3 και 4 του άρθρου 5 [Αναγνώριση επιθεωρήσεων] του παραρτήματος TBT-2 [Φάρμακα</w:t>
      </w:r>
      <w:r>
        <w:rPr>
          <w:iCs/>
          <w:noProof/>
          <w:sz w:val="26"/>
        </w:rPr>
        <w:t>]</w:t>
      </w:r>
      <w:r>
        <w:rPr>
          <w:noProof/>
        </w:rPr>
        <w:t>·</w:t>
      </w:r>
    </w:p>
    <w:p w:rsidR="003B3CEF" w:rsidRDefault="005A422B">
      <w:pPr>
        <w:pStyle w:val="Point1"/>
        <w:rPr>
          <w:noProof/>
        </w:rPr>
      </w:pPr>
      <w:r>
        <w:rPr>
          <w:noProof/>
        </w:rPr>
        <w:t>δ)</w:t>
      </w:r>
      <w:r>
        <w:rPr>
          <w:noProof/>
        </w:rPr>
        <w:tab/>
        <w:t>για τη θέσπιση κάθε αναγκαίας εκτελεστικής ρύθμισης για την ανταλλαγή επίσημων εγγ</w:t>
      </w:r>
      <w:r>
        <w:rPr>
          <w:noProof/>
        </w:rPr>
        <w:t>ράφων ορθής παρασκευαστικής πρακτικής με την αρχή του Ηνωμένου Βασιλείου βάσει του άρθρου 6 [Ανταλλαγή επίσημων εγγράφων ΟΠΠ] του παραρτήματος TBT-2 [Φάρμακα</w:t>
      </w:r>
      <w:r>
        <w:rPr>
          <w:iCs/>
          <w:noProof/>
          <w:sz w:val="26"/>
        </w:rPr>
        <w:t>]</w:t>
      </w:r>
      <w:r>
        <w:rPr>
          <w:noProof/>
        </w:rPr>
        <w:t xml:space="preserve"> και για την ανταλλαγή πληροφοριών με την αρχή του Ηνωμένου Βασιλείου σχετικά με τις επιθεωρήσεις </w:t>
      </w:r>
      <w:r>
        <w:rPr>
          <w:noProof/>
        </w:rPr>
        <w:t>εγκαταστάσεων παρασκευής βάσει του άρθρου 7 [Διασφαλίσεις] του παραρτήματος TBT-2 [Φάρμακα</w:t>
      </w:r>
      <w:r>
        <w:rPr>
          <w:iCs/>
          <w:noProof/>
          <w:sz w:val="26"/>
        </w:rPr>
        <w:t>]</w:t>
      </w:r>
      <w:r>
        <w:rPr>
          <w:noProof/>
        </w:rPr>
        <w:t>·</w:t>
      </w:r>
    </w:p>
    <w:p w:rsidR="003B3CEF" w:rsidRDefault="005A422B">
      <w:pPr>
        <w:pStyle w:val="Point1"/>
        <w:rPr>
          <w:noProof/>
        </w:rPr>
      </w:pPr>
      <w:r>
        <w:rPr>
          <w:noProof/>
        </w:rPr>
        <w:t>ε)</w:t>
      </w:r>
      <w:r>
        <w:rPr>
          <w:noProof/>
        </w:rPr>
        <w:tab/>
        <w:t>για την αναστολή της αναγνώρισης επιθεωρήσεων ή της αποδοχής επίσημων εγγράφων ορθής παρασκευαστικής πρακτικής που έχουν εκδοθεί από το Ηνωμένο Βασίλειο, και γι</w:t>
      </w:r>
      <w:r>
        <w:rPr>
          <w:noProof/>
        </w:rPr>
        <w:t>α την κοινοποίηση στο Ηνωμένο Βασίλειο της πρόθεσης εφαρμογής του άρθρου 9 [Αναστολή] του παραρτήματος TBT-2 [Φάρμακα</w:t>
      </w:r>
      <w:r>
        <w:rPr>
          <w:iCs/>
          <w:noProof/>
          <w:sz w:val="26"/>
        </w:rPr>
        <w:t>]</w:t>
      </w:r>
      <w:r>
        <w:rPr>
          <w:noProof/>
        </w:rPr>
        <w:t xml:space="preserve"> και έναρξης διαβουλεύσεων με το Ηνωμένο Βασίλειο σύμφωνα με την παράγραφο 3 του άρθρου 8 [Αλλαγές στην εφαρμοστέα νομοθεσία] του παραρτήμ</w:t>
      </w:r>
      <w:r>
        <w:rPr>
          <w:noProof/>
        </w:rPr>
        <w:t>ατος TBT-2 [Φάρμακα</w:t>
      </w:r>
      <w:r>
        <w:rPr>
          <w:iCs/>
          <w:noProof/>
          <w:sz w:val="26"/>
        </w:rPr>
        <w:t>]</w:t>
      </w:r>
      <w:r>
        <w:rPr>
          <w:noProof/>
        </w:rPr>
        <w:t>·</w:t>
      </w:r>
      <w:r>
        <w:rPr>
          <w:noProof/>
        </w:rPr>
        <w:t xml:space="preserve"> </w:t>
      </w:r>
    </w:p>
    <w:p w:rsidR="003B3CEF" w:rsidRDefault="005A422B">
      <w:pPr>
        <w:pStyle w:val="Point1"/>
        <w:rPr>
          <w:noProof/>
        </w:rPr>
      </w:pPr>
      <w:r>
        <w:rPr>
          <w:noProof/>
        </w:rPr>
        <w:t>στ)</w:t>
      </w:r>
      <w:r>
        <w:rPr>
          <w:noProof/>
        </w:rPr>
        <w:tab/>
        <w:t xml:space="preserve">για την αναστολή, εν όλω ή εν μέρει, για όλα ή ορισμένα από τα προϊόντα που απαριθμούνται στο προσάρτημα Γ του παραρτήματος TBT-2 [Φάρμακα], της αναγνώρισης επιθεωρήσεων και της αποδοχής επίσημων εγγράφων ορθής παρασκευαστικής </w:t>
      </w:r>
      <w:r>
        <w:rPr>
          <w:noProof/>
        </w:rPr>
        <w:t>πρακτικής του άλλου Μέρους σύμφωνα με την παράγραφο 1 του άρθρου 9 [Αναστολή] του παραρτήματος TBT-2 [Φάρμακα].</w:t>
      </w:r>
    </w:p>
    <w:p w:rsidR="003B3CEF" w:rsidRDefault="005A422B">
      <w:pPr>
        <w:pStyle w:val="Point0"/>
        <w:rPr>
          <w:noProof/>
        </w:rPr>
      </w:pPr>
      <w:r>
        <w:rPr>
          <w:noProof/>
        </w:rPr>
        <w:t>2.</w:t>
      </w:r>
      <w:r>
        <w:rPr>
          <w:noProof/>
        </w:rPr>
        <w:tab/>
        <w:t>Η Επιτροπή λαμβάνει τις εν λόγω προτεινόμενες αποφάσεις σύμφωνα με τη διαδικασία που ορίζεται στο άρθρο 4 παράγραφος 2 της παρούσας απόφασης.</w:t>
      </w:r>
    </w:p>
    <w:p w:rsidR="003B3CEF" w:rsidRDefault="005A422B">
      <w:pPr>
        <w:pStyle w:val="Titrearticle"/>
        <w:keepNext w:val="0"/>
        <w:rPr>
          <w:noProof/>
        </w:rPr>
      </w:pPr>
      <w:r>
        <w:rPr>
          <w:noProof/>
        </w:rPr>
        <w:t>Άρθρο 4</w:t>
      </w:r>
    </w:p>
    <w:p w:rsidR="003B3CEF" w:rsidRDefault="005A422B">
      <w:pPr>
        <w:pStyle w:val="Point0"/>
        <w:rPr>
          <w:noProof/>
        </w:rPr>
      </w:pPr>
      <w:r>
        <w:rPr>
          <w:noProof/>
        </w:rPr>
        <w:t>1.</w:t>
      </w:r>
      <w:r>
        <w:rPr>
          <w:noProof/>
        </w:rPr>
        <w:tab/>
        <w:t>Έως ότου θεσπιστεί και τεθεί σε ισχύ στην Ένωση ειδική νομοθετική πράξη που θα ρυθμίζει τη λήψη τέτοιων μέτρων, η απόφαση της Ένωσης να λάβει τα ακόλουθα μέτρα στο πλαίσιο της συμφωνίας εμπορίου και συνεργασίας λαμβάνεται από την Επιτροπή σύμφω</w:t>
      </w:r>
      <w:r>
        <w:rPr>
          <w:noProof/>
        </w:rPr>
        <w:t>να με τους όρους που καθορίζονται στις αντίστοιχες διατάξεις της συμφωνίας εμπορίου και συνεργασίας όσον αφορά τα ακόλουθα:</w:t>
      </w:r>
    </w:p>
    <w:p w:rsidR="003B3CEF" w:rsidRDefault="005A422B">
      <w:pPr>
        <w:pStyle w:val="Point1"/>
        <w:rPr>
          <w:noProof/>
        </w:rPr>
      </w:pPr>
      <w:r>
        <w:rPr>
          <w:noProof/>
        </w:rPr>
        <w:t>α)</w:t>
      </w:r>
      <w:r>
        <w:rPr>
          <w:noProof/>
        </w:rPr>
        <w:tab/>
        <w:t>την αναστολή της σχετικής προτιμησιακής μεταχείρισης του οικείου προϊόντος ή των οικείων προϊόντων, όπως καθορίζεται το άρθρο GOO</w:t>
      </w:r>
      <w:r>
        <w:rPr>
          <w:noProof/>
        </w:rPr>
        <w:t>DS.19 [Μέτρα σε περίπτωση παραβίασης ή καταστρατήγησης της τελωνειακής νομοθεσίας]·</w:t>
      </w:r>
    </w:p>
    <w:p w:rsidR="003B3CEF" w:rsidRDefault="005A422B">
      <w:pPr>
        <w:pStyle w:val="Point1"/>
        <w:rPr>
          <w:noProof/>
        </w:rPr>
      </w:pPr>
      <w:r>
        <w:rPr>
          <w:noProof/>
        </w:rPr>
        <w:t>β)</w:t>
      </w:r>
      <w:r>
        <w:rPr>
          <w:noProof/>
        </w:rPr>
        <w:tab/>
        <w:t>την εφαρμογή διορθωτικών μέτρων και την αναστολή των υποχρεώσεων που προβλέπονται στο άρθρο LPFOFCSD.3.12 [Διορθωτικά μέτρα]·</w:t>
      </w:r>
    </w:p>
    <w:p w:rsidR="003B3CEF" w:rsidRDefault="005A422B">
      <w:pPr>
        <w:pStyle w:val="Point1"/>
        <w:rPr>
          <w:noProof/>
        </w:rPr>
      </w:pPr>
      <w:r>
        <w:rPr>
          <w:noProof/>
        </w:rPr>
        <w:t>γ)</w:t>
      </w:r>
      <w:r>
        <w:rPr>
          <w:noProof/>
        </w:rPr>
        <w:tab/>
        <w:t>την εφαρμογή μέτρων επανεξισορρόπησης κα</w:t>
      </w:r>
      <w:r>
        <w:rPr>
          <w:noProof/>
        </w:rPr>
        <w:t>ι αντιμέτρων, όπως ορίζεται στο άρθρο LPFOFCSD.9.4 [Επανεξισορρόπηση]·</w:t>
      </w:r>
    </w:p>
    <w:p w:rsidR="003B3CEF" w:rsidRDefault="005A422B">
      <w:pPr>
        <w:pStyle w:val="Point1"/>
        <w:rPr>
          <w:noProof/>
        </w:rPr>
      </w:pPr>
      <w:r>
        <w:rPr>
          <w:noProof/>
        </w:rPr>
        <w:t>δ)</w:t>
      </w:r>
      <w:r>
        <w:rPr>
          <w:noProof/>
        </w:rPr>
        <w:tab/>
        <w:t>την εφαρμογή διορθωτικών μέτρων όπως ορίζεται στο άρθρο ROAD.11 [Διορθωτικά μέτρα]·</w:t>
      </w:r>
    </w:p>
    <w:p w:rsidR="003B3CEF" w:rsidRDefault="005A422B">
      <w:pPr>
        <w:pStyle w:val="Point1"/>
        <w:rPr>
          <w:noProof/>
        </w:rPr>
      </w:pPr>
      <w:r>
        <w:rPr>
          <w:noProof/>
        </w:rPr>
        <w:t>ε)</w:t>
      </w:r>
      <w:r>
        <w:rPr>
          <w:noProof/>
        </w:rPr>
        <w:tab/>
        <w:t xml:space="preserve">την απόρριψη, την ανάκληση, την αναστολή ή τον περιορισμό της άδειας εκμετάλλευσης αεροπορικής </w:t>
      </w:r>
      <w:r>
        <w:rPr>
          <w:noProof/>
        </w:rPr>
        <w:t>εταιρείας, το άρθρο AIRTRN.8 [Απόρριψη, ανάκληση, αναστολή ή περιορισμός άδειας εκμετάλλευσης]·</w:t>
      </w:r>
    </w:p>
    <w:p w:rsidR="003B3CEF" w:rsidRDefault="005A422B">
      <w:pPr>
        <w:pStyle w:val="Point1"/>
        <w:rPr>
          <w:noProof/>
        </w:rPr>
      </w:pPr>
      <w:r>
        <w:rPr>
          <w:noProof/>
        </w:rPr>
        <w:t>στ)</w:t>
      </w:r>
      <w:r>
        <w:rPr>
          <w:noProof/>
        </w:rPr>
        <w:tab/>
        <w:t xml:space="preserve">την εφαρμογή διορθωτικών μέτρων όπως ορίζεται στο άρθρο </w:t>
      </w:r>
      <w:r>
        <w:rPr>
          <w:noProof/>
          <w:u w:color="000000"/>
          <w:bdr w:val="nil"/>
        </w:rPr>
        <w:t>FISH.14 [Διορθωτικά μέτρα και επίλυση διαφορών]</w:t>
      </w:r>
      <w:r>
        <w:rPr>
          <w:noProof/>
        </w:rPr>
        <w:t>·</w:t>
      </w:r>
    </w:p>
    <w:p w:rsidR="003B3CEF" w:rsidRDefault="005A422B">
      <w:pPr>
        <w:pStyle w:val="Point1"/>
        <w:rPr>
          <w:noProof/>
        </w:rPr>
      </w:pPr>
      <w:r>
        <w:rPr>
          <w:noProof/>
        </w:rPr>
        <w:t>ζ)</w:t>
      </w:r>
      <w:r>
        <w:rPr>
          <w:noProof/>
        </w:rPr>
        <w:tab/>
        <w:t>αντισταθμιστικά μέτρα όπως ορίζεται στο άρθρο FI</w:t>
      </w:r>
      <w:r>
        <w:rPr>
          <w:noProof/>
        </w:rPr>
        <w:t>SH.9 [Αντισταθμιστικά μέτρα σε περίπτωση ανάκλησης ή μείωσης της πρόσβασης]·</w:t>
      </w:r>
    </w:p>
    <w:p w:rsidR="003B3CEF" w:rsidRDefault="005A422B">
      <w:pPr>
        <w:pStyle w:val="Point1"/>
        <w:rPr>
          <w:noProof/>
        </w:rPr>
      </w:pPr>
      <w:r>
        <w:rPr>
          <w:noProof/>
        </w:rPr>
        <w:t>η)</w:t>
      </w:r>
      <w:r>
        <w:rPr>
          <w:noProof/>
        </w:rPr>
        <w:tab/>
        <w:t xml:space="preserve">την αναστολή ή τη διακοπή της συμμετοχής του Ηνωμένου Βασιλείου σε προγράμματα της Ένωσης, όπως ορίζεται στο άρθρο UNPRO.3.1 [Αναστολή της συμμετοχής του Ηνωμένου Βασιλείου σε </w:t>
      </w:r>
      <w:r>
        <w:rPr>
          <w:noProof/>
        </w:rPr>
        <w:t>πρόγραμμα της Ένωσης από την Ευρωπαϊκή Ένωση] και το άρθρο UNPRO.3.20 [Διακοπή της συμμετοχής του Ηνωμένου Βασιλείου σε πρόγραμμα της Ένωσης από την Ευρωπαϊκή Ένωση]·</w:t>
      </w:r>
    </w:p>
    <w:p w:rsidR="003B3CEF" w:rsidRDefault="005A422B">
      <w:pPr>
        <w:pStyle w:val="Point1"/>
        <w:rPr>
          <w:noProof/>
        </w:rPr>
      </w:pPr>
      <w:r>
        <w:rPr>
          <w:noProof/>
        </w:rPr>
        <w:t>θ)</w:t>
      </w:r>
      <w:r>
        <w:rPr>
          <w:noProof/>
        </w:rPr>
        <w:tab/>
        <w:t>την προσφορά ή αποδοχή προσωρινής αποζημίωσης ή την αναστολή υποχρεώσεων στο πλαίσιο τ</w:t>
      </w:r>
      <w:r>
        <w:rPr>
          <w:noProof/>
        </w:rPr>
        <w:t>ης συμμόρφωσης κατόπιν διαδικασίας διαιτησίας ή διαδικασίας ομάδας εμπειρογνωμόνων, το άρθρο INST.24 [Μέσα προσωρινής έννομης προστασίας], εκτός των περιπτώσεων που προβλέπονται στον κανονισμό (ΕΕ) αριθ. 654/2014·</w:t>
      </w:r>
    </w:p>
    <w:p w:rsidR="003B3CEF" w:rsidRDefault="005A422B">
      <w:pPr>
        <w:pStyle w:val="Point1"/>
        <w:rPr>
          <w:noProof/>
        </w:rPr>
      </w:pPr>
      <w:r>
        <w:rPr>
          <w:noProof/>
        </w:rPr>
        <w:t>ι)</w:t>
      </w:r>
      <w:r>
        <w:rPr>
          <w:noProof/>
        </w:rPr>
        <w:tab/>
        <w:t>τα μέτρα διασφάλισης και τα μέτρα επανε</w:t>
      </w:r>
      <w:r>
        <w:rPr>
          <w:noProof/>
        </w:rPr>
        <w:t>ξισορρόπησης, όπως ορίζονται στο άρθρο INST.36 [Μέτρα διασφάλισης].</w:t>
      </w:r>
    </w:p>
    <w:p w:rsidR="003B3CEF" w:rsidRDefault="005A422B">
      <w:pPr>
        <w:pStyle w:val="Point0"/>
        <w:rPr>
          <w:noProof/>
        </w:rPr>
      </w:pPr>
      <w:r>
        <w:rPr>
          <w:noProof/>
        </w:rPr>
        <w:t>2.</w:t>
      </w:r>
      <w:r>
        <w:rPr>
          <w:noProof/>
        </w:rPr>
        <w:tab/>
        <w:t>Η Επιτροπή ενημερώνει πλήρως και εγκαίρως το Συμβούλιο για την πρόθεσή της να θεσπίσει τα προτεινόμενα μέτρα που ορίζονται στην παράγραφο 1 και λαμβάνει υπόψη τις απόψεις που ενδεχομένω</w:t>
      </w:r>
      <w:r>
        <w:rPr>
          <w:noProof/>
        </w:rPr>
        <w:t>ς εκφραστούν συναφώς. Όταν συντρέχει σχετική περίπτωση, η Επιτροπή ενημερώνει επίσης το Ευρωπαϊκό Κοινοβούλιο.</w:t>
      </w:r>
    </w:p>
    <w:p w:rsidR="003B3CEF" w:rsidRDefault="005A422B">
      <w:pPr>
        <w:ind w:left="720" w:hanging="720"/>
        <w:rPr>
          <w:noProof/>
        </w:rPr>
      </w:pPr>
      <w:r>
        <w:rPr>
          <w:noProof/>
        </w:rPr>
        <w:t>3.</w:t>
      </w:r>
      <w:r>
        <w:rPr>
          <w:noProof/>
        </w:rPr>
        <w:tab/>
        <w:t xml:space="preserve">Η Επιτροπή μπορεί επίσης να θεσπίζει μέτρα για την εκ νέου θέση σε εφαρμογή των δικαιωμάτων και των υποχρεώσεων που απορρέουν από τη συμφωνία </w:t>
      </w:r>
      <w:r>
        <w:rPr>
          <w:noProof/>
        </w:rPr>
        <w:t>εμπορίου και συνεργασίας, όπως ίσχυαν πριν από τη θέσπιση των μέτρων της παραγράφου 1.</w:t>
      </w:r>
    </w:p>
    <w:p w:rsidR="003B3CEF" w:rsidRDefault="005A422B">
      <w:pPr>
        <w:pStyle w:val="Titrearticle"/>
        <w:rPr>
          <w:noProof/>
        </w:rPr>
      </w:pPr>
      <w:r>
        <w:rPr>
          <w:noProof/>
        </w:rPr>
        <w:t>Άρθρο 5</w:t>
      </w:r>
    </w:p>
    <w:p w:rsidR="003B3CEF" w:rsidRDefault="005A422B">
      <w:pPr>
        <w:rPr>
          <w:rFonts w:eastAsia="Calibri"/>
          <w:noProof/>
        </w:rPr>
      </w:pPr>
      <w:r>
        <w:rPr>
          <w:noProof/>
        </w:rPr>
        <w:t>Με την επιφύλαξη της αμοιβαιότητας, η συμφωνία εμπορίου και συνεργασίας μεταξύ της Ευρωπαϊκής Ένωσης και της Ευρωπαϊκής Κοινότητας Ατομικής Ενέργειας, αφενός, κα</w:t>
      </w:r>
      <w:r>
        <w:rPr>
          <w:noProof/>
        </w:rPr>
        <w:t xml:space="preserve">ι του Ηνωμένου Βασιλείου της Μεγάλης Βρετανίας και της Βόρειας Ιρλανδίας, αφετέρου (στο εξής: συμφωνία εμπορίου και συνεργασίας) και η συμφωνία μεταξύ της Ευρωπαϊκής Ένωσης και του Ηνωμένου Βασιλείου της Μεγάλης Βρετανίας και της Βόρειας Ιρλανδίας σχετικά </w:t>
      </w:r>
      <w:r>
        <w:rPr>
          <w:noProof/>
        </w:rPr>
        <w:t>με διαδικασίες ασφάλειας για την ανταλλαγή και την προστασία διαβαθμισμένων πληροφοριών θα εφαρμόζονται σε προσωρινή βάση από την 1η Ιανουαρίου 2021. Η προσωρινή εφαρμογή παύει σε μία από τις ακόλουθες ημερομηνίες, ανάλογα με το ποια ημερομηνία είναι προγε</w:t>
      </w:r>
      <w:r>
        <w:rPr>
          <w:noProof/>
        </w:rPr>
        <w:t>νέστερη:</w:t>
      </w:r>
    </w:p>
    <w:p w:rsidR="003B3CEF" w:rsidRDefault="005A422B">
      <w:pPr>
        <w:ind w:firstLine="708"/>
        <w:rPr>
          <w:rFonts w:eastAsia="Calibri"/>
          <w:noProof/>
        </w:rPr>
      </w:pPr>
      <w:r>
        <w:rPr>
          <w:noProof/>
        </w:rPr>
        <w:t>α) στις 28 Φεβρουαρίου 2021 ή άλλη ημερομηνία που αποφασίζεται από το συμβούλιο εταιρικής σχέσης· ή</w:t>
      </w:r>
    </w:p>
    <w:p w:rsidR="003B3CEF" w:rsidRDefault="005A422B">
      <w:pPr>
        <w:ind w:left="708"/>
        <w:rPr>
          <w:rFonts w:eastAsia="Calibri"/>
          <w:noProof/>
        </w:rPr>
      </w:pPr>
      <w:r>
        <w:rPr>
          <w:noProof/>
        </w:rPr>
        <w:t xml:space="preserve">β) την πρώτη ημέρα του μήνα που έπεται εκείνου κατά τον οποίο αμφότερα τα Μέρη έχουν ενημερώσει το ένα το άλλο ότι έχουν ολοκληρώσει τις αντίστοιχες εσωτερικές απαιτήσεις και διαδικασίες τους για να διατυπώσουν τη συγκατάθεσή τους να δεσμευτούν. </w:t>
      </w:r>
    </w:p>
    <w:p w:rsidR="003B3CEF" w:rsidRDefault="003B3CEF">
      <w:pPr>
        <w:rPr>
          <w:noProof/>
          <w:sz w:val="22"/>
        </w:rPr>
      </w:pPr>
    </w:p>
    <w:p w:rsidR="003B3CEF" w:rsidRDefault="005A422B">
      <w:pPr>
        <w:suppressAutoHyphens/>
        <w:spacing w:before="360"/>
        <w:jc w:val="center"/>
        <w:rPr>
          <w:i/>
          <w:noProof/>
          <w:szCs w:val="24"/>
        </w:rPr>
      </w:pPr>
      <w:r>
        <w:rPr>
          <w:i/>
          <w:noProof/>
          <w:szCs w:val="24"/>
        </w:rPr>
        <w:t>Άρθρο 6</w:t>
      </w:r>
    </w:p>
    <w:p w:rsidR="003B3CEF" w:rsidRDefault="005A422B">
      <w:pPr>
        <w:keepLines/>
        <w:rPr>
          <w:noProof/>
        </w:rPr>
      </w:pPr>
      <w:r>
        <w:rPr>
          <w:noProof/>
        </w:rPr>
        <w:t>Ο Πρόεδρος του Συμβουλίου ορίζει το πρόσωπο που είναι αρμόδιο να προβεί, εξ ονόματος της Ένωσης, στην κοινοποίηση που προβλέπεται στο άρθρο LAW.OTHER.134 [Κοινοποιήσεις] και στο άρθρο SSC.11 του πρωτοκόλλου για τον συντονισμό των συστημάτων κοινωνικής ασφά</w:t>
      </w:r>
      <w:r>
        <w:rPr>
          <w:noProof/>
        </w:rPr>
        <w:t>λισης της συμφωνίας εμπορίου και συνεργασίας.</w:t>
      </w:r>
    </w:p>
    <w:p w:rsidR="003B3CEF" w:rsidRDefault="005A422B">
      <w:pPr>
        <w:pStyle w:val="Titrearticle"/>
        <w:rPr>
          <w:noProof/>
        </w:rPr>
      </w:pPr>
      <w:r>
        <w:rPr>
          <w:noProof/>
        </w:rPr>
        <w:t>Άρθρο 7</w:t>
      </w:r>
    </w:p>
    <w:p w:rsidR="003B3CEF" w:rsidRDefault="005A422B">
      <w:pPr>
        <w:rPr>
          <w:noProof/>
        </w:rPr>
      </w:pPr>
      <w:r>
        <w:rPr>
          <w:noProof/>
        </w:rPr>
        <w:t>Οι δηλώσεις που επισυνάπτονται στην παρούσα απόφαση εγκρίνονται εξ ονόματος της Ένωσης.</w:t>
      </w:r>
    </w:p>
    <w:p w:rsidR="003B3CEF" w:rsidRDefault="005A422B">
      <w:pPr>
        <w:pStyle w:val="Titrearticle"/>
        <w:rPr>
          <w:noProof/>
        </w:rPr>
      </w:pPr>
      <w:r>
        <w:rPr>
          <w:noProof/>
        </w:rPr>
        <w:t>Άρθρο 8</w:t>
      </w:r>
    </w:p>
    <w:p w:rsidR="003B3CEF" w:rsidRDefault="005A422B">
      <w:pPr>
        <w:rPr>
          <w:noProof/>
        </w:rPr>
      </w:pPr>
      <w:r>
        <w:rPr>
          <w:noProof/>
        </w:rPr>
        <w:t>Ο πρόεδρος του Συμβουλίου εξουσιοδοτείται να ορίσει το πρόσωπο ή τα πρόσωπα που είναι αρμόδια να υπογράψου</w:t>
      </w:r>
      <w:r>
        <w:rPr>
          <w:noProof/>
        </w:rPr>
        <w:t>ν τις συμφωνίες εξ ονόματος της Ευρωπαϊκής Ένωσης.</w:t>
      </w:r>
    </w:p>
    <w:p w:rsidR="003B3CEF" w:rsidRDefault="005A422B">
      <w:pPr>
        <w:pStyle w:val="Titrearticle"/>
        <w:rPr>
          <w:noProof/>
        </w:rPr>
      </w:pPr>
      <w:r>
        <w:rPr>
          <w:noProof/>
        </w:rPr>
        <w:t>Άρθρο 9</w:t>
      </w:r>
    </w:p>
    <w:p w:rsidR="003B3CEF" w:rsidRDefault="005A422B">
      <w:pPr>
        <w:rPr>
          <w:noProof/>
        </w:rPr>
      </w:pPr>
      <w:r>
        <w:rPr>
          <w:noProof/>
        </w:rPr>
        <w:t>Η παρούσα απόφαση αρχίζει να ισχύει από την ημέρα της έκδοσής της.</w:t>
      </w:r>
    </w:p>
    <w:p w:rsidR="003B3CEF" w:rsidRDefault="005A422B" w:rsidP="005A422B">
      <w:pPr>
        <w:pStyle w:val="Fait"/>
        <w:rPr>
          <w:noProof/>
        </w:rPr>
      </w:pPr>
      <w:r w:rsidRPr="005A422B">
        <w:t>Βρυξέλλες,</w:t>
      </w:r>
    </w:p>
    <w:p w:rsidR="003B3CEF" w:rsidRDefault="005A422B">
      <w:pPr>
        <w:pStyle w:val="Institutionquisigne"/>
        <w:rPr>
          <w:noProof/>
        </w:rPr>
      </w:pPr>
      <w:r>
        <w:rPr>
          <w:noProof/>
        </w:rPr>
        <w:tab/>
      </w:r>
      <w:r>
        <w:rPr>
          <w:noProof/>
        </w:rPr>
        <w:t>Για το Συμβούλιο</w:t>
      </w:r>
    </w:p>
    <w:p w:rsidR="003B3CEF" w:rsidRDefault="005A422B">
      <w:pPr>
        <w:pStyle w:val="Personnequisigne"/>
        <w:rPr>
          <w:noProof/>
        </w:rPr>
      </w:pPr>
      <w:r>
        <w:rPr>
          <w:noProof/>
        </w:rPr>
        <w:tab/>
        <w:t>Ο Πρόεδρος</w:t>
      </w:r>
    </w:p>
    <w:sectPr w:rsidR="003B3CEF" w:rsidSect="005A422B">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CEF" w:rsidRDefault="005A422B">
      <w:pPr>
        <w:spacing w:before="0" w:after="0"/>
      </w:pPr>
      <w:r>
        <w:separator/>
      </w:r>
    </w:p>
  </w:endnote>
  <w:endnote w:type="continuationSeparator" w:id="0">
    <w:p w:rsidR="003B3CEF" w:rsidRDefault="005A422B">
      <w:pPr>
        <w:spacing w:before="0" w:after="0"/>
      </w:pPr>
      <w:r>
        <w:continuationSeparator/>
      </w:r>
    </w:p>
  </w:endnote>
  <w:endnote w:type="continuationNotice" w:id="1">
    <w:p w:rsidR="003B3CEF" w:rsidRDefault="003B3C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B" w:rsidRPr="005A422B" w:rsidRDefault="005A422B" w:rsidP="005A4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EF" w:rsidRPr="005A422B" w:rsidRDefault="005A422B" w:rsidP="005A422B">
    <w:pPr>
      <w:pStyle w:val="Footer"/>
      <w:rPr>
        <w:rFonts w:ascii="Arial" w:hAnsi="Arial" w:cs="Arial"/>
        <w:b/>
        <w:sz w:val="48"/>
      </w:rPr>
    </w:pPr>
    <w:r w:rsidRPr="005A422B">
      <w:rPr>
        <w:rFonts w:ascii="Arial" w:hAnsi="Arial" w:cs="Arial"/>
        <w:b/>
        <w:sz w:val="48"/>
      </w:rPr>
      <w:t>EL</w:t>
    </w:r>
    <w:r w:rsidRPr="005A422B">
      <w:rPr>
        <w:rFonts w:ascii="Arial" w:hAnsi="Arial" w:cs="Arial"/>
        <w:b/>
        <w:sz w:val="48"/>
      </w:rPr>
      <w:tab/>
    </w:r>
    <w:r w:rsidRPr="005A422B">
      <w:rPr>
        <w:rFonts w:ascii="Arial" w:hAnsi="Arial" w:cs="Arial"/>
        <w:b/>
        <w:sz w:val="48"/>
      </w:rPr>
      <w:tab/>
    </w:r>
    <w:r w:rsidRPr="005A422B">
      <w:tab/>
    </w:r>
    <w:r w:rsidRPr="005A422B">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B" w:rsidRPr="005A422B" w:rsidRDefault="005A422B" w:rsidP="005A42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B" w:rsidRPr="005A422B" w:rsidRDefault="005A422B" w:rsidP="005A422B">
    <w:pPr>
      <w:pStyle w:val="Footer"/>
      <w:rPr>
        <w:rFonts w:ascii="Arial" w:hAnsi="Arial" w:cs="Arial"/>
        <w:b/>
        <w:sz w:val="48"/>
      </w:rPr>
    </w:pPr>
    <w:r w:rsidRPr="005A422B">
      <w:rPr>
        <w:rFonts w:ascii="Arial" w:hAnsi="Arial" w:cs="Arial"/>
        <w:b/>
        <w:sz w:val="48"/>
      </w:rPr>
      <w:t>EL</w:t>
    </w:r>
    <w:r w:rsidRPr="005A422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A422B">
      <w:tab/>
    </w:r>
    <w:r w:rsidRPr="005A422B">
      <w:rPr>
        <w:rFonts w:ascii="Arial" w:hAnsi="Arial" w:cs="Arial"/>
        <w:b/>
        <w:sz w:val="48"/>
      </w:rPr>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B" w:rsidRPr="005A422B" w:rsidRDefault="005A422B" w:rsidP="005A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CEF" w:rsidRDefault="005A422B">
      <w:pPr>
        <w:spacing w:before="0" w:after="0"/>
      </w:pPr>
      <w:r>
        <w:separator/>
      </w:r>
    </w:p>
  </w:footnote>
  <w:footnote w:type="continuationSeparator" w:id="0">
    <w:p w:rsidR="003B3CEF" w:rsidRDefault="005A422B">
      <w:pPr>
        <w:spacing w:before="0" w:after="0"/>
      </w:pPr>
      <w:r>
        <w:continuationSeparator/>
      </w:r>
    </w:p>
  </w:footnote>
  <w:footnote w:type="continuationNotice" w:id="1">
    <w:p w:rsidR="003B3CEF" w:rsidRDefault="003B3CEF">
      <w:pPr>
        <w:spacing w:before="0" w:after="0"/>
      </w:pPr>
    </w:p>
  </w:footnote>
  <w:footnote w:id="2">
    <w:p w:rsidR="003B3CEF" w:rsidRDefault="005A422B">
      <w:pPr>
        <w:pStyle w:val="FootnoteText"/>
        <w:rPr>
          <w:b/>
        </w:rPr>
      </w:pPr>
      <w:r>
        <w:rPr>
          <w:rStyle w:val="FootnoteReference"/>
        </w:rPr>
        <w:footnoteRef/>
      </w:r>
      <w:r>
        <w:tab/>
        <w:t xml:space="preserve">Απόφαση (ΕΕ) 2020/135 του Συμβουλίου, της 30ής Ιανουαρίου 2020, σχετικά με τη </w:t>
      </w:r>
      <w:r>
        <w:t>σύναψη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(ΕΕ L 29 της 31.1.2020, σ. 1).</w:t>
      </w:r>
    </w:p>
  </w:footnote>
  <w:footnote w:id="3">
    <w:p w:rsidR="003B3CEF" w:rsidRDefault="005A422B">
      <w:pPr>
        <w:pStyle w:val="FootnoteText"/>
      </w:pPr>
      <w:r>
        <w:rPr>
          <w:rStyle w:val="FootnoteReference"/>
        </w:rPr>
        <w:footnoteRef/>
      </w:r>
      <w:r>
        <w:tab/>
        <w:t>Πολιτική διακήρυξη για τον καθορισμό του π</w:t>
      </w:r>
      <w:r>
        <w:t>λαισίου της μελλοντικής σχέσης μεταξύ της Ευρωπαϊκής Ένωσης και του Ηνωμένου Βασιλείου (ΕΕ C 34 της 31.1.2020, σ. 1).</w:t>
      </w:r>
    </w:p>
  </w:footnote>
  <w:footnote w:id="4">
    <w:p w:rsidR="003B3CEF" w:rsidRDefault="005A422B">
      <w:pPr>
        <w:pStyle w:val="FootnoteText"/>
      </w:pPr>
      <w:r>
        <w:rPr>
          <w:rStyle w:val="FootnoteReference"/>
        </w:rPr>
        <w:footnoteRef/>
      </w:r>
      <w:r>
        <w:tab/>
        <w:t>Απόφαση (ΕΕ, Ευρατόμ) 2020/266 του Συμβουλίου με την οποία εγκρίνεται η έναρξη διαπραγματεύσεων με το Ηνωμένο Βασίλειο της Μεγάλης Βρετα</w:t>
      </w:r>
      <w:r>
        <w:t>νίας και της Βόρειας Ιρλανδίας για νέα συμφωνία εταιρικής σχέσης (ΕΕ L 58 της 27.2.2020, σ. 53).</w:t>
      </w:r>
    </w:p>
  </w:footnote>
  <w:footnote w:id="5">
    <w:p w:rsidR="003B3CEF" w:rsidRDefault="005A422B">
      <w:pPr>
        <w:pStyle w:val="FootnoteText"/>
      </w:pPr>
      <w:r>
        <w:rPr>
          <w:rStyle w:val="FootnoteReference"/>
        </w:rPr>
        <w:footnoteRef/>
      </w:r>
      <w:r>
        <w:tab/>
        <w:t>Η Ένωση και το Ηνωμένο Βασίλειο προτίθενται επίσης να εγκρίνουν κοινή δήλωση για την καταπολέμηση των επιζήμιων φορολογικών καθεστώτων κατά τη σύναψη των συμ</w:t>
      </w:r>
      <w:r>
        <w:t>φωνιών.</w:t>
      </w:r>
    </w:p>
  </w:footnote>
  <w:footnote w:id="6">
    <w:p w:rsidR="003B3CEF" w:rsidRDefault="005A422B">
      <w:pPr>
        <w:pStyle w:val="FootnoteText"/>
      </w:pPr>
      <w:r>
        <w:rPr>
          <w:rStyle w:val="FootnoteReference"/>
        </w:rPr>
        <w:footnoteRef/>
      </w:r>
      <w:r>
        <w:tab/>
        <w:t>Σύμφωνα με την εμπορική πολιτική της ΕΕ, ένας περιορισμένος αριθμός τομέων εξαιρείται (δημόσιες υπηρεσίες, ορισμένες υπηρεσίες μεταφορών και οπτικοακουστικές υπηρεσίες, με σκοπό τη διατήρηση της πολιτιστικής πολυμορφίας).</w:t>
      </w:r>
    </w:p>
  </w:footnote>
  <w:footnote w:id="7">
    <w:p w:rsidR="003B3CEF" w:rsidRDefault="005A422B">
      <w:pPr>
        <w:pStyle w:val="FootnoteText"/>
        <w:rPr>
          <w:b/>
        </w:rPr>
      </w:pPr>
      <w:r>
        <w:rPr>
          <w:rStyle w:val="FootnoteReference"/>
        </w:rPr>
        <w:footnoteRef/>
      </w:r>
      <w:r>
        <w:tab/>
        <w:t xml:space="preserve">Απόφαση (ΕΕ) 2020/135 </w:t>
      </w:r>
      <w:r>
        <w:t>του Συμβουλίου, της 30ής Ιανουαρίου 2020, σχετικά με τη σύναψη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(ΕΕ L 29 της 31.1.2</w:t>
      </w:r>
      <w:r>
        <w:t>020, σ. 1).</w:t>
      </w:r>
    </w:p>
  </w:footnote>
  <w:footnote w:id="8">
    <w:p w:rsidR="003B3CEF" w:rsidRDefault="005A422B">
      <w:pPr>
        <w:pStyle w:val="FootnoteText"/>
      </w:pPr>
      <w:r>
        <w:rPr>
          <w:rStyle w:val="FootnoteReference"/>
        </w:rPr>
        <w:footnoteRef/>
      </w:r>
      <w:r>
        <w:tab/>
        <w:t>Απόφαση (ΕΕ, Ευρατόμ) 2020/266 του Συμβουλίου με την οποία εγκρίνεται η έναρξη διαπραγματεύσεων με το Ηνωμένο Βασίλειο της Μεγάλης Βρετανίας και της Βόρειας Ιρλανδίας για νέα συμφωνία εταιρικής σχέσης (ΕΕ L 58 της 27.2.2020, σ.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B" w:rsidRPr="005A422B" w:rsidRDefault="005A422B" w:rsidP="005A4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B" w:rsidRPr="005A422B" w:rsidRDefault="005A422B" w:rsidP="005A4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B" w:rsidRPr="005A422B" w:rsidRDefault="005A422B" w:rsidP="005A4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Level2"/>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A602E6B"/>
    <w:multiLevelType w:val="hybridMultilevel"/>
    <w:tmpl w:val="22406BFC"/>
    <w:lvl w:ilvl="0" w:tplc="0D9EDED0">
      <w:start w:val="1"/>
      <w:numFmt w:val="lowerLetter"/>
      <w:lvlText w:val="(%1)"/>
      <w:lvlJc w:val="left"/>
      <w:pPr>
        <w:ind w:left="720" w:hanging="360"/>
      </w:pPr>
      <w:rPr>
        <w:rFonts w:hint="default"/>
      </w:rPr>
    </w:lvl>
    <w:lvl w:ilvl="1" w:tplc="9E686B92">
      <w:start w:val="1"/>
      <w:numFmt w:val="lowerRoman"/>
      <w:pStyle w:val="Indent"/>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29"/>
    <w:lvlOverride w:ilvl="0">
      <w:startOverride w:val="1"/>
    </w:lvlOverride>
  </w:num>
  <w:num w:numId="20">
    <w:abstractNumId w:val="24"/>
    <w:lvlOverride w:ilvl="0">
      <w:startOverride w:val="1"/>
    </w:lvlOverride>
  </w:num>
  <w:num w:numId="21">
    <w:abstractNumId w:val="21"/>
  </w:num>
  <w:num w:numId="22">
    <w:abstractNumId w:val="11"/>
  </w:num>
  <w:num w:numId="23">
    <w:abstractNumId w:val="24"/>
  </w:num>
  <w:num w:numId="24">
    <w:abstractNumId w:val="6"/>
  </w:num>
  <w:num w:numId="25">
    <w:abstractNumId w:val="12"/>
  </w:num>
  <w:num w:numId="26">
    <w:abstractNumId w:val="4"/>
  </w:num>
  <w:num w:numId="27">
    <w:abstractNumId w:val="23"/>
  </w:num>
  <w:num w:numId="28">
    <w:abstractNumId w:val="3"/>
  </w:num>
  <w:num w:numId="29">
    <w:abstractNumId w:val="13"/>
  </w:num>
  <w:num w:numId="30">
    <w:abstractNumId w:val="19"/>
  </w:num>
  <w:num w:numId="31">
    <w:abstractNumId w:val="20"/>
  </w:num>
  <w:num w:numId="32">
    <w:abstractNumId w:val="5"/>
  </w:num>
  <w:num w:numId="33">
    <w:abstractNumId w:val="17"/>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25 18:23: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COM(2020) 855 final of 25.12.2020 downgraded on 26.12.2020"/>
    <w:docVar w:name="LW_COVERPAGE_EXISTS" w:val="True"/>
    <w:docVar w:name="LW_COVERPAGE_GUID" w:val="AC43F9BF-9E42-4AF4-BEF8-F3865FF25E87"/>
    <w:docVar w:name="LW_COVERPAGE_TYPE" w:val="1"/>
    <w:docVar w:name="LW_CROSSREFERENCE" w:val="&lt;UNUSED&gt;"/>
    <w:docVar w:name="LW_DocType" w:val="COM"/>
    <w:docVar w:name="LW_EMISSION" w:val="26.12.2020"/>
    <w:docVar w:name="LW_EMISSION_ISODATE" w:val="2020-12-26"/>
    <w:docVar w:name="LW_EMISSION_LOCATION" w:val="BRX"/>
    <w:docVar w:name="LW_EMISSION_PREFIX" w:val="\u914?\u961?\u965?\u958?\u941?\u955?\u955?\u949?\u962?,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381"/>
    <w:docVar w:name="LW_REF.II.NEW.CP_YEAR" w:val="2020"/>
    <w:docVar w:name="LW_REF.INST.NEW" w:val="COM"/>
    <w:docVar w:name="LW_REF.INST.NEW_ADOPTED" w:val="final/2"/>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5?\u960?\u959?\u947?\u961?\u945?\u966?\u942?, \u949?\u958? \u959?\u957?\u972?\u956?\u945?\u964?\u959?\u962? \u964?\u951?\u962? \u904?\u957?\u969?\u963?\u951?\u962?, \u954?\u945?\u953? \u947?\u953?\u945? \u964?\u951?\u957? \u960?\u961?\u959?\u963?\u969?\u961?\u953?\u957?\u942? \u949?\u966?\u945?\u961?\u956?\u959?\u947?\u942?, \u964?\u951?\u962? \u963?\u965?\u956?\u966?\u969?\u957?\u943?\u945?\u962? \u949?\u956?\u960?\u959?\u961?\u943?\u959?\u965? \u954?\u945?\u953? \u963?\u965?\u957?\u949?\u961?\u947?\u945?\u963?\u943?\u945?\u962? \u956?\u949?\u964?\u945?\u958?\u973? \u964?\u951?\u962? \u917?\u965?\u961?\u969?\u960?\u945?\u970?\u954?\u942?\u962? \u904?\u957?\u969?\u963?\u951?\u962? \u954?\u945?\u953? \u964?\u951?\u962? \u917?\u965?\u961?\u969?\u960?\u945?\u970?\u954?\u942?\u962? \u922?\u959?\u953?\u957?\u972?\u964?\u951?\u964?\u945?\u962? \u913?\u964?\u959?\u956?\u953?\u954?\u942?\u962? \u917?\u957?\u941?\u961?\u947?\u949?\u953?\u945?\u962?, \u945?\u966?\u949?\u957?\u972?\u962?, \u954?\u945?\u953? \u964?\u959?\u965? \u919?\u957?\u969?\u956?\u941?\u957?\u959?\u965? \u914?\u945?\u963?\u953?\u955?\u949?\u943?\u959?\u965? \u964?\u951?\u962? \u924?\u949?\u947?\u940?\u955?\u951?\u962? \u914?\u961?\u949?\u964?\u945?\u957?\u943?\u945?\u962? \u954?\u945?\u953? \u964?\u951?\u962? \u914?\u972?\u961?\u949?\u953?\u945?\u962? \u921?\u961?\u955?\u945?\u957?\u948?\u943?\u945?\u962?, \u945?\u966?\u949?\u964?\u941?\u961?\u959?\u965?, \u954?\u945?\u953? \u964?\u951?\u962? \u963?\u965?\u956?\u966?\u969?\u957?\u943?\u945?\u962? \u956?\u949?\u964?\u945?\u958?\u973? \u964?\u951?\u962? \u917?\u965?\u961?\u969?\u960?\u945?\u970?\u954?\u942?\u962? \u904?\u957?\u969?\u963?\u951?\u962? \u954?\u945?\u953? \u964?\u959?\u965? \u919?\u957?\u969?\u956?\u941?\u957?\u959?\u965? \u914?\u945?\u963?\u953?\u955?\u949?\u943?\u959?\u965? \u964?\u951?\u962? \u924?\u949?\u947?\u940?\u955?\u951?\u962? \u914?\u961?\u949?\u964?\u945?\u957?\u943?\u945?\u962? \u954?\u945?\u953? \u964?\u951?\u962? \u914?\u972?\u961?\u949?\u953?\u945?\u962? \u921?\u961?\u955?\u945?\u957?\u948?\u943?\u945?\u962? \u963?\u967?\u949?\u964?\u953?\u954?\u940? \u956?\u949? \u948?\u953?\u945?\u948?\u953?\u954?\u945?\u963?\u943?\u949?\u962? \u945?\u963?\u966?\u940?\u955?\u949?\u953?\u945?\u962? \u947?\u953?\u945? \u964?\u951?\u957? \u945?\u957?\u964?\u945?\u955?\u955?\u945?\u947?\u942? \u954?\u945?\u953? \u964?\u951?\u957? \u960?\u961?\u959?\u963?\u964?\u945?\u963?\u943?\u945? \u948?\u953?\u945?\u946?\u945?\u952?\u956?\u953?\u963?\u956?\u941?\u957?\u969?\u957? \u960?\u955?\u951?\u961?\u959?\u966?\u959?\u961?\u953?\u974?\u957?"/>
    <w:docVar w:name="LW_TYPE.DOC.CP" w:val="\u913?\u928?\u927?\u934?\u913?\u931?\u919? \u932?\u927?\u933? \u931?\u933?\u924?\u914?\u927?\u933?\u923?\u921?\u927?\u933?"/>
  </w:docVars>
  <w:rsids>
    <w:rsidRoot w:val="003B3CEF"/>
    <w:rsid w:val="003B3CEF"/>
    <w:rsid w:val="005A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80C38B77-F63E-4925-9FD3-134C4214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tabs>
        <w:tab w:val="num" w:pos="1560"/>
      </w:tabs>
      <w:ind w:left="1560" w:hanging="709"/>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Paragraph,Dot pt,No Spacing1,List Paragraph Char Char Char,Indicator Text,List Paragraph1,Numbered Para 1,Colorful List - Accent 11,F5 List Paragraph,Bullet Points,lp1,4 Párrafo de lista,Figuras,DH1,Normal Fv,viñetas,3,OBC Bullet"/>
    <w:basedOn w:val="Normal"/>
    <w:link w:val="ListParagraphChar"/>
    <w:uiPriority w:val="34"/>
    <w:qFormat/>
    <w:pPr>
      <w:ind w:left="720"/>
      <w:contextualSpacing/>
    </w:pPr>
  </w:style>
  <w:style w:type="paragraph" w:customStyle="1" w:styleId="Freetext">
    <w:name w:val="Free text"/>
    <w:basedOn w:val="Normal"/>
    <w:link w:val="FreetextChar"/>
    <w:qFormat/>
    <w:pPr>
      <w:spacing w:before="0" w:after="240"/>
    </w:pPr>
    <w:rPr>
      <w:rFonts w:asciiTheme="minorHAnsi" w:hAnsiTheme="minorHAnsi" w:cstheme="minorHAnsi"/>
      <w:sz w:val="22"/>
    </w:rPr>
  </w:style>
  <w:style w:type="character" w:customStyle="1" w:styleId="FreetextChar">
    <w:name w:val="Free text Char"/>
    <w:basedOn w:val="DefaultParagraphFont"/>
    <w:link w:val="Freetext"/>
    <w:rPr>
      <w:rFonts w:cstheme="minorHAnsi"/>
      <w:lang w:val="el-GR"/>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F5 List Paragraph Char,Bullet Points Char,lp1 Char,DH1 Char"/>
    <w:basedOn w:val="DefaultParagraphFont"/>
    <w:link w:val="ListParagraph"/>
    <w:uiPriority w:val="34"/>
    <w:qFormat/>
    <w:rPr>
      <w:rFonts w:ascii="Times New Roman" w:hAnsi="Times New Roman" w:cs="Times New Roman"/>
      <w:sz w:val="24"/>
      <w:lang w:val="el-GR"/>
    </w:rPr>
  </w:style>
  <w:style w:type="paragraph" w:customStyle="1" w:styleId="Indent">
    <w:name w:val="Indent"/>
    <w:basedOn w:val="Normal"/>
    <w:pPr>
      <w:numPr>
        <w:ilvl w:val="1"/>
        <w:numId w:val="16"/>
      </w:numPr>
      <w:spacing w:before="0" w:after="240"/>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d">
    <w:name w:val="std"/>
    <w:basedOn w:val="Normal"/>
    <w:pPr>
      <w:spacing w:before="0" w:after="0"/>
      <w:jc w:val="left"/>
    </w:pPr>
    <w:rPr>
      <w:rFonts w:eastAsia="Times New Roman"/>
      <w:szCs w:val="24"/>
      <w:lang w:eastAsia="en-GB"/>
    </w:rPr>
  </w:style>
  <w:style w:type="character" w:customStyle="1" w:styleId="Bodytext2">
    <w:name w:val="Body text|2_"/>
    <w:basedOn w:val="DefaultParagraphFont"/>
    <w:link w:val="Bodytext20"/>
    <w:rPr>
      <w:rFonts w:ascii="Calibri" w:eastAsia="Calibri" w:hAnsi="Calibri" w:cs="Calibri"/>
      <w:shd w:val="clear" w:color="auto" w:fill="FFFFFF"/>
    </w:rPr>
  </w:style>
  <w:style w:type="paragraph" w:customStyle="1" w:styleId="Bodytext20">
    <w:name w:val="Body text|2"/>
    <w:basedOn w:val="Normal"/>
    <w:link w:val="Bodytext2"/>
    <w:qFormat/>
    <w:pPr>
      <w:widowControl w:val="0"/>
      <w:shd w:val="clear" w:color="auto" w:fill="FFFFFF"/>
      <w:spacing w:before="0" w:after="100" w:line="268" w:lineRule="exact"/>
      <w:ind w:hanging="740"/>
    </w:pPr>
    <w:rPr>
      <w:rFonts w:ascii="Calibri" w:eastAsia="Calibri" w:hAnsi="Calibri" w:cs="Calibri"/>
      <w:sz w:val="22"/>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super">
    <w:name w:val="super"/>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customStyle="1" w:styleId="Article">
    <w:name w:val="Article"/>
    <w:basedOn w:val="ti-art"/>
    <w:pPr>
      <w:spacing w:before="360" w:beforeAutospacing="0" w:after="120" w:afterAutospacing="0" w:line="312" w:lineRule="atLeast"/>
      <w:jc w:val="center"/>
    </w:pPr>
    <w:rPr>
      <w:i/>
    </w:rPr>
  </w:style>
  <w:style w:type="paragraph" w:styleId="Header">
    <w:name w:val="header"/>
    <w:basedOn w:val="Normal"/>
    <w:link w:val="HeaderChar"/>
    <w:uiPriority w:val="99"/>
    <w:unhideWhenUsed/>
    <w:rsid w:val="005A422B"/>
    <w:pPr>
      <w:tabs>
        <w:tab w:val="center" w:pos="4535"/>
        <w:tab w:val="right" w:pos="9071"/>
      </w:tabs>
      <w:spacing w:before="0"/>
    </w:pPr>
  </w:style>
  <w:style w:type="character" w:customStyle="1" w:styleId="HeaderChar">
    <w:name w:val="Header Char"/>
    <w:basedOn w:val="DefaultParagraphFont"/>
    <w:link w:val="Header"/>
    <w:uiPriority w:val="99"/>
    <w:rsid w:val="005A422B"/>
    <w:rPr>
      <w:rFonts w:ascii="Times New Roman" w:hAnsi="Times New Roman" w:cs="Times New Roman"/>
      <w:sz w:val="24"/>
      <w:lang w:val="el-GR"/>
    </w:rPr>
  </w:style>
  <w:style w:type="paragraph" w:styleId="Footer">
    <w:name w:val="footer"/>
    <w:basedOn w:val="Normal"/>
    <w:link w:val="FooterChar"/>
    <w:uiPriority w:val="99"/>
    <w:unhideWhenUsed/>
    <w:rsid w:val="005A422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A422B"/>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A422B"/>
    <w:pPr>
      <w:tabs>
        <w:tab w:val="center" w:pos="7285"/>
        <w:tab w:val="right" w:pos="14003"/>
      </w:tabs>
      <w:spacing w:before="0"/>
    </w:pPr>
  </w:style>
  <w:style w:type="paragraph" w:customStyle="1" w:styleId="FooterLandscape">
    <w:name w:val="FooterLandscape"/>
    <w:basedOn w:val="Normal"/>
    <w:rsid w:val="005A422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A422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A422B"/>
    <w:pPr>
      <w:spacing w:before="0"/>
      <w:jc w:val="right"/>
    </w:pPr>
    <w:rPr>
      <w:sz w:val="28"/>
    </w:rPr>
  </w:style>
  <w:style w:type="paragraph" w:customStyle="1" w:styleId="FooterSensitivity">
    <w:name w:val="Footer Sensitivity"/>
    <w:basedOn w:val="Normal"/>
    <w:rsid w:val="005A422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23033">
      <w:bodyDiv w:val="1"/>
      <w:marLeft w:val="0"/>
      <w:marRight w:val="0"/>
      <w:marTop w:val="0"/>
      <w:marBottom w:val="0"/>
      <w:divBdr>
        <w:top w:val="none" w:sz="0" w:space="0" w:color="auto"/>
        <w:left w:val="none" w:sz="0" w:space="0" w:color="auto"/>
        <w:bottom w:val="none" w:sz="0" w:space="0" w:color="auto"/>
        <w:right w:val="none" w:sz="0" w:space="0" w:color="auto"/>
      </w:divBdr>
    </w:div>
    <w:div w:id="705984162">
      <w:bodyDiv w:val="1"/>
      <w:marLeft w:val="0"/>
      <w:marRight w:val="0"/>
      <w:marTop w:val="0"/>
      <w:marBottom w:val="0"/>
      <w:divBdr>
        <w:top w:val="none" w:sz="0" w:space="0" w:color="auto"/>
        <w:left w:val="none" w:sz="0" w:space="0" w:color="auto"/>
        <w:bottom w:val="none" w:sz="0" w:space="0" w:color="auto"/>
        <w:right w:val="none" w:sz="0" w:space="0" w:color="auto"/>
      </w:divBdr>
    </w:div>
    <w:div w:id="13514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EC72-1801-4A07-A74B-3205CCD5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7</TotalTime>
  <Pages>14</Pages>
  <Words>8612</Words>
  <Characters>51418</Characters>
  <Application>Microsoft Office Word</Application>
  <DocSecurity>0</DocSecurity>
  <Lines>952</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ANDRIKAKIS Nikolaos (SG)</cp:lastModifiedBy>
  <cp:revision>39</cp:revision>
  <cp:lastPrinted>2020-12-24T07:20:00Z</cp:lastPrinted>
  <dcterms:created xsi:type="dcterms:W3CDTF">2020-12-25T15:24:00Z</dcterms:created>
  <dcterms:modified xsi:type="dcterms:W3CDTF">2020-12-26T17:52:00Z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