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6E3BC154-C2E7-4854-A990-C731D791A3EE" style="width:450.45pt;height:351.9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OBRAZLOŽENJE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PRIJEDLOGA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Razlozi i ciljevi prijedloga</w:t>
      </w:r>
    </w:p>
    <w:p>
      <w:pPr>
        <w:rPr>
          <w:noProof/>
        </w:rPr>
      </w:pPr>
      <w:r>
        <w:rPr>
          <w:noProof/>
        </w:rPr>
        <w:t>Kako je navedeno u Komunikaciji Komisije o kratkoročnoj pripravnosti EU-a za izbijanje bolesti COVID-19</w:t>
      </w:r>
      <w:r>
        <w:rPr>
          <w:rStyle w:val="FootnoteReference"/>
          <w:noProof/>
        </w:rPr>
        <w:footnoteReference w:id="1"/>
      </w:r>
      <w:r>
        <w:rPr>
          <w:noProof/>
        </w:rPr>
        <w:t>, donesenoj 15. srpnja 2020., pouzdana strategija i adekvatni kapaciteti za testiranje ključni su aspekt pripravnosti i odgovora na COVID-19. Oni omogućuju rano otkrivanje potencijalno zaraznih osoba kako bi ih se brzo izoliralo od ostatka stanovništva i tako izbjegle infekcije i prijenos unutar zajednica. Osim toga, preduvjet su i za odgovarajuće praćenje kontakata radi brze i ciljane izolacije i ograničavanja širenja.</w:t>
      </w:r>
    </w:p>
    <w:p>
      <w:pPr>
        <w:rPr>
          <w:noProof/>
        </w:rPr>
      </w:pPr>
      <w:r>
        <w:rPr>
          <w:noProof/>
        </w:rPr>
        <w:t xml:space="preserve">Kvalitetno organizirano testiranje pridonosi i slobodnom kretanju osoba i neometanom funkcioniranju unutarnjeg tržišta u vrijeme pandemije bolesti COVID-19. Od početka pandemije postignut je velik napredak u području dijagnostičkog testiranja na COVID-19, što dodatno potvrđuje središnju ulogu testiranja u kontroli pandemije. Primjerenom upotrebom testova na COVID-19, što podrazumijeva dovoljne količine testova za ciljane populacije, davanje mogućnosti za ponavljanje testa te brzo dobivanje rezultata nakon zahtjeva za testiranje, bitno se ograničava širenje virusa SARS-CoV-2. </w:t>
      </w:r>
    </w:p>
    <w:p>
      <w:pPr>
        <w:rPr>
          <w:noProof/>
        </w:rPr>
      </w:pPr>
      <w:r>
        <w:rPr>
          <w:noProof/>
        </w:rPr>
        <w:t>Za dobro upravljanje različitim fazama pandemije bitno je shvatiti koje informacije pruža koji test, što je razrađeno u Komisijinim smjernicama od 15. travnja</w:t>
      </w:r>
      <w:r>
        <w:rPr>
          <w:rStyle w:val="FootnoteReference"/>
          <w:noProof/>
        </w:rPr>
        <w:footnoteReference w:id="2"/>
      </w:r>
      <w:r>
        <w:rPr>
          <w:noProof/>
        </w:rPr>
        <w:t>. Najpouzdanija metoda za testiranje zaraženih osoba i praćenje njihovih kontakata trenutačno je test RT-PCR (lančana reakcija polimerazom uz prethodnu reverznu transkripciju), što je NAAT test, test koji se temelji na umnažanju nukleinske kiseline. RT-PCR testovi bili su među prvim dostupnim testovima kad je pandemija stigla do Europe. Iako je stopa testiranja RT-PCR testom u cijelom EU-u porasla, što je dovelo do utvrđivanja više pozitivnih rezultata, za toliku potražnju teško je laboratorijima osigurati dovoljne resurse i kapacitete. Stalna velika potražnja dovela je do relativnog manjka materijala za RT-PCR testiranje i duljeg čekanja na rezultat testa, što ograničava i učinkovitu provedbu mjera smanjenja rizika i brzo praćenje kontakata.</w:t>
      </w:r>
    </w:p>
    <w:p>
      <w:pPr>
        <w:rPr>
          <w:noProof/>
        </w:rPr>
      </w:pPr>
      <w:r>
        <w:rPr>
          <w:noProof/>
        </w:rPr>
        <w:t>Zato se države članice sve više okreću mogućnosti upotrebe brzih testova ili testova na mjestu na kojem se pruža zdravstvena skrb (npr. antigenskih testova), u točno određenim situacijama</w:t>
      </w:r>
      <w:r>
        <w:rPr>
          <w:rStyle w:val="FootnoteReference"/>
          <w:noProof/>
        </w:rPr>
        <w:footnoteReference w:id="3"/>
      </w:r>
      <w:r>
        <w:rPr>
          <w:noProof/>
        </w:rPr>
        <w:t>. Ta nova generacija bržih i jeftinijih testova na COVID-19, s rezultatom često dostupnim za manje od 30 minuta, sve je prisutnija na tržištu. Komisija je 28. listopada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donijela Preporuku kojom se utvrđuju smjernice o ključnim elementima koje zemlje moraju uzeti u obzir u strategiji testiranja na COVID-19, a među njima je i upotreba brzih antigenskih testova. Komisija je 18. studenoga donijela Preporuku o upotrebi brzih testova na antigene za dijagnosticiranje bolesti COVID-19</w:t>
      </w:r>
      <w:r>
        <w:rPr>
          <w:rStyle w:val="FootnoteReference"/>
          <w:noProof/>
        </w:rPr>
        <w:footnoteReference w:id="5"/>
      </w:r>
      <w:r>
        <w:rPr>
          <w:noProof/>
        </w:rPr>
        <w:t>, koju je objavila zajedno s tehničkim smjernicama Europskog centra za sprečavanje i kontrolu bolesti (ECDC)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o upotrebi brzih antigenskih testova.</w:t>
      </w:r>
    </w:p>
    <w:p>
      <w:pPr>
        <w:rPr>
          <w:noProof/>
        </w:rPr>
      </w:pPr>
      <w:r>
        <w:rPr>
          <w:noProof/>
        </w:rPr>
        <w:lastRenderedPageBreak/>
        <w:t>Države članice 2. prosinca pozvale su na donošenje zajedničkog pristupa upotrebi brzih antigenskih testova (kao dopune RT-PCR testovima) i gotovo sve su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kao prioritetnu identificirale nužnost koordiniranja mjera kojima će se olakšati uzajamno priznavanje rezultata testiranja. </w:t>
      </w:r>
    </w:p>
    <w:p>
      <w:pPr>
        <w:rPr>
          <w:noProof/>
        </w:rPr>
      </w:pPr>
      <w:r>
        <w:rPr>
          <w:noProof/>
        </w:rPr>
        <w:t>U izvješću predsjedništva 4. prosinca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o napretku u koordinaciji odgovora EU-a na pandemiju bolesti COVID-19, preporučeno je sljedeće: </w:t>
      </w:r>
      <w:r>
        <w:rPr>
          <w:i/>
          <w:noProof/>
        </w:rPr>
        <w:t>[...] Države članice trebale bi nastaviti redovito razmjenjivati informacije o nacionalnim strategijama testiranja, među ostalim o upotrebi brzih testova na antigene. Dogovorom o uvjetima u kojima se ti testovi mogu obavljati te o validaciji tih testova olakšat će se uzajamno priznavanje rezultata testova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Na sastanku Europskog vijeća 10. prosinca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čelnici država ili vlada EU-a donijeli su zaključke o bolesti COVID-19 u kojima su pozvali Komisiju da predstavi prijedlog preporuke Vijeća o zajedničkom okviru za brze testove na antigene i za uzajamno priznavanje rezultata testova.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Usklađenost s postojećim odredbama politike u tom području</w:t>
      </w:r>
    </w:p>
    <w:p>
      <w:pPr>
        <w:rPr>
          <w:noProof/>
        </w:rPr>
      </w:pPr>
      <w:r>
        <w:rPr>
          <w:noProof/>
        </w:rPr>
        <w:t>Ovom se preporukom nastoje provesti postojeće odredbe u tom području politike, odnosno preporuke državama članicama EU-a o primjeni dijagnostičkih testova na COVID-19 i provedbi strategija testiranja na COVID-19 u EU-u.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Usklađenost s drugim politikama Unije</w:t>
      </w:r>
    </w:p>
    <w:p>
      <w:pPr>
        <w:rPr>
          <w:noProof/>
        </w:rPr>
      </w:pPr>
      <w:r>
        <w:rPr>
          <w:noProof/>
        </w:rPr>
        <w:t>Ova je preporuka u skladu s drugim politikama Unije, među ostalima i s politikom javnog zdravlja i kontrole unutarnjih granica.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PRAVNA OSNOVA, SUPSIDIJARNOST I PROPORCIONALNOST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Pravna osnova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Ugovor o funkcioniranju Europske unije (UFEU), a osobito njegov članak 168. stavak 6.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Supsidijarnost (za neisključivu nadležnost)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Članak 168. stavkom 6. UFEU-a omogućuje Vijeću da na temelju prijedloga Komisije donese preporuke u svrhe utvrđene u članku 168. UFEU-a.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Usklađen i jedinstven pristup upotrebi, validiranju i uzajamnom priznavanju brzih antigenskih testova za COVID-19 pridonosi dobrom funkcioniranju jedinstvenog tržišta i izbjegavanju dupliciranja rada diljem EU-a. Nadalje, poštuje se zahtjev država članica za usklađenim i zajedničkim pristupom. Time bi se olakšala razmjena iskustava i omogućile učinkovitije i bolje usmjerene restriktivne mjere.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Proporcionalnost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Ovim se prijedlogom uzimaju u obzir razvoj epidemiološke situacije i svi dostupni relevantni dokazi. Tijela država članica i zemalja pridruženih Schengenu i dalje su odgovorna za provedbu predložene Preporuke Vijeća. Prijedlog je prikladan za postizanje željenog cilja i ne prelazi ono što je nužno i proporcionalno.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3.</w:t>
      </w:r>
      <w:r>
        <w:rPr>
          <w:noProof/>
        </w:rPr>
        <w:tab/>
        <w:t>REZULTATI EX POST EVALUACIJA, SAVJETOVANJA S DIONICIMA I PROCJENA UČINKA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Ex post evaluacije/provjere primjerenosti postojećeg zakonodavstva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Nije primjenjivo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Savjetovanja s dionicima i procjena učinka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 xml:space="preserve">Ovaj prijedlog uzima u obzir rasprave s državama članicama, posebno one koje su od početka pandemije bolesti COVID-19 održane u okviru Odbora za zdravstvenu sigurnost i integriranog političkog odgovora na krizu (IPCR). Iako nije provedena odvojena procjena učinka, prijedlog uzima u obzir razvoj epidemiološke situacije i temelji se na svim dostupnim relevantnim dokazima i znanstvenim mišljenjima.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UTJECAJ NA PRORAČUN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Nema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2020/0377 (NLE)</w:t>
      </w:r>
    </w:p>
    <w:p>
      <w:pPr>
        <w:pStyle w:val="Statut"/>
        <w:rPr>
          <w:noProof/>
        </w:rPr>
      </w:pPr>
      <w:r>
        <w:rPr>
          <w:noProof/>
        </w:rPr>
        <w:t>Prijedlog</w:t>
      </w:r>
    </w:p>
    <w:p>
      <w:pPr>
        <w:pStyle w:val="Typedudocument"/>
        <w:rPr>
          <w:noProof/>
        </w:rPr>
      </w:pPr>
      <w:r>
        <w:rPr>
          <w:noProof/>
        </w:rPr>
        <w:t>PREPORUKE VIJEĆA</w:t>
      </w:r>
    </w:p>
    <w:p>
      <w:pPr>
        <w:pStyle w:val="Titreobjet"/>
        <w:rPr>
          <w:noProof/>
        </w:rPr>
      </w:pPr>
      <w:r>
        <w:rPr>
          <w:noProof/>
        </w:rPr>
        <w:t>o zajedničkom okviru za upotrebu, validiranje i uzajamno priznavanje brzih antigenskih testova za COVID-19 u EU-u</w:t>
      </w:r>
    </w:p>
    <w:p>
      <w:pPr>
        <w:pStyle w:val="Institutionquiagit"/>
        <w:rPr>
          <w:noProof/>
        </w:rPr>
      </w:pPr>
      <w:r>
        <w:rPr>
          <w:noProof/>
        </w:rPr>
        <w:t>VIJEĆE EUROPSKE UNIJE,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uzimajući u obzir Ugovor o funkcioniranju Europske unije, a posebno</w:t>
      </w:r>
      <w:r>
        <w:rPr>
          <w:noProof/>
        </w:rPr>
        <w:t xml:space="preserve"> njegov članak 168. stavak 6.</w:t>
      </w:r>
      <w:r>
        <w:rPr>
          <w:noProof/>
          <w:color w:val="000000" w:themeColor="text1"/>
        </w:rPr>
        <w:t>,</w:t>
      </w:r>
    </w:p>
    <w:p>
      <w:pPr>
        <w:rPr>
          <w:noProof/>
        </w:rPr>
      </w:pPr>
      <w:r>
        <w:rPr>
          <w:noProof/>
        </w:rPr>
        <w:t>uzimajući u obzir prijedlog Europske komisije,</w:t>
      </w:r>
    </w:p>
    <w:p>
      <w:pPr>
        <w:rPr>
          <w:noProof/>
        </w:rPr>
      </w:pPr>
      <w:r>
        <w:rPr>
          <w:noProof/>
        </w:rPr>
        <w:t>budući da: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 xml:space="preserve">U skladu s člankom 168. stavkom 1. i 2. UFEU-a pri određivanju i provedbi svih politika i aktivnosti Unije mora se osigurati visok stupanj zaštite zdravlja ljudi. Aktivnostima Unije obuhvaćeni su, među ostalim, praćenje, rano upozoravanje i suzbijanje ozbiljnih prekograničnih prijetnji zdravlju, potiče se suradnja među državama članicama u tom području, a ako je potrebno, pruža i potpora njihovu djelovanju.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U skladu s člankom 168. stavkom 7. Ugovora o funkcioniranju Europske unije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definiranje zdravstvene politike te organiziranje i provedba zdravstvenih mjera ostaju u nacionalnoj nadležnosti. Stoga su države članice EU-a odgovorne za odlučivanje o razvoju i provedbi strategija testiranja na bolest COVID-19, uključujući primjenu brzih antigenskih testova, uzimajući u obzir epidemiološku i socijalnu situaciju u zemlji te ciljnu populaciju za testiranje.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Komisija je 15. travnja donijela Smjernice o vrstama i učinkovitosti </w:t>
      </w:r>
      <w:r>
        <w:rPr>
          <w:i/>
          <w:iCs/>
          <w:noProof/>
        </w:rPr>
        <w:t>in vitro</w:t>
      </w:r>
      <w:r>
        <w:rPr>
          <w:noProof/>
        </w:rPr>
        <w:t xml:space="preserve"> dijagnostičkih testova za COVID-19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, u kojima se razmatraju elementi učinkovitosti testova i preporučuje validacija testova za COVID-19 prije njihove rutinske upotrebe u kliničkoj praksi.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Komisija je 15. srpnja donijela Komunikaciju o pripravnosti zdravstva EU-a za brzo djelovanje u slučaju izbijanja bolesti COVID-19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koja, među ostalim mjerama za jačanje pripravnosti i sposobnosti koordiniranog odgovora, testiranje identificira kao jedno od glavnih područja djelovanja kojima se države članice trebaju baviti, te utvrđuje konkretne bitne mjere koje treba poduzeti idućih mjeseci.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Komisija je 28. listopada donijela Preporuku o strategijama testiranja na bolest COVID-19, uključujući upotrebu brzih testova na antigene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. Tom su preporukom utvrđene smjernice za ključne elemente koje zemlje trebaju razmotriti u oblikovanju strategija testiranja na COVID-19, a predložene su i mogućnosti upotrebe brzih antigenskih testova. </w:t>
      </w:r>
    </w:p>
    <w:p>
      <w:pPr>
        <w:pStyle w:val="ManualConsidrant"/>
        <w:rPr>
          <w:noProof/>
        </w:rPr>
      </w:pPr>
      <w:r>
        <w:lastRenderedPageBreak/>
        <w:t>(6)</w:t>
      </w:r>
      <w:r>
        <w:tab/>
      </w:r>
      <w:r>
        <w:rPr>
          <w:noProof/>
        </w:rPr>
        <w:t>Komisija je 18. studenoga donijela Preporuku o primjeni brzih testova na antigene za dijagnosticiranje infekcije virusom SARS-CoV-2</w:t>
      </w:r>
      <w:r>
        <w:rPr>
          <w:rStyle w:val="FootnoteReference"/>
          <w:noProof/>
        </w:rPr>
        <w:footnoteReference w:id="14"/>
      </w:r>
      <w:r>
        <w:rPr>
          <w:noProof/>
        </w:rPr>
        <w:t>, koja precizira koji su kriteriji za odabir brzih antigenskih testova, pod kojim se uvjetima brzi antigenski testovi mogu koristiti, tko može provoditi testiranje, kao i za validaciju i uzajamno priznavanje brzih antigenskih testova i njihovih rezultata. Iako su jeftiniji i brži, brzi antigenski testovi općenito imaju manju osjetljivost od RT-PCR-a.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Kao regulatorni okvir za stavljanje brzih antigenskih testova na tržište trenutačno se primjenjuje Direktiva 98/79/EZ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. Prema toj direktivi, za brze antigenske testove za SARS-CoV-2 proizvođač mora izraditi tehničku dokumentaciju koja izričito pokazuje da je test siguran i učinkovit u skladu s predviđanjima proizvođača, dokazujući sukladnost sa zahtjevima utvrđenima u Prilogu I. toj direktivi. 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 xml:space="preserve">Direktivu 98/79/EZ zamijenit će od 26. svibnja 2022. Uredba (EU) 2017/746 o </w:t>
      </w:r>
      <w:r>
        <w:rPr>
          <w:i/>
          <w:iCs/>
          <w:noProof/>
        </w:rPr>
        <w:t>in vitro</w:t>
      </w:r>
      <w:r>
        <w:rPr>
          <w:noProof/>
        </w:rPr>
        <w:t xml:space="preserve"> dijagnostičkim medicinskim proizvodima</w:t>
      </w:r>
      <w:r>
        <w:rPr>
          <w:rStyle w:val="FootnoteReference"/>
          <w:noProof/>
        </w:rPr>
        <w:footnoteReference w:id="16"/>
      </w:r>
      <w:r>
        <w:rPr>
          <w:noProof/>
        </w:rPr>
        <w:t>. Na temelju te uredbe brzi antigenski testovi podlijegat će pojačanim zahtjevima u pogledu učinkovitosti proizvoda i temeljitom ocjenjivanju koje provodi prijavljeno tijelo. Tako se može smanjiti dodatni napor potreban za validaciju tih testova prije uporabe u okviru nacionalnih strategija.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Učinkovito testiranje pomaže neometanom funkcioniranju unutarnjeg tržišta jer omogućuje ciljane mjere izolacije ili karantene. Uzajamno priznavanje rezultata testiranja na infekciju virusom SARS-CoV-2 koje u drugim državama članicama provedu ovlaštene zdravstvene ustanove, kako je predviđeno točkom 18. Preporuke Vijeća (EU) 2020/1475</w:t>
      </w:r>
      <w:r>
        <w:rPr>
          <w:rStyle w:val="FootnoteReference"/>
          <w:noProof/>
        </w:rPr>
        <w:footnoteReference w:id="17"/>
      </w:r>
      <w:r>
        <w:rPr>
          <w:noProof/>
        </w:rPr>
        <w:t>, ključno je za olakšavanje prekograničnog kretanja, praćenja kontakata i liječenja.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S obzirom na zahtjev da se zemlje kandidatkinje za članstvo u EU-u i potencijalne zemlje kandidatkinje za članstvo u EU-u, kao i zemlje detaljnih i sveobuhvatnih područja slobodne trgovine (DCFTA), usklade s pravnom stečevinom EU-a te s obzirom na sudjelovanje nekih od tih zemalja u zajedničkoj javnoj nabavi EU-a za relevantne proizvode, ovaj prijedlog preporuke Vijeća mogao bi biti zanimljiv i tim zemljama.</w:t>
      </w:r>
    </w:p>
    <w:p>
      <w:pPr>
        <w:pStyle w:val="Formuledadoption"/>
        <w:rPr>
          <w:noProof/>
        </w:rPr>
      </w:pPr>
      <w:r>
        <w:rPr>
          <w:noProof/>
        </w:rPr>
        <w:t>DONIJELO JE OVU PREPORUKU:</w:t>
      </w:r>
    </w:p>
    <w:p>
      <w:pPr>
        <w:rPr>
          <w:b/>
          <w:noProof/>
        </w:rPr>
      </w:pPr>
      <w:r>
        <w:rPr>
          <w:b/>
          <w:noProof/>
        </w:rPr>
        <w:t xml:space="preserve">Upotreba brzih antigenskih testova </w:t>
      </w:r>
    </w:p>
    <w:p>
      <w:pPr>
        <w:rPr>
          <w:noProof/>
        </w:rPr>
      </w:pPr>
      <w:r>
        <w:rPr>
          <w:noProof/>
        </w:rPr>
        <w:t xml:space="preserve">Države članice trebale bi: </w:t>
      </w:r>
    </w:p>
    <w:p>
      <w:pPr>
        <w:pStyle w:val="Point1"/>
        <w:rPr>
          <w:noProof/>
        </w:rPr>
      </w:pPr>
      <w:r>
        <w:rPr>
          <w:noProof/>
        </w:rPr>
        <w:t>1.</w:t>
      </w:r>
      <w:r>
        <w:rPr>
          <w:noProof/>
        </w:rPr>
        <w:tab/>
        <w:t>primjenom brzih antigenskih testova nastaviti jačati ukupne testne kapacitete države, posebno zato što testiranje ostaje najvažniji oslonac za kontrolu i ublažavanje aktualne pandemije bolesti COVID-19, a ti testovi omogućuju odgovarajuće i brzo praćenje kontakata te provedbu brze i ciljane izolacije i karantenskih mjera.</w:t>
      </w:r>
    </w:p>
    <w:p>
      <w:pPr>
        <w:pStyle w:val="Point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razmotriti upotrebu brzih antigenskih testova prvenstveno u slučaju ograničenih kapaciteta za testiranje koje se temelji na umnažanju nukleinske kiseline (NAAT), posebno testovima RT-PCR, te ako se zbog dugog razdoblja čekanja rezultati ne pokažu klinički korisnima, što bi naštetilo brzom utvrđivanju zaraženih slučajeva i smanjilo učinak traženja kontakata. </w:t>
      </w:r>
    </w:p>
    <w:p>
      <w:pPr>
        <w:pStyle w:val="Point1"/>
        <w:rPr>
          <w:noProof/>
        </w:rPr>
      </w:pPr>
      <w:r>
        <w:rPr>
          <w:noProof/>
        </w:rPr>
        <w:lastRenderedPageBreak/>
        <w:t>3.</w:t>
      </w:r>
      <w:r>
        <w:rPr>
          <w:noProof/>
        </w:rPr>
        <w:tab/>
        <w:t xml:space="preserve">pobrinuti se da brzo antigensko testiranje provodi osposobljeno zdravstveno osoblje ili drugi osposobljeni subjekti ako je to potrebno i u skladu s nacionalnim specifikacijama, uz strogo pridržavanje uputa proizvođača te uz kontrolu kvalitete. </w:t>
      </w:r>
    </w:p>
    <w:p>
      <w:pPr>
        <w:pStyle w:val="Point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ulagati u osposobljavanje i, prema potrebi, certifikaciju zdravstvenog osoblja i drugih subjekata za uzorkovanje i testiranje, čime će osigurati i odgovarajuće kapacitete i kvalitetne uzorke. </w:t>
      </w:r>
    </w:p>
    <w:p>
      <w:pPr>
        <w:pStyle w:val="Point1"/>
        <w:rPr>
          <w:noProof/>
        </w:rPr>
      </w:pPr>
      <w:r>
        <w:rPr>
          <w:noProof/>
        </w:rPr>
        <w:t>5.</w:t>
      </w:r>
      <w:r>
        <w:rPr>
          <w:noProof/>
        </w:rPr>
        <w:tab/>
        <w:t>pobrinuti se da rezultati brzog antigenskog testiranja budu zabilježeni u odgovarajućim nacionalnim sustavima za prikupljanje podataka i izvješćivanje.</w:t>
      </w:r>
    </w:p>
    <w:p>
      <w:pPr>
        <w:pStyle w:val="Point1"/>
        <w:rPr>
          <w:noProof/>
        </w:rPr>
      </w:pPr>
      <w:r>
        <w:rPr>
          <w:noProof/>
        </w:rPr>
        <w:t>6.</w:t>
      </w:r>
      <w:r>
        <w:rPr>
          <w:noProof/>
        </w:rPr>
        <w:tab/>
        <w:t xml:space="preserve">razmotriti uporabu brzih antigenskih testova posebno u sljedećim situacijama i uvjetima: </w:t>
      </w:r>
    </w:p>
    <w:p>
      <w:pPr>
        <w:pStyle w:val="Point2"/>
        <w:rPr>
          <w:noProof/>
        </w:rPr>
      </w:pPr>
      <w:r>
        <w:t>(a)</w:t>
      </w:r>
      <w:r>
        <w:tab/>
      </w:r>
      <w:r>
        <w:rPr>
          <w:noProof/>
        </w:rPr>
        <w:t>dijagnoza bolesti COVID-19 među simptomatskim slučajevima, bez obzira na situaciju ili uvjete. Brze antigenske testove treba primijeniti u prvih 5 dana od pojave simptoma, kada je virusno opterećenje najveće. Pacijente primljene u bolnicu i stanare ustanova socijalne skrbi koji pokazuju simptome bolesti COVID-19 trebalo bi testirati po prijmu.</w:t>
      </w:r>
    </w:p>
    <w:p>
      <w:pPr>
        <w:pStyle w:val="Point2"/>
        <w:rPr>
          <w:noProof/>
        </w:rPr>
      </w:pPr>
      <w:r>
        <w:t>(b)</w:t>
      </w:r>
      <w:r>
        <w:tab/>
      </w:r>
      <w:r>
        <w:rPr>
          <w:noProof/>
        </w:rPr>
        <w:t xml:space="preserve">kontakti potvrđenih slučajeva: testiranje asimptomatskih kontakata brzim antigenskim testom treba obaviti što je prije moguće, u prvih 7 dana nakon kontakta, u skladu s važećim smjernicama. </w:t>
      </w:r>
    </w:p>
    <w:p>
      <w:pPr>
        <w:pStyle w:val="Point2"/>
        <w:rPr>
          <w:noProof/>
        </w:rPr>
      </w:pPr>
      <w:r>
        <w:t>(c)</w:t>
      </w:r>
      <w:r>
        <w:tab/>
      </w:r>
      <w:r>
        <w:rPr>
          <w:noProof/>
        </w:rPr>
        <w:t xml:space="preserve">utvrđena žarišta bolesti, radi ranog otkrivanja i izolacije slučajeva. U tom je kontekstu relevantno testiranje i simptomatskih i asimptomatskih slučajeva. </w:t>
      </w:r>
    </w:p>
    <w:p>
      <w:pPr>
        <w:pStyle w:val="Point2"/>
        <w:rPr>
          <w:noProof/>
        </w:rPr>
      </w:pPr>
      <w:r>
        <w:t>(d)</w:t>
      </w:r>
      <w:r>
        <w:tab/>
      </w:r>
      <w:r>
        <w:rPr>
          <w:noProof/>
        </w:rPr>
        <w:t>probir u visokorizičnim zatvorenim prostorima, kao što su bolnice, drugi objekti za zdravstvenu skrb, objekti za dugotrajnu skrb kao što su domovi umirovljenika i domovi za starije i nemoćne osobe ili ustanove za smještaj osoba s invaliditetom, škole, zatvori, centri za zadržavanje ili druga infrastruktura za prihvat tražitelja azila i migranata te za beskućnike. U slučaju ponavljanja testiranje treba provesti svaka 2 do 4 dana, a prvi pozitivni rezultat identificiran brzim antigenskim testiranjem treba potvrditi RT-PCR-om.</w:t>
      </w:r>
    </w:p>
    <w:p>
      <w:pPr>
        <w:pStyle w:val="Point2"/>
        <w:rPr>
          <w:noProof/>
        </w:rPr>
      </w:pPr>
      <w:r>
        <w:t>(e)</w:t>
      </w:r>
      <w:r>
        <w:tab/>
      </w:r>
      <w:r>
        <w:rPr>
          <w:noProof/>
        </w:rPr>
        <w:t xml:space="preserve">u epidemiološkim situacijama ili područjima u kojima je udio pozitivnih testova visok ili vrlo visok (npr. </w:t>
      </w:r>
      <w:r>
        <w:rPr>
          <w:noProof/>
          <w:u w:val="single"/>
        </w:rPr>
        <w:t>&gt;</w:t>
      </w:r>
      <w:r>
        <w:rPr>
          <w:noProof/>
        </w:rPr>
        <w:t xml:space="preserve"> 10 %), brzi antigenski testovi mogu se koristiti za probir cijele populacije, ako se pritom uvede i uzima u obzir odgovarajući program mjerenja učinka. Potrebno je ustanoviti točne testne intervale za ponavljanje. ECDC će države članice podupirati objavom ažurnih smjernica o testiranju na COVID-19, u kojima će se raspravljati o prednostima i izazovima testiranja cijele populacije te upotrebi brzih antigenskih testova u tom kontekstu. </w:t>
      </w:r>
    </w:p>
    <w:p>
      <w:pPr>
        <w:pStyle w:val="Point1"/>
        <w:rPr>
          <w:noProof/>
        </w:rPr>
      </w:pPr>
      <w:r>
        <w:rPr>
          <w:noProof/>
        </w:rPr>
        <w:t>7.</w:t>
      </w:r>
      <w:r>
        <w:rPr>
          <w:noProof/>
        </w:rPr>
        <w:tab/>
        <w:t xml:space="preserve">pobrinuti se za strategiju kojom se objašnjava kada je potrebno potvrdno testiranje RT-PCR-om ili ponovni brzi antigenski test kako je navedeno u Preporuci Komisije od 18. studenoga 2020., te za dostupnost dovoljnih kapaciteta za potvrdno testiranje. </w:t>
      </w:r>
    </w:p>
    <w:p>
      <w:pPr>
        <w:pStyle w:val="Point1"/>
        <w:rPr>
          <w:noProof/>
        </w:rPr>
      </w:pPr>
      <w:r>
        <w:rPr>
          <w:noProof/>
        </w:rPr>
        <w:t>8.</w:t>
      </w:r>
      <w:r>
        <w:rPr>
          <w:noProof/>
        </w:rPr>
        <w:tab/>
        <w:t xml:space="preserve">osigurati odgovarajuće biosigurnosne mjere, koje uključuju dostupnost dovoljne količine osobne zaštitne opreme za zdravstveno osoblje i druge obučene osobe koje sudjeluju u prikupljanju uzoraka, posebno ako se za </w:t>
      </w:r>
      <w:r>
        <w:rPr>
          <w:noProof/>
        </w:rPr>
        <w:lastRenderedPageBreak/>
        <w:t>testiranje na razini populacije upotrebljavaju brzi antigenski testovi i ako je broj uključenih subjekata koji provode testiranje velik.</w:t>
      </w:r>
    </w:p>
    <w:p>
      <w:pPr>
        <w:pStyle w:val="Point1"/>
        <w:rPr>
          <w:noProof/>
          <w:color w:val="000000"/>
          <w:shd w:val="clear" w:color="auto" w:fill="FFFFFF"/>
        </w:rPr>
      </w:pPr>
      <w:r>
        <w:rPr>
          <w:noProof/>
        </w:rPr>
        <w:t>9.</w:t>
      </w:r>
      <w:r>
        <w:rPr>
          <w:noProof/>
        </w:rPr>
        <w:tab/>
        <w:t xml:space="preserve">nastaviti pratiti razvoj drugih </w:t>
      </w:r>
      <w:r>
        <w:rPr>
          <w:noProof/>
          <w:color w:val="000000"/>
          <w:shd w:val="clear" w:color="auto" w:fill="FFFFFF"/>
        </w:rPr>
        <w:t>brzih testova na temelju nukleinske kiseline za otkrivanje infekcije virusom SARS-CoV-2</w:t>
      </w:r>
      <w:r>
        <w:rPr>
          <w:rStyle w:val="FootnoteReference"/>
          <w:noProof/>
          <w:color w:val="000000"/>
        </w:rPr>
        <w:footnoteReference w:id="18"/>
      </w:r>
      <w:r>
        <w:rPr>
          <w:noProof/>
          <w:color w:val="000000"/>
        </w:rPr>
        <w:t xml:space="preserve"> </w:t>
      </w:r>
      <w:r>
        <w:rPr>
          <w:noProof/>
          <w:color w:val="000000"/>
          <w:shd w:val="clear" w:color="auto" w:fill="FFFFFF"/>
        </w:rPr>
        <w:t xml:space="preserve">te uvođenje seroloških dijagnostičkih testova i multipleks tehnika. Ako je potrebno, prilagoditi tomu strategije testiranja i pristup upotrebi brzih antigenskih testova. Osim toga, trebalo bi uz potporu ECDC-a pozorno pratiti napredak prema mogućnosti samouzorkovanja za brzo antigensko testiranje, npr. radi rješavanja problema nedostatka kapaciteta za testiranje i resursa za uzorkovanje koje provode osposobljeni subjekti. </w:t>
      </w:r>
    </w:p>
    <w:p>
      <w:pPr>
        <w:pStyle w:val="Point1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10.</w:t>
      </w:r>
      <w:r>
        <w:rPr>
          <w:noProof/>
        </w:rPr>
        <w:tab/>
      </w:r>
      <w:r>
        <w:rPr>
          <w:noProof/>
          <w:color w:val="000000"/>
          <w:shd w:val="clear" w:color="auto" w:fill="FFFFFF"/>
        </w:rPr>
        <w:t>nastaviti pratiti i procjenjivati potrebe za testiranjem u skladu s epidemiološkim stanjem i ciljevima definiranima u nacionalnim, regionalnim i lokalnim strategijama testiranja te osigurati resurse i kapacitete u skladu s potrebama.</w:t>
      </w:r>
    </w:p>
    <w:p>
      <w:pPr>
        <w:rPr>
          <w:b/>
          <w:noProof/>
        </w:rPr>
      </w:pPr>
      <w:r>
        <w:rPr>
          <w:b/>
          <w:noProof/>
        </w:rPr>
        <w:t xml:space="preserve">Validacija i uzajamno priznavanje brzih antigenskih testova </w:t>
      </w:r>
    </w:p>
    <w:p>
      <w:pPr>
        <w:rPr>
          <w:noProof/>
        </w:rPr>
      </w:pPr>
      <w:r>
        <w:rPr>
          <w:noProof/>
        </w:rPr>
        <w:t>Države članice trebale bi:</w:t>
      </w:r>
    </w:p>
    <w:p>
      <w:pPr>
        <w:pStyle w:val="Point1"/>
        <w:rPr>
          <w:noProof/>
        </w:rPr>
      </w:pPr>
      <w:r>
        <w:rPr>
          <w:noProof/>
        </w:rPr>
        <w:t>11.</w:t>
      </w:r>
      <w:r>
        <w:rPr>
          <w:noProof/>
        </w:rPr>
        <w:tab/>
        <w:t>dogovoriti, održavati i s Komisijom dijeliti</w:t>
      </w:r>
      <w:r>
        <w:rPr>
          <w:rStyle w:val="FootnoteReference"/>
          <w:noProof/>
        </w:rPr>
        <w:footnoteReference w:id="19"/>
      </w:r>
      <w:r>
        <w:rPr>
          <w:noProof/>
        </w:rPr>
        <w:t xml:space="preserve"> zajednički ažurirani popis brzih antigenskih testova za COVID-19 koji se smatraju prikladnima za uporabu u kontekstu situacija opisanih u točci 6., u skladu su sa strategijama testiranja zemalja i: </w:t>
      </w:r>
    </w:p>
    <w:p>
      <w:pPr>
        <w:pStyle w:val="Point2"/>
        <w:rPr>
          <w:noProof/>
        </w:rPr>
      </w:pPr>
      <w:r>
        <w:t>(a)</w:t>
      </w:r>
      <w:r>
        <w:tab/>
      </w:r>
      <w:r>
        <w:rPr>
          <w:noProof/>
        </w:rPr>
        <w:t xml:space="preserve">nose oznaku CE; </w:t>
      </w:r>
    </w:p>
    <w:p>
      <w:pPr>
        <w:pStyle w:val="Point2"/>
        <w:rPr>
          <w:noProof/>
        </w:rPr>
      </w:pPr>
      <w:r>
        <w:t>(b)</w:t>
      </w:r>
      <w:r>
        <w:tab/>
      </w:r>
      <w:r>
        <w:rPr>
          <w:noProof/>
        </w:rPr>
        <w:t xml:space="preserve">ispunjavaju minimalne zahtjeve u pogledu osjetljivosti i specifičnosti kako su ih definirali Komisija i ECDC; </w:t>
      </w:r>
    </w:p>
    <w:p>
      <w:pPr>
        <w:pStyle w:val="Point2"/>
        <w:rPr>
          <w:noProof/>
        </w:rPr>
      </w:pPr>
      <w:r>
        <w:t>(c)</w:t>
      </w:r>
      <w:r>
        <w:tab/>
      </w:r>
      <w:r>
        <w:rPr>
          <w:noProof/>
        </w:rPr>
        <w:t xml:space="preserve">potvrdila ih je najmanje jedna država članica, koja je dostavila pojedinosti o metodologiji i rezultatima takvih studija, tj. koja je vrsta uzorka upotrijebljena za validaciju, pod kojim je uvjetima upotreba testa procijenjena, te je li bilo poteškoća u vezi s traženim kriterijima osjetljivosti ili drugim elementima učinkovitosti.  </w:t>
      </w:r>
    </w:p>
    <w:p>
      <w:pPr>
        <w:pStyle w:val="Point1"/>
        <w:rPr>
          <w:noProof/>
        </w:rPr>
      </w:pPr>
      <w:r>
        <w:rPr>
          <w:noProof/>
        </w:rPr>
        <w:t>12.</w:t>
      </w:r>
      <w:r>
        <w:rPr>
          <w:noProof/>
        </w:rPr>
        <w:tab/>
        <w:t xml:space="preserve">dogovoriti se o redovitom ažuriranju popisa brzih antigenskih testova iz točke 11., posebno stoga što će postati dostupni i novi rezultati neovisnih validacijskih studija, a na tržište će stići novi testovi. </w:t>
      </w:r>
    </w:p>
    <w:p>
      <w:pPr>
        <w:pStyle w:val="Point1"/>
        <w:rPr>
          <w:noProof/>
        </w:rPr>
      </w:pPr>
      <w:r>
        <w:rPr>
          <w:noProof/>
        </w:rPr>
        <w:t>13.</w:t>
      </w:r>
      <w:r>
        <w:rPr>
          <w:noProof/>
        </w:rPr>
        <w:tab/>
        <w:t>nastaviti ulagati u provedbu neovisnih validacijskih studija koje uzimaju u obzir konkretne situacije u kojima se brzi antigenski testovi upotrebljavaju, s ciljem usporedbe njihove učinkovitosti u odnosu na NAAT, a osobito RT-PCR testove. Države članice trebale bi se dogovoriti o okviru takvih validacijskih studija, npr. detaljnim opisom metoda koje će se koristiti te utvrđivanjem prioritetnih područja i uvjeta u kojima su validacijske studije potrebne. Takav bi okvir trebao ispunjavati zahtjeve opisane u tehničkim smjernicama ECDC-a o brzim antigenskim testovima</w:t>
      </w:r>
      <w:r>
        <w:rPr>
          <w:rStyle w:val="FootnoteReference"/>
          <w:noProof/>
        </w:rPr>
        <w:footnoteReference w:id="20"/>
      </w:r>
      <w:r>
        <w:rPr>
          <w:noProof/>
        </w:rPr>
        <w:t xml:space="preserve">. Kad god je to moguće, države članice trebale </w:t>
      </w:r>
      <w:r>
        <w:rPr>
          <w:noProof/>
        </w:rPr>
        <w:lastRenderedPageBreak/>
        <w:t>bi osigurati razmjenu kompletnih validacijskih podataka, uzimajući u obzir relevantno opće zakonodavstvo o zaštiti podataka.</w:t>
      </w:r>
    </w:p>
    <w:p>
      <w:pPr>
        <w:pStyle w:val="Point1"/>
        <w:rPr>
          <w:noProof/>
        </w:rPr>
      </w:pPr>
      <w:r>
        <w:rPr>
          <w:noProof/>
        </w:rPr>
        <w:t>14.</w:t>
      </w:r>
      <w:r>
        <w:rPr>
          <w:noProof/>
        </w:rPr>
        <w:tab/>
        <w:t>na razini EU-a nastaviti suradnju na procjeni dokaza prikupljenih primjenom brzih antigenskih testova u kliničkoj praksi, među ostalim u okviru Zajedničke akcije EUnetHTA</w:t>
      </w:r>
      <w:r>
        <w:rPr>
          <w:rStyle w:val="FootnoteReference"/>
          <w:noProof/>
        </w:rPr>
        <w:footnoteReference w:id="21"/>
      </w:r>
      <w:r>
        <w:rPr>
          <w:noProof/>
        </w:rPr>
        <w:t xml:space="preserve"> i drugih mogućih budućih mehanizama suradnje.</w:t>
      </w:r>
    </w:p>
    <w:p>
      <w:pPr>
        <w:pStyle w:val="Point1"/>
        <w:rPr>
          <w:noProof/>
        </w:rPr>
      </w:pPr>
      <w:r>
        <w:rPr>
          <w:noProof/>
        </w:rPr>
        <w:t>15.</w:t>
      </w:r>
      <w:r>
        <w:rPr>
          <w:noProof/>
        </w:rPr>
        <w:tab/>
        <w:t xml:space="preserve">postići dogovor na temelju informacija uvrštenih u zajednički popis iz točke 11. o onim brzim antigenskim testovima čije će rezultate uzajamno priznavati za javnozdravstvene mjere.  </w:t>
      </w:r>
    </w:p>
    <w:p>
      <w:pPr>
        <w:pStyle w:val="Point1"/>
        <w:rPr>
          <w:noProof/>
        </w:rPr>
      </w:pPr>
      <w:r>
        <w:rPr>
          <w:noProof/>
        </w:rPr>
        <w:t xml:space="preserve">16. </w:t>
      </w:r>
      <w:r>
        <w:rPr>
          <w:noProof/>
        </w:rPr>
        <w:tab/>
        <w:t xml:space="preserve">razmotriti, kad god se ažurira popis iz točke 11., treba li koji brzi antigenski test ukloniti ili dodati odabranim brzim antigenskim testovima čije rezultate međusobno priznaju.  </w:t>
      </w:r>
    </w:p>
    <w:p>
      <w:pPr>
        <w:pStyle w:val="Point1"/>
        <w:rPr>
          <w:noProof/>
        </w:rPr>
      </w:pPr>
      <w:r>
        <w:rPr>
          <w:noProof/>
        </w:rPr>
        <w:t>17.</w:t>
      </w:r>
      <w:r>
        <w:rPr>
          <w:noProof/>
        </w:rPr>
        <w:tab/>
        <w:t>istražiti potrebu i mogućnost uspostave digitalne platforme koja bi se mogla koristiti za provjeru autentičnosti potvrda o testiranju na COVID-19 te o zaključcima s tih rasprava obavijestiti Komisiju.</w:t>
      </w:r>
    </w:p>
    <w:p>
      <w:pPr>
        <w:pStyle w:val="Fait"/>
        <w:rPr>
          <w:noProof/>
        </w:rPr>
      </w:pPr>
      <w:r>
        <w:t>Sastavljeno u Bruxellesu</w:t>
      </w:r>
    </w:p>
    <w:p>
      <w:pPr>
        <w:pStyle w:val="Institutionquisigne"/>
        <w:rPr>
          <w:noProof/>
        </w:rPr>
      </w:pPr>
      <w:r>
        <w:rPr>
          <w:noProof/>
        </w:rPr>
        <w:tab/>
        <w:t>Za Vijeće</w:t>
      </w:r>
    </w:p>
    <w:p>
      <w:pPr>
        <w:pStyle w:val="Personnequisigne"/>
        <w:rPr>
          <w:noProof/>
        </w:rPr>
      </w:pPr>
      <w:r>
        <w:rPr>
          <w:noProof/>
        </w:rPr>
        <w:tab/>
        <w:t>Predsjednik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https://eur-lex.europa.eu/legal-content/HR/TXT/?uri=CELEX%3A52020DC0318&amp;qid=1603899755406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https://eur-lex.europa.eu/legal-content/EN/TXT/?uri=CELEX%3A52020XC0415%2804%29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https://ec.europa.eu/health/sites/health/files/preparedness_response/docs/common_testingapproach_covid-19_en.pdf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https://eur-lex.europa.eu/legal-content/HR/TXT/?uri=CELEX%3A32020H1595&amp;qid=1607002103669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https://eur-lex.europa.eu/legal-content/HR/TXT/?uri=CELEX:32020H1743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https://www.ecdc.europa.eu/en/publications-data/options-use-rapid-antigen-tests-covid-19-eueea-and-uk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 xml:space="preserve">COREPER II, 2. prosinca 2020., sastanak br. 290522. 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" w:history="1">
        <w:r>
          <w:rPr>
            <w:rStyle w:val="Hyperlink"/>
          </w:rPr>
          <w:t>https://data.consilium.europa.eu/doc/document/ST-13551-2020-REV-1/en/pdf</w:t>
        </w:r>
      </w:hyperlink>
      <w:r>
        <w:t xml:space="preserve"> 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 xml:space="preserve">https://www.consilium.europa.eu/en/meetings/european-council/2020/12/10-11/ 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2" w:history="1">
        <w:r>
          <w:rPr>
            <w:rStyle w:val="Hyperlink"/>
          </w:rPr>
          <w:t>https://eur-lex.europa.eu/legal-content/EN/TXT/PDF/?uri=CELEX:12012E/TXT&amp;from=EN</w:t>
        </w:r>
      </w:hyperlink>
      <w:r>
        <w:t xml:space="preserve"> 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3" w:history="1">
        <w:r>
          <w:rPr>
            <w:rStyle w:val="Hyperlink"/>
          </w:rPr>
          <w:t>https://eur-lex.europa.eu/legal-content/EN/TXT/?uri=CELEX%3A52020XC0415%2804%29</w:t>
        </w:r>
      </w:hyperlink>
      <w:r>
        <w:t xml:space="preserve"> 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4" w:history="1">
        <w:r>
          <w:rPr>
            <w:rStyle w:val="Hyperlink"/>
          </w:rPr>
          <w:t>https://eur-lex.europa.eu/legal-content/EN/TXT/?uri=CELEX:52020DC0318</w:t>
        </w:r>
      </w:hyperlink>
      <w:r>
        <w:t xml:space="preserve"> 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5" w:history="1">
        <w:r>
          <w:rPr>
            <w:rStyle w:val="Hyperlink"/>
          </w:rPr>
          <w:t>https://eur-lex.europa.eu/legal-content/EN/TXT/?uri=CELEX:32020H1595</w:t>
        </w:r>
      </w:hyperlink>
      <w:r>
        <w:t xml:space="preserve"> 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6" w:history="1">
        <w:r>
          <w:rPr>
            <w:rStyle w:val="Hyperlink"/>
          </w:rPr>
          <w:t>https://eur-lex.europa.eu/legal-content/EN/TXT/?uri=CELEX:32020H1743</w:t>
        </w:r>
      </w:hyperlink>
      <w:r>
        <w:t xml:space="preserve"> 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 xml:space="preserve">SL L 331, 7.12.1998. str. 1.–37. 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 xml:space="preserve">SL L 117, 5.5.2017., str. 176. U toj je uredbi propisano prijelazno razdoblje koje je počelo na dan njezina stupanja na snagu (svibanj 2017.), a tijekom kojega se usklađenost </w:t>
      </w:r>
      <w:r>
        <w:rPr>
          <w:i/>
          <w:iCs/>
        </w:rPr>
        <w:t>in vitro</w:t>
      </w:r>
      <w:r>
        <w:t xml:space="preserve"> dijagnostičkih medicinskih proizvoda može ocjenjivati prema Uredbi ili prema Direktivi 98/79/EZ.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SL L 337, 14.10.2020., str. 3.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>Na primjer: RT-LAMP (reverse transcription loop-mediated isothermal amplification – petljom posredovano izotermalno umnažanje uz prethodnu reverznu transkripciju), TMA (Transcription Mediated Amplification – transkripcijom posredovano umnažanje) i CRISPR (clustered regularly interspaced short palindromic repeats – grupirana kratka palindromska ponavljanja s pravilnim razmacima).</w:t>
      </w:r>
    </w:p>
  </w:footnote>
  <w:footnote w:id="19">
    <w:p>
      <w:pPr>
        <w:pStyle w:val="CommentText"/>
      </w:pPr>
      <w:r>
        <w:rPr>
          <w:rStyle w:val="FootnoteReference"/>
        </w:rPr>
        <w:footnoteRef/>
      </w:r>
      <w:r>
        <w:tab/>
        <w:t xml:space="preserve">Baza podataka Komisije: </w:t>
      </w:r>
      <w:hyperlink r:id="rId7" w:history="1">
        <w:r>
          <w:rPr>
            <w:rStyle w:val="Hyperlink"/>
          </w:rPr>
          <w:t>https://covid-19-diagnostics.jrc.ec.europa.eu/</w:t>
        </w:r>
      </w:hyperlink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ab/>
        <w:t xml:space="preserve">Mogućnosti upotrebe brzih antigenskih testova za COVID-19 u EU-u/EGP-u i Ujedinjenoj Kraljevini. Stockholm, 19. studenoga 2020. ECDC: Stockholm; 2020.: </w:t>
      </w:r>
      <w:hyperlink r:id="rId8" w:history="1">
        <w:r>
          <w:rPr>
            <w:rStyle w:val="Hyperlink"/>
          </w:rPr>
          <w:t>https://www.ecdc.europa.eu/en/publications-data/options-use-rapid-antigen-tests-covid-19-eueea-and-uk</w:t>
        </w:r>
      </w:hyperlink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ab/>
        <w:t>https://eunethta.eu/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058AE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38E19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5EE1D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8923E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FF0125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16C8C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A308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09CB1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1"/>
    <w:lvlOverride w:ilvl="0">
      <w:startOverride w:val="1"/>
    </w:lvlOverride>
  </w:num>
  <w:num w:numId="9">
    <w:abstractNumId w:val="6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20"/>
  </w:num>
  <w:num w:numId="16">
    <w:abstractNumId w:val="11"/>
  </w:num>
  <w:num w:numId="17">
    <w:abstractNumId w:val="13"/>
  </w:num>
  <w:num w:numId="18">
    <w:abstractNumId w:val="9"/>
  </w:num>
  <w:num w:numId="19">
    <w:abstractNumId w:val="19"/>
  </w:num>
  <w:num w:numId="20">
    <w:abstractNumId w:val="8"/>
  </w:num>
  <w:num w:numId="21">
    <w:abstractNumId w:val="14"/>
  </w:num>
  <w:num w:numId="22">
    <w:abstractNumId w:val="16"/>
  </w:num>
  <w:num w:numId="23">
    <w:abstractNumId w:val="17"/>
  </w:num>
  <w:num w:numId="24">
    <w:abstractNumId w:val="10"/>
  </w:num>
  <w:num w:numId="25">
    <w:abstractNumId w:val="15"/>
  </w:num>
  <w:num w:numId="26">
    <w:abstractNumId w:val="21"/>
  </w:num>
  <w:num w:numId="27">
    <w:abstractNumId w:val="18"/>
  </w:num>
  <w:num w:numId="28">
    <w:abstractNumId w:val="12"/>
  </w:num>
  <w:num w:numId="29">
    <w:abstractNumId w:val="20"/>
  </w:num>
  <w:num w:numId="30">
    <w:abstractNumId w:val="11"/>
  </w:num>
  <w:num w:numId="31">
    <w:abstractNumId w:val="13"/>
  </w:num>
  <w:num w:numId="32">
    <w:abstractNumId w:val="9"/>
  </w:num>
  <w:num w:numId="33">
    <w:abstractNumId w:val="19"/>
  </w:num>
  <w:num w:numId="34">
    <w:abstractNumId w:val="8"/>
  </w:num>
  <w:num w:numId="35">
    <w:abstractNumId w:val="14"/>
  </w:num>
  <w:num w:numId="36">
    <w:abstractNumId w:val="16"/>
  </w:num>
  <w:num w:numId="37">
    <w:abstractNumId w:val="17"/>
  </w:num>
  <w:num w:numId="38">
    <w:abstractNumId w:val="10"/>
  </w:num>
  <w:num w:numId="39">
    <w:abstractNumId w:val="15"/>
  </w:num>
  <w:num w:numId="40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1-05 10:38:0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6E3BC154-C2E7-4854-A990-C731D791A3EE"/>
    <w:docVar w:name="LW_COVERPAGE_TYPE" w:val="1"/>
    <w:docVar w:name="LW_CROSSREFERENCE" w:val="&lt;UNUSED&gt;"/>
    <w:docVar w:name="LW_DocType" w:val="COM"/>
    <w:docVar w:name="LW_EMISSION" w:val="18.12.2020."/>
    <w:docVar w:name="LW_EMISSION_ISODATE" w:val="2020-12-18"/>
    <w:docVar w:name="LW_EMISSION_LOCATION" w:val="BRX"/>
    <w:docVar w:name="LW_EMISSION_PREFIX" w:val="Bruxelles, "/>
    <w:docVar w:name="LW_EMISSION_SUFFIX" w:val=" "/>
    <w:docVar w:name="LW_ID_DOCMODEL" w:val="SJ-022"/>
    <w:docVar w:name="LW_ID_DOCSIGNATURE" w:val="SJ-022"/>
    <w:docVar w:name="LW_ID_DOCSTRUCTURE" w:val="COM/PL/ORG"/>
    <w:docVar w:name="LW_ID_DOCTYPE" w:val="SJ-022"/>
    <w:docVar w:name="LW_ID_EXP.MOTIFS.NEW" w:val="EM_PL_"/>
    <w:docVar w:name="LW_ID_STATUT" w:val="SJ-022"/>
    <w:docVar w:name="LW_INTERETEEE.CP" w:val="&lt;UNUSED&gt;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377"/>
    <w:docVar w:name="LW_REF.II.NEW.CP_YEAR" w:val="2020"/>
    <w:docVar w:name="LW_REF.INST.NEW" w:val="COM"/>
    <w:docVar w:name="LW_REF.INST.NEW_ADOPTED" w:val="final"/>
    <w:docVar w:name="LW_REF.INST.NEW_TEXT" w:val="(2020) 84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ijedlog"/>
    <w:docVar w:name="LW_SUPERTITRE" w:val="&lt;UNUSED&gt;"/>
    <w:docVar w:name="LW_TITRE.OBJ.CP" w:val="o zajedni\u269?kom okviru za upotrebu, validiranje i uzajamno priznavanje brzih antigenskih testova za COVID-19 u EU-u"/>
    <w:docVar w:name="LW_TYPE.DOC.CP" w:val="PREPORUKE VIJE\u262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customStyle="1" w:styleId="EC-Para">
    <w:name w:val="EC-Para"/>
    <w:basedOn w:val="Normal"/>
    <w:pPr>
      <w:autoSpaceDE w:val="0"/>
      <w:autoSpaceDN w:val="0"/>
      <w:spacing w:before="0" w:after="60" w:line="200" w:lineRule="atLeast"/>
      <w:jc w:val="left"/>
    </w:pPr>
    <w:rPr>
      <w:rFonts w:ascii="Tahoma" w:hAnsi="Tahoma" w:cs="Tahoma"/>
      <w:color w:val="000000"/>
      <w:sz w:val="22"/>
      <w:lang w:eastAsia="ko-KR"/>
    </w:rPr>
  </w:style>
  <w:style w:type="character" w:customStyle="1" w:styleId="italic">
    <w:name w:val="italic"/>
    <w:basedOn w:val="DefaultParagraphFont"/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fr-B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hrase">
    <w:name w:val="phrase"/>
    <w:basedOn w:val="DefaultParagraphFont"/>
  </w:style>
  <w:style w:type="character" w:customStyle="1" w:styleId="word">
    <w:name w:val="word"/>
    <w:basedOn w:val="DefaultParagraphFont"/>
  </w:style>
  <w:style w:type="paragraph" w:customStyle="1" w:styleId="mt-translation">
    <w:name w:val="mt-translation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de-D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customStyle="1" w:styleId="EC-Para">
    <w:name w:val="EC-Para"/>
    <w:basedOn w:val="Normal"/>
    <w:pPr>
      <w:autoSpaceDE w:val="0"/>
      <w:autoSpaceDN w:val="0"/>
      <w:spacing w:before="0" w:after="60" w:line="200" w:lineRule="atLeast"/>
      <w:jc w:val="left"/>
    </w:pPr>
    <w:rPr>
      <w:rFonts w:ascii="Tahoma" w:hAnsi="Tahoma" w:cs="Tahoma"/>
      <w:color w:val="000000"/>
      <w:sz w:val="22"/>
      <w:lang w:eastAsia="ko-KR"/>
    </w:rPr>
  </w:style>
  <w:style w:type="character" w:customStyle="1" w:styleId="italic">
    <w:name w:val="italic"/>
    <w:basedOn w:val="DefaultParagraphFont"/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fr-B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hrase">
    <w:name w:val="phrase"/>
    <w:basedOn w:val="DefaultParagraphFont"/>
  </w:style>
  <w:style w:type="character" w:customStyle="1" w:styleId="word">
    <w:name w:val="word"/>
    <w:basedOn w:val="DefaultParagraphFont"/>
  </w:style>
  <w:style w:type="paragraph" w:customStyle="1" w:styleId="mt-translation">
    <w:name w:val="mt-translation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de-D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dc.europa.eu/en/publications-data/options-use-rapid-antigen-tests-covid-19-eueea-and-uk" TargetMode="External"/><Relationship Id="rId3" Type="http://schemas.openxmlformats.org/officeDocument/2006/relationships/hyperlink" Target="https://eur-lex.europa.eu/legal-content/HR/TXT/?uri=CELEX:52020XC0415(04)" TargetMode="External"/><Relationship Id="rId7" Type="http://schemas.openxmlformats.org/officeDocument/2006/relationships/hyperlink" Target="https://covid-19-diagnostics.jrc.ec.europa.eu/" TargetMode="External"/><Relationship Id="rId2" Type="http://schemas.openxmlformats.org/officeDocument/2006/relationships/hyperlink" Target="https://eur-lex.europa.eu/legal-content/HR/TXT/PDF/?uri=OJ:C:2016:202:FULL&amp;from=EN" TargetMode="External"/><Relationship Id="rId1" Type="http://schemas.openxmlformats.org/officeDocument/2006/relationships/hyperlink" Target="https://data.consilium.europa.eu/doc/document/ST-13551-2020-REV-1/hr/pdf" TargetMode="External"/><Relationship Id="rId6" Type="http://schemas.openxmlformats.org/officeDocument/2006/relationships/hyperlink" Target="https://eur-lex.europa.eu/legal-content/HR/TXT/?uri=CELEX:32020H1743" TargetMode="External"/><Relationship Id="rId5" Type="http://schemas.openxmlformats.org/officeDocument/2006/relationships/hyperlink" Target="https://eur-lex.europa.eu/legal-content/hr/TXT/?uri=CELEX:32020H1595" TargetMode="External"/><Relationship Id="rId4" Type="http://schemas.openxmlformats.org/officeDocument/2006/relationships/hyperlink" Target="https://eur-lex.europa.eu/legal-content/HR/TXT/?uri=CELEX:52020DC03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D7A288F-590E-441A-A14C-4DDA05C6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9</Pages>
  <Words>2456</Words>
  <Characters>15279</Characters>
  <Application>Microsoft Office Word</Application>
  <DocSecurity>0</DocSecurity>
  <Lines>268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cp:lastPrinted>2020-12-03T09:54:00Z</cp:lastPrinted>
  <dcterms:created xsi:type="dcterms:W3CDTF">2020-12-21T13:40:00Z</dcterms:created>
  <dcterms:modified xsi:type="dcterms:W3CDTF">2021-01-05T09:38:00Z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SJ-022</vt:lpwstr>
  </property>
  <property fmtid="{D5CDD505-2E9C-101B-9397-08002B2CF9AE}" pid="10" name="DQCStatus">
    <vt:lpwstr>Green (DQC version 03)</vt:lpwstr>
  </property>
</Properties>
</file>