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D0FF89E-CBBB-4F78-B12D-77552BE79D23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fil-laqgħat tal-Kunsill u l-Assemblea tal-Awtorità Internazzjonali ta’ Qiegħ il-Baħar b’konnessjoni mal-adozzjoni u mal-implimentazzjoni previsti ta’ regolamenti dwar l-isfruttament tar-riżorsi minerali fiż-Żona (ISBA/25/C/WP.1) u l-istandards u l-linji gwida relatati.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L-abbozzi ta’ regolamenti dwar l-isfruttament tar-riżorsi minerali fiż-Żona</w:t>
      </w:r>
    </w:p>
    <w:p>
      <w:pPr>
        <w:rPr>
          <w:noProof/>
        </w:rPr>
      </w:pPr>
      <w:r>
        <w:rPr>
          <w:noProof/>
        </w:rPr>
        <w:t>L-abbozzi ta’ regolamenti dwar l-isfruttament tar-riżorsi minerali fiż-Żona</w:t>
      </w:r>
      <w:r>
        <w:t xml:space="preserve"> </w:t>
      </w:r>
      <w:r>
        <w:rPr>
          <w:noProof/>
        </w:rPr>
        <w:t>(“ir-Regolamenti”) għandhom l-għan li jippermettu lill-kuntratturi jiċċaqilqu mill-esplorazzjoni tar-riżorsi minerali fiż-Żona għall-isfruttament ta’ dawk ir-riżorsi. L-abbozzi ta’ regolamenti mħejjija mill-Kummissjoni Legali u Teknika tal-Awtorità Internazzjonali ta’ Qiegħ il-Baħar ġew iċċirkolati f’Marzu 2019 u bħalissa qed jiġu nnegozjati mill-Kunsill tal-Awtorità Internazzjonali ta’ Qiegħ il-Baħar. Ir-regolamenti huma abbozzati f’konformità mal-Parti XI tal-Konvenzjoni tan-Nazzjonijiet Uniti dwar il-Liġi tal-Baħar (UNCLOS) u l-ftehim relatat mal-implimentazzjoni tal-Parti XI tal-UNCLOS. L-abbozzi ta’ regolamenti jesiġu li ċerti kwistjonijiet jiġu indirizzati f’konformità mal-istandards u l-linji gwida li għandhom jiġu żviluppati mill-organi tal-Awtorità Internazzjonali ta’ Qiegħ il-Baħar, jew b'kont meħud tagħhom. L-istandards se jkunu legalment vinkolanti fuq il-Kuntratturi u l-Awtorità Internazzjonali ta’ Qiegħ il-Baħar, filwaqt li l-linji gwida se jkunu ta’ natura rakkomandatorja. L-Unjoni Ewropea hija parti għall-UNCLOS.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 Skont l-Artikolu 2 tad-Deċiżjoni tal-Kunsill 98/392/KE tat-23 ta’ Marzu 1998, l-Unjoni u l-Istati Membri tagħha għandhom jikkoordinaw il-pożizzjonijiet li jadottaw fil-korpi tal-Awtorità Internazzjonali dwar Qiegħ il-Baħar b’mod konformi mal-proċedura preskritta fl-Anness III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rPr>
          <w:rFonts w:eastAsia="Arial Unicode MS"/>
          <w:noProof/>
        </w:rPr>
      </w:pP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Il-laqgħat tal-Kunsill tal-Awtorità Internazzjonali ta’ Qiegħ il-Baħar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Il-Kunsill huwa l-organu eżekuttiv tal-Awtorità Internazzjonali ta’ Qiegħ il-Baħar. Huwa fi ħdan il-Kunsill tal-Awtorità Internazzjonali ta’ Qiegħ il-Baħar li r-regolamenti qed jiġu nnegozjati u sussegwentement se jiġu adottati qabel ma jiġu ppreżentati lill-Assemblea tal-Awtorità Internazzjonali ta’ Qiegħ il-Baħar, l-organu suprem u politiku magħmul minn 167 membru u l-Unjoni Ewropea, biex jagħti l-approvazzjoni finali tiegħu. Il-Kunsill tal-Awtorità Internazzjonali ta’ Qiegħ il-Baħar se japplika r-regolamenti b’mod provviżorju, sakemm jiġu approvati mill-Assemblea. Bħala parti għall-UNCLOS, l-UE hija awtomatikament membru tal-Assemblea tal-Awtorità Internazzjonali ta’ Qiegħ il-Baħar u osservatur fil-Kunsill tal-Awtorità Internazzjonali ta’ Qiegħ il-Baħar, li huwa magħmul minn 36 membru eletti mill-Assemblea. Bħala regola ġenerali, jenħtieġ li t-teħid tad-deċiżjonijiet fil-Kunsill tal-Awtorità Internazzjonali ta’ Qiegħ il-Baħar isir b’kunsens. Jekk l-isforzi kollha </w:t>
      </w:r>
      <w:r>
        <w:rPr>
          <w:noProof/>
        </w:rPr>
        <w:lastRenderedPageBreak/>
        <w:t xml:space="preserve">biex tintlaħaq deċiżjoni b’kunsens ikunu ġew eżawriti, id-deċiżjonijiet dwar kwistjonijiet ta’ proċedura għandhom jittieħdu b’maġġoranza tal-membri preżenti u li jivvotaw, u d-deċiżjonijiet dwar kwistjonijiet ta’ sustanza għandhom jittieħdu b’maġġoranza ta’ żewġ terzi tal-membri preżenti u li jivvotaw. Bħala osservatur fil-Kunsill tal-Awtorità Internazzjonali ta’ Qiegħ il-Baħar, l-UE ma għandha l-ebda dritt tal-vot. Madankollu, l-UE għandha drittijiet tal-parteċipazzjoni u tal-vot fl-Assemblea tal-Awtorità Internazzjonali ta’ Qiegħ il-Baħar.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L-adozzjoni provviżorja prevista ta’ regolamenti mill-Kunsill tal-Awtorità Internazzjonali ta’ Qiegħ il-Baħar</w:t>
      </w:r>
    </w:p>
    <w:p>
      <w:pPr>
        <w:rPr>
          <w:rFonts w:eastAsia="Arial Unicode MS"/>
          <w:noProof/>
        </w:rPr>
      </w:pPr>
      <w:r>
        <w:rPr>
          <w:noProof/>
        </w:rPr>
        <w:t>L-ewwel abbozz tar-regolamenti ġie ppreżentat fit-23 sessjoni tal-Kunsill tal-Awtorità Internazzjonali ta’ Qiegħ il-Baħar f’Awwissu 2017. Il-Kummissjoni Legali u Teknika tal-Awtorità Internazzjonali ta’ Qiegħ il-Baħar, kif ukoll il-Kunsill qablu fuq skeda li għandha l-għan li tikkonkludi n-negozjati tar-regolamenti sal-2020, madankollu, minħabba l-pandemija tal-covid-19, is-26 sessjoni tal-Kunsill ippjanata għal Lulju 2020 ġiet posposta sakemm joħroġ avviż ieħor</w:t>
      </w:r>
    </w:p>
    <w:p>
      <w:pPr>
        <w:rPr>
          <w:noProof/>
        </w:rPr>
      </w:pPr>
      <w:r>
        <w:rPr>
          <w:noProof/>
        </w:rPr>
        <w:t xml:space="preserve">Ir-regolamenti previsti se jkunu legalment vinkolanti fuq il-partijiet f’konformità mal-UNCLOS u mal-Ftehim tal-1994 rigward l-implimentazzjoni tal-Parti XI tal-UNCLOS. </w:t>
      </w:r>
    </w:p>
    <w:p>
      <w:pPr>
        <w:rPr>
          <w:b/>
          <w:noProof/>
        </w:rPr>
      </w:pPr>
      <w:r>
        <w:rPr>
          <w:b/>
          <w:noProof/>
        </w:rPr>
        <w:t xml:space="preserve">2.4 </w:t>
      </w:r>
      <w:r>
        <w:rPr>
          <w:noProof/>
        </w:rPr>
        <w:tab/>
      </w:r>
      <w:r>
        <w:rPr>
          <w:b/>
          <w:noProof/>
        </w:rPr>
        <w:t>L-approvazzjoni prevista tar-regolamenti mill-Assemblea tal- Awtorità Internazzjonali ta’ Qiegħ il-Baħar</w:t>
      </w:r>
    </w:p>
    <w:p>
      <w:pPr>
        <w:rPr>
          <w:noProof/>
        </w:rPr>
      </w:pPr>
      <w:r>
        <w:rPr>
          <w:noProof/>
        </w:rPr>
        <w:t xml:space="preserve">Ladarba l-Kunsill tal-Awtorità Internazzjonali ta’ Qiegħ il-Baħar jiffinalizza n-negozjati tar-regolamenti u jkun jista’ jadottahom b’mod provviżorju, ir-regolamenti jiġu ppreżentati lill-Assemblea tal-Awtorità Internazzjonali ta’ Qiegħ il-Baħar għall-kunsiderazzjoni tagħha u għall-approvazzjoni finali.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b/>
          <w:bCs/>
          <w:smallCaps/>
          <w:noProof/>
        </w:rPr>
      </w:pPr>
      <w:r>
        <w:rPr>
          <w:noProof/>
        </w:rPr>
        <w:t xml:space="preserve">Ir-regolamenti previsti jikkonċernaw ukoll kwistjonijiet sostantivi li għalihom l-Unjoni għandha kompetenza esterna bis-saħħa tal-Artikolu 3(2) tat-TFUE. </w:t>
      </w:r>
    </w:p>
    <w:p>
      <w:pPr>
        <w:rPr>
          <w:b/>
          <w:bCs/>
          <w:smallCaps/>
          <w:noProof/>
        </w:rPr>
      </w:pPr>
      <w:r>
        <w:rPr>
          <w:noProof/>
        </w:rPr>
        <w:t>B’mod partikolari, l-UE għandha kompetenza fuq il-partijiet tar-regolamenti li jittrattaw il-protezzjoni tal-ambjent tal-baħar. Skont l-istruttura tal-Artikolu 3(2) tat-TFUE, fuq bażi ta’ każ b’każ, l-UE għandha kompetenza esterna. L-ewwel nett, minħabba li d-dispożizzjonijiet tal-UNCLOS relatati mal-ambjent tal-baħar huma previsti fl-att leġiżlattiv li jikkonkludi l-UNCLOS f’isem l-Unjoni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>. It-tieni, minħabba li hija meħtieġa azzjoni tal-Unjoni dwar ir-regolamenti sabiex l-Unjoni tkun tista’ teżerċita l-kompetenza interna tagħha, bħal fil-każ ta’ kompetenza ambjentali miksuba. Fl-aħħar nett, l-UE għandha kompetenza esterna billi xi dispożizzjonijiet tar-regolamenti jistgħu jaffettwaw ir-regoli komuni jew ibiddlu l-kamp ta’ applikazzjoni tagħhom. Hawnhekk, l-</w:t>
      </w:r>
      <w:r>
        <w:rPr>
          <w:i/>
          <w:iCs/>
          <w:noProof/>
        </w:rPr>
        <w:t>acquis</w:t>
      </w:r>
      <w:r>
        <w:rPr>
          <w:noProof/>
        </w:rPr>
        <w:t xml:space="preserve"> tal-UE (b’mod partikolari b’rabta mal-leġiżlazzjoni sekondarja tal-UE fil-qasam tal-ambjent u ma’ ftehimiet internazzjonali oħrajn li għalihom l-UE hija parti sħiħa) huwa kopert jew jista’ jiġi affettwat minn partijiet tal-abbozzi ta’ regolamenti (jew tal-istandards u l-linji gwida relatati), li jagħtu lill-UE l-kompetenza fuq dawk il-partijiet speċifiċi, li wħud minnhom huma esklussivi.</w:t>
      </w:r>
    </w:p>
    <w:p>
      <w:pPr>
        <w:rPr>
          <w:b/>
          <w:bCs/>
          <w:smallCaps/>
          <w:noProof/>
        </w:rPr>
      </w:pPr>
      <w:r>
        <w:rPr>
          <w:noProof/>
        </w:rPr>
        <w:t xml:space="preserve">Bħala konsegwenza, l-UE hija intitolata li tieħu pożizzjoni fl-Awtorità Internazzjonali ta’ Qiegħ il-Baħar fir-rigward tal-partijiet rilevanti tar-regolamenti li huma ppreżentati f’din id-dikjarazzjoni, u l-istandards u l-linji gwida relatati. Barra minn hekk, il-prinċipju ta’ kooperazzjoni leali jesiġi li l-Istati Membri jaġixxu b’ċertu mod fil-proċedimenti tal-Awtorità Internazzjonali ta’ Qiegħ il-Baħar.  </w:t>
      </w:r>
    </w:p>
    <w:p>
      <w:pPr>
        <w:rPr>
          <w:b/>
          <w:bCs/>
          <w:smallCaps/>
          <w:noProof/>
        </w:rPr>
      </w:pPr>
      <w:r>
        <w:rPr>
          <w:noProof/>
        </w:rPr>
        <w:lastRenderedPageBreak/>
        <w:t>Huwa propost li l-pożizzjoni li għandha tiġi adottata f’isem l-Unjoni fil-laqgħat tal-Kunsill u l-Assemblea tal-Awtorità Internazzjonali ta’ Qiegħ il-Baħar tiġi stabbilita skont approċċ fuq żewġ livelli. Id-Deċiżjoni tal-Kunsill se tistabbilixxi l-prinċipji ta’ gwida u l-orjentazzjonijiet tal-pożizzjoni tal-Unjoni, u sussegwentement tiġi aġġustata għal kull laqgħa permezz ta’ dokumenti informali mħejjija mill-Kummissjoni u li għandhom jiġu diskussi fil-Grupp ta’ Ħidma tal-Kunsill.</w:t>
      </w:r>
    </w:p>
    <w:p>
      <w:pPr>
        <w:pStyle w:val="Text1"/>
        <w:ind w:left="0"/>
        <w:rPr>
          <w:noProof/>
        </w:rPr>
      </w:pPr>
      <w:r>
        <w:rPr>
          <w:noProof/>
        </w:rPr>
        <w:t>Id-deċiżjoni preżenti tinkorpora l-prinċipji tal-UNCLOS u l-objettivi tal-Patt Ekoloġiku Ewropew</w:t>
      </w:r>
      <w:r>
        <w:rPr>
          <w:rStyle w:val="FootnoteReference"/>
          <w:noProof/>
        </w:rPr>
        <w:footnoteReference w:id="4"/>
      </w:r>
      <w:r>
        <w:rPr>
          <w:noProof/>
        </w:rPr>
        <w:t>, l-Istrateġija għall-Bijodiversità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kif mitlub mill-Konklużjonijiet tal-Kunsill dwar it-Tħejjija tal-qafas globali għall-bijodiversità wara l-2020 tal-Konvenzjoni dwar id-Diversità Bijoloġika (KDB)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rPr>
          <w:noProof/>
        </w:rPr>
      </w:pPr>
      <w:r>
        <w:t xml:space="preserve"> </w:t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3.1.1.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</w:t>
      </w:r>
      <w:r>
        <w:rPr>
          <w:i/>
          <w:noProof/>
        </w:rPr>
        <w:t>il-pożizzjonijiet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skont ir-regoli tad-dritt internazzjonali li jirregola s-sede kkonċernata. Dan jinkludi wkoll l-istrumenti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mil-leġiżlatura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rPr>
          <w:noProof/>
        </w:rPr>
      </w:pPr>
    </w:p>
    <w:p>
      <w:pPr>
        <w:pStyle w:val="ManualHeading3"/>
        <w:rPr>
          <w:noProof/>
        </w:rPr>
      </w:pPr>
      <w:r>
        <w:t>3.1.2.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 xml:space="preserve">Il-Kunsill u l-Assemblea tal-Awtorità Internazzjonali ta’ Qiegħ il-Baħar huma tnejn mit-tliet organi prinċipali tal-Awtorità stabbiliti mill-Artikolu 158 tal-UNCLOS. </w:t>
      </w:r>
    </w:p>
    <w:p>
      <w:r>
        <w:rPr>
          <w:noProof/>
        </w:rPr>
        <w:t>Ir-regolamenti, li l-Kunsill tal-Awtorità Internazzjonali ta’ Qiegħ il-Baħar huwa mitlub jadotta fuq bażi provviżorja, jikkostitwixxu att li jkollu effetti legali. L-approvazzjoni finali tar-regolamenti mill-Assemblea tal-Awtorità Internazzjonali ta’ Qiegħ il-Baħar tikkostitwixxi wkoll att li jkollu effetti legali. L-atti previsti se jkunu vinkolanti skont id-dritt internazzjonali f’konformità mal-Artikoli 145, 153 u 162 tal-UNCLOS u mal-Ftehim relatat mal-implimentazzjoni tal-Parti XI tal-UNCLOS.</w:t>
      </w:r>
    </w:p>
    <w:p>
      <w:pPr>
        <w:rPr>
          <w:noProof/>
        </w:rPr>
      </w:pPr>
      <w:r>
        <w:rPr>
          <w:noProof/>
        </w:rPr>
        <w:t>L-atti previsti la jissupplimentaw u lanqas jemendaw il-qafas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hija l-Artikolu 218(9) tat-TFUE.</w:t>
      </w: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3.2.1.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 xml:space="preserve">Il-bażi ġuridika sostantiva biex tittieħed deċiżjoni skont l-Artikolu 218(9) tat-TFUE tiddependi primarjament fuq l-objettiv u fuq il-kontenut tal-att previst li fir-rigward tiegħu tittieħed pożizzjoni f’isem l-Unjoni. </w:t>
      </w:r>
    </w:p>
    <w:p>
      <w:pPr>
        <w:pStyle w:val="ManualHeading3"/>
        <w:rPr>
          <w:noProof/>
        </w:rPr>
      </w:pPr>
      <w:r>
        <w:lastRenderedPageBreak/>
        <w:t>3.2.2.</w:t>
      </w:r>
      <w:r>
        <w:tab/>
      </w:r>
      <w:r>
        <w:rPr>
          <w:noProof/>
        </w:rPr>
        <w:t>Applikazzjoni għall-kawża preżenti</w:t>
      </w:r>
    </w:p>
    <w:p>
      <w:pPr>
        <w:rPr>
          <w:noProof/>
        </w:rPr>
      </w:pPr>
      <w:r>
        <w:rPr>
          <w:noProof/>
        </w:rPr>
        <w:t>L-objettiv ewlieni u l-kontenut tal-att previst jirrigwardjaw il-politika ambjentali.</w:t>
      </w:r>
    </w:p>
    <w:p>
      <w:pPr>
        <w:rPr>
          <w:noProof/>
        </w:rPr>
      </w:pPr>
      <w:r>
        <w:rPr>
          <w:noProof/>
        </w:rPr>
        <w:t>Għalhekk, il-bażi ġuridika sostantiva tad-deċiżjoni proposta hija l-Artikolu 191 tat-TFUE.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3.3.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 191 tat-TFUE, flimkien mal-Artikolu 218(9) tat-TFUE.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2020/0372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fil-laqgħat tal-Kunsill u tal-Assemblea tal-Awtorità Internazzjonali ta’ Qiegħ il-Baħar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 u, b’mod partikolari, l-Artikolu 191 tat-TFUE,</w:t>
      </w:r>
      <w:r>
        <w:t xml:space="preserve"> </w:t>
      </w:r>
      <w:r>
        <w:rPr>
          <w:noProof/>
        </w:rPr>
        <w:t>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Il-Konvenzjoni tan-Nazzjonijiet Uniti dwar il-Liġi tal-Baħar (UNCLOS) u l-Ftehim tat-28 ta’ Lulju 1994 li għandu x’jaqsam mal-implimentazzjoni tal-Parti XI tiegħu (“il-Ftehim”) ġew konklużi mill-Unjoni bid-Deċiżjoni tal-Kunsill 98/392/KE tat-23 ta’ Marzu 1998.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 162(2)(o)(ii) tal-UNCLOS, il-Kunsill tal-Awtorità Internazzjonali ta’ Qiegħ il-Baħar jista’ jadotta u japplika b’mod provviżorju, sakemm jiġu approvati mill-Assemblea, ir-regoli, ir-regolamenti u l-proċeduri tal-Awtorità, u kwalunkwe emenda għalihom, b’kont meħud tar-rakkomandazzjonijiet tal-Kummissjoni Legali u Teknika jew ta’ organu subordinat ieħor ikkonċernat. Dawn ir-regoli, ir-regolamenti u l-proċeduri għandhom ikunu relatati mat-tiftix, l-esplorazzjoni u l-isfruttament fiż-Żona u mal-ġestjoni finanzjarja u l-amministrazzjoni interna tal-Awtorità.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 xml:space="preserve">Matul il-laqgħat li jmiss tiegħu, il-Kunsill tal-Awtorità Internazzjonali ta’ Qiegħ il-Baħar għandu jadotta regolamenti dwar l-isfruttament tar-riżorsi minerali fiż-Żona.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Skont l-Artikolu 160(2)(f)(ii) tal-UNCLOS, l-Assemblea tal-Awtorità Internazzjonali ta’ Qiegħ il-Baħar tista’ tikkunsidra u tapprova r-regoli, ir-regolamenti u l-proċeduri tal-Awtorità, u kwalunkwe emenda għalihom, li l-Kunsill adotta provviżorjament skont l-Artikolu 162, il-paragrafu 2 (o)(ii). Dawn ir-regoli, ir-regolamenti u l-proċeduri għandhom ikunu relatati mat-tiftix, mal-esplorazzjoni u mal-isfruttament fiż-Żona, mal-ġestjoni finanzjarja u mal-amministrazzjoni interna tal-Awtorità.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Huwa xieraq li tiġi stabbilita l-pożizzjoni li għandha tittieħed f’isem l-Unjoni fil-Kunsill u l-Assemblea tal-Awtorità Internazzjonali ta’ Qiegħ il-Baħar, billi r-regolamenti previsti se jkunu vinkolanti fuq l-Unjoni, bħala parti għall-UNCLOS u għall-Ftehim rigward l-implimentazzjoni tal-PARTI XI tal-UNCLOS.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Huwa wkoll xieraq li tiġi stabbilita l-pożizzjoni li għandha tittieħed f’isem l-Unjoni fil-Kunsill u l-Assemblea tal-Awtorità Internazzjonali ta’ Qiegħ il-Baħar, billi r-regolamenti dwar l-isfruttament tar-riżorsi minerali fiż-Żona se jkunu vinkolanti fuq l-Unjoni u jistgħu jinfluwenzaw b’mod determinanti l-kontenut tad-dritt tal-Unjoni, notevolment fil-qasam tal-protezzjoni tal-ambjent tal-baħar.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 kwistjonijiet relatati mal-protezzjoni tal-ambjent tal-baħar, l-UE u l-Istati Membri tagħha huma marbuta bil-prinċipju ta’ prekawzjoni (l-Artikolu 191 tat-TFUE) u bl-</w:t>
      </w:r>
      <w:r>
        <w:rPr>
          <w:noProof/>
        </w:rPr>
        <w:lastRenderedPageBreak/>
        <w:t xml:space="preserve">approċċ ibbażat fuq l-ekosistema (l-Artikoli 3.4 u 3.5, l-Artikolu 10 u l-Annessi I u VI tad-Direttiva 2008/56/KE; l-Artikolu 2.3 tar-Regolament (UE) Nru 1380/2013; l-Artikolu 5 tad-Direttiva 2014/89/UE). Dan il-qafas ġuridiku jiġġustifika l-kontenut tal-pożizzjoni proposta li għandha tittieħed f’isem l-Unjoni.  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Sa fejn l-Unjoni hija limitata li tesprimi l-pożizzjoni tagħha fil-Kunsill tal-Awtorità Internazzjonali ta’ Qiegħ il-Baħar minħabba l-istatus ta’ osservatur limitat tagħha, il-pożizzjoni tal-Unjoni għandha tiġi espressa mill-Istati Membri tal-Unjoni li huma membri tal-Kunsill tal-Awtorità Internazzjonali ta’ Qiegħ il-Baħar. 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tittieħed f’isem l-Unjoni fil-laqgħat tal-Kunsill u tal-Assemblea tal-Awtorità Internazzjonali ta’ Qiegħ il-Baħar hija stabbilita fl-Anness.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Il-pożizzjoni tal-Unjoni fi ħdan il-Kunsill tal-Awtorità Internazzjonali ta’ Qiegħ il-Baħar imsemmija fl-Artikolu 1 għandha tiġi espressa u kkonfermata mill-Istati Membri tal-Unjoni li huma membri tal-Kunsill tal-Awtorità Internazzjonali ta’ Qiegħ il-Baħar kull meta l-Unjoni tkun limitata meta tiġi biex tesprimi l-pożizzjoni tagħha minħabba l-istatus ta’ osservatur limitat tagħha.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id-Deċiżjoni hija indirizzata lill-Kummissjoni u lill-Istati Membri</w:t>
      </w:r>
      <w:r>
        <w:rPr>
          <w:i/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 98/392/KE tat-23 ta’ Marzu 1998 li tirrigwarda l-konklużjoni mill-Komunità Ewropea tal-Konvenzjoni tan-Nazzjonijiet Uniti tal-10 ta’ Diċembru 1982 dwar il-Liġi tal-Baħar u l-Ftehim tat-28 ta’ Lulju 1994 li għandu x’jaqsam mal-implimentazzjoni tal-Parti XI tiegħu (ĠU L 179, 23.6.1998, p.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Proċedura normali għal pożizzjonijiet dwar kwistjonijiet li jaqgħu taħt il-kompetenza tal-Komunità; u l-proċedura regolata mit-Titolu V tat-Trattat dwar l-Unjoni Ewropea għal kwistjonijiet li jaqgħu taħt il-politika barranija tal-Unjoni Ewropea.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 98/392/KE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COM/2019/640 final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COM/2020/380 final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https://data.consilium.europa.eu/doc/document/ST-15272-2019-INIT/mt/pdf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Sentenza tal-Qorti tal-Ġustizzja tas-7 ta’ Ottubru 2014, Il-Ġermanja vs Il-Kunsill, C-399/12, ECLI:EU:C:2014:2258, il-paragrafi minn 61 sa 64.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161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7CC62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7180F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D58CC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90645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EB6B7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0965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4508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14 13:22:1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D0FF89E-CBBB-4F78-B12D-77552BE79D23"/>
    <w:docVar w:name="LW_COVERPAGE_TYPE" w:val="1"/>
    <w:docVar w:name="LW_CROSSREFERENCE" w:val="&lt;UNUSED&gt;"/>
    <w:docVar w:name="LW_DocType" w:val="COM"/>
    <w:docVar w:name="LW_EMISSION" w:val="5.1.2021"/>
    <w:docVar w:name="LW_EMISSION_ISODATE" w:val="2021-01-05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72"/>
    <w:docVar w:name="LW_REF.II.NEW.CP_YEAR" w:val="2020"/>
    <w:docVar w:name="LW_REF.INST.NEW" w:val="COM"/>
    <w:docVar w:name="LW_REF.INST.NEW_ADOPTED" w:val="final"/>
    <w:docVar w:name="LW_REF.INST.NEW_TEXT" w:val="(2021) 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laqg\u295?at tal-Kunsill u tal-Assemblea tal-Awtorità Internazzjonali ta\u8217? Qieg\u295? il-Ba\u295?ar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16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Times New Roman"/>
      <w:sz w:val="20"/>
      <w:szCs w:val="20"/>
      <w:lang w:val="mt-M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16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Times New Roman"/>
      <w:sz w:val="20"/>
      <w:szCs w:val="20"/>
      <w:lang w:val="mt-M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6F52-7C99-4FEE-ACA0-A6BF638A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1593</Words>
  <Characters>12274</Characters>
  <Application>Microsoft Office Word</Application>
  <DocSecurity>0</DocSecurity>
  <Lines>194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2020-12-10T10:28:00Z</dcterms:created>
  <dcterms:modified xsi:type="dcterms:W3CDTF">2020-12-14T12:22:00Z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